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D1EE8" w14:textId="63D0D339" w:rsidR="00BF547B" w:rsidRPr="009E25DF" w:rsidRDefault="00BF547B" w:rsidP="00BF547B">
      <w:pPr>
        <w:rPr>
          <w:rFonts w:cs="Calibri"/>
          <w:u w:val="single"/>
          <w:lang w:eastAsia="en-US"/>
        </w:rPr>
      </w:pPr>
      <w:bookmarkStart w:id="0" w:name="_Toc124929650"/>
      <w:r w:rsidRPr="009E25DF">
        <w:rPr>
          <w:color w:val="FF0000"/>
        </w:rPr>
        <w:t>An addendum to this public summary document has been included at the end of the document</w:t>
      </w:r>
      <w:r w:rsidR="00AE6556">
        <w:rPr>
          <w:color w:val="FF0000"/>
        </w:rPr>
        <w:t>.</w:t>
      </w:r>
    </w:p>
    <w:p w14:paraId="51C6701A" w14:textId="431EC8C0" w:rsidR="00B60939" w:rsidRPr="004A6040" w:rsidRDefault="0019603B" w:rsidP="004A6040">
      <w:pPr>
        <w:pStyle w:val="1-MainHeading"/>
      </w:pPr>
      <w:r>
        <w:t>6.12</w:t>
      </w:r>
      <w:r w:rsidR="00163F66">
        <w:tab/>
      </w:r>
      <w:r w:rsidR="00CB38B0">
        <w:t>RAVULIZUMAB</w:t>
      </w:r>
      <w:r w:rsidR="00163F66">
        <w:t>,</w:t>
      </w:r>
      <w:r w:rsidR="00163F66">
        <w:br/>
      </w:r>
      <w:r w:rsidR="00D9055E" w:rsidRPr="00C80EE0">
        <w:rPr>
          <w:rFonts w:cstheme="minorHAnsi"/>
          <w:color w:val="000000"/>
        </w:rPr>
        <w:t>Solution concentrate for I.V. infusion 300 mg in 3 mL vial</w:t>
      </w:r>
      <w:r w:rsidR="00D9055E" w:rsidRPr="00C80EE0">
        <w:rPr>
          <w:rFonts w:cstheme="minorHAnsi"/>
          <w:color w:val="000000"/>
        </w:rPr>
        <w:br/>
        <w:t xml:space="preserve">Solution concentrate for I.V. infusion 1.1 g </w:t>
      </w:r>
      <w:r w:rsidR="00D9055E" w:rsidRPr="007A4FDC">
        <w:rPr>
          <w:rFonts w:cstheme="minorHAnsi"/>
          <w:color w:val="000000"/>
        </w:rPr>
        <w:t>in 11 mL vial</w:t>
      </w:r>
      <w:r w:rsidR="00740926" w:rsidRPr="00740926">
        <w:rPr>
          <w:rFonts w:cstheme="minorHAnsi"/>
        </w:rPr>
        <w:t xml:space="preserve"> </w:t>
      </w:r>
      <w:r w:rsidR="00163F66" w:rsidRPr="007A4FDC">
        <w:rPr>
          <w:rFonts w:cstheme="minorHAnsi"/>
        </w:rPr>
        <w:br/>
      </w:r>
      <w:r w:rsidR="005C4B63">
        <w:t>Ultomiris</w:t>
      </w:r>
      <w:r w:rsidR="00B60939" w:rsidRPr="004A6040">
        <w:rPr>
          <w:vertAlign w:val="superscript"/>
        </w:rPr>
        <w:t>®</w:t>
      </w:r>
      <w:r w:rsidR="004A6040" w:rsidRPr="004A6040">
        <w:t>,</w:t>
      </w:r>
      <w:r w:rsidR="004A6040" w:rsidRPr="004A6040">
        <w:br/>
      </w:r>
      <w:r w:rsidR="005C4B63">
        <w:t>Alexion Pharmaceuticals Australasia Pty Ltd</w:t>
      </w:r>
      <w:r w:rsidR="00B60939" w:rsidRPr="004A6040">
        <w:t>.</w:t>
      </w:r>
      <w:bookmarkEnd w:id="0"/>
      <w:r w:rsidR="00F73E08">
        <w:t xml:space="preserve"> </w:t>
      </w:r>
    </w:p>
    <w:p w14:paraId="11C00795" w14:textId="3DFB6D23" w:rsidR="00B50DB8" w:rsidRPr="00407F2D" w:rsidRDefault="00B50DB8" w:rsidP="004A6040">
      <w:pPr>
        <w:pStyle w:val="2-SectionHeading"/>
      </w:pPr>
      <w:bookmarkStart w:id="1" w:name="_Toc124929652"/>
      <w:r w:rsidRPr="00407F2D">
        <w:t xml:space="preserve">Purpose of </w:t>
      </w:r>
      <w:r w:rsidR="00CD7193">
        <w:t>s</w:t>
      </w:r>
      <w:r w:rsidR="00BB3A45">
        <w:t>ubmission</w:t>
      </w:r>
      <w:bookmarkEnd w:id="1"/>
    </w:p>
    <w:p w14:paraId="19414AA1" w14:textId="527D425C" w:rsidR="002C2775" w:rsidRPr="008B1757" w:rsidRDefault="007170DA" w:rsidP="00B306AF">
      <w:pPr>
        <w:pStyle w:val="3-BodyText"/>
      </w:pPr>
      <w:r>
        <w:t xml:space="preserve">The </w:t>
      </w:r>
      <w:r w:rsidR="00F73E08">
        <w:t xml:space="preserve">Category </w:t>
      </w:r>
      <w:r w:rsidR="00CB38B0">
        <w:t xml:space="preserve">2 </w:t>
      </w:r>
      <w:r>
        <w:t xml:space="preserve">submission </w:t>
      </w:r>
      <w:r w:rsidRPr="004E18E9">
        <w:t xml:space="preserve">requested </w:t>
      </w:r>
      <w:r w:rsidR="009D6BFD">
        <w:t xml:space="preserve">a </w:t>
      </w:r>
      <w:r w:rsidR="008B1757" w:rsidRPr="004E18E9">
        <w:t xml:space="preserve">Section 100 Authority Required listing for </w:t>
      </w:r>
      <w:r w:rsidR="00CB38B0">
        <w:t>ravulizumab</w:t>
      </w:r>
      <w:r w:rsidR="008B1757" w:rsidRPr="004E18E9">
        <w:t xml:space="preserve"> for </w:t>
      </w:r>
      <w:r w:rsidR="0050174E" w:rsidRPr="004E18E9">
        <w:t xml:space="preserve">the </w:t>
      </w:r>
      <w:r w:rsidR="008B1757" w:rsidRPr="004E18E9">
        <w:t xml:space="preserve">treatment </w:t>
      </w:r>
      <w:r w:rsidR="00CB38B0" w:rsidRPr="00CB38B0">
        <w:t xml:space="preserve">of atypical haemolytic </w:t>
      </w:r>
      <w:r w:rsidR="00E62657">
        <w:t>uraemic</w:t>
      </w:r>
      <w:r w:rsidR="00CB38B0" w:rsidRPr="00CB38B0">
        <w:t xml:space="preserve"> syndrome (aHUS)</w:t>
      </w:r>
      <w:r w:rsidR="008B1757" w:rsidRPr="00C527C7">
        <w:t>.</w:t>
      </w:r>
      <w:r w:rsidR="008B1757" w:rsidRPr="00C527C7">
        <w:rPr>
          <w:color w:val="0066FF"/>
        </w:rPr>
        <w:t xml:space="preserve"> </w:t>
      </w:r>
    </w:p>
    <w:p w14:paraId="4E9FBCB5" w14:textId="6513873E" w:rsidR="00C2778B" w:rsidRDefault="005750C5" w:rsidP="00B306AF">
      <w:pPr>
        <w:pStyle w:val="3-BodyText"/>
      </w:pPr>
      <w:r w:rsidRPr="005750C5">
        <w:t xml:space="preserve">Listing was requested </w:t>
      </w:r>
      <w:proofErr w:type="gramStart"/>
      <w:r w:rsidRPr="005750C5">
        <w:t>on the basis of</w:t>
      </w:r>
      <w:proofErr w:type="gramEnd"/>
      <w:r w:rsidRPr="005750C5">
        <w:t xml:space="preserve"> a cost-minimisation</w:t>
      </w:r>
      <w:r w:rsidR="001D71F4">
        <w:t xml:space="preserve"> approach</w:t>
      </w:r>
      <w:r w:rsidRPr="005750C5">
        <w:t xml:space="preserve"> versus</w:t>
      </w:r>
      <w:r>
        <w:t xml:space="preserve"> </w:t>
      </w:r>
      <w:r w:rsidR="00BB6DC3">
        <w:t>eculizumab</w:t>
      </w:r>
      <w:r>
        <w:t>.</w:t>
      </w:r>
    </w:p>
    <w:p w14:paraId="3718DE61" w14:textId="285C43C6" w:rsidR="008B1757" w:rsidRDefault="00696EF9" w:rsidP="004A6040">
      <w:pPr>
        <w:pStyle w:val="TableFigureHeading"/>
        <w:rPr>
          <w:rStyle w:val="CommentReference"/>
          <w:b/>
          <w:szCs w:val="24"/>
        </w:rPr>
      </w:pPr>
      <w:bookmarkStart w:id="2" w:name="_Ref124327573"/>
      <w:r>
        <w:lastRenderedPageBreak/>
        <w:t xml:space="preserve">Table </w:t>
      </w:r>
      <w:r>
        <w:fldChar w:fldCharType="begin" w:fldLock="1"/>
      </w:r>
      <w:r>
        <w:instrText>SEQ Table \* ARABIC</w:instrText>
      </w:r>
      <w:r>
        <w:fldChar w:fldCharType="separate"/>
      </w:r>
      <w:r w:rsidR="00916EDA">
        <w:rPr>
          <w:noProof/>
        </w:rPr>
        <w:t>1</w:t>
      </w:r>
      <w:r>
        <w:fldChar w:fldCharType="end"/>
      </w:r>
      <w:bookmarkEnd w:id="2"/>
      <w:r>
        <w:t>:</w:t>
      </w:r>
      <w:r w:rsidR="00BC591F" w:rsidRPr="004A6040">
        <w:rPr>
          <w:rStyle w:val="CommentReference"/>
          <w:b/>
          <w:szCs w:val="24"/>
        </w:rPr>
        <w:t xml:space="preserve"> </w:t>
      </w:r>
      <w:r w:rsidR="008B1757" w:rsidRPr="004A6040">
        <w:rPr>
          <w:rStyle w:val="CommentReference"/>
          <w:b/>
          <w:szCs w:val="24"/>
        </w:rPr>
        <w:t>Key components of the clinical issue addressed by the submission</w:t>
      </w:r>
      <w:r w:rsidR="007170DA" w:rsidRPr="004A6040">
        <w:rPr>
          <w:rStyle w:val="CommentReference"/>
          <w:b/>
          <w:szCs w:val="24"/>
        </w:rPr>
        <w:t xml:space="preserve"> (as stated in the submission)</w:t>
      </w:r>
    </w:p>
    <w:tbl>
      <w:tblPr>
        <w:tblStyle w:val="TableGrid"/>
        <w:tblW w:w="5000" w:type="pct"/>
        <w:tblLook w:val="04A0" w:firstRow="1" w:lastRow="0" w:firstColumn="1" w:lastColumn="0" w:noHBand="0" w:noVBand="1"/>
      </w:tblPr>
      <w:tblGrid>
        <w:gridCol w:w="1414"/>
        <w:gridCol w:w="7603"/>
      </w:tblGrid>
      <w:tr w:rsidR="00585D93" w14:paraId="52BFAFB5" w14:textId="77777777" w:rsidTr="00316EA4">
        <w:tc>
          <w:tcPr>
            <w:tcW w:w="784" w:type="pct"/>
            <w:shd w:val="clear" w:color="auto" w:fill="auto"/>
            <w:vAlign w:val="center"/>
          </w:tcPr>
          <w:p w14:paraId="55285034" w14:textId="77777777" w:rsidR="00585D93" w:rsidRPr="007D124F" w:rsidRDefault="00585D93" w:rsidP="00A4398A">
            <w:pPr>
              <w:pStyle w:val="PBACTabletext0"/>
              <w:keepLines w:val="0"/>
              <w:suppressLineNumbers w:val="0"/>
              <w:rPr>
                <w:b/>
                <w:bCs/>
                <w:lang w:val="en-US"/>
              </w:rPr>
            </w:pPr>
            <w:r>
              <w:rPr>
                <w:b/>
                <w:bCs/>
                <w:lang w:val="en-US"/>
              </w:rPr>
              <w:t>Component</w:t>
            </w:r>
          </w:p>
        </w:tc>
        <w:tc>
          <w:tcPr>
            <w:tcW w:w="4216" w:type="pct"/>
            <w:shd w:val="clear" w:color="auto" w:fill="auto"/>
          </w:tcPr>
          <w:p w14:paraId="0699BBA0" w14:textId="77777777" w:rsidR="00585D93" w:rsidRPr="004844C8" w:rsidRDefault="00585D93" w:rsidP="00A4398A">
            <w:pPr>
              <w:pStyle w:val="PBACTabletext0"/>
              <w:keepLines w:val="0"/>
              <w:suppressLineNumbers w:val="0"/>
              <w:rPr>
                <w:b/>
                <w:bCs/>
                <w:lang w:val="en-US"/>
              </w:rPr>
            </w:pPr>
            <w:r>
              <w:rPr>
                <w:b/>
                <w:bCs/>
                <w:lang w:val="en-US"/>
              </w:rPr>
              <w:t>Description</w:t>
            </w:r>
          </w:p>
        </w:tc>
      </w:tr>
      <w:tr w:rsidR="00585D93" w14:paraId="3A357E50" w14:textId="77777777" w:rsidTr="00316EA4">
        <w:tc>
          <w:tcPr>
            <w:tcW w:w="784" w:type="pct"/>
            <w:vAlign w:val="center"/>
          </w:tcPr>
          <w:p w14:paraId="1EC490A4" w14:textId="77777777" w:rsidR="00585D93" w:rsidRDefault="00585D93" w:rsidP="00A4398A">
            <w:pPr>
              <w:pStyle w:val="PBACTabletext0"/>
              <w:keepLines w:val="0"/>
              <w:suppressLineNumbers w:val="0"/>
              <w:rPr>
                <w:lang w:val="en-US"/>
              </w:rPr>
            </w:pPr>
            <w:r>
              <w:rPr>
                <w:lang w:val="en-US"/>
              </w:rPr>
              <w:t>Population</w:t>
            </w:r>
          </w:p>
        </w:tc>
        <w:tc>
          <w:tcPr>
            <w:tcW w:w="4216" w:type="pct"/>
          </w:tcPr>
          <w:p w14:paraId="75EDADE7" w14:textId="14DBCB74" w:rsidR="00585D93" w:rsidRDefault="00585D93" w:rsidP="00A4398A">
            <w:pPr>
              <w:pStyle w:val="PBACTabletext0"/>
              <w:keepLines w:val="0"/>
              <w:suppressLineNumbers w:val="0"/>
              <w:rPr>
                <w:lang w:val="en-US"/>
              </w:rPr>
            </w:pPr>
            <w:r w:rsidRPr="0404D8CE">
              <w:rPr>
                <w:lang w:val="en-US"/>
              </w:rPr>
              <w:t xml:space="preserve">Patients with atypical haemolytic </w:t>
            </w:r>
            <w:r w:rsidR="00E62657">
              <w:rPr>
                <w:lang w:val="en-US"/>
              </w:rPr>
              <w:t>uraemic</w:t>
            </w:r>
            <w:r w:rsidRPr="0404D8CE">
              <w:rPr>
                <w:lang w:val="en-US"/>
              </w:rPr>
              <w:t xml:space="preserve"> syndrome (aHUS) </w:t>
            </w:r>
          </w:p>
        </w:tc>
      </w:tr>
      <w:tr w:rsidR="00585D93" w14:paraId="6906669E" w14:textId="77777777" w:rsidTr="00316EA4">
        <w:tc>
          <w:tcPr>
            <w:tcW w:w="784" w:type="pct"/>
            <w:vAlign w:val="center"/>
          </w:tcPr>
          <w:p w14:paraId="313BA598" w14:textId="77777777" w:rsidR="00585D93" w:rsidRDefault="00585D93" w:rsidP="00A4398A">
            <w:pPr>
              <w:pStyle w:val="PBACTabletext0"/>
              <w:keepLines w:val="0"/>
              <w:suppressLineNumbers w:val="0"/>
              <w:rPr>
                <w:lang w:val="en-US"/>
              </w:rPr>
            </w:pPr>
            <w:r>
              <w:rPr>
                <w:lang w:val="en-US"/>
              </w:rPr>
              <w:t>Intervention</w:t>
            </w:r>
          </w:p>
        </w:tc>
        <w:tc>
          <w:tcPr>
            <w:tcW w:w="4216" w:type="pct"/>
          </w:tcPr>
          <w:p w14:paraId="584C8C96" w14:textId="5A50624B" w:rsidR="00585D93" w:rsidRDefault="00585D93" w:rsidP="00A4398A">
            <w:pPr>
              <w:pStyle w:val="PBACTabletext0"/>
              <w:rPr>
                <w:lang w:val="en-US"/>
              </w:rPr>
            </w:pPr>
            <w:r w:rsidRPr="00495085">
              <w:rPr>
                <w:lang w:val="en-US"/>
              </w:rPr>
              <w:t>Ravulizumab</w:t>
            </w:r>
            <w:r>
              <w:rPr>
                <w:lang w:val="en-US"/>
              </w:rPr>
              <w:t xml:space="preserve">: </w:t>
            </w:r>
            <w:r w:rsidR="009D6BFD">
              <w:rPr>
                <w:lang w:val="en-US"/>
              </w:rPr>
              <w:t>t</w:t>
            </w:r>
            <w:r w:rsidRPr="00B375FC">
              <w:rPr>
                <w:lang w:val="en-US"/>
              </w:rPr>
              <w:t xml:space="preserve">he recommended dosing regimen consists of a loading dose followed by maintenance dosing at a once every 8-week </w:t>
            </w:r>
            <w:r>
              <w:rPr>
                <w:lang w:val="en-US"/>
              </w:rPr>
              <w:t>(</w:t>
            </w:r>
            <w:r w:rsidRPr="00FA162C">
              <w:t xml:space="preserve">≥20 </w:t>
            </w:r>
            <w:r>
              <w:t xml:space="preserve">kg) or 4-week (&lt;20 kg) </w:t>
            </w:r>
            <w:r w:rsidRPr="00B375FC">
              <w:rPr>
                <w:lang w:val="en-US"/>
              </w:rPr>
              <w:t>interval, starting 2 weeks after loading dose administration</w:t>
            </w:r>
            <w:r>
              <w:rPr>
                <w:lang w:val="en-US"/>
              </w:rPr>
              <w:t>.</w:t>
            </w:r>
          </w:p>
          <w:p w14:paraId="0BBA4491" w14:textId="77777777" w:rsidR="00585D93" w:rsidRPr="00B375FC" w:rsidRDefault="00585D93" w:rsidP="00A4398A">
            <w:pPr>
              <w:pStyle w:val="PBACTabletext0"/>
              <w:rPr>
                <w:lang w:val="en-US"/>
              </w:rPr>
            </w:pPr>
            <w:r>
              <w:rPr>
                <w:lang w:val="en-US"/>
              </w:rPr>
              <w:t>D</w:t>
            </w:r>
            <w:r w:rsidRPr="00B375FC">
              <w:rPr>
                <w:lang w:val="en-US"/>
              </w:rPr>
              <w:t xml:space="preserve">oses </w:t>
            </w:r>
            <w:proofErr w:type="gramStart"/>
            <w:r w:rsidRPr="00B375FC">
              <w:rPr>
                <w:lang w:val="en-US"/>
              </w:rPr>
              <w:t>are administered</w:t>
            </w:r>
            <w:proofErr w:type="gramEnd"/>
            <w:r w:rsidRPr="00B375FC">
              <w:rPr>
                <w:lang w:val="en-US"/>
              </w:rPr>
              <w:t xml:space="preserve"> by </w:t>
            </w:r>
            <w:r>
              <w:rPr>
                <w:lang w:val="en-US"/>
              </w:rPr>
              <w:t>intravenous</w:t>
            </w:r>
            <w:r w:rsidRPr="00B375FC">
              <w:rPr>
                <w:lang w:val="en-US"/>
              </w:rPr>
              <w:t xml:space="preserve"> infusion based on the patient’s body weight, as shown </w:t>
            </w:r>
            <w:r>
              <w:rPr>
                <w:lang w:val="en-US"/>
              </w:rPr>
              <w:t>below</w:t>
            </w:r>
            <w:r w:rsidRPr="00B375FC">
              <w:rPr>
                <w:lang w:val="en-US"/>
              </w:rPr>
              <w:t>.</w:t>
            </w:r>
          </w:p>
          <w:tbl>
            <w:tblPr>
              <w:tblStyle w:val="TableGrid"/>
              <w:tblW w:w="4982" w:type="pct"/>
              <w:tblCellMar>
                <w:left w:w="28" w:type="dxa"/>
                <w:right w:w="28" w:type="dxa"/>
              </w:tblCellMar>
              <w:tblLook w:val="04A0" w:firstRow="1" w:lastRow="0" w:firstColumn="1" w:lastColumn="0" w:noHBand="0" w:noVBand="1"/>
            </w:tblPr>
            <w:tblGrid>
              <w:gridCol w:w="2018"/>
              <w:gridCol w:w="1730"/>
              <w:gridCol w:w="2014"/>
              <w:gridCol w:w="1588"/>
            </w:tblGrid>
            <w:tr w:rsidR="00A4398A" w14:paraId="3ED9B06F" w14:textId="77777777" w:rsidTr="00A4398A">
              <w:tc>
                <w:tcPr>
                  <w:tcW w:w="1373" w:type="pct"/>
                </w:tcPr>
                <w:p w14:paraId="03E51BA3" w14:textId="77777777" w:rsidR="00585D93" w:rsidRPr="00493229" w:rsidRDefault="00585D93" w:rsidP="00A4398A">
                  <w:pPr>
                    <w:pStyle w:val="PBACTabletext0"/>
                    <w:keepLines w:val="0"/>
                    <w:suppressLineNumbers w:val="0"/>
                    <w:jc w:val="center"/>
                    <w:rPr>
                      <w:b/>
                      <w:bCs/>
                    </w:rPr>
                  </w:pPr>
                  <w:r w:rsidRPr="5F8B3F2B">
                    <w:rPr>
                      <w:b/>
                      <w:bCs/>
                    </w:rPr>
                    <w:t>Body weight range (kg)</w:t>
                  </w:r>
                </w:p>
              </w:tc>
              <w:tc>
                <w:tcPr>
                  <w:tcW w:w="1177" w:type="pct"/>
                </w:tcPr>
                <w:p w14:paraId="0761EF18" w14:textId="77777777" w:rsidR="00585D93" w:rsidRPr="00493229" w:rsidRDefault="00585D93" w:rsidP="00A4398A">
                  <w:pPr>
                    <w:pStyle w:val="PBACTabletext0"/>
                    <w:keepLines w:val="0"/>
                    <w:suppressLineNumbers w:val="0"/>
                    <w:jc w:val="center"/>
                    <w:rPr>
                      <w:b/>
                      <w:bCs/>
                    </w:rPr>
                  </w:pPr>
                  <w:r w:rsidRPr="00493229">
                    <w:rPr>
                      <w:b/>
                      <w:bCs/>
                    </w:rPr>
                    <w:t>Loading dose (mg)</w:t>
                  </w:r>
                </w:p>
              </w:tc>
              <w:tc>
                <w:tcPr>
                  <w:tcW w:w="1370" w:type="pct"/>
                </w:tcPr>
                <w:p w14:paraId="531E2C02" w14:textId="77777777" w:rsidR="00585D93" w:rsidRPr="00493229" w:rsidRDefault="00585D93" w:rsidP="00A4398A">
                  <w:pPr>
                    <w:pStyle w:val="PBACTabletext0"/>
                    <w:keepLines w:val="0"/>
                    <w:suppressLineNumbers w:val="0"/>
                    <w:jc w:val="center"/>
                    <w:rPr>
                      <w:b/>
                      <w:bCs/>
                    </w:rPr>
                  </w:pPr>
                  <w:r w:rsidRPr="00493229">
                    <w:rPr>
                      <w:b/>
                      <w:bCs/>
                    </w:rPr>
                    <w:t>Maintenance dose (mg)</w:t>
                  </w:r>
                </w:p>
              </w:tc>
              <w:tc>
                <w:tcPr>
                  <w:tcW w:w="1080" w:type="pct"/>
                </w:tcPr>
                <w:p w14:paraId="478B1CB9" w14:textId="2F5FEAD4" w:rsidR="00585D93" w:rsidRPr="00493229" w:rsidRDefault="00585D93" w:rsidP="00A4398A">
                  <w:pPr>
                    <w:pStyle w:val="PBACTabletext0"/>
                    <w:keepLines w:val="0"/>
                    <w:suppressLineNumbers w:val="0"/>
                    <w:jc w:val="center"/>
                    <w:rPr>
                      <w:b/>
                      <w:bCs/>
                    </w:rPr>
                  </w:pPr>
                  <w:r w:rsidRPr="00493229">
                    <w:rPr>
                      <w:b/>
                      <w:bCs/>
                    </w:rPr>
                    <w:t xml:space="preserve">Dosing </w:t>
                  </w:r>
                  <w:r w:rsidR="00A4398A">
                    <w:rPr>
                      <w:b/>
                      <w:bCs/>
                    </w:rPr>
                    <w:t>i</w:t>
                  </w:r>
                  <w:r w:rsidRPr="00493229">
                    <w:rPr>
                      <w:b/>
                      <w:bCs/>
                    </w:rPr>
                    <w:t>nterval</w:t>
                  </w:r>
                </w:p>
              </w:tc>
            </w:tr>
            <w:tr w:rsidR="00A4398A" w14:paraId="3581AC5C" w14:textId="77777777" w:rsidTr="00A4398A">
              <w:tc>
                <w:tcPr>
                  <w:tcW w:w="1373" w:type="pct"/>
                </w:tcPr>
                <w:p w14:paraId="40527A40" w14:textId="1E152778" w:rsidR="00585D93" w:rsidRDefault="00585D93" w:rsidP="00A4398A">
                  <w:pPr>
                    <w:pStyle w:val="PBACTabletext0"/>
                    <w:keepLines w:val="0"/>
                    <w:suppressLineNumbers w:val="0"/>
                    <w:jc w:val="center"/>
                  </w:pPr>
                  <w:r w:rsidRPr="00FA162C">
                    <w:t>≥5 to &lt;10</w:t>
                  </w:r>
                </w:p>
              </w:tc>
              <w:tc>
                <w:tcPr>
                  <w:tcW w:w="1177" w:type="pct"/>
                </w:tcPr>
                <w:p w14:paraId="3728C09E" w14:textId="77777777" w:rsidR="00585D93" w:rsidRDefault="00585D93" w:rsidP="00A4398A">
                  <w:pPr>
                    <w:pStyle w:val="PBACTabletext0"/>
                    <w:keepLines w:val="0"/>
                    <w:suppressLineNumbers w:val="0"/>
                    <w:jc w:val="center"/>
                  </w:pPr>
                  <w:r>
                    <w:t>600</w:t>
                  </w:r>
                </w:p>
              </w:tc>
              <w:tc>
                <w:tcPr>
                  <w:tcW w:w="1370" w:type="pct"/>
                </w:tcPr>
                <w:p w14:paraId="31723F4C" w14:textId="77777777" w:rsidR="00585D93" w:rsidRDefault="00585D93" w:rsidP="00A4398A">
                  <w:pPr>
                    <w:pStyle w:val="PBACTabletext0"/>
                    <w:keepLines w:val="0"/>
                    <w:suppressLineNumbers w:val="0"/>
                    <w:jc w:val="center"/>
                  </w:pPr>
                  <w:r>
                    <w:t>300</w:t>
                  </w:r>
                </w:p>
              </w:tc>
              <w:tc>
                <w:tcPr>
                  <w:tcW w:w="1080" w:type="pct"/>
                </w:tcPr>
                <w:p w14:paraId="06F30E8B" w14:textId="77777777" w:rsidR="00585D93" w:rsidRDefault="00585D93" w:rsidP="00A4398A">
                  <w:pPr>
                    <w:pStyle w:val="PBACTabletext0"/>
                    <w:keepLines w:val="0"/>
                    <w:suppressLineNumbers w:val="0"/>
                    <w:jc w:val="center"/>
                  </w:pPr>
                  <w:r>
                    <w:t>Every 4 weeks</w:t>
                  </w:r>
                </w:p>
              </w:tc>
            </w:tr>
            <w:tr w:rsidR="00A4398A" w14:paraId="7B4E3EA2" w14:textId="77777777" w:rsidTr="00A4398A">
              <w:tc>
                <w:tcPr>
                  <w:tcW w:w="1373" w:type="pct"/>
                </w:tcPr>
                <w:p w14:paraId="4ABE124C" w14:textId="77777777" w:rsidR="00585D93" w:rsidRDefault="00585D93" w:rsidP="00A4398A">
                  <w:pPr>
                    <w:pStyle w:val="PBACTabletext0"/>
                    <w:keepLines w:val="0"/>
                    <w:suppressLineNumbers w:val="0"/>
                    <w:jc w:val="center"/>
                  </w:pPr>
                  <w:r w:rsidRPr="00FA162C">
                    <w:t>≥10 to &lt;20</w:t>
                  </w:r>
                </w:p>
              </w:tc>
              <w:tc>
                <w:tcPr>
                  <w:tcW w:w="1177" w:type="pct"/>
                </w:tcPr>
                <w:p w14:paraId="78D0D562" w14:textId="77777777" w:rsidR="00585D93" w:rsidRDefault="00585D93" w:rsidP="00A4398A">
                  <w:pPr>
                    <w:pStyle w:val="PBACTabletext0"/>
                    <w:keepLines w:val="0"/>
                    <w:suppressLineNumbers w:val="0"/>
                    <w:jc w:val="center"/>
                  </w:pPr>
                  <w:r>
                    <w:t>600</w:t>
                  </w:r>
                </w:p>
              </w:tc>
              <w:tc>
                <w:tcPr>
                  <w:tcW w:w="1370" w:type="pct"/>
                </w:tcPr>
                <w:p w14:paraId="7E970064" w14:textId="77777777" w:rsidR="00585D93" w:rsidRDefault="00585D93" w:rsidP="00A4398A">
                  <w:pPr>
                    <w:pStyle w:val="PBACTabletext0"/>
                    <w:keepLines w:val="0"/>
                    <w:suppressLineNumbers w:val="0"/>
                    <w:jc w:val="center"/>
                  </w:pPr>
                  <w:r>
                    <w:t>600</w:t>
                  </w:r>
                </w:p>
              </w:tc>
              <w:tc>
                <w:tcPr>
                  <w:tcW w:w="1080" w:type="pct"/>
                </w:tcPr>
                <w:p w14:paraId="01F6FCD6" w14:textId="77777777" w:rsidR="00585D93" w:rsidRDefault="00585D93" w:rsidP="00A4398A">
                  <w:pPr>
                    <w:pStyle w:val="PBACTabletext0"/>
                    <w:keepLines w:val="0"/>
                    <w:suppressLineNumbers w:val="0"/>
                    <w:jc w:val="center"/>
                  </w:pPr>
                  <w:r>
                    <w:t>Every 4 weeks</w:t>
                  </w:r>
                </w:p>
              </w:tc>
            </w:tr>
            <w:tr w:rsidR="00A4398A" w14:paraId="4951F381" w14:textId="77777777" w:rsidTr="00A4398A">
              <w:tc>
                <w:tcPr>
                  <w:tcW w:w="1373" w:type="pct"/>
                </w:tcPr>
                <w:p w14:paraId="03C5C318" w14:textId="77777777" w:rsidR="00585D93" w:rsidRDefault="00585D93" w:rsidP="00A4398A">
                  <w:pPr>
                    <w:pStyle w:val="PBACTabletext0"/>
                    <w:keepLines w:val="0"/>
                    <w:suppressLineNumbers w:val="0"/>
                    <w:jc w:val="center"/>
                  </w:pPr>
                  <w:r w:rsidRPr="00FA162C">
                    <w:t>≥20 to &lt;30</w:t>
                  </w:r>
                </w:p>
              </w:tc>
              <w:tc>
                <w:tcPr>
                  <w:tcW w:w="1177" w:type="pct"/>
                </w:tcPr>
                <w:p w14:paraId="54DA2C09" w14:textId="77777777" w:rsidR="00585D93" w:rsidRDefault="00585D93" w:rsidP="00A4398A">
                  <w:pPr>
                    <w:pStyle w:val="PBACTabletext0"/>
                    <w:keepLines w:val="0"/>
                    <w:suppressLineNumbers w:val="0"/>
                    <w:jc w:val="center"/>
                  </w:pPr>
                  <w:r>
                    <w:t>900</w:t>
                  </w:r>
                </w:p>
              </w:tc>
              <w:tc>
                <w:tcPr>
                  <w:tcW w:w="1370" w:type="pct"/>
                </w:tcPr>
                <w:p w14:paraId="50D83793" w14:textId="77777777" w:rsidR="00585D93" w:rsidRDefault="00585D93" w:rsidP="00A4398A">
                  <w:pPr>
                    <w:pStyle w:val="PBACTabletext0"/>
                    <w:keepLines w:val="0"/>
                    <w:suppressLineNumbers w:val="0"/>
                    <w:jc w:val="center"/>
                  </w:pPr>
                  <w:r>
                    <w:t>2100</w:t>
                  </w:r>
                </w:p>
              </w:tc>
              <w:tc>
                <w:tcPr>
                  <w:tcW w:w="1080" w:type="pct"/>
                </w:tcPr>
                <w:p w14:paraId="11D8E83C" w14:textId="77777777" w:rsidR="00585D93" w:rsidRDefault="00585D93" w:rsidP="00A4398A">
                  <w:pPr>
                    <w:pStyle w:val="PBACTabletext0"/>
                    <w:keepLines w:val="0"/>
                    <w:suppressLineNumbers w:val="0"/>
                    <w:jc w:val="center"/>
                  </w:pPr>
                  <w:r>
                    <w:t>Every 8 weeks</w:t>
                  </w:r>
                </w:p>
              </w:tc>
            </w:tr>
            <w:tr w:rsidR="00A4398A" w14:paraId="5E210303" w14:textId="77777777" w:rsidTr="00A4398A">
              <w:tc>
                <w:tcPr>
                  <w:tcW w:w="1373" w:type="pct"/>
                </w:tcPr>
                <w:p w14:paraId="67F76E0F" w14:textId="77777777" w:rsidR="00585D93" w:rsidRDefault="00585D93" w:rsidP="00A4398A">
                  <w:pPr>
                    <w:pStyle w:val="PBACTabletext0"/>
                    <w:keepLines w:val="0"/>
                    <w:suppressLineNumbers w:val="0"/>
                    <w:jc w:val="center"/>
                  </w:pPr>
                  <w:r w:rsidRPr="00FA162C">
                    <w:t>≥30 to &lt;40</w:t>
                  </w:r>
                </w:p>
              </w:tc>
              <w:tc>
                <w:tcPr>
                  <w:tcW w:w="1177" w:type="pct"/>
                </w:tcPr>
                <w:p w14:paraId="1A461942" w14:textId="77777777" w:rsidR="00585D93" w:rsidRDefault="00585D93" w:rsidP="00A4398A">
                  <w:pPr>
                    <w:pStyle w:val="PBACTabletext0"/>
                    <w:keepLines w:val="0"/>
                    <w:suppressLineNumbers w:val="0"/>
                    <w:jc w:val="center"/>
                  </w:pPr>
                  <w:r>
                    <w:t>1200</w:t>
                  </w:r>
                </w:p>
              </w:tc>
              <w:tc>
                <w:tcPr>
                  <w:tcW w:w="1370" w:type="pct"/>
                </w:tcPr>
                <w:p w14:paraId="0E43AA5C" w14:textId="77777777" w:rsidR="00585D93" w:rsidRDefault="00585D93" w:rsidP="00A4398A">
                  <w:pPr>
                    <w:pStyle w:val="PBACTabletext0"/>
                    <w:keepLines w:val="0"/>
                    <w:suppressLineNumbers w:val="0"/>
                    <w:jc w:val="center"/>
                  </w:pPr>
                  <w:r>
                    <w:t>2700</w:t>
                  </w:r>
                </w:p>
              </w:tc>
              <w:tc>
                <w:tcPr>
                  <w:tcW w:w="1080" w:type="pct"/>
                </w:tcPr>
                <w:p w14:paraId="54EB336F" w14:textId="77777777" w:rsidR="00585D93" w:rsidRDefault="00585D93" w:rsidP="00A4398A">
                  <w:pPr>
                    <w:pStyle w:val="PBACTabletext0"/>
                    <w:keepLines w:val="0"/>
                    <w:suppressLineNumbers w:val="0"/>
                    <w:jc w:val="center"/>
                  </w:pPr>
                  <w:r>
                    <w:t>Every 8 weeks</w:t>
                  </w:r>
                </w:p>
              </w:tc>
            </w:tr>
            <w:tr w:rsidR="00A4398A" w14:paraId="0003F4D2" w14:textId="77777777" w:rsidTr="00A4398A">
              <w:tc>
                <w:tcPr>
                  <w:tcW w:w="1373" w:type="pct"/>
                </w:tcPr>
                <w:p w14:paraId="337D7430" w14:textId="77777777" w:rsidR="00585D93" w:rsidRDefault="00585D93" w:rsidP="00A4398A">
                  <w:pPr>
                    <w:pStyle w:val="PBACTabletext0"/>
                    <w:keepLines w:val="0"/>
                    <w:suppressLineNumbers w:val="0"/>
                    <w:jc w:val="center"/>
                  </w:pPr>
                  <w:r w:rsidRPr="00FA162C">
                    <w:t>≥</w:t>
                  </w:r>
                  <w:r>
                    <w:t>40 to &lt;</w:t>
                  </w:r>
                  <w:r w:rsidRPr="00FA162C">
                    <w:t>60</w:t>
                  </w:r>
                </w:p>
              </w:tc>
              <w:tc>
                <w:tcPr>
                  <w:tcW w:w="1177" w:type="pct"/>
                </w:tcPr>
                <w:p w14:paraId="6EDF3711" w14:textId="77777777" w:rsidR="00585D93" w:rsidRDefault="00585D93" w:rsidP="00A4398A">
                  <w:pPr>
                    <w:pStyle w:val="PBACTabletext0"/>
                    <w:keepLines w:val="0"/>
                    <w:suppressLineNumbers w:val="0"/>
                    <w:jc w:val="center"/>
                  </w:pPr>
                  <w:r>
                    <w:t>2400</w:t>
                  </w:r>
                </w:p>
              </w:tc>
              <w:tc>
                <w:tcPr>
                  <w:tcW w:w="1370" w:type="pct"/>
                </w:tcPr>
                <w:p w14:paraId="04507B05" w14:textId="77777777" w:rsidR="00585D93" w:rsidRDefault="00585D93" w:rsidP="00A4398A">
                  <w:pPr>
                    <w:pStyle w:val="PBACTabletext0"/>
                    <w:keepLines w:val="0"/>
                    <w:suppressLineNumbers w:val="0"/>
                    <w:jc w:val="center"/>
                  </w:pPr>
                  <w:r>
                    <w:t>3000</w:t>
                  </w:r>
                </w:p>
              </w:tc>
              <w:tc>
                <w:tcPr>
                  <w:tcW w:w="1080" w:type="pct"/>
                </w:tcPr>
                <w:p w14:paraId="1E8C1B67" w14:textId="77777777" w:rsidR="00585D93" w:rsidRDefault="00585D93" w:rsidP="00A4398A">
                  <w:pPr>
                    <w:pStyle w:val="PBACTabletext0"/>
                    <w:keepLines w:val="0"/>
                    <w:suppressLineNumbers w:val="0"/>
                    <w:jc w:val="center"/>
                  </w:pPr>
                  <w:r>
                    <w:t>Every 8 weeks</w:t>
                  </w:r>
                </w:p>
              </w:tc>
            </w:tr>
            <w:tr w:rsidR="00A4398A" w14:paraId="56A0AB2E" w14:textId="77777777" w:rsidTr="00A4398A">
              <w:tc>
                <w:tcPr>
                  <w:tcW w:w="1373" w:type="pct"/>
                </w:tcPr>
                <w:p w14:paraId="32D3CAD2" w14:textId="77777777" w:rsidR="00585D93" w:rsidRDefault="00585D93" w:rsidP="00A4398A">
                  <w:pPr>
                    <w:pStyle w:val="PBACTabletext0"/>
                    <w:keepLines w:val="0"/>
                    <w:suppressLineNumbers w:val="0"/>
                    <w:jc w:val="center"/>
                  </w:pPr>
                  <w:r w:rsidRPr="00FA162C">
                    <w:t>≥</w:t>
                  </w:r>
                  <w:r>
                    <w:t>60 to &lt;10</w:t>
                  </w:r>
                  <w:r w:rsidRPr="00FA162C">
                    <w:t>0</w:t>
                  </w:r>
                </w:p>
              </w:tc>
              <w:tc>
                <w:tcPr>
                  <w:tcW w:w="1177" w:type="pct"/>
                </w:tcPr>
                <w:p w14:paraId="0218AC6A" w14:textId="77777777" w:rsidR="00585D93" w:rsidRDefault="00585D93" w:rsidP="00A4398A">
                  <w:pPr>
                    <w:pStyle w:val="PBACTabletext0"/>
                    <w:keepLines w:val="0"/>
                    <w:suppressLineNumbers w:val="0"/>
                    <w:jc w:val="center"/>
                  </w:pPr>
                  <w:r>
                    <w:t>2700</w:t>
                  </w:r>
                </w:p>
              </w:tc>
              <w:tc>
                <w:tcPr>
                  <w:tcW w:w="1370" w:type="pct"/>
                </w:tcPr>
                <w:p w14:paraId="079B22CF" w14:textId="77777777" w:rsidR="00585D93" w:rsidRDefault="00585D93" w:rsidP="00A4398A">
                  <w:pPr>
                    <w:pStyle w:val="PBACTabletext0"/>
                    <w:keepLines w:val="0"/>
                    <w:suppressLineNumbers w:val="0"/>
                    <w:jc w:val="center"/>
                  </w:pPr>
                  <w:r>
                    <w:t>3300</w:t>
                  </w:r>
                </w:p>
              </w:tc>
              <w:tc>
                <w:tcPr>
                  <w:tcW w:w="1080" w:type="pct"/>
                </w:tcPr>
                <w:p w14:paraId="6593152F" w14:textId="77777777" w:rsidR="00585D93" w:rsidRDefault="00585D93" w:rsidP="00A4398A">
                  <w:pPr>
                    <w:pStyle w:val="PBACTabletext0"/>
                    <w:keepLines w:val="0"/>
                    <w:suppressLineNumbers w:val="0"/>
                    <w:jc w:val="center"/>
                  </w:pPr>
                  <w:r>
                    <w:t>Every 8 weeks</w:t>
                  </w:r>
                </w:p>
              </w:tc>
            </w:tr>
            <w:tr w:rsidR="00A4398A" w14:paraId="3A24890A" w14:textId="77777777" w:rsidTr="00A4398A">
              <w:tc>
                <w:tcPr>
                  <w:tcW w:w="1373" w:type="pct"/>
                </w:tcPr>
                <w:p w14:paraId="6CD3E75D" w14:textId="77777777" w:rsidR="00585D93" w:rsidRPr="00FA162C" w:rsidRDefault="00585D93" w:rsidP="00A4398A">
                  <w:pPr>
                    <w:pStyle w:val="PBACTabletext0"/>
                    <w:keepLines w:val="0"/>
                    <w:suppressLineNumbers w:val="0"/>
                    <w:jc w:val="center"/>
                  </w:pPr>
                  <w:r w:rsidRPr="00FA162C">
                    <w:t>≥</w:t>
                  </w:r>
                  <w:r>
                    <w:t>100</w:t>
                  </w:r>
                </w:p>
              </w:tc>
              <w:tc>
                <w:tcPr>
                  <w:tcW w:w="1177" w:type="pct"/>
                </w:tcPr>
                <w:p w14:paraId="185FCAF5" w14:textId="77777777" w:rsidR="00585D93" w:rsidRDefault="00585D93" w:rsidP="00A4398A">
                  <w:pPr>
                    <w:pStyle w:val="PBACTabletext0"/>
                    <w:keepLines w:val="0"/>
                    <w:suppressLineNumbers w:val="0"/>
                    <w:jc w:val="center"/>
                  </w:pPr>
                  <w:r>
                    <w:t>3000</w:t>
                  </w:r>
                </w:p>
              </w:tc>
              <w:tc>
                <w:tcPr>
                  <w:tcW w:w="1370" w:type="pct"/>
                </w:tcPr>
                <w:p w14:paraId="2DF9C956" w14:textId="77777777" w:rsidR="00585D93" w:rsidRDefault="00585D93" w:rsidP="00A4398A">
                  <w:pPr>
                    <w:pStyle w:val="PBACTabletext0"/>
                    <w:keepLines w:val="0"/>
                    <w:suppressLineNumbers w:val="0"/>
                    <w:jc w:val="center"/>
                  </w:pPr>
                  <w:r>
                    <w:t>3600</w:t>
                  </w:r>
                </w:p>
              </w:tc>
              <w:tc>
                <w:tcPr>
                  <w:tcW w:w="1080" w:type="pct"/>
                </w:tcPr>
                <w:p w14:paraId="62ADA1C9" w14:textId="77777777" w:rsidR="00585D93" w:rsidRDefault="00585D93" w:rsidP="00A4398A">
                  <w:pPr>
                    <w:pStyle w:val="PBACTabletext0"/>
                    <w:keepLines w:val="0"/>
                    <w:suppressLineNumbers w:val="0"/>
                    <w:jc w:val="center"/>
                  </w:pPr>
                  <w:r>
                    <w:t>Every 8 weeks</w:t>
                  </w:r>
                </w:p>
              </w:tc>
            </w:tr>
          </w:tbl>
          <w:p w14:paraId="26AA297D" w14:textId="77777777" w:rsidR="00585D93" w:rsidRDefault="00585D93" w:rsidP="00A4398A">
            <w:pPr>
              <w:pStyle w:val="PBACTabletext0"/>
              <w:rPr>
                <w:lang w:val="en-US"/>
              </w:rPr>
            </w:pPr>
            <w:r w:rsidRPr="0404D8CE">
              <w:rPr>
                <w:lang w:val="en-US"/>
              </w:rPr>
              <w:t xml:space="preserve">For patients switching from eculizumab, the loading dose of ravulizumab should </w:t>
            </w:r>
            <w:proofErr w:type="gramStart"/>
            <w:r w:rsidRPr="0404D8CE">
              <w:rPr>
                <w:lang w:val="en-US"/>
              </w:rPr>
              <w:t>be administered</w:t>
            </w:r>
            <w:proofErr w:type="gramEnd"/>
            <w:r w:rsidRPr="0404D8CE">
              <w:rPr>
                <w:lang w:val="en-US"/>
              </w:rPr>
              <w:t xml:space="preserve"> 2 weeks after the last eculizumab infusion, followed by maintenance doses</w:t>
            </w:r>
            <w:r>
              <w:rPr>
                <w:lang w:val="en-US"/>
              </w:rPr>
              <w:t xml:space="preserve"> </w:t>
            </w:r>
            <w:r w:rsidRPr="00B375FC">
              <w:rPr>
                <w:lang w:val="en-US"/>
              </w:rPr>
              <w:t>starting 2 weeks after loading dose administration</w:t>
            </w:r>
            <w:r w:rsidRPr="0404D8CE">
              <w:rPr>
                <w:lang w:val="en-US"/>
              </w:rPr>
              <w:t xml:space="preserve"> as per directions above.</w:t>
            </w:r>
          </w:p>
        </w:tc>
      </w:tr>
      <w:tr w:rsidR="00585D93" w14:paraId="65700622" w14:textId="77777777" w:rsidTr="00316EA4">
        <w:tc>
          <w:tcPr>
            <w:tcW w:w="784" w:type="pct"/>
            <w:vAlign w:val="center"/>
          </w:tcPr>
          <w:p w14:paraId="359B9CCE" w14:textId="77777777" w:rsidR="00585D93" w:rsidRDefault="00585D93" w:rsidP="00A4398A">
            <w:pPr>
              <w:pStyle w:val="PBACTabletext0"/>
              <w:keepLines w:val="0"/>
              <w:suppressLineNumbers w:val="0"/>
              <w:rPr>
                <w:lang w:val="en-US"/>
              </w:rPr>
            </w:pPr>
            <w:r>
              <w:rPr>
                <w:lang w:val="en-US"/>
              </w:rPr>
              <w:t>Comparator</w:t>
            </w:r>
          </w:p>
        </w:tc>
        <w:tc>
          <w:tcPr>
            <w:tcW w:w="4216" w:type="pct"/>
          </w:tcPr>
          <w:p w14:paraId="2DDB69C6" w14:textId="2A67B4F1" w:rsidR="00585D93" w:rsidRPr="00C16BF2" w:rsidRDefault="00585D93" w:rsidP="00A4398A">
            <w:pPr>
              <w:pStyle w:val="PBACTabletext0"/>
              <w:rPr>
                <w:lang w:val="en-US"/>
              </w:rPr>
            </w:pPr>
            <w:r w:rsidRPr="3A3AA75B">
              <w:rPr>
                <w:lang w:val="en-US"/>
              </w:rPr>
              <w:t xml:space="preserve">Eculizumab: </w:t>
            </w:r>
            <w:r w:rsidR="009D6BFD">
              <w:rPr>
                <w:lang w:val="en-US"/>
              </w:rPr>
              <w:t>t</w:t>
            </w:r>
            <w:r w:rsidRPr="3A3AA75B">
              <w:rPr>
                <w:lang w:val="en-US"/>
              </w:rPr>
              <w:t xml:space="preserve">he recommended dosing regimen in patients </w:t>
            </w:r>
            <w:r w:rsidRPr="00C16BF2">
              <w:rPr>
                <w:szCs w:val="20"/>
                <w:lang w:val="en-US"/>
              </w:rPr>
              <w:t xml:space="preserve">≥40 kg consists of an initial phase comprising 900 mg weekly intravenous infusions for 4 weeks followed by a maintenance phase of 1200 mg intravenous infusions every </w:t>
            </w:r>
            <w:r w:rsidR="009D6BFD">
              <w:rPr>
                <w:szCs w:val="20"/>
                <w:lang w:val="en-US"/>
              </w:rPr>
              <w:t>2 weeks</w:t>
            </w:r>
            <w:r w:rsidRPr="00C16BF2">
              <w:rPr>
                <w:szCs w:val="20"/>
                <w:lang w:val="en-US"/>
              </w:rPr>
              <w:t>, starting in the fifth week. For patients &lt;40 kg, the initial and maintenance phase doses are weight</w:t>
            </w:r>
            <w:r>
              <w:rPr>
                <w:szCs w:val="20"/>
                <w:lang w:val="en-US"/>
              </w:rPr>
              <w:t>-</w:t>
            </w:r>
            <w:r w:rsidRPr="00C16BF2">
              <w:rPr>
                <w:szCs w:val="20"/>
                <w:lang w:val="en-US"/>
              </w:rPr>
              <w:t>dependent, as outlined below.</w:t>
            </w:r>
          </w:p>
          <w:tbl>
            <w:tblPr>
              <w:tblStyle w:val="TableGrid"/>
              <w:tblW w:w="4949" w:type="pct"/>
              <w:tblLook w:val="04A0" w:firstRow="1" w:lastRow="0" w:firstColumn="1" w:lastColumn="0" w:noHBand="0" w:noVBand="1"/>
            </w:tblPr>
            <w:tblGrid>
              <w:gridCol w:w="1310"/>
              <w:gridCol w:w="2280"/>
              <w:gridCol w:w="3712"/>
            </w:tblGrid>
            <w:tr w:rsidR="00A4398A" w14:paraId="3CCC5007" w14:textId="77777777" w:rsidTr="00A4398A">
              <w:tc>
                <w:tcPr>
                  <w:tcW w:w="897" w:type="pct"/>
                  <w:vAlign w:val="center"/>
                </w:tcPr>
                <w:p w14:paraId="557589B9" w14:textId="77777777" w:rsidR="00585D93" w:rsidRPr="00D1060C" w:rsidRDefault="00585D93" w:rsidP="00A4398A">
                  <w:pPr>
                    <w:pStyle w:val="PBACTabletext0"/>
                    <w:keepLines w:val="0"/>
                    <w:suppressLineNumbers w:val="0"/>
                    <w:jc w:val="center"/>
                    <w:rPr>
                      <w:b/>
                      <w:bCs/>
                    </w:rPr>
                  </w:pPr>
                  <w:r w:rsidRPr="00D1060C">
                    <w:rPr>
                      <w:b/>
                      <w:bCs/>
                    </w:rPr>
                    <w:t>Body weight range</w:t>
                  </w:r>
                  <w:r>
                    <w:rPr>
                      <w:b/>
                      <w:bCs/>
                    </w:rPr>
                    <w:t xml:space="preserve"> (kg)</w:t>
                  </w:r>
                </w:p>
              </w:tc>
              <w:tc>
                <w:tcPr>
                  <w:tcW w:w="1561" w:type="pct"/>
                  <w:vAlign w:val="center"/>
                </w:tcPr>
                <w:p w14:paraId="19317246" w14:textId="77777777" w:rsidR="00585D93" w:rsidRPr="00D1060C" w:rsidRDefault="00585D93" w:rsidP="00A4398A">
                  <w:pPr>
                    <w:pStyle w:val="PBACTabletext0"/>
                    <w:keepLines w:val="0"/>
                    <w:suppressLineNumbers w:val="0"/>
                    <w:jc w:val="center"/>
                    <w:rPr>
                      <w:b/>
                      <w:bCs/>
                    </w:rPr>
                  </w:pPr>
                  <w:r w:rsidRPr="00D1060C">
                    <w:rPr>
                      <w:b/>
                      <w:bCs/>
                    </w:rPr>
                    <w:t>Initial phase</w:t>
                  </w:r>
                </w:p>
              </w:tc>
              <w:tc>
                <w:tcPr>
                  <w:tcW w:w="2542" w:type="pct"/>
                  <w:vAlign w:val="center"/>
                </w:tcPr>
                <w:p w14:paraId="18F9A8C5" w14:textId="77777777" w:rsidR="00585D93" w:rsidRPr="00D1060C" w:rsidRDefault="00585D93" w:rsidP="00A4398A">
                  <w:pPr>
                    <w:pStyle w:val="PBACTabletext0"/>
                    <w:keepLines w:val="0"/>
                    <w:suppressLineNumbers w:val="0"/>
                    <w:jc w:val="center"/>
                    <w:rPr>
                      <w:b/>
                      <w:bCs/>
                    </w:rPr>
                  </w:pPr>
                  <w:r w:rsidRPr="00D1060C">
                    <w:rPr>
                      <w:b/>
                      <w:bCs/>
                    </w:rPr>
                    <w:t xml:space="preserve">Maintenance phase </w:t>
                  </w:r>
                </w:p>
              </w:tc>
            </w:tr>
            <w:tr w:rsidR="00A4398A" w14:paraId="4DC9177A" w14:textId="77777777" w:rsidTr="00A4398A">
              <w:tc>
                <w:tcPr>
                  <w:tcW w:w="897" w:type="pct"/>
                  <w:vAlign w:val="center"/>
                </w:tcPr>
                <w:p w14:paraId="0526FACF" w14:textId="77777777" w:rsidR="00585D93" w:rsidRPr="00D1060C" w:rsidRDefault="00585D93" w:rsidP="00A4398A">
                  <w:pPr>
                    <w:pStyle w:val="PBACTabletext0"/>
                    <w:keepLines w:val="0"/>
                    <w:suppressLineNumbers w:val="0"/>
                    <w:jc w:val="center"/>
                  </w:pPr>
                  <w:r>
                    <w:t>5 to &lt;10</w:t>
                  </w:r>
                </w:p>
              </w:tc>
              <w:tc>
                <w:tcPr>
                  <w:tcW w:w="1561" w:type="pct"/>
                  <w:vAlign w:val="center"/>
                </w:tcPr>
                <w:p w14:paraId="437077A5" w14:textId="77777777" w:rsidR="00585D93" w:rsidRPr="00D1060C" w:rsidRDefault="00585D93" w:rsidP="00A4398A">
                  <w:pPr>
                    <w:pStyle w:val="PBACTabletext0"/>
                    <w:keepLines w:val="0"/>
                    <w:suppressLineNumbers w:val="0"/>
                    <w:jc w:val="center"/>
                  </w:pPr>
                  <w:r w:rsidRPr="00D1060C">
                    <w:t>300 mg week 1</w:t>
                  </w:r>
                </w:p>
              </w:tc>
              <w:tc>
                <w:tcPr>
                  <w:tcW w:w="2542" w:type="pct"/>
                  <w:vAlign w:val="center"/>
                </w:tcPr>
                <w:p w14:paraId="4CAAC15E" w14:textId="77777777" w:rsidR="00585D93" w:rsidRPr="00D1060C" w:rsidRDefault="00585D93" w:rsidP="00A4398A">
                  <w:pPr>
                    <w:pStyle w:val="PBACTabletext0"/>
                    <w:keepLines w:val="0"/>
                    <w:suppressLineNumbers w:val="0"/>
                    <w:jc w:val="center"/>
                  </w:pPr>
                  <w:r w:rsidRPr="00D1060C">
                    <w:t>300 mg week 2; then 300 mg every 3 weeks</w:t>
                  </w:r>
                </w:p>
              </w:tc>
            </w:tr>
            <w:tr w:rsidR="00A4398A" w14:paraId="7BC77BE8" w14:textId="77777777" w:rsidTr="00A4398A">
              <w:tc>
                <w:tcPr>
                  <w:tcW w:w="897" w:type="pct"/>
                  <w:vAlign w:val="center"/>
                </w:tcPr>
                <w:p w14:paraId="3696857A" w14:textId="77777777" w:rsidR="00585D93" w:rsidRPr="00D1060C" w:rsidRDefault="00585D93" w:rsidP="00A4398A">
                  <w:pPr>
                    <w:pStyle w:val="PBACTabletext0"/>
                    <w:keepLines w:val="0"/>
                    <w:suppressLineNumbers w:val="0"/>
                    <w:jc w:val="center"/>
                  </w:pPr>
                  <w:r w:rsidRPr="00D1060C">
                    <w:t>10 to &lt;20</w:t>
                  </w:r>
                </w:p>
              </w:tc>
              <w:tc>
                <w:tcPr>
                  <w:tcW w:w="1561" w:type="pct"/>
                  <w:vAlign w:val="center"/>
                </w:tcPr>
                <w:p w14:paraId="478B7136" w14:textId="77777777" w:rsidR="00585D93" w:rsidRPr="00D1060C" w:rsidRDefault="00585D93" w:rsidP="00A4398A">
                  <w:pPr>
                    <w:pStyle w:val="PBACTabletext0"/>
                    <w:keepLines w:val="0"/>
                    <w:suppressLineNumbers w:val="0"/>
                    <w:jc w:val="center"/>
                  </w:pPr>
                  <w:r w:rsidRPr="00D1060C">
                    <w:t>600 mg week 1</w:t>
                  </w:r>
                </w:p>
              </w:tc>
              <w:tc>
                <w:tcPr>
                  <w:tcW w:w="2542" w:type="pct"/>
                  <w:vAlign w:val="center"/>
                </w:tcPr>
                <w:p w14:paraId="4B8300EE" w14:textId="77777777" w:rsidR="00585D93" w:rsidRPr="00D1060C" w:rsidRDefault="00585D93" w:rsidP="00A4398A">
                  <w:pPr>
                    <w:pStyle w:val="PBACTabletext0"/>
                    <w:keepLines w:val="0"/>
                    <w:suppressLineNumbers w:val="0"/>
                    <w:jc w:val="center"/>
                  </w:pPr>
                  <w:r w:rsidRPr="00D1060C">
                    <w:t>300 mg week 2; then 300 mg every 2 weeks</w:t>
                  </w:r>
                </w:p>
              </w:tc>
            </w:tr>
            <w:tr w:rsidR="00A4398A" w14:paraId="52C0E704" w14:textId="77777777" w:rsidTr="00A4398A">
              <w:tc>
                <w:tcPr>
                  <w:tcW w:w="897" w:type="pct"/>
                  <w:vAlign w:val="center"/>
                </w:tcPr>
                <w:p w14:paraId="2EE95E21" w14:textId="77777777" w:rsidR="00585D93" w:rsidRPr="00D1060C" w:rsidRDefault="00585D93" w:rsidP="00A4398A">
                  <w:pPr>
                    <w:pStyle w:val="PBACTabletext0"/>
                    <w:keepLines w:val="0"/>
                    <w:suppressLineNumbers w:val="0"/>
                    <w:jc w:val="center"/>
                  </w:pPr>
                  <w:r w:rsidRPr="00D1060C">
                    <w:t>20 to &lt;30</w:t>
                  </w:r>
                </w:p>
              </w:tc>
              <w:tc>
                <w:tcPr>
                  <w:tcW w:w="1561" w:type="pct"/>
                  <w:vAlign w:val="center"/>
                </w:tcPr>
                <w:p w14:paraId="49CCF2BA" w14:textId="77777777" w:rsidR="00585D93" w:rsidRPr="00D1060C" w:rsidRDefault="00585D93" w:rsidP="00A4398A">
                  <w:pPr>
                    <w:pStyle w:val="PBACTabletext0"/>
                    <w:keepLines w:val="0"/>
                    <w:suppressLineNumbers w:val="0"/>
                    <w:jc w:val="center"/>
                  </w:pPr>
                  <w:r w:rsidRPr="00D1060C">
                    <w:t>600 mg weeks 1 and 2</w:t>
                  </w:r>
                </w:p>
              </w:tc>
              <w:tc>
                <w:tcPr>
                  <w:tcW w:w="2542" w:type="pct"/>
                  <w:vAlign w:val="center"/>
                </w:tcPr>
                <w:p w14:paraId="5688A222" w14:textId="77777777" w:rsidR="00585D93" w:rsidRPr="00D1060C" w:rsidRDefault="00585D93" w:rsidP="00A4398A">
                  <w:pPr>
                    <w:pStyle w:val="PBACTabletext0"/>
                    <w:keepLines w:val="0"/>
                    <w:suppressLineNumbers w:val="0"/>
                    <w:jc w:val="center"/>
                  </w:pPr>
                  <w:r w:rsidRPr="00D1060C">
                    <w:t>600 mg week 3; then 600 mg every 2 weeks</w:t>
                  </w:r>
                </w:p>
              </w:tc>
            </w:tr>
            <w:tr w:rsidR="00A4398A" w14:paraId="3D6FE7CD" w14:textId="77777777" w:rsidTr="00A4398A">
              <w:tc>
                <w:tcPr>
                  <w:tcW w:w="897" w:type="pct"/>
                  <w:vAlign w:val="center"/>
                </w:tcPr>
                <w:p w14:paraId="4D6B572C" w14:textId="77777777" w:rsidR="00585D93" w:rsidRPr="00D1060C" w:rsidRDefault="00585D93" w:rsidP="00A4398A">
                  <w:pPr>
                    <w:pStyle w:val="PBACTabletext0"/>
                    <w:keepLines w:val="0"/>
                    <w:suppressLineNumbers w:val="0"/>
                    <w:jc w:val="center"/>
                  </w:pPr>
                  <w:r w:rsidRPr="00D1060C">
                    <w:t>30 to &lt;40</w:t>
                  </w:r>
                </w:p>
              </w:tc>
              <w:tc>
                <w:tcPr>
                  <w:tcW w:w="1561" w:type="pct"/>
                  <w:vAlign w:val="center"/>
                </w:tcPr>
                <w:p w14:paraId="29FC2135" w14:textId="77777777" w:rsidR="00585D93" w:rsidRPr="00D1060C" w:rsidRDefault="00585D93" w:rsidP="00A4398A">
                  <w:pPr>
                    <w:pStyle w:val="PBACTabletext0"/>
                    <w:keepLines w:val="0"/>
                    <w:suppressLineNumbers w:val="0"/>
                    <w:jc w:val="center"/>
                  </w:pPr>
                  <w:r w:rsidRPr="00D1060C">
                    <w:t>600 mg weeks 1 and 2</w:t>
                  </w:r>
                </w:p>
              </w:tc>
              <w:tc>
                <w:tcPr>
                  <w:tcW w:w="2542" w:type="pct"/>
                  <w:vAlign w:val="center"/>
                </w:tcPr>
                <w:p w14:paraId="4892A926" w14:textId="77777777" w:rsidR="00585D93" w:rsidRPr="00D1060C" w:rsidRDefault="00585D93" w:rsidP="00A4398A">
                  <w:pPr>
                    <w:pStyle w:val="PBACTabletext0"/>
                    <w:keepLines w:val="0"/>
                    <w:suppressLineNumbers w:val="0"/>
                    <w:jc w:val="center"/>
                  </w:pPr>
                  <w:r w:rsidRPr="00D1060C">
                    <w:t>900 mg week 3; then 900 mg every 2 weeks</w:t>
                  </w:r>
                </w:p>
              </w:tc>
            </w:tr>
            <w:tr w:rsidR="00A4398A" w14:paraId="2386E2DE" w14:textId="77777777" w:rsidTr="00A4398A">
              <w:tc>
                <w:tcPr>
                  <w:tcW w:w="897" w:type="pct"/>
                  <w:vAlign w:val="center"/>
                </w:tcPr>
                <w:p w14:paraId="091C8AE1" w14:textId="77777777" w:rsidR="00585D93" w:rsidRPr="00D1060C" w:rsidRDefault="00585D93" w:rsidP="00A4398A">
                  <w:pPr>
                    <w:pStyle w:val="PBACTabletext0"/>
                    <w:keepLines w:val="0"/>
                    <w:suppressLineNumbers w:val="0"/>
                    <w:jc w:val="center"/>
                  </w:pPr>
                  <w:r>
                    <w:t>≥40</w:t>
                  </w:r>
                </w:p>
              </w:tc>
              <w:tc>
                <w:tcPr>
                  <w:tcW w:w="1561" w:type="pct"/>
                  <w:vAlign w:val="center"/>
                </w:tcPr>
                <w:p w14:paraId="27088054" w14:textId="77777777" w:rsidR="00585D93" w:rsidRPr="00D1060C" w:rsidRDefault="00585D93" w:rsidP="00A4398A">
                  <w:pPr>
                    <w:pStyle w:val="PBACTabletext0"/>
                    <w:keepLines w:val="0"/>
                    <w:suppressLineNumbers w:val="0"/>
                    <w:jc w:val="center"/>
                  </w:pPr>
                  <w:r w:rsidRPr="00D1060C">
                    <w:t>900 mg weeks 1, 2, 3 and 4</w:t>
                  </w:r>
                </w:p>
              </w:tc>
              <w:tc>
                <w:tcPr>
                  <w:tcW w:w="2542" w:type="pct"/>
                  <w:vAlign w:val="center"/>
                </w:tcPr>
                <w:p w14:paraId="0C2FDEE6" w14:textId="77777777" w:rsidR="00585D93" w:rsidRPr="00D1060C" w:rsidRDefault="00585D93" w:rsidP="00A4398A">
                  <w:pPr>
                    <w:pStyle w:val="PBACTabletext0"/>
                    <w:keepLines w:val="0"/>
                    <w:suppressLineNumbers w:val="0"/>
                    <w:jc w:val="center"/>
                  </w:pPr>
                  <w:r w:rsidRPr="00D1060C">
                    <w:t>1200 mg week 5; then 1200 mg every 2 weeks</w:t>
                  </w:r>
                </w:p>
              </w:tc>
            </w:tr>
          </w:tbl>
          <w:p w14:paraId="08BA12CD" w14:textId="77777777" w:rsidR="00585D93" w:rsidRPr="00D1060C" w:rsidRDefault="00585D93" w:rsidP="00A4398A">
            <w:pPr>
              <w:pStyle w:val="PBACTabletext0"/>
              <w:keepLines w:val="0"/>
              <w:suppressLineNumbers w:val="0"/>
              <w:rPr>
                <w:lang w:val="en-US"/>
              </w:rPr>
            </w:pPr>
          </w:p>
        </w:tc>
      </w:tr>
      <w:tr w:rsidR="00585D93" w14:paraId="2D2F8D25" w14:textId="77777777" w:rsidTr="00316EA4">
        <w:tc>
          <w:tcPr>
            <w:tcW w:w="784" w:type="pct"/>
            <w:vAlign w:val="center"/>
          </w:tcPr>
          <w:p w14:paraId="15A82105" w14:textId="77777777" w:rsidR="00585D93" w:rsidRDefault="00585D93" w:rsidP="00A4398A">
            <w:pPr>
              <w:pStyle w:val="PBACTabletext0"/>
              <w:keepLines w:val="0"/>
              <w:suppressLineNumbers w:val="0"/>
              <w:rPr>
                <w:lang w:val="en-US"/>
              </w:rPr>
            </w:pPr>
            <w:r>
              <w:rPr>
                <w:lang w:val="en-US"/>
              </w:rPr>
              <w:t>Outcomes</w:t>
            </w:r>
          </w:p>
        </w:tc>
        <w:tc>
          <w:tcPr>
            <w:tcW w:w="4216" w:type="pct"/>
          </w:tcPr>
          <w:p w14:paraId="6E07680C" w14:textId="77777777" w:rsidR="00585D93" w:rsidRDefault="00585D93" w:rsidP="00A4398A">
            <w:pPr>
              <w:pStyle w:val="PBACTabletext0"/>
              <w:rPr>
                <w:lang w:val="en-US"/>
              </w:rPr>
            </w:pPr>
            <w:r w:rsidRPr="5F8B3F2B">
              <w:rPr>
                <w:lang w:val="en-US"/>
              </w:rPr>
              <w:t>Complete TMA response (primary endpoint); time to complete TMA response; haematological normalisation (platelets, LDH); dialysis requirement status; change in CKD status; change in eGFR; quality of life (FACIT-Fatigue score and EQ-5D), safety</w:t>
            </w:r>
          </w:p>
        </w:tc>
      </w:tr>
      <w:tr w:rsidR="00585D93" w14:paraId="50589E57" w14:textId="77777777" w:rsidTr="00316EA4">
        <w:tc>
          <w:tcPr>
            <w:tcW w:w="784" w:type="pct"/>
            <w:vAlign w:val="center"/>
          </w:tcPr>
          <w:p w14:paraId="144696CA" w14:textId="77777777" w:rsidR="00585D93" w:rsidRDefault="00585D93" w:rsidP="00A4398A">
            <w:pPr>
              <w:pStyle w:val="PBACTabletext0"/>
              <w:keepLines w:val="0"/>
              <w:suppressLineNumbers w:val="0"/>
              <w:rPr>
                <w:lang w:val="en-US"/>
              </w:rPr>
            </w:pPr>
            <w:r>
              <w:rPr>
                <w:lang w:val="en-US"/>
              </w:rPr>
              <w:t xml:space="preserve">Clinical claim </w:t>
            </w:r>
          </w:p>
        </w:tc>
        <w:tc>
          <w:tcPr>
            <w:tcW w:w="4216" w:type="pct"/>
          </w:tcPr>
          <w:p w14:paraId="73138EC2" w14:textId="2B5FB4C7" w:rsidR="00585D93" w:rsidRDefault="00585D93" w:rsidP="00A4398A">
            <w:pPr>
              <w:pStyle w:val="PBACTabletext0"/>
              <w:keepLines w:val="0"/>
              <w:suppressLineNumbers w:val="0"/>
              <w:rPr>
                <w:lang w:val="en-US"/>
              </w:rPr>
            </w:pPr>
            <w:r w:rsidRPr="5F8B3F2B">
              <w:rPr>
                <w:lang w:val="en-US"/>
              </w:rPr>
              <w:t>Ravulizumab is noninferior in terms of efficacy</w:t>
            </w:r>
            <w:r>
              <w:rPr>
                <w:lang w:val="en-US"/>
              </w:rPr>
              <w:t xml:space="preserve"> and </w:t>
            </w:r>
            <w:r w:rsidRPr="5F8B3F2B">
              <w:rPr>
                <w:lang w:val="en-US"/>
              </w:rPr>
              <w:t>safety</w:t>
            </w:r>
            <w:r>
              <w:t xml:space="preserve"> and has a </w:t>
            </w:r>
            <w:r w:rsidRPr="5F8B3F2B">
              <w:rPr>
                <w:lang w:val="en-US"/>
              </w:rPr>
              <w:t>reduced treatment burden relative to eculizumab</w:t>
            </w:r>
            <w:r>
              <w:rPr>
                <w:lang w:val="en-US"/>
              </w:rPr>
              <w:t>.</w:t>
            </w:r>
            <w:r w:rsidRPr="5F8B3F2B">
              <w:rPr>
                <w:lang w:val="en-US"/>
              </w:rPr>
              <w:t xml:space="preserve"> </w:t>
            </w:r>
          </w:p>
        </w:tc>
      </w:tr>
    </w:tbl>
    <w:p w14:paraId="4845A98B" w14:textId="77777777" w:rsidR="00F958B0" w:rsidRDefault="00585D93" w:rsidP="00316EA4">
      <w:pPr>
        <w:pStyle w:val="FooterTableFigure"/>
        <w:rPr>
          <w:lang w:val="en-US"/>
        </w:rPr>
      </w:pPr>
      <w:r>
        <w:rPr>
          <w:lang w:val="en-US"/>
        </w:rPr>
        <w:t xml:space="preserve">Source: Table 1, p2 of the submission. </w:t>
      </w:r>
    </w:p>
    <w:p w14:paraId="4010329E" w14:textId="74100CEF" w:rsidR="00585D93" w:rsidRPr="00585D93" w:rsidRDefault="00585D93" w:rsidP="00316EA4">
      <w:pPr>
        <w:pStyle w:val="FooterTableFigure"/>
        <w:rPr>
          <w:lang w:val="en-US"/>
        </w:rPr>
      </w:pPr>
      <w:r w:rsidRPr="00184633">
        <w:rPr>
          <w:lang w:val="en-US"/>
        </w:rPr>
        <w:t>aHUS</w:t>
      </w:r>
      <w:r w:rsidR="00F958B0">
        <w:rPr>
          <w:lang w:val="en-US"/>
        </w:rPr>
        <w:t xml:space="preserve"> = </w:t>
      </w:r>
      <w:r w:rsidRPr="00184633">
        <w:rPr>
          <w:lang w:val="en-US"/>
        </w:rPr>
        <w:t xml:space="preserve">atypical haemolytic </w:t>
      </w:r>
      <w:r w:rsidR="00E62657">
        <w:rPr>
          <w:lang w:val="en-US"/>
        </w:rPr>
        <w:t>uraemic</w:t>
      </w:r>
      <w:r w:rsidRPr="00184633">
        <w:rPr>
          <w:lang w:val="en-US"/>
        </w:rPr>
        <w:t xml:space="preserve"> syndrome</w:t>
      </w:r>
      <w:r>
        <w:rPr>
          <w:lang w:val="en-US"/>
        </w:rPr>
        <w:t xml:space="preserve">; </w:t>
      </w:r>
      <w:r w:rsidRPr="00184633">
        <w:rPr>
          <w:lang w:val="en-US"/>
        </w:rPr>
        <w:t>CKD</w:t>
      </w:r>
      <w:r w:rsidR="00F35503">
        <w:rPr>
          <w:lang w:val="en-US"/>
        </w:rPr>
        <w:t xml:space="preserve"> = c</w:t>
      </w:r>
      <w:r w:rsidRPr="00184633">
        <w:rPr>
          <w:lang w:val="en-US"/>
        </w:rPr>
        <w:t xml:space="preserve">hronic </w:t>
      </w:r>
      <w:r w:rsidR="00F35503">
        <w:rPr>
          <w:lang w:val="en-US"/>
        </w:rPr>
        <w:t>k</w:t>
      </w:r>
      <w:r w:rsidRPr="00184633">
        <w:rPr>
          <w:lang w:val="en-US"/>
        </w:rPr>
        <w:t xml:space="preserve">idney </w:t>
      </w:r>
      <w:r w:rsidR="00F35503">
        <w:rPr>
          <w:lang w:val="en-US"/>
        </w:rPr>
        <w:t>d</w:t>
      </w:r>
      <w:r w:rsidRPr="00184633">
        <w:rPr>
          <w:lang w:val="en-US"/>
        </w:rPr>
        <w:t>isease</w:t>
      </w:r>
      <w:r>
        <w:rPr>
          <w:lang w:val="en-US"/>
        </w:rPr>
        <w:t xml:space="preserve">; </w:t>
      </w:r>
      <w:r w:rsidRPr="00184633">
        <w:rPr>
          <w:lang w:val="en-US"/>
        </w:rPr>
        <w:t>eGFR</w:t>
      </w:r>
      <w:r w:rsidR="00F35503">
        <w:rPr>
          <w:lang w:val="en-US"/>
        </w:rPr>
        <w:t xml:space="preserve"> = </w:t>
      </w:r>
      <w:r w:rsidRPr="00184633">
        <w:rPr>
          <w:lang w:val="en-US"/>
        </w:rPr>
        <w:t>estimated glomerular filtration rate</w:t>
      </w:r>
      <w:r>
        <w:rPr>
          <w:lang w:val="en-US"/>
        </w:rPr>
        <w:t xml:space="preserve">; </w:t>
      </w:r>
      <w:r w:rsidRPr="00184633">
        <w:rPr>
          <w:lang w:val="en-US"/>
        </w:rPr>
        <w:t>FACIT</w:t>
      </w:r>
      <w:r w:rsidR="00F35503">
        <w:rPr>
          <w:lang w:val="en-US"/>
        </w:rPr>
        <w:t xml:space="preserve"> = </w:t>
      </w:r>
      <w:r w:rsidRPr="00184633">
        <w:rPr>
          <w:lang w:val="en-US"/>
        </w:rPr>
        <w:t>Functional Assessment of Chronic Illness Therapy</w:t>
      </w:r>
      <w:r>
        <w:rPr>
          <w:lang w:val="en-US"/>
        </w:rPr>
        <w:t xml:space="preserve">; </w:t>
      </w:r>
      <w:r w:rsidRPr="00184633">
        <w:rPr>
          <w:lang w:val="en-US"/>
        </w:rPr>
        <w:t>LDH</w:t>
      </w:r>
      <w:r w:rsidR="00F35503">
        <w:rPr>
          <w:lang w:val="en-US"/>
        </w:rPr>
        <w:t xml:space="preserve"> = </w:t>
      </w:r>
      <w:r w:rsidRPr="00184633">
        <w:rPr>
          <w:lang w:val="en-US"/>
        </w:rPr>
        <w:t>lactate dehydrogenase</w:t>
      </w:r>
      <w:r>
        <w:rPr>
          <w:lang w:val="en-US"/>
        </w:rPr>
        <w:t xml:space="preserve">; </w:t>
      </w:r>
      <w:r w:rsidRPr="00184633">
        <w:rPr>
          <w:lang w:val="en-US"/>
        </w:rPr>
        <w:t>TMA</w:t>
      </w:r>
      <w:r w:rsidR="00F35503">
        <w:rPr>
          <w:lang w:val="en-US"/>
        </w:rPr>
        <w:t xml:space="preserve"> = </w:t>
      </w:r>
      <w:r w:rsidRPr="00184633">
        <w:rPr>
          <w:lang w:val="en-US"/>
        </w:rPr>
        <w:t>thrombotic microangiopathy</w:t>
      </w:r>
    </w:p>
    <w:p w14:paraId="6B4AB6C2" w14:textId="7F01D731" w:rsidR="005C25FF" w:rsidRPr="00407F2D" w:rsidRDefault="005C25FF" w:rsidP="004A6040">
      <w:pPr>
        <w:pStyle w:val="2-SectionHeading"/>
      </w:pPr>
      <w:bookmarkStart w:id="3" w:name="_Toc124929653"/>
      <w:r w:rsidRPr="00407F2D">
        <w:t>Background</w:t>
      </w:r>
      <w:bookmarkEnd w:id="3"/>
    </w:p>
    <w:p w14:paraId="2C521D6D" w14:textId="78CF03EE" w:rsidR="005C25FF" w:rsidRPr="003A48D2" w:rsidRDefault="005C25FF" w:rsidP="003A48D2">
      <w:pPr>
        <w:pStyle w:val="4-SubsectionHeading"/>
      </w:pPr>
      <w:bookmarkStart w:id="4" w:name="_Toc22897638"/>
      <w:bookmarkStart w:id="5" w:name="_Toc124929654"/>
      <w:r w:rsidRPr="003A48D2">
        <w:t>Registration status</w:t>
      </w:r>
      <w:bookmarkEnd w:id="4"/>
      <w:bookmarkEnd w:id="5"/>
    </w:p>
    <w:p w14:paraId="5687ECCD" w14:textId="73030086" w:rsidR="00CF3A1B" w:rsidRPr="00CF3A1B" w:rsidRDefault="0044412E" w:rsidP="00B306AF">
      <w:pPr>
        <w:pStyle w:val="3-BodyText"/>
      </w:pPr>
      <w:r>
        <w:t>Ravulizumab</w:t>
      </w:r>
      <w:r w:rsidR="005C25FF" w:rsidRPr="004E18E9">
        <w:t xml:space="preserve"> was TGA registered on </w:t>
      </w:r>
      <w:r>
        <w:t xml:space="preserve">16 August 2022 </w:t>
      </w:r>
      <w:r w:rsidR="005C25FF" w:rsidRPr="004E18E9">
        <w:t xml:space="preserve">for </w:t>
      </w:r>
      <w:r>
        <w:t>atypical haemolytic uraemic syndrome (aHUS). It is also registered for the treatment of paroxysmal nocturnal haemaglobinuria</w:t>
      </w:r>
      <w:r w:rsidR="00766ECE">
        <w:t xml:space="preserve"> (PNH)</w:t>
      </w:r>
      <w:r>
        <w:t>.</w:t>
      </w:r>
    </w:p>
    <w:p w14:paraId="3E2A6EAB" w14:textId="7508E31E" w:rsidR="005C25FF" w:rsidRPr="003A48D2" w:rsidRDefault="005C25FF" w:rsidP="003A48D2">
      <w:pPr>
        <w:pStyle w:val="4-SubsectionHeading"/>
      </w:pPr>
      <w:bookmarkStart w:id="6" w:name="_Toc22897639"/>
      <w:bookmarkStart w:id="7" w:name="_Toc124929655"/>
      <w:r w:rsidRPr="003A48D2">
        <w:t>Previous PBAC consideration</w:t>
      </w:r>
      <w:bookmarkEnd w:id="6"/>
      <w:bookmarkEnd w:id="7"/>
    </w:p>
    <w:p w14:paraId="70FDFE44" w14:textId="633132ED" w:rsidR="000E4CBE" w:rsidRPr="000E4CBE" w:rsidRDefault="000E4CBE" w:rsidP="00B306AF">
      <w:pPr>
        <w:pStyle w:val="3-BodyText"/>
      </w:pPr>
      <w:r>
        <w:t xml:space="preserve">Ravulizumab </w:t>
      </w:r>
      <w:r w:rsidR="00890B6B">
        <w:t>wa</w:t>
      </w:r>
      <w:r>
        <w:t xml:space="preserve">s listed on the PBS for the treatment of </w:t>
      </w:r>
      <w:r w:rsidRPr="009219F4">
        <w:rPr>
          <w:lang w:val="en-US"/>
        </w:rPr>
        <w:t>PNH</w:t>
      </w:r>
      <w:r>
        <w:rPr>
          <w:lang w:val="en-US"/>
        </w:rPr>
        <w:t xml:space="preserve"> </w:t>
      </w:r>
      <w:r w:rsidR="002B0C92">
        <w:rPr>
          <w:lang w:val="en-US"/>
        </w:rPr>
        <w:t>following</w:t>
      </w:r>
      <w:r>
        <w:rPr>
          <w:lang w:val="en-US"/>
        </w:rPr>
        <w:t xml:space="preserve"> the PBAC recommendation in July 2021. </w:t>
      </w:r>
    </w:p>
    <w:p w14:paraId="20337032" w14:textId="3631E400" w:rsidR="000E4CBE" w:rsidRPr="003A48D2" w:rsidRDefault="000E4CBE" w:rsidP="00B306AF">
      <w:pPr>
        <w:pStyle w:val="3-BodyText"/>
        <w:rPr>
          <w:iCs/>
        </w:rPr>
      </w:pPr>
      <w:r>
        <w:rPr>
          <w:lang w:val="en-US"/>
        </w:rPr>
        <w:lastRenderedPageBreak/>
        <w:t xml:space="preserve">The history of the </w:t>
      </w:r>
      <w:r w:rsidR="002B0C92">
        <w:rPr>
          <w:lang w:val="en-US"/>
        </w:rPr>
        <w:t>PBAC</w:t>
      </w:r>
      <w:r w:rsidR="00541B82">
        <w:rPr>
          <w:lang w:val="en-US"/>
        </w:rPr>
        <w:t>’s previous considerations</w:t>
      </w:r>
      <w:r w:rsidR="002B0C92">
        <w:rPr>
          <w:lang w:val="en-US"/>
        </w:rPr>
        <w:t xml:space="preserve"> of eculizumab </w:t>
      </w:r>
      <w:r w:rsidR="00585D93">
        <w:rPr>
          <w:lang w:val="en-US"/>
        </w:rPr>
        <w:t xml:space="preserve">for aHUS </w:t>
      </w:r>
      <w:r w:rsidR="002B0C92">
        <w:rPr>
          <w:lang w:val="en-US"/>
        </w:rPr>
        <w:t xml:space="preserve">is summarised in </w:t>
      </w:r>
      <w:r w:rsidR="008A2CE0">
        <w:rPr>
          <w:lang w:val="en-US"/>
        </w:rPr>
        <w:fldChar w:fldCharType="begin" w:fldLock="1"/>
      </w:r>
      <w:r w:rsidR="008A2CE0">
        <w:rPr>
          <w:lang w:val="en-US"/>
        </w:rPr>
        <w:instrText xml:space="preserve"> REF _Ref118798308 \h </w:instrText>
      </w:r>
      <w:r w:rsidR="008A2CE0">
        <w:rPr>
          <w:lang w:val="en-US"/>
        </w:rPr>
      </w:r>
      <w:r w:rsidR="008A2CE0">
        <w:rPr>
          <w:lang w:val="en-US"/>
        </w:rPr>
        <w:fldChar w:fldCharType="separate"/>
      </w:r>
      <w:r w:rsidR="00916EDA">
        <w:t xml:space="preserve">Table </w:t>
      </w:r>
      <w:r w:rsidR="00916EDA">
        <w:rPr>
          <w:noProof/>
        </w:rPr>
        <w:t>2</w:t>
      </w:r>
      <w:r w:rsidR="008A2CE0">
        <w:rPr>
          <w:lang w:val="en-US"/>
        </w:rPr>
        <w:fldChar w:fldCharType="end"/>
      </w:r>
      <w:r w:rsidR="008A2CE0">
        <w:rPr>
          <w:lang w:val="en-US"/>
        </w:rPr>
        <w:t>.</w:t>
      </w:r>
      <w:r w:rsidR="0028491F">
        <w:rPr>
          <w:lang w:val="en-US"/>
        </w:rPr>
        <w:t xml:space="preserve"> </w:t>
      </w:r>
      <w:r w:rsidR="0028491F" w:rsidRPr="00D64D6F">
        <w:t>The DUSC ha</w:t>
      </w:r>
      <w:r w:rsidR="004729BE" w:rsidRPr="00D64D6F">
        <w:t>d</w:t>
      </w:r>
      <w:r w:rsidR="0028491F" w:rsidRPr="00D64D6F">
        <w:t xml:space="preserve"> reviewed the use of eculizumab for aHUS </w:t>
      </w:r>
      <w:r w:rsidR="005E1A72">
        <w:t>3</w:t>
      </w:r>
      <w:r w:rsidR="005E1A72" w:rsidRPr="00D64D6F">
        <w:t xml:space="preserve"> </w:t>
      </w:r>
      <w:r w:rsidR="0028491F" w:rsidRPr="00D64D6F">
        <w:t>times and these reviews are included in the table.</w:t>
      </w:r>
      <w:r w:rsidR="0028491F" w:rsidRPr="003A48D2">
        <w:rPr>
          <w:iCs/>
        </w:rPr>
        <w:t xml:space="preserve"> </w:t>
      </w:r>
    </w:p>
    <w:p w14:paraId="2FA34C84" w14:textId="1BAE5CD6" w:rsidR="000E4CBE" w:rsidRDefault="008A2CE0" w:rsidP="008A2CE0">
      <w:pPr>
        <w:pStyle w:val="Caption"/>
        <w:rPr>
          <w:rFonts w:eastAsia="Arial Narrow" w:cs="Arial Narrow"/>
          <w:szCs w:val="22"/>
        </w:rPr>
      </w:pPr>
      <w:bookmarkStart w:id="8" w:name="_Ref118798308"/>
      <w:r>
        <w:t xml:space="preserve">Table </w:t>
      </w:r>
      <w:r>
        <w:fldChar w:fldCharType="begin" w:fldLock="1"/>
      </w:r>
      <w:r>
        <w:instrText>SEQ Table \* ARABIC</w:instrText>
      </w:r>
      <w:r>
        <w:fldChar w:fldCharType="separate"/>
      </w:r>
      <w:r w:rsidR="00916EDA">
        <w:rPr>
          <w:noProof/>
        </w:rPr>
        <w:t>2</w:t>
      </w:r>
      <w:r>
        <w:fldChar w:fldCharType="end"/>
      </w:r>
      <w:bookmarkEnd w:id="8"/>
      <w:r>
        <w:t xml:space="preserve">: </w:t>
      </w:r>
      <w:r w:rsidR="000E4CBE" w:rsidRPr="321690D9">
        <w:rPr>
          <w:rFonts w:eastAsia="Arial Narrow" w:cs="Arial Narrow"/>
          <w:szCs w:val="22"/>
        </w:rPr>
        <w:t>PBAC submission history – eculizumab for aHUS</w:t>
      </w:r>
    </w:p>
    <w:tbl>
      <w:tblPr>
        <w:tblStyle w:val="TableGrid"/>
        <w:tblW w:w="9209" w:type="dxa"/>
        <w:tblLayout w:type="fixed"/>
        <w:tblLook w:val="04A0" w:firstRow="1" w:lastRow="0" w:firstColumn="1" w:lastColumn="0" w:noHBand="0" w:noVBand="1"/>
      </w:tblPr>
      <w:tblGrid>
        <w:gridCol w:w="3680"/>
        <w:gridCol w:w="5529"/>
      </w:tblGrid>
      <w:tr w:rsidR="000B0164" w:rsidRPr="00D64D6F" w14:paraId="25A06885" w14:textId="77777777" w:rsidTr="000B0164">
        <w:tc>
          <w:tcPr>
            <w:tcW w:w="3680" w:type="dxa"/>
          </w:tcPr>
          <w:p w14:paraId="30AA5323" w14:textId="0BCF6B76" w:rsidR="000B0164" w:rsidRPr="00D64D6F" w:rsidRDefault="003A3922" w:rsidP="00AA44E2">
            <w:pPr>
              <w:pStyle w:val="TableText0"/>
              <w:rPr>
                <w:b/>
                <w:bCs w:val="0"/>
              </w:rPr>
            </w:pPr>
            <w:r>
              <w:rPr>
                <w:b/>
                <w:bCs w:val="0"/>
              </w:rPr>
              <w:t>Purpose</w:t>
            </w:r>
          </w:p>
        </w:tc>
        <w:tc>
          <w:tcPr>
            <w:tcW w:w="5529" w:type="dxa"/>
          </w:tcPr>
          <w:p w14:paraId="11444075" w14:textId="77777777" w:rsidR="000B0164" w:rsidRPr="00D64D6F" w:rsidRDefault="000B0164" w:rsidP="00AA44E2">
            <w:pPr>
              <w:pStyle w:val="TableText0"/>
              <w:rPr>
                <w:b/>
                <w:bCs w:val="0"/>
              </w:rPr>
            </w:pPr>
            <w:r w:rsidRPr="00D64D6F">
              <w:rPr>
                <w:b/>
                <w:bCs w:val="0"/>
              </w:rPr>
              <w:t>PBAC meeting date</w:t>
            </w:r>
          </w:p>
        </w:tc>
      </w:tr>
      <w:tr w:rsidR="000B0164" w:rsidRPr="00D64D6F" w14:paraId="78042C5E" w14:textId="77777777" w:rsidTr="000B0164">
        <w:tc>
          <w:tcPr>
            <w:tcW w:w="3680" w:type="dxa"/>
            <w:vMerge w:val="restart"/>
          </w:tcPr>
          <w:p w14:paraId="15D673EA" w14:textId="14775CF7" w:rsidR="000B0164" w:rsidRPr="00D64D6F" w:rsidRDefault="000B0164" w:rsidP="00AA44E2">
            <w:pPr>
              <w:pStyle w:val="TableText0"/>
            </w:pPr>
            <w:r w:rsidRPr="00D64D6F">
              <w:t>aHUS</w:t>
            </w:r>
            <w:r w:rsidR="00884BEB" w:rsidRPr="00D64D6F">
              <w:t>;</w:t>
            </w:r>
            <w:r w:rsidRPr="00D64D6F">
              <w:t xml:space="preserve"> basis of current PBS restriction</w:t>
            </w:r>
          </w:p>
        </w:tc>
        <w:tc>
          <w:tcPr>
            <w:tcW w:w="5529" w:type="dxa"/>
          </w:tcPr>
          <w:p w14:paraId="5F2987F6" w14:textId="7B8A568A" w:rsidR="000B0164" w:rsidRPr="005E1A72" w:rsidRDefault="000B0164" w:rsidP="00AA44E2">
            <w:pPr>
              <w:pStyle w:val="TableText0"/>
            </w:pPr>
            <w:r w:rsidRPr="005E1A72">
              <w:t xml:space="preserve">March 2013 – </w:t>
            </w:r>
            <w:r w:rsidR="005E1A72" w:rsidRPr="005E1A72">
              <w:t xml:space="preserve">not recommended </w:t>
            </w:r>
            <w:r w:rsidRPr="005E1A72">
              <w:t>due to uncertain clinical effectiveness and unacceptable cost effectiveness (Section 12, para 6</w:t>
            </w:r>
            <w:r w:rsidR="00662E1A" w:rsidRPr="005E1A72">
              <w:t>, PSD March 2013</w:t>
            </w:r>
            <w:r w:rsidRPr="005E1A72">
              <w:t>)</w:t>
            </w:r>
          </w:p>
        </w:tc>
      </w:tr>
      <w:tr w:rsidR="000B0164" w:rsidRPr="00D64D6F" w14:paraId="551989FC" w14:textId="77777777" w:rsidTr="000B0164">
        <w:tc>
          <w:tcPr>
            <w:tcW w:w="3680" w:type="dxa"/>
            <w:vMerge/>
          </w:tcPr>
          <w:p w14:paraId="53271B7E" w14:textId="77777777" w:rsidR="000B0164" w:rsidRPr="00D64D6F" w:rsidRDefault="000B0164" w:rsidP="00AA44E2">
            <w:pPr>
              <w:pStyle w:val="TableText0"/>
            </w:pPr>
          </w:p>
        </w:tc>
        <w:tc>
          <w:tcPr>
            <w:tcW w:w="5529" w:type="dxa"/>
          </w:tcPr>
          <w:p w14:paraId="1E5688AB" w14:textId="5CE1AA15" w:rsidR="000B0164" w:rsidRPr="005E1A72" w:rsidRDefault="000B0164" w:rsidP="00AA44E2">
            <w:pPr>
              <w:pStyle w:val="TableText0"/>
            </w:pPr>
            <w:r w:rsidRPr="005E1A72">
              <w:t>March 2014 – recommended with establishment of a managed entry scheme (Section 11</w:t>
            </w:r>
            <w:r w:rsidR="00662E1A" w:rsidRPr="005E1A72">
              <w:t>, PSD, March 2014)</w:t>
            </w:r>
          </w:p>
        </w:tc>
      </w:tr>
      <w:tr w:rsidR="000B0164" w:rsidRPr="00D64D6F" w14:paraId="15A7EDC4" w14:textId="77777777" w:rsidTr="000B0164">
        <w:tc>
          <w:tcPr>
            <w:tcW w:w="3680" w:type="dxa"/>
            <w:vMerge/>
          </w:tcPr>
          <w:p w14:paraId="4FCF7378" w14:textId="77777777" w:rsidR="000B0164" w:rsidRPr="00D64D6F" w:rsidRDefault="000B0164" w:rsidP="00AA44E2">
            <w:pPr>
              <w:pStyle w:val="TableText0"/>
            </w:pPr>
          </w:p>
        </w:tc>
        <w:tc>
          <w:tcPr>
            <w:tcW w:w="5529" w:type="dxa"/>
          </w:tcPr>
          <w:p w14:paraId="05683CB6" w14:textId="12922593" w:rsidR="000B0164" w:rsidRPr="005E1A72" w:rsidRDefault="000B0164" w:rsidP="00AA44E2">
            <w:pPr>
              <w:pStyle w:val="TableText0"/>
            </w:pPr>
            <w:r w:rsidRPr="005E1A72">
              <w:t>August 2014</w:t>
            </w:r>
            <w:r w:rsidR="00884BEB" w:rsidRPr="005E1A72">
              <w:t xml:space="preserve"> </w:t>
            </w:r>
            <w:r w:rsidR="005E1A72" w:rsidRPr="005E1A72">
              <w:t>–</w:t>
            </w:r>
            <w:r w:rsidRPr="005E1A72">
              <w:t xml:space="preserve"> out</w:t>
            </w:r>
            <w:r w:rsidR="005E1A72" w:rsidRPr="005E1A72">
              <w:t>-</w:t>
            </w:r>
            <w:r w:rsidRPr="005E1A72">
              <w:t>of</w:t>
            </w:r>
            <w:r w:rsidR="005E1A72" w:rsidRPr="005E1A72">
              <w:t>-</w:t>
            </w:r>
            <w:r w:rsidRPr="005E1A72">
              <w:t>session meeting to review criteria for managed entry scheme, including duration of treatment limited to 12 months (</w:t>
            </w:r>
            <w:r w:rsidR="005E1A72" w:rsidRPr="005E1A72">
              <w:t>p</w:t>
            </w:r>
            <w:r w:rsidR="00662E1A" w:rsidRPr="005E1A72">
              <w:t>ara</w:t>
            </w:r>
            <w:r w:rsidR="005E1A72" w:rsidRPr="005E1A72">
              <w:t> </w:t>
            </w:r>
            <w:r w:rsidR="00662E1A" w:rsidRPr="005E1A72">
              <w:t xml:space="preserve">5.19, </w:t>
            </w:r>
            <w:r w:rsidRPr="005E1A72">
              <w:t>PSD,</w:t>
            </w:r>
            <w:r w:rsidR="00662E1A" w:rsidRPr="005E1A72">
              <w:t xml:space="preserve"> August 2014</w:t>
            </w:r>
            <w:r w:rsidRPr="005E1A72">
              <w:t>)</w:t>
            </w:r>
            <w:r w:rsidR="00884BEB" w:rsidRPr="005E1A72">
              <w:t>.</w:t>
            </w:r>
          </w:p>
          <w:p w14:paraId="648DA426" w14:textId="43CE97EC" w:rsidR="000B0164" w:rsidRPr="005E1A72" w:rsidRDefault="00884BEB" w:rsidP="00AA44E2">
            <w:pPr>
              <w:pStyle w:val="TableText0"/>
            </w:pPr>
            <w:r w:rsidRPr="005E1A72">
              <w:t>D</w:t>
            </w:r>
            <w:r w:rsidR="000B0164" w:rsidRPr="005E1A72">
              <w:t>ec</w:t>
            </w:r>
            <w:r w:rsidRPr="005E1A72">
              <w:t xml:space="preserve">ember </w:t>
            </w:r>
            <w:r w:rsidR="000B0164" w:rsidRPr="005E1A72">
              <w:t>2014</w:t>
            </w:r>
            <w:r w:rsidRPr="005E1A72">
              <w:t xml:space="preserve"> -</w:t>
            </w:r>
            <w:r w:rsidR="000B0164" w:rsidRPr="005E1A72">
              <w:t xml:space="preserve"> listed without managed entry scheme or rebates</w:t>
            </w:r>
          </w:p>
        </w:tc>
      </w:tr>
      <w:tr w:rsidR="000B0164" w:rsidRPr="00D64D6F" w14:paraId="4BC5CEFE" w14:textId="77777777" w:rsidTr="000B0164">
        <w:tc>
          <w:tcPr>
            <w:tcW w:w="3680" w:type="dxa"/>
          </w:tcPr>
          <w:p w14:paraId="665946A7" w14:textId="2DA9538F" w:rsidR="000B0164" w:rsidRPr="00D64D6F" w:rsidRDefault="000B0164" w:rsidP="00AA44E2">
            <w:pPr>
              <w:pStyle w:val="TableText0"/>
            </w:pPr>
            <w:r w:rsidRPr="00D64D6F">
              <w:t>aHUS</w:t>
            </w:r>
            <w:r w:rsidR="00884BEB" w:rsidRPr="00D64D6F">
              <w:t>;</w:t>
            </w:r>
            <w:r w:rsidRPr="00D64D6F">
              <w:t xml:space="preserve"> </w:t>
            </w:r>
            <w:r w:rsidR="00884BEB" w:rsidRPr="00D64D6F">
              <w:t>t</w:t>
            </w:r>
            <w:r w:rsidRPr="00D64D6F">
              <w:t xml:space="preserve">o increase duration of treatment from 12 months to 24 months </w:t>
            </w:r>
          </w:p>
        </w:tc>
        <w:tc>
          <w:tcPr>
            <w:tcW w:w="5529" w:type="dxa"/>
          </w:tcPr>
          <w:p w14:paraId="09F85554" w14:textId="329DB23D" w:rsidR="000B0164" w:rsidRPr="005E1A72" w:rsidRDefault="000B0164" w:rsidP="00AA44E2">
            <w:pPr>
              <w:pStyle w:val="TableText0"/>
            </w:pPr>
            <w:r w:rsidRPr="005E1A72">
              <w:t>D</w:t>
            </w:r>
            <w:r w:rsidR="00884BEB" w:rsidRPr="005E1A72">
              <w:t>ecember</w:t>
            </w:r>
            <w:r w:rsidRPr="005E1A72">
              <w:t xml:space="preserve"> 2015 – recommended increasing duration from 12 to 24 months </w:t>
            </w:r>
            <w:r w:rsidR="00C077A1" w:rsidRPr="005E1A72">
              <w:t>(</w:t>
            </w:r>
            <w:r w:rsidR="005E1A72" w:rsidRPr="005E1A72">
              <w:t>p</w:t>
            </w:r>
            <w:r w:rsidRPr="005E1A72">
              <w:t>ara 3.14</w:t>
            </w:r>
            <w:r w:rsidR="005E1A72" w:rsidRPr="005E1A72">
              <w:t>,</w:t>
            </w:r>
            <w:r w:rsidR="00662E1A" w:rsidRPr="005E1A72">
              <w:t xml:space="preserve"> PSD March 2018</w:t>
            </w:r>
            <w:r w:rsidRPr="005E1A72">
              <w:t>)</w:t>
            </w:r>
          </w:p>
        </w:tc>
      </w:tr>
      <w:tr w:rsidR="000B0164" w:rsidRPr="00D64D6F" w14:paraId="06CC60BE" w14:textId="77777777" w:rsidTr="000B0164">
        <w:tc>
          <w:tcPr>
            <w:tcW w:w="3680" w:type="dxa"/>
          </w:tcPr>
          <w:p w14:paraId="7EA2D696" w14:textId="4EE43611" w:rsidR="000B0164" w:rsidRPr="00D64D6F" w:rsidRDefault="000B0164" w:rsidP="00AA44E2">
            <w:pPr>
              <w:pStyle w:val="TableText0"/>
            </w:pPr>
            <w:proofErr w:type="gramStart"/>
            <w:r w:rsidRPr="00D64D6F">
              <w:t>aHUS</w:t>
            </w:r>
            <w:r w:rsidR="00884BEB" w:rsidRPr="00D64D6F">
              <w:t>;</w:t>
            </w:r>
            <w:proofErr w:type="gramEnd"/>
            <w:r w:rsidR="00884BEB" w:rsidRPr="00D64D6F">
              <w:t xml:space="preserve"> patients with</w:t>
            </w:r>
            <w:r w:rsidRPr="00D64D6F">
              <w:t xml:space="preserve"> ESRD who are eligible for a renal transplant</w:t>
            </w:r>
          </w:p>
        </w:tc>
        <w:tc>
          <w:tcPr>
            <w:tcW w:w="5529" w:type="dxa"/>
          </w:tcPr>
          <w:p w14:paraId="480F4369" w14:textId="6CA7F36A" w:rsidR="000B0164" w:rsidRPr="005E1A72" w:rsidRDefault="000B0164" w:rsidP="00AA44E2">
            <w:pPr>
              <w:pStyle w:val="TableText0"/>
            </w:pPr>
            <w:r w:rsidRPr="005E1A72">
              <w:t>March 2016 (minor)</w:t>
            </w:r>
            <w:r w:rsidR="00884BEB" w:rsidRPr="005E1A72">
              <w:t xml:space="preserve"> </w:t>
            </w:r>
            <w:r w:rsidR="005E1A72" w:rsidRPr="005E1A72">
              <w:t>–</w:t>
            </w:r>
            <w:r w:rsidRPr="005E1A72">
              <w:t xml:space="preserve"> </w:t>
            </w:r>
            <w:r w:rsidR="005E1A72" w:rsidRPr="005E1A72">
              <w:t xml:space="preserve">not recommended </w:t>
            </w:r>
            <w:proofErr w:type="gramStart"/>
            <w:r w:rsidRPr="005E1A72">
              <w:t>on the basis of</w:t>
            </w:r>
            <w:proofErr w:type="gramEnd"/>
            <w:r w:rsidRPr="005E1A72">
              <w:t xml:space="preserve"> sparse data i</w:t>
            </w:r>
            <w:r w:rsidR="00A610F9" w:rsidRPr="005E1A72">
              <w:t>n</w:t>
            </w:r>
            <w:r w:rsidRPr="005E1A72">
              <w:t xml:space="preserve"> support of use in a renal transplant setting (</w:t>
            </w:r>
            <w:r w:rsidR="005E1A72" w:rsidRPr="005E1A72">
              <w:t>p</w:t>
            </w:r>
            <w:r w:rsidRPr="005E1A72">
              <w:t>ara 3.6</w:t>
            </w:r>
            <w:r w:rsidR="005E1A72" w:rsidRPr="005E1A72">
              <w:t>,</w:t>
            </w:r>
            <w:r w:rsidR="00662E1A" w:rsidRPr="005E1A72">
              <w:t xml:space="preserve"> PSD, July 2017</w:t>
            </w:r>
            <w:r w:rsidRPr="005E1A72">
              <w:t xml:space="preserve">) </w:t>
            </w:r>
          </w:p>
        </w:tc>
      </w:tr>
      <w:tr w:rsidR="000B0164" w:rsidRPr="00D64D6F" w14:paraId="313E0D9B" w14:textId="77777777" w:rsidTr="000B0164">
        <w:tc>
          <w:tcPr>
            <w:tcW w:w="3680" w:type="dxa"/>
          </w:tcPr>
          <w:p w14:paraId="69A807DA" w14:textId="4EE7A75F" w:rsidR="000B0164" w:rsidRPr="00D64D6F" w:rsidRDefault="000B0164" w:rsidP="00AA44E2">
            <w:pPr>
              <w:pStyle w:val="TableText0"/>
            </w:pPr>
            <w:proofErr w:type="gramStart"/>
            <w:r w:rsidRPr="00D64D6F">
              <w:t>aHUS</w:t>
            </w:r>
            <w:r w:rsidR="00884BEB" w:rsidRPr="00D64D6F">
              <w:t>;</w:t>
            </w:r>
            <w:proofErr w:type="gramEnd"/>
            <w:r w:rsidR="00884BEB" w:rsidRPr="00D64D6F">
              <w:t xml:space="preserve"> patients with </w:t>
            </w:r>
            <w:r w:rsidRPr="00D64D6F">
              <w:t>ESRD who are eligible for a renal transplant</w:t>
            </w:r>
          </w:p>
        </w:tc>
        <w:tc>
          <w:tcPr>
            <w:tcW w:w="5529" w:type="dxa"/>
          </w:tcPr>
          <w:p w14:paraId="6E422430" w14:textId="6E8A264D" w:rsidR="000B0164" w:rsidRPr="00D64D6F" w:rsidRDefault="000B0164" w:rsidP="00AA44E2">
            <w:pPr>
              <w:pStyle w:val="TableText0"/>
            </w:pPr>
            <w:r w:rsidRPr="00D64D6F">
              <w:t>July 2017 (minor)</w:t>
            </w:r>
            <w:r w:rsidR="00884BEB" w:rsidRPr="00D64D6F">
              <w:t xml:space="preserve"> </w:t>
            </w:r>
            <w:r w:rsidR="005E1A72">
              <w:t>–</w:t>
            </w:r>
            <w:r w:rsidRPr="00D64D6F">
              <w:t xml:space="preserve"> recommended on the grounds that the PBAC was satisfied that prophylactic treatment with eculizumab reduced the risk of aHUS (</w:t>
            </w:r>
            <w:r w:rsidR="005E1A72">
              <w:t>p</w:t>
            </w:r>
            <w:r w:rsidR="00662E1A" w:rsidRPr="00D64D6F">
              <w:t xml:space="preserve">ara 7.5, </w:t>
            </w:r>
            <w:r w:rsidRPr="00D64D6F">
              <w:t>PS</w:t>
            </w:r>
            <w:r w:rsidR="00662E1A" w:rsidRPr="00D64D6F">
              <w:t>D</w:t>
            </w:r>
            <w:r w:rsidRPr="00D64D6F">
              <w:t>, July 2017), limited to 3 months treatment post</w:t>
            </w:r>
            <w:r w:rsidR="00884BEB" w:rsidRPr="00D64D6F">
              <w:t>-</w:t>
            </w:r>
            <w:r w:rsidRPr="00D64D6F">
              <w:t>transplant (</w:t>
            </w:r>
            <w:r w:rsidR="005E1A72">
              <w:t>p</w:t>
            </w:r>
            <w:r w:rsidRPr="00D64D6F">
              <w:t>ara 7.3</w:t>
            </w:r>
            <w:r w:rsidR="00662E1A" w:rsidRPr="00D64D6F">
              <w:t>, PSD, July 2017.</w:t>
            </w:r>
            <w:r w:rsidRPr="00D64D6F">
              <w:t>)</w:t>
            </w:r>
          </w:p>
        </w:tc>
      </w:tr>
      <w:tr w:rsidR="000B0164" w:rsidRPr="00D64D6F" w14:paraId="4719CCF4" w14:textId="77777777" w:rsidTr="000B0164">
        <w:tc>
          <w:tcPr>
            <w:tcW w:w="3680" w:type="dxa"/>
          </w:tcPr>
          <w:p w14:paraId="66F26DFD" w14:textId="40616595" w:rsidR="000B0164" w:rsidRPr="00D64D6F" w:rsidRDefault="000B0164" w:rsidP="00AA44E2">
            <w:pPr>
              <w:pStyle w:val="TableText0"/>
            </w:pPr>
            <w:r w:rsidRPr="00D64D6F">
              <w:t>DUSC review: 24 month predicted vs actual analysis of eculizumab use for aHUS (DUSC Abstract, Sep 2017)</w:t>
            </w:r>
          </w:p>
        </w:tc>
        <w:tc>
          <w:tcPr>
            <w:tcW w:w="5529" w:type="dxa"/>
          </w:tcPr>
          <w:p w14:paraId="7439BDF7" w14:textId="55C5EE61" w:rsidR="000B0164" w:rsidRPr="00D64D6F" w:rsidRDefault="000B0164" w:rsidP="0028491F">
            <w:pPr>
              <w:pStyle w:val="TableText0"/>
            </w:pPr>
            <w:r w:rsidRPr="00D64D6F">
              <w:t xml:space="preserve">Use of eculizumab for aHUS in </w:t>
            </w:r>
            <w:r w:rsidR="005E1A72">
              <w:t xml:space="preserve">terms of </w:t>
            </w:r>
            <w:r w:rsidRPr="00D64D6F">
              <w:t>number of patients, vials and expenditure was more than double what was predicted in both the first and second years of listing.</w:t>
            </w:r>
          </w:p>
          <w:p w14:paraId="7D7283A2" w14:textId="4E1BF1C1" w:rsidR="000B0164" w:rsidRPr="00D64D6F" w:rsidRDefault="000B0164" w:rsidP="0028491F">
            <w:pPr>
              <w:pStyle w:val="TableText0"/>
            </w:pPr>
            <w:r w:rsidRPr="00D64D6F">
              <w:t>Since its listing in December 2014, 145 patients ha</w:t>
            </w:r>
            <w:r w:rsidR="0038697F" w:rsidRPr="00D64D6F">
              <w:t>d</w:t>
            </w:r>
            <w:r w:rsidRPr="00D64D6F">
              <w:t xml:space="preserve"> been supplied eculizumab for aHUS at a cost to Government of </w:t>
            </w:r>
            <w:r w:rsidRPr="00504974">
              <w:t>$71.5 million (to</w:t>
            </w:r>
            <w:r w:rsidRPr="00D64D6F">
              <w:t xml:space="preserve"> May 2017).  </w:t>
            </w:r>
          </w:p>
        </w:tc>
      </w:tr>
      <w:tr w:rsidR="000B0164" w:rsidRPr="00D64D6F" w14:paraId="7CB5FA51" w14:textId="77777777" w:rsidTr="000B0164">
        <w:tc>
          <w:tcPr>
            <w:tcW w:w="3680" w:type="dxa"/>
          </w:tcPr>
          <w:p w14:paraId="349CBA44" w14:textId="77777777" w:rsidR="000B0164" w:rsidRPr="00D64D6F" w:rsidRDefault="000B0164" w:rsidP="00AA44E2">
            <w:pPr>
              <w:pStyle w:val="TableText0"/>
            </w:pPr>
            <w:r w:rsidRPr="00D64D6F">
              <w:t>For the treatment of patients with aHUS in ESRD who are eligible for a renal transplant, to extend treatment duration</w:t>
            </w:r>
          </w:p>
        </w:tc>
        <w:tc>
          <w:tcPr>
            <w:tcW w:w="5529" w:type="dxa"/>
          </w:tcPr>
          <w:p w14:paraId="7BA29D10" w14:textId="21C27620" w:rsidR="000B0164" w:rsidRPr="00D64D6F" w:rsidRDefault="000B0164" w:rsidP="00AA44E2">
            <w:pPr>
              <w:pStyle w:val="TableText0"/>
            </w:pPr>
            <w:r w:rsidRPr="00D64D6F">
              <w:t>March 2018 (minor)</w:t>
            </w:r>
            <w:r w:rsidR="00884BEB" w:rsidRPr="00D64D6F">
              <w:t xml:space="preserve"> </w:t>
            </w:r>
            <w:r w:rsidRPr="00D64D6F">
              <w:t xml:space="preserve">- </w:t>
            </w:r>
            <w:r w:rsidR="005E1A72">
              <w:t>not recommended</w:t>
            </w:r>
            <w:r w:rsidR="005E1A72" w:rsidRPr="00D64D6F">
              <w:t xml:space="preserve"> </w:t>
            </w:r>
            <w:r w:rsidRPr="00D64D6F">
              <w:t xml:space="preserve">on the grounds that the evidence presented to support the longer duration of treatment </w:t>
            </w:r>
            <w:r w:rsidR="00884BEB" w:rsidRPr="00D64D6F">
              <w:t>[</w:t>
            </w:r>
            <w:r w:rsidRPr="00D64D6F">
              <w:t>…</w:t>
            </w:r>
            <w:r w:rsidR="00884BEB" w:rsidRPr="00D64D6F">
              <w:t xml:space="preserve">] </w:t>
            </w:r>
            <w:r w:rsidRPr="00D64D6F">
              <w:t>did not reliably address the key issues and did not prove substantial incremental benefit (</w:t>
            </w:r>
            <w:r w:rsidR="005E1A72">
              <w:t>p</w:t>
            </w:r>
            <w:r w:rsidR="00662E1A" w:rsidRPr="00D64D6F">
              <w:t xml:space="preserve">ara 7.1, </w:t>
            </w:r>
            <w:r w:rsidRPr="00D64D6F">
              <w:t>PSD, March 2018)</w:t>
            </w:r>
            <w:r w:rsidR="005E1A72">
              <w:t>.</w:t>
            </w:r>
          </w:p>
        </w:tc>
      </w:tr>
      <w:tr w:rsidR="000B0164" w:rsidRPr="00D64D6F" w14:paraId="4888E177" w14:textId="77777777" w:rsidTr="000B0164">
        <w:tc>
          <w:tcPr>
            <w:tcW w:w="3680" w:type="dxa"/>
          </w:tcPr>
          <w:p w14:paraId="4A616399" w14:textId="7CAA81C0" w:rsidR="000B0164" w:rsidRPr="00D64D6F" w:rsidRDefault="000B0164" w:rsidP="00AA44E2">
            <w:pPr>
              <w:pStyle w:val="TableText0"/>
            </w:pPr>
            <w:r w:rsidRPr="00D64D6F">
              <w:t>DUSC review: utilisation update on Eculizumab for aHUS (DUSC Abstract, 2019)</w:t>
            </w:r>
          </w:p>
        </w:tc>
        <w:tc>
          <w:tcPr>
            <w:tcW w:w="5529" w:type="dxa"/>
          </w:tcPr>
          <w:p w14:paraId="091BCCFD" w14:textId="7F0B4349" w:rsidR="000B0164" w:rsidRPr="00D64D6F" w:rsidRDefault="000B0164" w:rsidP="000B0164">
            <w:pPr>
              <w:pStyle w:val="TableText0"/>
            </w:pPr>
            <w:r w:rsidRPr="00D64D6F">
              <w:t>Since its listing in December 2014, 220 patients ha</w:t>
            </w:r>
            <w:r w:rsidR="0038697F" w:rsidRPr="00D64D6F">
              <w:t>d</w:t>
            </w:r>
            <w:r w:rsidRPr="00D64D6F">
              <w:t xml:space="preserve"> been supplied eculizumab for aHUS (to September 2018). Of 220, 82 were on treatment at the end of the analysis period (September 2018);</w:t>
            </w:r>
            <w:r w:rsidR="00884BEB" w:rsidRPr="00D64D6F">
              <w:t xml:space="preserve"> </w:t>
            </w:r>
            <w:r w:rsidRPr="00D64D6F">
              <w:t>138 had stopped treatment</w:t>
            </w:r>
            <w:r w:rsidR="00884BEB" w:rsidRPr="00D64D6F">
              <w:t xml:space="preserve"> and</w:t>
            </w:r>
            <w:r w:rsidR="00AA44E2" w:rsidRPr="00D64D6F">
              <w:t xml:space="preserve"> </w:t>
            </w:r>
            <w:r w:rsidRPr="00D64D6F">
              <w:t>12 had a break (of more than 84 days) followed by a second treatment episode.</w:t>
            </w:r>
          </w:p>
          <w:p w14:paraId="1536B180" w14:textId="44409540" w:rsidR="000B0164" w:rsidRPr="00D64D6F" w:rsidRDefault="000B0164" w:rsidP="000B0164">
            <w:pPr>
              <w:pStyle w:val="TableText0"/>
            </w:pPr>
            <w:r w:rsidRPr="00D64D6F">
              <w:t>In 2017,</w:t>
            </w:r>
            <w:r w:rsidR="00884BEB" w:rsidRPr="00D64D6F">
              <w:t xml:space="preserve"> </w:t>
            </w:r>
            <w:r w:rsidRPr="00D64D6F">
              <w:t xml:space="preserve">109 patients </w:t>
            </w:r>
            <w:r w:rsidR="00884BEB" w:rsidRPr="00D64D6F">
              <w:t xml:space="preserve">were </w:t>
            </w:r>
            <w:r w:rsidRPr="00D64D6F">
              <w:t>supplied eculizumab</w:t>
            </w:r>
            <w:r w:rsidR="00884BEB" w:rsidRPr="00D64D6F">
              <w:t>,</w:t>
            </w:r>
            <w:r w:rsidRPr="00D64D6F">
              <w:t xml:space="preserve"> of whom 48 received their first PBS supply in 2017. The rate of growth in PBS patients has declined each year.</w:t>
            </w:r>
          </w:p>
        </w:tc>
      </w:tr>
      <w:tr w:rsidR="000B0164" w:rsidRPr="00D64D6F" w14:paraId="1DB1AC2B" w14:textId="77777777" w:rsidTr="000B0164">
        <w:tc>
          <w:tcPr>
            <w:tcW w:w="3680" w:type="dxa"/>
          </w:tcPr>
          <w:p w14:paraId="69E32F95" w14:textId="3C3A72D5" w:rsidR="000B0164" w:rsidRPr="00D64D6F" w:rsidRDefault="000B0164" w:rsidP="00AA44E2">
            <w:pPr>
              <w:pStyle w:val="TableText0"/>
            </w:pPr>
            <w:r w:rsidRPr="00D64D6F">
              <w:t xml:space="preserve">DUSC review: eculizumab for aHUS (DUSC </w:t>
            </w:r>
            <w:r w:rsidR="002564EF">
              <w:t>A</w:t>
            </w:r>
            <w:r w:rsidRPr="00D64D6F">
              <w:t>bstract, Oct 2020)</w:t>
            </w:r>
          </w:p>
        </w:tc>
        <w:tc>
          <w:tcPr>
            <w:tcW w:w="5529" w:type="dxa"/>
          </w:tcPr>
          <w:p w14:paraId="4BA5593F" w14:textId="29541A9D" w:rsidR="000B0164" w:rsidRPr="00D64D6F" w:rsidRDefault="000B0164" w:rsidP="000B0164">
            <w:pPr>
              <w:pStyle w:val="TableText0"/>
            </w:pPr>
            <w:r w:rsidRPr="00D64D6F">
              <w:t xml:space="preserve">See text below for key findings. </w:t>
            </w:r>
          </w:p>
        </w:tc>
      </w:tr>
    </w:tbl>
    <w:p w14:paraId="0D285900" w14:textId="4FF4C876" w:rsidR="005D0A3F" w:rsidRDefault="00585D93" w:rsidP="00665019">
      <w:pPr>
        <w:pStyle w:val="PBACTblFignote"/>
        <w:spacing w:after="0"/>
        <w:rPr>
          <w:rFonts w:eastAsia="Calibri"/>
        </w:rPr>
      </w:pPr>
      <w:r>
        <w:rPr>
          <w:rFonts w:eastAsia="Calibri"/>
        </w:rPr>
        <w:t>Source: Table 7, p18 of the submission</w:t>
      </w:r>
      <w:r w:rsidR="005E1A72">
        <w:rPr>
          <w:rFonts w:eastAsia="Calibri"/>
        </w:rPr>
        <w:t>, with additional details added during evaluation</w:t>
      </w:r>
      <w:r>
        <w:rPr>
          <w:rFonts w:eastAsia="Calibri"/>
        </w:rPr>
        <w:t xml:space="preserve">. </w:t>
      </w:r>
    </w:p>
    <w:p w14:paraId="7EA10677" w14:textId="77777777" w:rsidR="00665019" w:rsidRDefault="00585D93" w:rsidP="00665019">
      <w:pPr>
        <w:pStyle w:val="TableFooter"/>
        <w:spacing w:after="120"/>
        <w:rPr>
          <w:rFonts w:eastAsia="Calibri"/>
        </w:rPr>
      </w:pPr>
      <w:r w:rsidRPr="00A53D05">
        <w:rPr>
          <w:rFonts w:eastAsia="Calibri"/>
        </w:rPr>
        <w:t>aHUS</w:t>
      </w:r>
      <w:r w:rsidR="005D0A3F">
        <w:rPr>
          <w:rFonts w:eastAsia="Calibri"/>
        </w:rPr>
        <w:t xml:space="preserve"> = </w:t>
      </w:r>
      <w:r w:rsidRPr="00A53D05">
        <w:rPr>
          <w:rFonts w:eastAsia="Calibri"/>
        </w:rPr>
        <w:t>atypical haemolytic uraemic syndrome</w:t>
      </w:r>
      <w:r>
        <w:rPr>
          <w:rFonts w:eastAsia="Calibri"/>
        </w:rPr>
        <w:t>; ESRD</w:t>
      </w:r>
      <w:r w:rsidR="005D0A3F">
        <w:rPr>
          <w:rFonts w:eastAsia="Calibri"/>
        </w:rPr>
        <w:t xml:space="preserve"> = e</w:t>
      </w:r>
      <w:r w:rsidRPr="00A53D05">
        <w:rPr>
          <w:rFonts w:eastAsia="Calibri"/>
        </w:rPr>
        <w:t>nd</w:t>
      </w:r>
      <w:r>
        <w:rPr>
          <w:rFonts w:eastAsia="Calibri"/>
        </w:rPr>
        <w:t xml:space="preserve"> </w:t>
      </w:r>
      <w:r w:rsidRPr="00A53D05">
        <w:rPr>
          <w:rFonts w:eastAsia="Calibri"/>
        </w:rPr>
        <w:t>stage renal disease</w:t>
      </w:r>
      <w:r w:rsidR="005D0A3F">
        <w:rPr>
          <w:rFonts w:eastAsia="Calibri"/>
        </w:rPr>
        <w:t>;</w:t>
      </w:r>
      <w:r>
        <w:rPr>
          <w:rFonts w:eastAsia="Calibri"/>
        </w:rPr>
        <w:t xml:space="preserve"> </w:t>
      </w:r>
      <w:r w:rsidR="00662E1A">
        <w:rPr>
          <w:rFonts w:eastAsia="Calibri"/>
        </w:rPr>
        <w:t>PSD</w:t>
      </w:r>
      <w:r w:rsidR="005D0A3F">
        <w:rPr>
          <w:rFonts w:eastAsia="Calibri"/>
        </w:rPr>
        <w:t xml:space="preserve"> = p</w:t>
      </w:r>
      <w:r w:rsidR="00662E1A">
        <w:rPr>
          <w:rFonts w:eastAsia="Calibri"/>
        </w:rPr>
        <w:t xml:space="preserve">ublic </w:t>
      </w:r>
      <w:r w:rsidR="005D0A3F">
        <w:rPr>
          <w:rFonts w:eastAsia="Calibri"/>
        </w:rPr>
        <w:t>s</w:t>
      </w:r>
      <w:r w:rsidR="00662E1A">
        <w:rPr>
          <w:rFonts w:eastAsia="Calibri"/>
        </w:rPr>
        <w:t xml:space="preserve">ummary </w:t>
      </w:r>
      <w:r w:rsidR="005D0A3F">
        <w:rPr>
          <w:rFonts w:eastAsia="Calibri"/>
        </w:rPr>
        <w:t>d</w:t>
      </w:r>
      <w:r w:rsidR="00662E1A">
        <w:rPr>
          <w:rFonts w:eastAsia="Calibri"/>
        </w:rPr>
        <w:t>ocument.</w:t>
      </w:r>
      <w:bookmarkStart w:id="9" w:name="_Ref123735662"/>
    </w:p>
    <w:p w14:paraId="01A34861" w14:textId="45BCFF75" w:rsidR="000B0164" w:rsidRDefault="000B0164" w:rsidP="00B306AF">
      <w:pPr>
        <w:pStyle w:val="3-BodyText"/>
        <w:rPr>
          <w:rFonts w:eastAsia="Calibri"/>
        </w:rPr>
      </w:pPr>
      <w:r>
        <w:rPr>
          <w:rFonts w:eastAsia="Calibri"/>
        </w:rPr>
        <w:t>The key findings from the DUSC review in October 2020 were:</w:t>
      </w:r>
      <w:bookmarkEnd w:id="9"/>
    </w:p>
    <w:p w14:paraId="7BE112ED" w14:textId="496225B2" w:rsidR="000B0164" w:rsidRDefault="296F53A8" w:rsidP="00677F6D">
      <w:pPr>
        <w:pStyle w:val="ListParagraph"/>
        <w:numPr>
          <w:ilvl w:val="0"/>
          <w:numId w:val="7"/>
        </w:numPr>
        <w:ind w:left="1080"/>
        <w:rPr>
          <w:lang w:eastAsia="en-GB"/>
        </w:rPr>
      </w:pPr>
      <w:r w:rsidRPr="296F53A8">
        <w:rPr>
          <w:lang w:eastAsia="en-GB"/>
        </w:rPr>
        <w:t xml:space="preserve">Since its listing in December 2014, 323 patients have been supplied eculizumab for aHUS (to the end of May 2020). Of these 236 (73%) had stopped treatment and 87 (27%) were on treatment at the end of the analysis period.  </w:t>
      </w:r>
    </w:p>
    <w:p w14:paraId="32EAFD48" w14:textId="54A49B34" w:rsidR="000B0164" w:rsidRDefault="007071B6" w:rsidP="00677F6D">
      <w:pPr>
        <w:pStyle w:val="ListParagraph"/>
        <w:numPr>
          <w:ilvl w:val="0"/>
          <w:numId w:val="7"/>
        </w:numPr>
        <w:ind w:left="1080"/>
        <w:rPr>
          <w:lang w:eastAsia="en-GB"/>
        </w:rPr>
      </w:pPr>
      <w:r>
        <w:rPr>
          <w:lang w:eastAsia="en-GB"/>
        </w:rPr>
        <w:lastRenderedPageBreak/>
        <w:t xml:space="preserve">Of 298 </w:t>
      </w:r>
      <w:r w:rsidR="00884BEB">
        <w:rPr>
          <w:lang w:eastAsia="en-GB"/>
        </w:rPr>
        <w:t xml:space="preserve">patients </w:t>
      </w:r>
      <w:r w:rsidR="000B0164" w:rsidRPr="000B0164">
        <w:rPr>
          <w:lang w:eastAsia="en-GB"/>
        </w:rPr>
        <w:t>supplied eculizumab from December 2014 to 20 March 2020</w:t>
      </w:r>
      <w:r>
        <w:rPr>
          <w:lang w:eastAsia="en-GB"/>
        </w:rPr>
        <w:t>, 74</w:t>
      </w:r>
      <w:r w:rsidR="000B0164" w:rsidRPr="000B0164">
        <w:rPr>
          <w:lang w:eastAsia="en-GB"/>
        </w:rPr>
        <w:t xml:space="preserve"> had died. Of these 74, 39 (13.1% of total patient) died whil</w:t>
      </w:r>
      <w:r w:rsidR="00884BEB">
        <w:rPr>
          <w:lang w:eastAsia="en-GB"/>
        </w:rPr>
        <w:t>e</w:t>
      </w:r>
      <w:r w:rsidR="000B0164" w:rsidRPr="000B0164">
        <w:rPr>
          <w:lang w:eastAsia="en-GB"/>
        </w:rPr>
        <w:t xml:space="preserve"> on treatment. This </w:t>
      </w:r>
      <w:r w:rsidR="00884BEB">
        <w:rPr>
          <w:lang w:eastAsia="en-GB"/>
        </w:rPr>
        <w:t>suggests</w:t>
      </w:r>
      <w:r w:rsidR="000B0164" w:rsidRPr="000B0164">
        <w:rPr>
          <w:lang w:eastAsia="en-GB"/>
        </w:rPr>
        <w:t xml:space="preserve"> that some patients may have been treated </w:t>
      </w:r>
      <w:r w:rsidR="00884BEB">
        <w:rPr>
          <w:lang w:eastAsia="en-GB"/>
        </w:rPr>
        <w:t>despite</w:t>
      </w:r>
      <w:r w:rsidR="000B0164" w:rsidRPr="000B0164">
        <w:rPr>
          <w:lang w:eastAsia="en-GB"/>
        </w:rPr>
        <w:t xml:space="preserve"> disease progression.</w:t>
      </w:r>
    </w:p>
    <w:p w14:paraId="0A690321" w14:textId="6FF59640" w:rsidR="000B0164" w:rsidRDefault="000B0164" w:rsidP="00677F6D">
      <w:pPr>
        <w:pStyle w:val="ListParagraph"/>
        <w:numPr>
          <w:ilvl w:val="0"/>
          <w:numId w:val="7"/>
        </w:numPr>
        <w:ind w:left="1080"/>
        <w:rPr>
          <w:lang w:eastAsia="en-GB"/>
        </w:rPr>
      </w:pPr>
      <w:r w:rsidRPr="000B0164">
        <w:rPr>
          <w:lang w:eastAsia="en-GB"/>
        </w:rPr>
        <w:t xml:space="preserve">Adults (18 years and over) </w:t>
      </w:r>
      <w:r w:rsidR="00884BEB">
        <w:rPr>
          <w:lang w:eastAsia="en-GB"/>
        </w:rPr>
        <w:t xml:space="preserve">are </w:t>
      </w:r>
      <w:r w:rsidRPr="000B0164">
        <w:rPr>
          <w:lang w:eastAsia="en-GB"/>
        </w:rPr>
        <w:t>90.4% of patients treated with eculizumab</w:t>
      </w:r>
      <w:r>
        <w:rPr>
          <w:lang w:eastAsia="en-GB"/>
        </w:rPr>
        <w:t>.</w:t>
      </w:r>
    </w:p>
    <w:p w14:paraId="78D4D55F" w14:textId="0C36BA3E" w:rsidR="00FF1232" w:rsidRDefault="000B0164" w:rsidP="00677F6D">
      <w:pPr>
        <w:pStyle w:val="ListParagraph"/>
        <w:numPr>
          <w:ilvl w:val="0"/>
          <w:numId w:val="7"/>
        </w:numPr>
        <w:ind w:left="1080"/>
        <w:rPr>
          <w:lang w:eastAsia="en-GB"/>
        </w:rPr>
      </w:pPr>
      <w:r w:rsidRPr="136A284C">
        <w:rPr>
          <w:lang w:eastAsia="en-GB"/>
        </w:rPr>
        <w:t xml:space="preserve">Of the top </w:t>
      </w:r>
      <w:r w:rsidR="00921407">
        <w:rPr>
          <w:lang w:eastAsia="en-GB"/>
        </w:rPr>
        <w:t>3</w:t>
      </w:r>
      <w:r w:rsidR="00921407" w:rsidRPr="136A284C">
        <w:rPr>
          <w:lang w:eastAsia="en-GB"/>
        </w:rPr>
        <w:t xml:space="preserve"> </w:t>
      </w:r>
      <w:r w:rsidRPr="136A284C">
        <w:rPr>
          <w:lang w:eastAsia="en-GB"/>
        </w:rPr>
        <w:t xml:space="preserve">prescriber types (general practitioners (GPs), nephrologists and haematologists), patients prescribed initial treatment by nephrologists and haematologists spent the longest amount of time on treatment. </w:t>
      </w:r>
    </w:p>
    <w:p w14:paraId="62BDB90E" w14:textId="4A865AF6" w:rsidR="00FF1232" w:rsidRDefault="000B0164" w:rsidP="00677F6D">
      <w:pPr>
        <w:pStyle w:val="ListParagraph"/>
        <w:numPr>
          <w:ilvl w:val="0"/>
          <w:numId w:val="7"/>
        </w:numPr>
        <w:ind w:left="1080"/>
        <w:rPr>
          <w:lang w:eastAsia="en-GB"/>
        </w:rPr>
      </w:pPr>
      <w:r w:rsidRPr="000B0164">
        <w:rPr>
          <w:lang w:eastAsia="en-GB"/>
        </w:rPr>
        <w:t>At the time of initial application approval, 68% of patients had an ADAMTS-13 score recorded and 32% did not. Of the patients without an ADAMTS-13 score</w:t>
      </w:r>
      <w:r w:rsidR="001F4BFB">
        <w:rPr>
          <w:lang w:eastAsia="en-GB"/>
        </w:rPr>
        <w:t xml:space="preserve"> at initial approval</w:t>
      </w:r>
      <w:r w:rsidRPr="000B0164">
        <w:rPr>
          <w:lang w:eastAsia="en-GB"/>
        </w:rPr>
        <w:t xml:space="preserve">, 29.9% did not proceed to receive further treatment. The remaining 70.1% provided an ADAMTS-13 score and proceeded to receive the balance of initial supply. </w:t>
      </w:r>
    </w:p>
    <w:p w14:paraId="5C5430E2" w14:textId="2A93934C" w:rsidR="00FF1232" w:rsidRDefault="000B0164" w:rsidP="00677F6D">
      <w:pPr>
        <w:pStyle w:val="ListParagraph"/>
        <w:numPr>
          <w:ilvl w:val="0"/>
          <w:numId w:val="7"/>
        </w:numPr>
        <w:ind w:left="1080"/>
        <w:rPr>
          <w:lang w:eastAsia="en-GB"/>
        </w:rPr>
      </w:pPr>
      <w:r w:rsidRPr="000B0164">
        <w:rPr>
          <w:lang w:eastAsia="en-GB"/>
        </w:rPr>
        <w:t xml:space="preserve">There were changes to the restriction in 2016, which may have led to a decrease in </w:t>
      </w:r>
      <w:r w:rsidR="007777FB">
        <w:rPr>
          <w:lang w:eastAsia="en-GB"/>
        </w:rPr>
        <w:t>length of treatment</w:t>
      </w:r>
      <w:r w:rsidRPr="000B0164">
        <w:rPr>
          <w:lang w:eastAsia="en-GB"/>
        </w:rPr>
        <w:t xml:space="preserve">. These changes included having to provide </w:t>
      </w:r>
      <w:r w:rsidR="00AA44E2">
        <w:rPr>
          <w:lang w:eastAsia="en-GB"/>
        </w:rPr>
        <w:t>more</w:t>
      </w:r>
      <w:r w:rsidRPr="000B0164">
        <w:rPr>
          <w:lang w:eastAsia="en-GB"/>
        </w:rPr>
        <w:t xml:space="preserve"> information in the application</w:t>
      </w:r>
      <w:r w:rsidR="00AA44E2">
        <w:rPr>
          <w:lang w:eastAsia="en-GB"/>
        </w:rPr>
        <w:t xml:space="preserve">: </w:t>
      </w:r>
      <w:r w:rsidRPr="000B0164">
        <w:rPr>
          <w:lang w:eastAsia="en-GB"/>
        </w:rPr>
        <w:t xml:space="preserve">serial haematological results every </w:t>
      </w:r>
      <w:r w:rsidR="00921407">
        <w:rPr>
          <w:lang w:eastAsia="en-GB"/>
        </w:rPr>
        <w:t>3</w:t>
      </w:r>
      <w:r w:rsidR="00921407" w:rsidRPr="000B0164">
        <w:rPr>
          <w:lang w:eastAsia="en-GB"/>
        </w:rPr>
        <w:t xml:space="preserve"> </w:t>
      </w:r>
      <w:r w:rsidRPr="000B0164">
        <w:rPr>
          <w:lang w:eastAsia="en-GB"/>
        </w:rPr>
        <w:t>months while on treatment; evidence of an identifiable genetic mutation</w:t>
      </w:r>
      <w:r w:rsidR="00AA44E2">
        <w:rPr>
          <w:lang w:eastAsia="en-GB"/>
        </w:rPr>
        <w:t>, if tested for</w:t>
      </w:r>
      <w:r w:rsidRPr="000B0164">
        <w:rPr>
          <w:lang w:eastAsia="en-GB"/>
        </w:rPr>
        <w:t xml:space="preserve">, and prior history of aHUS. </w:t>
      </w:r>
    </w:p>
    <w:p w14:paraId="136AA3AD" w14:textId="485F7B2D" w:rsidR="00FF1232" w:rsidRDefault="000B0164" w:rsidP="00677F6D">
      <w:pPr>
        <w:pStyle w:val="ListParagraph"/>
        <w:numPr>
          <w:ilvl w:val="0"/>
          <w:numId w:val="7"/>
        </w:numPr>
        <w:ind w:left="1080"/>
        <w:rPr>
          <w:lang w:eastAsia="en-GB"/>
        </w:rPr>
      </w:pPr>
      <w:r w:rsidRPr="000B0164">
        <w:rPr>
          <w:lang w:eastAsia="en-GB"/>
        </w:rPr>
        <w:t>Restriction changes in January 2017 led to an increase in the number of adult patients. These changes included adding eligibility for treatment</w:t>
      </w:r>
      <w:r w:rsidR="00AA44E2">
        <w:rPr>
          <w:lang w:eastAsia="en-GB"/>
        </w:rPr>
        <w:t xml:space="preserve"> of organ damage, other than renal disease, caused by </w:t>
      </w:r>
      <w:r w:rsidRPr="000B0164">
        <w:rPr>
          <w:lang w:eastAsia="en-GB"/>
        </w:rPr>
        <w:t>thrombotic microangiopathy (TMA)</w:t>
      </w:r>
      <w:r w:rsidR="00AA44E2">
        <w:rPr>
          <w:lang w:eastAsia="en-GB"/>
        </w:rPr>
        <w:t>,</w:t>
      </w:r>
      <w:r w:rsidRPr="000B0164">
        <w:rPr>
          <w:lang w:eastAsia="en-GB"/>
        </w:rPr>
        <w:t xml:space="preserve"> and clarification that the progressing TMA must be caused by aHUS. </w:t>
      </w:r>
    </w:p>
    <w:p w14:paraId="49128E11" w14:textId="4B37D218" w:rsidR="00FF1232" w:rsidRDefault="000B0164" w:rsidP="00677F6D">
      <w:pPr>
        <w:pStyle w:val="ListParagraph"/>
        <w:numPr>
          <w:ilvl w:val="0"/>
          <w:numId w:val="7"/>
        </w:numPr>
        <w:ind w:left="1080"/>
        <w:rPr>
          <w:lang w:eastAsia="en-GB"/>
        </w:rPr>
      </w:pPr>
      <w:r w:rsidRPr="000B0164">
        <w:rPr>
          <w:lang w:eastAsia="en-GB"/>
        </w:rPr>
        <w:t>Initiating and prevalent patient numbers are showing signs of stabilising with 2019 being the first year that total patient numbers did not increase compared to the previous year.</w:t>
      </w:r>
      <w:r w:rsidR="007071B6">
        <w:rPr>
          <w:lang w:eastAsia="en-GB"/>
        </w:rPr>
        <w:t xml:space="preserve"> </w:t>
      </w:r>
    </w:p>
    <w:p w14:paraId="66BB5F4E" w14:textId="191AD011" w:rsidR="002A64CD" w:rsidRDefault="000B0164" w:rsidP="00677F6D">
      <w:pPr>
        <w:pStyle w:val="ListParagraph"/>
        <w:numPr>
          <w:ilvl w:val="0"/>
          <w:numId w:val="7"/>
        </w:numPr>
        <w:ind w:left="1080"/>
        <w:rPr>
          <w:lang w:eastAsia="en-GB"/>
        </w:rPr>
      </w:pPr>
      <w:r w:rsidRPr="000B0164">
        <w:rPr>
          <w:lang w:eastAsia="en-GB"/>
        </w:rPr>
        <w:t>The rate of growth</w:t>
      </w:r>
      <w:r w:rsidR="001F4BFB">
        <w:rPr>
          <w:lang w:eastAsia="en-GB"/>
        </w:rPr>
        <w:t xml:space="preserve"> </w:t>
      </w:r>
      <w:r w:rsidRPr="000B0164">
        <w:rPr>
          <w:lang w:eastAsia="en-GB"/>
        </w:rPr>
        <w:t xml:space="preserve">in </w:t>
      </w:r>
      <w:r w:rsidR="001F4BFB">
        <w:rPr>
          <w:lang w:eastAsia="en-GB"/>
        </w:rPr>
        <w:t xml:space="preserve">the number of </w:t>
      </w:r>
      <w:r w:rsidRPr="000B0164">
        <w:rPr>
          <w:lang w:eastAsia="en-GB"/>
        </w:rPr>
        <w:t>PBS patients</w:t>
      </w:r>
      <w:r w:rsidR="001F4BFB">
        <w:rPr>
          <w:lang w:eastAsia="en-GB"/>
        </w:rPr>
        <w:t xml:space="preserve"> supplied with eculizumab</w:t>
      </w:r>
      <w:r w:rsidRPr="000B0164">
        <w:rPr>
          <w:lang w:eastAsia="en-GB"/>
        </w:rPr>
        <w:t xml:space="preserve"> is declining.</w:t>
      </w:r>
    </w:p>
    <w:p w14:paraId="65217F4C" w14:textId="39383DF9" w:rsidR="002A64CD" w:rsidRDefault="00921407" w:rsidP="00B306AF">
      <w:pPr>
        <w:pStyle w:val="3-BodyText"/>
      </w:pPr>
      <w:r>
        <w:t>A</w:t>
      </w:r>
      <w:r w:rsidR="00A54E16" w:rsidRPr="136A284C">
        <w:t xml:space="preserve"> trend toward </w:t>
      </w:r>
      <w:r w:rsidR="002A64CD" w:rsidRPr="136A284C">
        <w:t xml:space="preserve">reduction in length of treatment, and stabilisation then reduction in the number of new patients, were also seen </w:t>
      </w:r>
      <w:r w:rsidR="00A54E16" w:rsidRPr="136A284C">
        <w:t>in data from the sponsor's global aHUS registry</w:t>
      </w:r>
      <w:r w:rsidR="006351B6" w:rsidRPr="136A284C">
        <w:t xml:space="preserve">. </w:t>
      </w:r>
      <w:r w:rsidR="006351B6" w:rsidRPr="003A48D2">
        <w:rPr>
          <w:iCs/>
        </w:rPr>
        <w:t xml:space="preserve">ESC suggested </w:t>
      </w:r>
      <w:r w:rsidR="00E26780" w:rsidRPr="003A48D2">
        <w:rPr>
          <w:iCs/>
        </w:rPr>
        <w:t>that aHUS</w:t>
      </w:r>
      <w:r w:rsidR="006351B6" w:rsidRPr="003A48D2">
        <w:rPr>
          <w:iCs/>
        </w:rPr>
        <w:t xml:space="preserve"> data from the Australian Thrombotic Microangiopathies (TMA) Registry (Monash University, School of Public Health and Preventive Medicine) may add local data around patient demographics, treatment initiation, treatment duration and reinitiating treatment.</w:t>
      </w:r>
      <w:r w:rsidR="00A54E16" w:rsidRPr="136A284C">
        <w:t xml:space="preserve"> </w:t>
      </w:r>
      <w:r w:rsidR="002564EF">
        <w:t xml:space="preserve">The PBAC welcomed the provision of demographic and treatment data from this </w:t>
      </w:r>
      <w:r w:rsidR="001D4F13">
        <w:t xml:space="preserve">independent </w:t>
      </w:r>
      <w:r w:rsidR="002564EF">
        <w:t>registry</w:t>
      </w:r>
      <w:r w:rsidR="001D4F13">
        <w:t>, although acknowledged that it was a pragmatic registry with incomplete age and weight records and duration of treatment was unknown.</w:t>
      </w:r>
      <w:r w:rsidR="006B29FF">
        <w:t xml:space="preserve"> </w:t>
      </w:r>
      <w:r w:rsidR="001907F2">
        <w:t xml:space="preserve">The TMA </w:t>
      </w:r>
      <w:r w:rsidR="00D21664">
        <w:t>R</w:t>
      </w:r>
      <w:r w:rsidR="001907F2">
        <w:t xml:space="preserve">egistry included </w:t>
      </w:r>
      <w:r w:rsidR="001907F2" w:rsidRPr="001907F2">
        <w:t>72 patients with aHUS, with a median follow-up time of 28 months and total follow-up of 1,940 patient months.</w:t>
      </w:r>
      <w:r w:rsidR="001907F2">
        <w:t xml:space="preserve"> </w:t>
      </w:r>
      <w:r w:rsidR="006B29FF">
        <w:t>The PBAC note</w:t>
      </w:r>
      <w:r w:rsidR="001907F2">
        <w:t>d</w:t>
      </w:r>
      <w:r w:rsidR="006B29FF">
        <w:t xml:space="preserve"> the higher proportion of paediatric patients compared to the 2020 </w:t>
      </w:r>
      <w:r w:rsidR="001907F2">
        <w:t>DUSC review</w:t>
      </w:r>
      <w:r w:rsidR="006B29FF">
        <w:t xml:space="preserve"> (26.4% of patient weighed less than </w:t>
      </w:r>
      <w:r w:rsidR="001907F2">
        <w:t>40 kg in the TMA registry compared to 9.6% from the 2020 DUSC review).</w:t>
      </w:r>
    </w:p>
    <w:p w14:paraId="1B423B86" w14:textId="531FB81D" w:rsidR="003A4C14" w:rsidRDefault="00B50DB8" w:rsidP="003A4C14">
      <w:pPr>
        <w:pStyle w:val="2-SectionHeading"/>
      </w:pPr>
      <w:bookmarkStart w:id="10" w:name="_Toc121991256"/>
      <w:bookmarkStart w:id="11" w:name="_Toc107902078"/>
      <w:bookmarkStart w:id="12" w:name="_Toc124929656"/>
      <w:bookmarkEnd w:id="10"/>
      <w:bookmarkEnd w:id="11"/>
      <w:r w:rsidRPr="00407F2D">
        <w:lastRenderedPageBreak/>
        <w:t xml:space="preserve">Requested </w:t>
      </w:r>
      <w:proofErr w:type="gramStart"/>
      <w:r w:rsidRPr="00407F2D">
        <w:t>listing</w:t>
      </w:r>
      <w:bookmarkEnd w:id="12"/>
      <w:proofErr w:type="gramEnd"/>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2"/>
        <w:gridCol w:w="2198"/>
        <w:gridCol w:w="850"/>
        <w:gridCol w:w="811"/>
        <w:gridCol w:w="2094"/>
        <w:gridCol w:w="992"/>
      </w:tblGrid>
      <w:tr w:rsidR="002478E7" w:rsidRPr="001428E9" w14:paraId="73E16E29" w14:textId="77777777" w:rsidTr="00921407">
        <w:trPr>
          <w:cantSplit/>
          <w:trHeight w:val="20"/>
        </w:trPr>
        <w:tc>
          <w:tcPr>
            <w:tcW w:w="2122" w:type="dxa"/>
            <w:vAlign w:val="center"/>
          </w:tcPr>
          <w:p w14:paraId="4660296B" w14:textId="77777777" w:rsidR="00046D64" w:rsidRPr="001428E9" w:rsidRDefault="00046D64" w:rsidP="002478E7">
            <w:pPr>
              <w:keepNext/>
              <w:keepLines/>
              <w:rPr>
                <w:rFonts w:ascii="Arial Narrow" w:hAnsi="Arial Narrow"/>
                <w:b/>
                <w:bCs/>
                <w:sz w:val="20"/>
                <w:szCs w:val="20"/>
              </w:rPr>
            </w:pPr>
            <w:bookmarkStart w:id="13" w:name="_Hlk104809055"/>
            <w:r w:rsidRPr="001428E9">
              <w:rPr>
                <w:rFonts w:ascii="Arial Narrow" w:hAnsi="Arial Narrow"/>
                <w:b/>
                <w:bCs/>
                <w:sz w:val="20"/>
                <w:szCs w:val="20"/>
              </w:rPr>
              <w:t>MEDICINAL PRODUCT</w:t>
            </w:r>
          </w:p>
          <w:p w14:paraId="7221C2FD" w14:textId="77777777" w:rsidR="00046D64" w:rsidRPr="001428E9" w:rsidRDefault="00046D64" w:rsidP="002478E7">
            <w:pPr>
              <w:keepNext/>
              <w:keepLines/>
              <w:rPr>
                <w:rFonts w:ascii="Arial Narrow" w:hAnsi="Arial Narrow"/>
                <w:b/>
                <w:sz w:val="20"/>
                <w:szCs w:val="20"/>
              </w:rPr>
            </w:pPr>
            <w:r w:rsidRPr="001428E9">
              <w:rPr>
                <w:rFonts w:ascii="Arial Narrow" w:hAnsi="Arial Narrow"/>
                <w:b/>
                <w:bCs/>
                <w:sz w:val="20"/>
                <w:szCs w:val="20"/>
              </w:rPr>
              <w:t>medicinal product pack</w:t>
            </w:r>
          </w:p>
        </w:tc>
        <w:tc>
          <w:tcPr>
            <w:tcW w:w="2198" w:type="dxa"/>
            <w:vAlign w:val="center"/>
          </w:tcPr>
          <w:p w14:paraId="14424AF1" w14:textId="6208AE95" w:rsidR="00046D64" w:rsidRPr="00C61A59" w:rsidRDefault="00C61A59" w:rsidP="002478E7">
            <w:pPr>
              <w:pStyle w:val="TableText0"/>
              <w:jc w:val="center"/>
              <w:rPr>
                <w:b/>
                <w:bCs w:val="0"/>
                <w:szCs w:val="20"/>
              </w:rPr>
            </w:pPr>
            <w:r w:rsidRPr="00C61A59">
              <w:rPr>
                <w:b/>
                <w:bCs w:val="0"/>
                <w:snapToGrid w:val="0"/>
              </w:rPr>
              <w:t xml:space="preserve">Dispensed Price for Max. </w:t>
            </w:r>
            <w:r w:rsidR="00203AC4">
              <w:rPr>
                <w:b/>
                <w:bCs w:val="0"/>
                <w:snapToGrid w:val="0"/>
              </w:rPr>
              <w:t>Amount</w:t>
            </w:r>
          </w:p>
        </w:tc>
        <w:tc>
          <w:tcPr>
            <w:tcW w:w="850" w:type="dxa"/>
            <w:vAlign w:val="center"/>
          </w:tcPr>
          <w:p w14:paraId="4E41A9BC" w14:textId="0E3A90D0" w:rsidR="00046D64" w:rsidRPr="001428E9" w:rsidRDefault="00046D64" w:rsidP="002478E7">
            <w:pPr>
              <w:keepNext/>
              <w:keepLines/>
              <w:jc w:val="center"/>
              <w:rPr>
                <w:rFonts w:ascii="Arial Narrow" w:hAnsi="Arial Narrow"/>
                <w:b/>
                <w:sz w:val="20"/>
                <w:szCs w:val="20"/>
              </w:rPr>
            </w:pPr>
            <w:r w:rsidRPr="001428E9">
              <w:rPr>
                <w:rFonts w:ascii="Arial Narrow" w:hAnsi="Arial Narrow"/>
                <w:b/>
                <w:sz w:val="20"/>
                <w:szCs w:val="20"/>
              </w:rPr>
              <w:t>Max. qty packs</w:t>
            </w:r>
          </w:p>
        </w:tc>
        <w:tc>
          <w:tcPr>
            <w:tcW w:w="811" w:type="dxa"/>
            <w:vAlign w:val="center"/>
          </w:tcPr>
          <w:p w14:paraId="48197540" w14:textId="77777777" w:rsidR="00046D64" w:rsidRPr="001428E9" w:rsidRDefault="00046D64" w:rsidP="002478E7">
            <w:pPr>
              <w:keepNext/>
              <w:keepLines/>
              <w:jc w:val="center"/>
              <w:rPr>
                <w:rFonts w:ascii="Arial Narrow" w:hAnsi="Arial Narrow"/>
                <w:b/>
                <w:sz w:val="20"/>
                <w:szCs w:val="20"/>
              </w:rPr>
            </w:pPr>
            <w:r w:rsidRPr="001428E9">
              <w:rPr>
                <w:rFonts w:ascii="Arial Narrow" w:hAnsi="Arial Narrow"/>
                <w:b/>
                <w:sz w:val="20"/>
                <w:szCs w:val="20"/>
              </w:rPr>
              <w:t>Max. qty units</w:t>
            </w:r>
          </w:p>
        </w:tc>
        <w:tc>
          <w:tcPr>
            <w:tcW w:w="2094" w:type="dxa"/>
            <w:vAlign w:val="center"/>
          </w:tcPr>
          <w:p w14:paraId="13B3FDEE" w14:textId="77777777" w:rsidR="00046D64" w:rsidRPr="001428E9" w:rsidRDefault="00046D64" w:rsidP="002478E7">
            <w:pPr>
              <w:keepNext/>
              <w:keepLines/>
              <w:jc w:val="center"/>
              <w:rPr>
                <w:rFonts w:ascii="Arial Narrow" w:hAnsi="Arial Narrow"/>
                <w:b/>
                <w:sz w:val="20"/>
                <w:szCs w:val="20"/>
              </w:rPr>
            </w:pPr>
            <w:proofErr w:type="gramStart"/>
            <w:r w:rsidRPr="001428E9">
              <w:rPr>
                <w:rFonts w:ascii="Arial Narrow" w:hAnsi="Arial Narrow"/>
                <w:b/>
                <w:sz w:val="20"/>
                <w:szCs w:val="20"/>
              </w:rPr>
              <w:t>№.of</w:t>
            </w:r>
            <w:proofErr w:type="gramEnd"/>
          </w:p>
          <w:p w14:paraId="7B215997" w14:textId="77777777" w:rsidR="00046D64" w:rsidRPr="001428E9" w:rsidRDefault="00046D64" w:rsidP="002478E7">
            <w:pPr>
              <w:keepNext/>
              <w:keepLines/>
              <w:jc w:val="center"/>
              <w:rPr>
                <w:rFonts w:ascii="Arial Narrow" w:hAnsi="Arial Narrow"/>
                <w:b/>
                <w:sz w:val="20"/>
                <w:szCs w:val="20"/>
              </w:rPr>
            </w:pPr>
            <w:r w:rsidRPr="001428E9">
              <w:rPr>
                <w:rFonts w:ascii="Arial Narrow" w:hAnsi="Arial Narrow"/>
                <w:b/>
                <w:sz w:val="20"/>
                <w:szCs w:val="20"/>
              </w:rPr>
              <w:t>Rpts</w:t>
            </w:r>
          </w:p>
        </w:tc>
        <w:tc>
          <w:tcPr>
            <w:tcW w:w="992" w:type="dxa"/>
            <w:vAlign w:val="center"/>
          </w:tcPr>
          <w:p w14:paraId="4976F6A8" w14:textId="77777777" w:rsidR="00046D64" w:rsidRPr="001428E9" w:rsidRDefault="00046D64" w:rsidP="002478E7">
            <w:pPr>
              <w:keepNext/>
              <w:keepLines/>
              <w:jc w:val="center"/>
              <w:rPr>
                <w:rFonts w:ascii="Arial Narrow" w:hAnsi="Arial Narrow"/>
                <w:b/>
                <w:sz w:val="20"/>
                <w:szCs w:val="20"/>
                <w:lang w:val="fr-FR"/>
              </w:rPr>
            </w:pPr>
            <w:r w:rsidRPr="001428E9">
              <w:rPr>
                <w:rFonts w:ascii="Arial Narrow" w:hAnsi="Arial Narrow"/>
                <w:b/>
                <w:sz w:val="20"/>
                <w:szCs w:val="20"/>
              </w:rPr>
              <w:t>Available brands</w:t>
            </w:r>
          </w:p>
        </w:tc>
      </w:tr>
      <w:tr w:rsidR="002478E7" w:rsidRPr="001428E9" w14:paraId="40C1AD8E" w14:textId="77777777" w:rsidTr="002478E7">
        <w:trPr>
          <w:cantSplit/>
          <w:trHeight w:val="20"/>
        </w:trPr>
        <w:tc>
          <w:tcPr>
            <w:tcW w:w="9067" w:type="dxa"/>
            <w:gridSpan w:val="6"/>
            <w:vAlign w:val="center"/>
          </w:tcPr>
          <w:p w14:paraId="2A4C00A6" w14:textId="37B7C2BC" w:rsidR="00046D64" w:rsidRPr="001428E9" w:rsidRDefault="00203AC4" w:rsidP="002478E7">
            <w:pPr>
              <w:pStyle w:val="TableText0"/>
              <w:rPr>
                <w:rFonts w:cs="Arial"/>
                <w:szCs w:val="20"/>
              </w:rPr>
            </w:pPr>
            <w:r>
              <w:rPr>
                <w:smallCaps/>
              </w:rPr>
              <w:t>Ravulizumab</w:t>
            </w:r>
            <w:r w:rsidR="00A2021E">
              <w:t xml:space="preserve"> </w:t>
            </w:r>
          </w:p>
        </w:tc>
      </w:tr>
      <w:tr w:rsidR="002478E7" w:rsidRPr="001428E9" w14:paraId="1DC2CC67" w14:textId="77777777" w:rsidTr="00921407">
        <w:trPr>
          <w:cantSplit/>
          <w:trHeight w:val="20"/>
        </w:trPr>
        <w:tc>
          <w:tcPr>
            <w:tcW w:w="2122" w:type="dxa"/>
            <w:vAlign w:val="center"/>
          </w:tcPr>
          <w:p w14:paraId="1D050CA5" w14:textId="3EF3AB6C" w:rsidR="002D4502" w:rsidRDefault="00A23C65" w:rsidP="002478E7">
            <w:pPr>
              <w:pStyle w:val="TableText0"/>
              <w:keepLines/>
            </w:pPr>
            <w:r>
              <w:t>R</w:t>
            </w:r>
            <w:r w:rsidR="002D4502" w:rsidRPr="002D4502">
              <w:t>avulizumab 300 mg/3 mL injection, 3 mL vial</w:t>
            </w:r>
          </w:p>
          <w:p w14:paraId="001CD85D" w14:textId="77777777" w:rsidR="002D4502" w:rsidRDefault="002D4502" w:rsidP="002478E7">
            <w:pPr>
              <w:pStyle w:val="TableText0"/>
              <w:keepLines/>
            </w:pPr>
          </w:p>
          <w:p w14:paraId="612C04D7" w14:textId="31531ADC" w:rsidR="002C36E3" w:rsidRPr="003A4C14" w:rsidRDefault="002C36E3" w:rsidP="002478E7">
            <w:pPr>
              <w:keepNext/>
              <w:keepLines/>
              <w:rPr>
                <w:rFonts w:ascii="Arial Narrow" w:hAnsi="Arial Narrow"/>
                <w:color w:val="0066FF"/>
                <w:sz w:val="20"/>
                <w:szCs w:val="20"/>
              </w:rPr>
            </w:pPr>
            <w:r w:rsidRPr="003A4C14">
              <w:rPr>
                <w:rFonts w:ascii="Arial Narrow" w:hAnsi="Arial Narrow"/>
                <w:color w:val="0066FF"/>
                <w:sz w:val="20"/>
                <w:szCs w:val="20"/>
              </w:rPr>
              <w:t xml:space="preserve"> </w:t>
            </w:r>
          </w:p>
        </w:tc>
        <w:tc>
          <w:tcPr>
            <w:tcW w:w="2198" w:type="dxa"/>
          </w:tcPr>
          <w:p w14:paraId="71B585C9" w14:textId="77777777" w:rsidR="002D4502" w:rsidRPr="002D4502" w:rsidRDefault="002D4502" w:rsidP="002478E7">
            <w:pPr>
              <w:pStyle w:val="TableText0"/>
              <w:jc w:val="center"/>
              <w:rPr>
                <w:szCs w:val="20"/>
              </w:rPr>
            </w:pPr>
            <w:r w:rsidRPr="002D4502">
              <w:rPr>
                <w:szCs w:val="20"/>
              </w:rPr>
              <w:t>Private: $6,621.94</w:t>
            </w:r>
          </w:p>
          <w:p w14:paraId="5BDA6F19" w14:textId="77777777" w:rsidR="002D4502" w:rsidRPr="002D4502" w:rsidRDefault="002D4502" w:rsidP="002478E7">
            <w:pPr>
              <w:pStyle w:val="TableText0"/>
              <w:jc w:val="center"/>
              <w:rPr>
                <w:szCs w:val="20"/>
              </w:rPr>
            </w:pPr>
            <w:r w:rsidRPr="002D4502">
              <w:rPr>
                <w:szCs w:val="20"/>
              </w:rPr>
              <w:t>Public: $6,574.12</w:t>
            </w:r>
          </w:p>
          <w:p w14:paraId="65E4EE51" w14:textId="77777777" w:rsidR="002D4502" w:rsidRPr="002D4502" w:rsidRDefault="002D4502" w:rsidP="002478E7">
            <w:pPr>
              <w:pStyle w:val="TableText0"/>
              <w:jc w:val="center"/>
              <w:rPr>
                <w:szCs w:val="20"/>
              </w:rPr>
            </w:pPr>
            <w:r w:rsidRPr="002D4502">
              <w:rPr>
                <w:szCs w:val="20"/>
              </w:rPr>
              <w:t>(</w:t>
            </w:r>
            <w:proofErr w:type="gramStart"/>
            <w:r w:rsidRPr="002D4502">
              <w:rPr>
                <w:szCs w:val="20"/>
              </w:rPr>
              <w:t>published</w:t>
            </w:r>
            <w:proofErr w:type="gramEnd"/>
            <w:r w:rsidRPr="002D4502">
              <w:rPr>
                <w:szCs w:val="20"/>
              </w:rPr>
              <w:t xml:space="preserve"> prices)</w:t>
            </w:r>
          </w:p>
          <w:p w14:paraId="1A978A45" w14:textId="77777777" w:rsidR="002D4502" w:rsidRPr="002D4502" w:rsidRDefault="002D4502" w:rsidP="002478E7">
            <w:pPr>
              <w:pStyle w:val="TableText0"/>
              <w:jc w:val="center"/>
              <w:rPr>
                <w:szCs w:val="20"/>
              </w:rPr>
            </w:pPr>
          </w:p>
          <w:p w14:paraId="42A041AC" w14:textId="617ACCBF" w:rsidR="002D4502" w:rsidRPr="002D4502" w:rsidRDefault="002D4502" w:rsidP="002478E7">
            <w:pPr>
              <w:pStyle w:val="TableText0"/>
              <w:jc w:val="center"/>
              <w:rPr>
                <w:szCs w:val="20"/>
              </w:rPr>
            </w:pPr>
            <w:r w:rsidRPr="002D4502">
              <w:rPr>
                <w:szCs w:val="20"/>
              </w:rPr>
              <w:t>Private: $</w:t>
            </w:r>
            <w:r w:rsidR="00C47128" w:rsidRPr="003F6C25">
              <w:rPr>
                <w:rFonts w:hint="eastAsia"/>
                <w:color w:val="000000"/>
                <w:w w:val="33"/>
                <w:szCs w:val="20"/>
                <w:shd w:val="solid" w:color="000000" w:fill="000000"/>
                <w:fitText w:val="150" w:id="-1236585984"/>
                <w14:textFill>
                  <w14:solidFill>
                    <w14:srgbClr w14:val="000000">
                      <w14:alpha w14:val="100000"/>
                    </w14:srgbClr>
                  </w14:solidFill>
                </w14:textFill>
              </w:rPr>
              <w:t xml:space="preserve">　</w:t>
            </w:r>
            <w:r w:rsidR="00C47128" w:rsidRPr="003F6C25">
              <w:rPr>
                <w:color w:val="000000"/>
                <w:w w:val="33"/>
                <w:szCs w:val="20"/>
                <w:shd w:val="solid" w:color="000000" w:fill="000000"/>
                <w:fitText w:val="150" w:id="-1236585984"/>
                <w14:textFill>
                  <w14:solidFill>
                    <w14:srgbClr w14:val="000000">
                      <w14:alpha w14:val="100000"/>
                    </w14:srgbClr>
                  </w14:solidFill>
                </w14:textFill>
              </w:rPr>
              <w:t>|</w:t>
            </w:r>
            <w:r w:rsidR="00C47128" w:rsidRPr="003F6C25">
              <w:rPr>
                <w:rFonts w:hint="eastAsia"/>
                <w:color w:val="000000"/>
                <w:spacing w:val="4"/>
                <w:w w:val="33"/>
                <w:szCs w:val="20"/>
                <w:shd w:val="solid" w:color="000000" w:fill="000000"/>
                <w:fitText w:val="150" w:id="-1236585984"/>
                <w14:textFill>
                  <w14:solidFill>
                    <w14:srgbClr w14:val="000000">
                      <w14:alpha w14:val="100000"/>
                    </w14:srgbClr>
                  </w14:solidFill>
                </w14:textFill>
              </w:rPr>
              <w:t xml:space="preserve">　</w:t>
            </w:r>
          </w:p>
          <w:p w14:paraId="19043DB3" w14:textId="61F0F9C9" w:rsidR="002D4502" w:rsidRPr="002D4502" w:rsidRDefault="002D4502" w:rsidP="002478E7">
            <w:pPr>
              <w:pStyle w:val="TableText0"/>
              <w:jc w:val="center"/>
              <w:rPr>
                <w:szCs w:val="20"/>
              </w:rPr>
            </w:pPr>
            <w:r w:rsidRPr="002D4502">
              <w:rPr>
                <w:szCs w:val="20"/>
              </w:rPr>
              <w:t>Public: $</w:t>
            </w:r>
            <w:r w:rsidR="00C47128" w:rsidRPr="00497513">
              <w:rPr>
                <w:rFonts w:hint="eastAsia"/>
                <w:color w:val="000000"/>
                <w:w w:val="28"/>
                <w:szCs w:val="20"/>
                <w:shd w:val="solid" w:color="000000" w:fill="000000"/>
                <w:fitText w:val="125" w:id="-1236585983"/>
                <w14:textFill>
                  <w14:solidFill>
                    <w14:srgbClr w14:val="000000">
                      <w14:alpha w14:val="100000"/>
                    </w14:srgbClr>
                  </w14:solidFill>
                </w14:textFill>
              </w:rPr>
              <w:t xml:space="preserve">　</w:t>
            </w:r>
            <w:r w:rsidR="00C47128" w:rsidRPr="00497513">
              <w:rPr>
                <w:color w:val="000000"/>
                <w:w w:val="28"/>
                <w:szCs w:val="20"/>
                <w:shd w:val="solid" w:color="000000" w:fill="000000"/>
                <w:fitText w:val="125" w:id="-1236585983"/>
                <w14:textFill>
                  <w14:solidFill>
                    <w14:srgbClr w14:val="000000">
                      <w14:alpha w14:val="100000"/>
                    </w14:srgbClr>
                  </w14:solidFill>
                </w14:textFill>
              </w:rPr>
              <w:t>|</w:t>
            </w:r>
            <w:r w:rsidR="00C47128" w:rsidRPr="00497513">
              <w:rPr>
                <w:rFonts w:hint="eastAsia"/>
                <w:color w:val="000000"/>
                <w:spacing w:val="3"/>
                <w:w w:val="28"/>
                <w:szCs w:val="20"/>
                <w:shd w:val="solid" w:color="000000" w:fill="000000"/>
                <w:fitText w:val="125" w:id="-1236585983"/>
                <w14:textFill>
                  <w14:solidFill>
                    <w14:srgbClr w14:val="000000">
                      <w14:alpha w14:val="100000"/>
                    </w14:srgbClr>
                  </w14:solidFill>
                </w14:textFill>
              </w:rPr>
              <w:t xml:space="preserve">　</w:t>
            </w:r>
          </w:p>
          <w:p w14:paraId="70C2874A" w14:textId="52BFCA2D" w:rsidR="002C36E3" w:rsidRPr="001428E9" w:rsidRDefault="002D4502" w:rsidP="002478E7">
            <w:pPr>
              <w:pStyle w:val="TableText0"/>
              <w:jc w:val="center"/>
              <w:rPr>
                <w:szCs w:val="20"/>
              </w:rPr>
            </w:pPr>
            <w:r w:rsidRPr="002D4502">
              <w:rPr>
                <w:szCs w:val="20"/>
              </w:rPr>
              <w:t>(</w:t>
            </w:r>
            <w:proofErr w:type="gramStart"/>
            <w:r w:rsidRPr="002D4502">
              <w:rPr>
                <w:szCs w:val="20"/>
              </w:rPr>
              <w:t>effective</w:t>
            </w:r>
            <w:proofErr w:type="gramEnd"/>
            <w:r w:rsidRPr="002D4502">
              <w:rPr>
                <w:szCs w:val="20"/>
              </w:rPr>
              <w:t xml:space="preserve"> prices)</w:t>
            </w:r>
          </w:p>
        </w:tc>
        <w:tc>
          <w:tcPr>
            <w:tcW w:w="850" w:type="dxa"/>
            <w:vAlign w:val="center"/>
          </w:tcPr>
          <w:p w14:paraId="71CD2441" w14:textId="079549C5" w:rsidR="002C36E3" w:rsidRPr="001428E9" w:rsidRDefault="002D4502" w:rsidP="002478E7">
            <w:pPr>
              <w:keepNext/>
              <w:keepLines/>
              <w:jc w:val="center"/>
              <w:rPr>
                <w:rFonts w:ascii="Arial Narrow" w:hAnsi="Arial Narrow"/>
                <w:sz w:val="20"/>
                <w:szCs w:val="20"/>
              </w:rPr>
            </w:pPr>
            <w:r>
              <w:rPr>
                <w:rFonts w:ascii="Arial Narrow" w:hAnsi="Arial Narrow"/>
                <w:sz w:val="20"/>
              </w:rPr>
              <w:t>1</w:t>
            </w:r>
          </w:p>
        </w:tc>
        <w:tc>
          <w:tcPr>
            <w:tcW w:w="811" w:type="dxa"/>
            <w:vAlign w:val="center"/>
          </w:tcPr>
          <w:p w14:paraId="65F4D3E9" w14:textId="78318DD0" w:rsidR="002C36E3" w:rsidRPr="001428E9" w:rsidRDefault="002D4502" w:rsidP="002478E7">
            <w:pPr>
              <w:keepNext/>
              <w:keepLines/>
              <w:jc w:val="center"/>
              <w:rPr>
                <w:rFonts w:ascii="Arial Narrow" w:hAnsi="Arial Narrow"/>
                <w:sz w:val="20"/>
                <w:szCs w:val="20"/>
              </w:rPr>
            </w:pPr>
            <w:r>
              <w:rPr>
                <w:rFonts w:ascii="Arial Narrow" w:hAnsi="Arial Narrow"/>
                <w:sz w:val="20"/>
              </w:rPr>
              <w:t>1</w:t>
            </w:r>
          </w:p>
        </w:tc>
        <w:tc>
          <w:tcPr>
            <w:tcW w:w="2094" w:type="dxa"/>
            <w:vAlign w:val="center"/>
          </w:tcPr>
          <w:p w14:paraId="142C9E36" w14:textId="77777777" w:rsidR="002D4502" w:rsidRPr="002D4502" w:rsidRDefault="002D4502" w:rsidP="001376A6">
            <w:pPr>
              <w:keepNext/>
              <w:keepLines/>
              <w:jc w:val="center"/>
              <w:rPr>
                <w:rFonts w:ascii="Arial Narrow" w:hAnsi="Arial Narrow"/>
                <w:sz w:val="20"/>
                <w:szCs w:val="20"/>
              </w:rPr>
            </w:pPr>
            <w:r w:rsidRPr="002D4502">
              <w:rPr>
                <w:rFonts w:ascii="Arial Narrow" w:hAnsi="Arial Narrow"/>
                <w:sz w:val="20"/>
                <w:szCs w:val="20"/>
              </w:rPr>
              <w:t>Initial (new patient): 0</w:t>
            </w:r>
          </w:p>
          <w:p w14:paraId="0EBE45B4" w14:textId="77777777" w:rsidR="002D4502" w:rsidRPr="002D4502" w:rsidRDefault="002D4502" w:rsidP="001376A6">
            <w:pPr>
              <w:keepNext/>
              <w:keepLines/>
              <w:jc w:val="center"/>
              <w:rPr>
                <w:rFonts w:ascii="Arial Narrow" w:hAnsi="Arial Narrow"/>
                <w:sz w:val="20"/>
                <w:szCs w:val="20"/>
              </w:rPr>
            </w:pPr>
            <w:r w:rsidRPr="002D4502">
              <w:rPr>
                <w:rFonts w:ascii="Arial Narrow" w:hAnsi="Arial Narrow"/>
                <w:sz w:val="20"/>
                <w:szCs w:val="20"/>
              </w:rPr>
              <w:t>Initial balance of supply: 2</w:t>
            </w:r>
          </w:p>
          <w:p w14:paraId="3484B3D4" w14:textId="77777777" w:rsidR="002D4502" w:rsidRPr="002D4502" w:rsidRDefault="002D4502" w:rsidP="001376A6">
            <w:pPr>
              <w:keepNext/>
              <w:keepLines/>
              <w:jc w:val="center"/>
              <w:rPr>
                <w:rFonts w:ascii="Arial Narrow" w:hAnsi="Arial Narrow"/>
                <w:sz w:val="20"/>
                <w:szCs w:val="20"/>
              </w:rPr>
            </w:pPr>
            <w:r w:rsidRPr="002D4502">
              <w:rPr>
                <w:rFonts w:ascii="Arial Narrow" w:hAnsi="Arial Narrow"/>
                <w:sz w:val="20"/>
                <w:szCs w:val="20"/>
              </w:rPr>
              <w:t>Initial (switch patient) Extended continuing / recommencement: 3</w:t>
            </w:r>
          </w:p>
          <w:p w14:paraId="7C728D0C" w14:textId="61F390A6" w:rsidR="002C36E3" w:rsidRPr="001428E9" w:rsidRDefault="002D4502" w:rsidP="001376A6">
            <w:pPr>
              <w:keepNext/>
              <w:keepLines/>
              <w:jc w:val="center"/>
              <w:rPr>
                <w:rFonts w:ascii="Arial Narrow" w:hAnsi="Arial Narrow"/>
                <w:sz w:val="20"/>
                <w:szCs w:val="20"/>
              </w:rPr>
            </w:pPr>
            <w:r w:rsidRPr="002D4502">
              <w:rPr>
                <w:rFonts w:ascii="Arial Narrow" w:hAnsi="Arial Narrow"/>
                <w:sz w:val="20"/>
                <w:szCs w:val="20"/>
              </w:rPr>
              <w:t xml:space="preserve">Extended initial &amp; </w:t>
            </w:r>
            <w:proofErr w:type="gramStart"/>
            <w:r w:rsidRPr="002D4502">
              <w:rPr>
                <w:rFonts w:ascii="Arial Narrow" w:hAnsi="Arial Narrow"/>
                <w:sz w:val="20"/>
                <w:szCs w:val="20"/>
              </w:rPr>
              <w:t>continuing:</w:t>
            </w:r>
            <w:proofErr w:type="gramEnd"/>
            <w:r w:rsidRPr="002D4502">
              <w:rPr>
                <w:rFonts w:ascii="Arial Narrow" w:hAnsi="Arial Narrow"/>
                <w:sz w:val="20"/>
                <w:szCs w:val="20"/>
              </w:rPr>
              <w:t xml:space="preserve"> 10</w:t>
            </w:r>
          </w:p>
        </w:tc>
        <w:tc>
          <w:tcPr>
            <w:tcW w:w="992" w:type="dxa"/>
            <w:vAlign w:val="center"/>
          </w:tcPr>
          <w:p w14:paraId="7BEF23E0" w14:textId="16F822DC" w:rsidR="002D4502" w:rsidRPr="00203AC4" w:rsidRDefault="00203AC4" w:rsidP="002478E7">
            <w:pPr>
              <w:keepNext/>
              <w:keepLines/>
              <w:rPr>
                <w:rFonts w:ascii="Arial Narrow" w:hAnsi="Arial Narrow"/>
                <w:sz w:val="20"/>
                <w:szCs w:val="20"/>
              </w:rPr>
            </w:pPr>
            <w:r>
              <w:rPr>
                <w:rFonts w:ascii="Arial Narrow" w:hAnsi="Arial Narrow"/>
                <w:sz w:val="20"/>
                <w:szCs w:val="20"/>
              </w:rPr>
              <w:t>Ultomiris</w:t>
            </w:r>
          </w:p>
          <w:p w14:paraId="519A0BC8" w14:textId="485E12BC" w:rsidR="002C36E3" w:rsidRPr="003A4C14" w:rsidRDefault="002C36E3" w:rsidP="002478E7">
            <w:pPr>
              <w:keepNext/>
              <w:keepLines/>
              <w:rPr>
                <w:rFonts w:ascii="Arial Narrow" w:hAnsi="Arial Narrow"/>
                <w:color w:val="0066FF"/>
                <w:sz w:val="20"/>
                <w:szCs w:val="20"/>
              </w:rPr>
            </w:pPr>
          </w:p>
        </w:tc>
      </w:tr>
      <w:tr w:rsidR="002478E7" w:rsidRPr="001428E9" w14:paraId="0FE79F0E" w14:textId="77777777" w:rsidTr="00921407">
        <w:trPr>
          <w:cantSplit/>
          <w:trHeight w:val="20"/>
        </w:trPr>
        <w:tc>
          <w:tcPr>
            <w:tcW w:w="2122" w:type="dxa"/>
            <w:vAlign w:val="center"/>
          </w:tcPr>
          <w:p w14:paraId="55284F9A" w14:textId="469550F4" w:rsidR="002C36E3" w:rsidRPr="003A4C14" w:rsidRDefault="00A23C65" w:rsidP="002478E7">
            <w:pPr>
              <w:keepNext/>
              <w:keepLines/>
              <w:rPr>
                <w:rFonts w:ascii="Arial Narrow" w:hAnsi="Arial Narrow"/>
                <w:color w:val="0066FF"/>
                <w:sz w:val="20"/>
                <w:szCs w:val="20"/>
              </w:rPr>
            </w:pPr>
            <w:r>
              <w:rPr>
                <w:rFonts w:ascii="Arial Narrow" w:hAnsi="Arial Narrow"/>
                <w:sz w:val="20"/>
                <w:szCs w:val="20"/>
              </w:rPr>
              <w:t>R</w:t>
            </w:r>
            <w:r w:rsidR="00203AC4" w:rsidRPr="00203AC4">
              <w:rPr>
                <w:rFonts w:ascii="Arial Narrow" w:hAnsi="Arial Narrow"/>
                <w:sz w:val="20"/>
                <w:szCs w:val="20"/>
              </w:rPr>
              <w:t>avulizumab 1.1 g/11 mL injection, 11 mL vial</w:t>
            </w:r>
          </w:p>
        </w:tc>
        <w:tc>
          <w:tcPr>
            <w:tcW w:w="2198" w:type="dxa"/>
          </w:tcPr>
          <w:p w14:paraId="6AD80BD7" w14:textId="77777777" w:rsidR="00203AC4" w:rsidRPr="00203AC4" w:rsidRDefault="00203AC4" w:rsidP="002478E7">
            <w:pPr>
              <w:pStyle w:val="TableText0"/>
              <w:jc w:val="center"/>
              <w:rPr>
                <w:szCs w:val="20"/>
              </w:rPr>
            </w:pPr>
            <w:r w:rsidRPr="00203AC4">
              <w:rPr>
                <w:szCs w:val="20"/>
              </w:rPr>
              <w:t>Private: $24,152.93</w:t>
            </w:r>
          </w:p>
          <w:p w14:paraId="7D4B2147" w14:textId="77777777" w:rsidR="00203AC4" w:rsidRPr="00203AC4" w:rsidRDefault="00203AC4" w:rsidP="002478E7">
            <w:pPr>
              <w:pStyle w:val="TableText0"/>
              <w:jc w:val="center"/>
              <w:rPr>
                <w:szCs w:val="20"/>
              </w:rPr>
            </w:pPr>
            <w:r w:rsidRPr="00203AC4">
              <w:rPr>
                <w:szCs w:val="20"/>
              </w:rPr>
              <w:t>Public: $24,105.11</w:t>
            </w:r>
          </w:p>
          <w:p w14:paraId="46488978" w14:textId="77777777" w:rsidR="00203AC4" w:rsidRPr="00203AC4" w:rsidRDefault="00203AC4" w:rsidP="002478E7">
            <w:pPr>
              <w:pStyle w:val="TableText0"/>
              <w:jc w:val="center"/>
              <w:rPr>
                <w:szCs w:val="20"/>
              </w:rPr>
            </w:pPr>
            <w:r w:rsidRPr="00203AC4">
              <w:rPr>
                <w:szCs w:val="20"/>
              </w:rPr>
              <w:t>(</w:t>
            </w:r>
            <w:proofErr w:type="gramStart"/>
            <w:r w:rsidRPr="00203AC4">
              <w:rPr>
                <w:szCs w:val="20"/>
              </w:rPr>
              <w:t>published</w:t>
            </w:r>
            <w:proofErr w:type="gramEnd"/>
            <w:r w:rsidRPr="00203AC4">
              <w:rPr>
                <w:szCs w:val="20"/>
              </w:rPr>
              <w:t xml:space="preserve"> prices)</w:t>
            </w:r>
          </w:p>
          <w:p w14:paraId="67CE90FD" w14:textId="77777777" w:rsidR="00203AC4" w:rsidRPr="00203AC4" w:rsidRDefault="00203AC4" w:rsidP="002478E7">
            <w:pPr>
              <w:pStyle w:val="TableText0"/>
              <w:jc w:val="center"/>
              <w:rPr>
                <w:szCs w:val="20"/>
              </w:rPr>
            </w:pPr>
          </w:p>
          <w:p w14:paraId="7A9D364A" w14:textId="20B2B875" w:rsidR="00203AC4" w:rsidRPr="00203AC4" w:rsidRDefault="00203AC4" w:rsidP="002478E7">
            <w:pPr>
              <w:pStyle w:val="TableText0"/>
              <w:jc w:val="center"/>
              <w:rPr>
                <w:szCs w:val="20"/>
              </w:rPr>
            </w:pPr>
            <w:r w:rsidRPr="00203AC4">
              <w:rPr>
                <w:szCs w:val="20"/>
              </w:rPr>
              <w:t>Private: $</w:t>
            </w:r>
            <w:r w:rsidR="00C47128" w:rsidRPr="003F6C25">
              <w:rPr>
                <w:rFonts w:hint="eastAsia"/>
                <w:color w:val="000000"/>
                <w:w w:val="33"/>
                <w:szCs w:val="20"/>
                <w:shd w:val="solid" w:color="000000" w:fill="000000"/>
                <w:fitText w:val="150" w:id="-1236585982"/>
                <w14:textFill>
                  <w14:solidFill>
                    <w14:srgbClr w14:val="000000">
                      <w14:alpha w14:val="100000"/>
                    </w14:srgbClr>
                  </w14:solidFill>
                </w14:textFill>
              </w:rPr>
              <w:t xml:space="preserve">　</w:t>
            </w:r>
            <w:r w:rsidR="00C47128" w:rsidRPr="003F6C25">
              <w:rPr>
                <w:color w:val="000000"/>
                <w:w w:val="33"/>
                <w:szCs w:val="20"/>
                <w:shd w:val="solid" w:color="000000" w:fill="000000"/>
                <w:fitText w:val="150" w:id="-1236585982"/>
                <w14:textFill>
                  <w14:solidFill>
                    <w14:srgbClr w14:val="000000">
                      <w14:alpha w14:val="100000"/>
                    </w14:srgbClr>
                  </w14:solidFill>
                </w14:textFill>
              </w:rPr>
              <w:t>|</w:t>
            </w:r>
            <w:r w:rsidR="00C47128" w:rsidRPr="003F6C25">
              <w:rPr>
                <w:rFonts w:hint="eastAsia"/>
                <w:color w:val="000000"/>
                <w:spacing w:val="4"/>
                <w:w w:val="33"/>
                <w:szCs w:val="20"/>
                <w:shd w:val="solid" w:color="000000" w:fill="000000"/>
                <w:fitText w:val="150" w:id="-1236585982"/>
                <w14:textFill>
                  <w14:solidFill>
                    <w14:srgbClr w14:val="000000">
                      <w14:alpha w14:val="100000"/>
                    </w14:srgbClr>
                  </w14:solidFill>
                </w14:textFill>
              </w:rPr>
              <w:t xml:space="preserve">　</w:t>
            </w:r>
          </w:p>
          <w:p w14:paraId="7C38A2CD" w14:textId="304DD8F0" w:rsidR="00203AC4" w:rsidRPr="00203AC4" w:rsidRDefault="00203AC4" w:rsidP="002478E7">
            <w:pPr>
              <w:pStyle w:val="TableText0"/>
              <w:jc w:val="center"/>
              <w:rPr>
                <w:szCs w:val="20"/>
              </w:rPr>
            </w:pPr>
            <w:r w:rsidRPr="00203AC4">
              <w:rPr>
                <w:szCs w:val="20"/>
              </w:rPr>
              <w:t>Public: $</w:t>
            </w:r>
            <w:r w:rsidR="00C47128" w:rsidRPr="003F6C25">
              <w:rPr>
                <w:rFonts w:hint="eastAsia"/>
                <w:color w:val="000000"/>
                <w:spacing w:val="7"/>
                <w:w w:val="25"/>
                <w:szCs w:val="20"/>
                <w:shd w:val="solid" w:color="000000" w:fill="000000"/>
                <w:fitText w:val="125" w:id="-1236585981"/>
                <w14:textFill>
                  <w14:solidFill>
                    <w14:srgbClr w14:val="000000">
                      <w14:alpha w14:val="100000"/>
                    </w14:srgbClr>
                  </w14:solidFill>
                </w14:textFill>
              </w:rPr>
              <w:t xml:space="preserve">　</w:t>
            </w:r>
            <w:r w:rsidR="00C47128" w:rsidRPr="003F6C25">
              <w:rPr>
                <w:color w:val="000000"/>
                <w:spacing w:val="7"/>
                <w:w w:val="25"/>
                <w:szCs w:val="20"/>
                <w:shd w:val="solid" w:color="000000" w:fill="000000"/>
                <w:fitText w:val="125" w:id="-1236585981"/>
                <w14:textFill>
                  <w14:solidFill>
                    <w14:srgbClr w14:val="000000">
                      <w14:alpha w14:val="100000"/>
                    </w14:srgbClr>
                  </w14:solidFill>
                </w14:textFill>
              </w:rPr>
              <w:t>|</w:t>
            </w:r>
            <w:r w:rsidR="00C47128" w:rsidRPr="003F6C25">
              <w:rPr>
                <w:rFonts w:hint="eastAsia"/>
                <w:color w:val="000000"/>
                <w:spacing w:val="1"/>
                <w:w w:val="25"/>
                <w:szCs w:val="20"/>
                <w:shd w:val="solid" w:color="000000" w:fill="000000"/>
                <w:fitText w:val="125" w:id="-1236585981"/>
                <w14:textFill>
                  <w14:solidFill>
                    <w14:srgbClr w14:val="000000">
                      <w14:alpha w14:val="100000"/>
                    </w14:srgbClr>
                  </w14:solidFill>
                </w14:textFill>
              </w:rPr>
              <w:t xml:space="preserve">　</w:t>
            </w:r>
          </w:p>
          <w:p w14:paraId="0682AC07" w14:textId="23CA7E4C" w:rsidR="002C36E3" w:rsidRPr="001428E9" w:rsidRDefault="00203AC4" w:rsidP="002478E7">
            <w:pPr>
              <w:pStyle w:val="TableText0"/>
              <w:jc w:val="center"/>
              <w:rPr>
                <w:szCs w:val="20"/>
              </w:rPr>
            </w:pPr>
            <w:r w:rsidRPr="00203AC4">
              <w:rPr>
                <w:szCs w:val="20"/>
              </w:rPr>
              <w:t>(</w:t>
            </w:r>
            <w:proofErr w:type="gramStart"/>
            <w:r w:rsidRPr="00203AC4">
              <w:rPr>
                <w:szCs w:val="20"/>
              </w:rPr>
              <w:t>effective</w:t>
            </w:r>
            <w:proofErr w:type="gramEnd"/>
            <w:r w:rsidRPr="00203AC4">
              <w:rPr>
                <w:szCs w:val="20"/>
              </w:rPr>
              <w:t xml:space="preserve"> prices)</w:t>
            </w:r>
          </w:p>
        </w:tc>
        <w:tc>
          <w:tcPr>
            <w:tcW w:w="850" w:type="dxa"/>
            <w:vAlign w:val="center"/>
          </w:tcPr>
          <w:p w14:paraId="5E0E3D4A" w14:textId="35B93EE2" w:rsidR="002C36E3" w:rsidRPr="001428E9" w:rsidRDefault="00203AC4" w:rsidP="002478E7">
            <w:pPr>
              <w:keepNext/>
              <w:keepLines/>
              <w:jc w:val="center"/>
              <w:rPr>
                <w:rFonts w:ascii="Arial Narrow" w:hAnsi="Arial Narrow"/>
                <w:sz w:val="20"/>
                <w:szCs w:val="20"/>
              </w:rPr>
            </w:pPr>
            <w:r>
              <w:rPr>
                <w:rFonts w:ascii="Arial Narrow" w:hAnsi="Arial Narrow"/>
                <w:sz w:val="20"/>
              </w:rPr>
              <w:t>1</w:t>
            </w:r>
          </w:p>
        </w:tc>
        <w:tc>
          <w:tcPr>
            <w:tcW w:w="811" w:type="dxa"/>
            <w:vAlign w:val="center"/>
          </w:tcPr>
          <w:p w14:paraId="63523B4A" w14:textId="5A14D187" w:rsidR="002C36E3" w:rsidRPr="001428E9" w:rsidRDefault="00203AC4" w:rsidP="002478E7">
            <w:pPr>
              <w:keepNext/>
              <w:keepLines/>
              <w:jc w:val="center"/>
              <w:rPr>
                <w:rFonts w:ascii="Arial Narrow" w:hAnsi="Arial Narrow"/>
                <w:sz w:val="20"/>
                <w:szCs w:val="20"/>
              </w:rPr>
            </w:pPr>
            <w:r>
              <w:rPr>
                <w:rFonts w:ascii="Arial Narrow" w:hAnsi="Arial Narrow"/>
                <w:sz w:val="20"/>
              </w:rPr>
              <w:t>1</w:t>
            </w:r>
          </w:p>
        </w:tc>
        <w:tc>
          <w:tcPr>
            <w:tcW w:w="2094" w:type="dxa"/>
            <w:vAlign w:val="center"/>
          </w:tcPr>
          <w:p w14:paraId="64B965F0" w14:textId="74B3C93C" w:rsidR="002C36E3" w:rsidRPr="001428E9" w:rsidRDefault="00203AC4" w:rsidP="002478E7">
            <w:pPr>
              <w:keepNext/>
              <w:keepLines/>
              <w:jc w:val="center"/>
              <w:rPr>
                <w:rFonts w:ascii="Arial Narrow" w:hAnsi="Arial Narrow"/>
                <w:sz w:val="20"/>
                <w:szCs w:val="20"/>
              </w:rPr>
            </w:pPr>
            <w:r>
              <w:rPr>
                <w:rFonts w:ascii="Arial Narrow" w:hAnsi="Arial Narrow"/>
                <w:sz w:val="20"/>
              </w:rPr>
              <w:t>As above</w:t>
            </w:r>
          </w:p>
        </w:tc>
        <w:tc>
          <w:tcPr>
            <w:tcW w:w="992" w:type="dxa"/>
            <w:vAlign w:val="center"/>
          </w:tcPr>
          <w:p w14:paraId="2E54A205" w14:textId="77777777" w:rsidR="00203AC4" w:rsidRPr="00203AC4" w:rsidRDefault="00203AC4" w:rsidP="002478E7">
            <w:pPr>
              <w:keepNext/>
              <w:keepLines/>
              <w:rPr>
                <w:rFonts w:ascii="Arial Narrow" w:hAnsi="Arial Narrow"/>
                <w:sz w:val="20"/>
                <w:szCs w:val="20"/>
              </w:rPr>
            </w:pPr>
            <w:r w:rsidRPr="00203AC4">
              <w:rPr>
                <w:rFonts w:ascii="Arial Narrow" w:hAnsi="Arial Narrow"/>
                <w:sz w:val="20"/>
                <w:szCs w:val="20"/>
              </w:rPr>
              <w:t>Ultomiris</w:t>
            </w:r>
          </w:p>
          <w:p w14:paraId="3788A325" w14:textId="08C1EEF5" w:rsidR="002C36E3" w:rsidRPr="003A4C14" w:rsidRDefault="002C36E3" w:rsidP="002478E7">
            <w:pPr>
              <w:keepNext/>
              <w:keepLines/>
              <w:rPr>
                <w:rFonts w:ascii="Arial Narrow" w:hAnsi="Arial Narrow"/>
                <w:color w:val="0066FF"/>
                <w:sz w:val="20"/>
                <w:szCs w:val="20"/>
              </w:rPr>
            </w:pPr>
          </w:p>
        </w:tc>
      </w:tr>
      <w:bookmarkEnd w:id="13"/>
    </w:tbl>
    <w:p w14:paraId="71DB3B58" w14:textId="77777777" w:rsidR="00D41F02" w:rsidRPr="00882085" w:rsidRDefault="00D41F02" w:rsidP="004B1CB4"/>
    <w:p w14:paraId="0CAD68AB" w14:textId="37E60CE9" w:rsidR="001E3CEA" w:rsidRPr="003A48D2" w:rsidRDefault="00645FC9" w:rsidP="00D64D6F">
      <w:pPr>
        <w:pStyle w:val="ListParagraph"/>
        <w:numPr>
          <w:ilvl w:val="1"/>
          <w:numId w:val="1"/>
        </w:numPr>
        <w:ind w:left="720"/>
        <w:rPr>
          <w:rFonts w:cs="Calibri"/>
          <w:bCs/>
        </w:rPr>
      </w:pPr>
      <w:r>
        <w:t xml:space="preserve">The </w:t>
      </w:r>
      <w:r w:rsidR="001D4F13">
        <w:t xml:space="preserve">submissions’ requested </w:t>
      </w:r>
      <w:r>
        <w:t>restrictions</w:t>
      </w:r>
      <w:r w:rsidR="001E3CEA">
        <w:t xml:space="preserve"> </w:t>
      </w:r>
      <w:r w:rsidR="00360E37">
        <w:t>are shown below</w:t>
      </w:r>
      <w:r w:rsidR="004729BE">
        <w:t xml:space="preserve">. </w:t>
      </w:r>
      <w:r w:rsidR="001E3CEA">
        <w:rPr>
          <w:rFonts w:ascii="Calibri" w:hAnsi="Calibri"/>
          <w:lang w:val="en-US"/>
        </w:rPr>
        <w:t xml:space="preserve">The submission used </w:t>
      </w:r>
      <w:r w:rsidR="001E3CEA">
        <w:rPr>
          <w:lang w:val="en-US"/>
        </w:rPr>
        <w:t>t</w:t>
      </w:r>
      <w:r w:rsidR="001E3CEA" w:rsidRPr="00420AF9">
        <w:rPr>
          <w:lang w:val="en-US"/>
        </w:rPr>
        <w:t xml:space="preserve">ext in strikethrough </w:t>
      </w:r>
      <w:r w:rsidR="001E3CEA">
        <w:rPr>
          <w:lang w:val="en-US"/>
        </w:rPr>
        <w:t xml:space="preserve">to </w:t>
      </w:r>
      <w:r w:rsidR="001E3CEA" w:rsidRPr="00420AF9">
        <w:rPr>
          <w:lang w:val="en-US"/>
        </w:rPr>
        <w:t xml:space="preserve">refer to changes and text in red </w:t>
      </w:r>
      <w:r w:rsidR="001E3CEA">
        <w:rPr>
          <w:lang w:val="en-US"/>
        </w:rPr>
        <w:t xml:space="preserve">to </w:t>
      </w:r>
      <w:r w:rsidR="001E3CEA" w:rsidRPr="00420AF9">
        <w:rPr>
          <w:lang w:val="en-US"/>
        </w:rPr>
        <w:t xml:space="preserve">refer to additions compared to the corresponding PBS restriction for eculizumab. </w:t>
      </w:r>
      <w:r w:rsidR="001E3CEA" w:rsidRPr="00420AF9">
        <w:rPr>
          <w:rFonts w:ascii="Calibri" w:hAnsi="Calibri"/>
          <w:lang w:val="en-US"/>
        </w:rPr>
        <w:t xml:space="preserve">Treatment criteria and prescribing instructions </w:t>
      </w:r>
      <w:proofErr w:type="gramStart"/>
      <w:r w:rsidR="001E3CEA" w:rsidRPr="00420AF9">
        <w:rPr>
          <w:rFonts w:ascii="Calibri" w:hAnsi="Calibri"/>
          <w:lang w:val="en-US"/>
        </w:rPr>
        <w:t>are no</w:t>
      </w:r>
      <w:r w:rsidR="001E3CEA">
        <w:rPr>
          <w:rFonts w:ascii="Calibri" w:hAnsi="Calibri"/>
          <w:lang w:val="en-US"/>
        </w:rPr>
        <w:t xml:space="preserve">t </w:t>
      </w:r>
      <w:r w:rsidR="001E3CEA" w:rsidRPr="001E3CEA">
        <w:rPr>
          <w:rFonts w:ascii="Calibri" w:hAnsi="Calibri"/>
          <w:lang w:val="en-US"/>
        </w:rPr>
        <w:t>shown</w:t>
      </w:r>
      <w:proofErr w:type="gramEnd"/>
      <w:r w:rsidR="001D4F13">
        <w:rPr>
          <w:rFonts w:ascii="Calibri" w:hAnsi="Calibri"/>
          <w:lang w:val="en-US"/>
        </w:rPr>
        <w:t xml:space="preserve"> as</w:t>
      </w:r>
      <w:r w:rsidR="001D4F13" w:rsidRPr="001E3CEA">
        <w:rPr>
          <w:rFonts w:ascii="Calibri" w:hAnsi="Calibri"/>
          <w:lang w:val="en-US"/>
        </w:rPr>
        <w:t xml:space="preserve"> </w:t>
      </w:r>
      <w:r w:rsidR="001E3CEA" w:rsidRPr="001E3CEA">
        <w:rPr>
          <w:rFonts w:ascii="Calibri" w:hAnsi="Calibri"/>
          <w:lang w:val="en-US"/>
        </w:rPr>
        <w:t xml:space="preserve">no changes </w:t>
      </w:r>
      <w:r w:rsidR="0060658A">
        <w:rPr>
          <w:rFonts w:ascii="Calibri" w:hAnsi="Calibri"/>
          <w:lang w:val="en-US"/>
        </w:rPr>
        <w:t xml:space="preserve">to </w:t>
      </w:r>
      <w:r w:rsidR="001D4F13">
        <w:rPr>
          <w:rFonts w:ascii="Calibri" w:hAnsi="Calibri"/>
          <w:lang w:val="en-US"/>
        </w:rPr>
        <w:t xml:space="preserve">the </w:t>
      </w:r>
      <w:r w:rsidR="001E3CEA" w:rsidRPr="001E3CEA">
        <w:rPr>
          <w:rFonts w:ascii="Calibri" w:hAnsi="Calibri"/>
          <w:lang w:val="en-US"/>
        </w:rPr>
        <w:t>PBS restriction</w:t>
      </w:r>
      <w:r w:rsidR="001D4F13">
        <w:rPr>
          <w:rFonts w:ascii="Calibri" w:hAnsi="Calibri"/>
          <w:lang w:val="en-US"/>
        </w:rPr>
        <w:t>s</w:t>
      </w:r>
      <w:r w:rsidR="001E3CEA" w:rsidRPr="001E3CEA">
        <w:rPr>
          <w:rFonts w:ascii="Calibri" w:hAnsi="Calibri"/>
          <w:lang w:val="en-US"/>
        </w:rPr>
        <w:t xml:space="preserve"> for eculizumab </w:t>
      </w:r>
      <w:r w:rsidR="00D512F5">
        <w:rPr>
          <w:rFonts w:ascii="Calibri" w:hAnsi="Calibri"/>
          <w:lang w:val="en-US"/>
        </w:rPr>
        <w:t>were</w:t>
      </w:r>
      <w:r w:rsidR="00D512F5" w:rsidRPr="001E3CEA">
        <w:rPr>
          <w:rFonts w:ascii="Calibri" w:hAnsi="Calibri"/>
          <w:lang w:val="en-US"/>
        </w:rPr>
        <w:t xml:space="preserve"> </w:t>
      </w:r>
      <w:r w:rsidR="001E3CEA" w:rsidRPr="001E3CEA">
        <w:rPr>
          <w:rFonts w:ascii="Calibri" w:hAnsi="Calibri"/>
          <w:lang w:val="en-US"/>
        </w:rPr>
        <w:t>requested</w:t>
      </w:r>
      <w:r w:rsidR="001E3CEA" w:rsidRPr="00450F75">
        <w:rPr>
          <w:lang w:val="en-US"/>
        </w:rPr>
        <w:t>.</w:t>
      </w:r>
      <w:r w:rsidR="004729BE" w:rsidRPr="003A48D2">
        <w:rPr>
          <w:iCs/>
        </w:rPr>
        <w:t xml:space="preserve"> </w:t>
      </w:r>
    </w:p>
    <w:p w14:paraId="3A64AD59" w14:textId="5C02D1CB" w:rsidR="001E3CEA" w:rsidRDefault="00040CB5" w:rsidP="00677F6D">
      <w:pPr>
        <w:pStyle w:val="5-SubsectionSubheading"/>
        <w:keepNext w:val="0"/>
        <w:keepLines w:val="0"/>
        <w:spacing w:before="0" w:after="0"/>
      </w:pPr>
      <w:r>
        <w:t>I</w:t>
      </w:r>
      <w:r w:rsidR="001E3CEA">
        <w:t>nitial treatment (new patient)</w:t>
      </w:r>
      <w:r>
        <w:t xml:space="preserve"> &amp; Initial treatment – balance of supply</w:t>
      </w:r>
    </w:p>
    <w:tbl>
      <w:tblPr>
        <w:tblStyle w:val="TableGrid"/>
        <w:tblW w:w="5000" w:type="pct"/>
        <w:tblLook w:val="04A0" w:firstRow="1" w:lastRow="0" w:firstColumn="1" w:lastColumn="0" w:noHBand="0" w:noVBand="1"/>
      </w:tblPr>
      <w:tblGrid>
        <w:gridCol w:w="9017"/>
      </w:tblGrid>
      <w:tr w:rsidR="001E3CEA" w:rsidRPr="00E778AD" w14:paraId="17DA5EE2" w14:textId="77777777" w:rsidTr="003E5829">
        <w:tc>
          <w:tcPr>
            <w:tcW w:w="5000" w:type="pct"/>
          </w:tcPr>
          <w:p w14:paraId="435B1250" w14:textId="77777777" w:rsidR="001E3CEA" w:rsidRPr="00D74214" w:rsidRDefault="001E3CEA" w:rsidP="00677F6D">
            <w:pPr>
              <w:pStyle w:val="PBACTabletext0"/>
              <w:keepNext w:val="0"/>
              <w:keepLines w:val="0"/>
              <w:suppressLineNumbers w:val="0"/>
              <w:rPr>
                <w:b/>
                <w:bCs/>
              </w:rPr>
            </w:pPr>
            <w:r w:rsidRPr="00E778AD">
              <w:rPr>
                <w:b/>
                <w:bCs/>
              </w:rPr>
              <w:t>Category/Program:</w:t>
            </w:r>
            <w:r>
              <w:rPr>
                <w:b/>
                <w:bCs/>
              </w:rPr>
              <w:t xml:space="preserve"> </w:t>
            </w:r>
            <w:r>
              <w:t xml:space="preserve">S100 </w:t>
            </w:r>
            <w:r w:rsidRPr="00B479B3">
              <w:t>Highly Specialised Drugs Program (Public/Private)</w:t>
            </w:r>
          </w:p>
        </w:tc>
      </w:tr>
      <w:tr w:rsidR="001E3CEA" w:rsidRPr="00E778AD" w14:paraId="77C10232" w14:textId="77777777" w:rsidTr="003E5829">
        <w:tc>
          <w:tcPr>
            <w:tcW w:w="5000" w:type="pct"/>
          </w:tcPr>
          <w:p w14:paraId="2F76B315" w14:textId="77777777" w:rsidR="001E3CEA" w:rsidRPr="00D74214" w:rsidRDefault="001E3CEA" w:rsidP="00677F6D">
            <w:pPr>
              <w:pStyle w:val="PBACTabletext0"/>
              <w:keepNext w:val="0"/>
              <w:keepLines w:val="0"/>
              <w:suppressLineNumbers w:val="0"/>
              <w:rPr>
                <w:b/>
                <w:bCs/>
              </w:rPr>
            </w:pPr>
            <w:r w:rsidRPr="00E778AD">
              <w:rPr>
                <w:b/>
                <w:bCs/>
              </w:rPr>
              <w:t>Prescriber type:</w:t>
            </w:r>
            <w:r>
              <w:rPr>
                <w:b/>
                <w:bCs/>
              </w:rPr>
              <w:t xml:space="preserve"> </w:t>
            </w:r>
            <w:r w:rsidRPr="00E778AD">
              <w:fldChar w:fldCharType="begin" w:fldLock="1">
                <w:ffData>
                  <w:name w:val=""/>
                  <w:enabled/>
                  <w:calcOnExit w:val="0"/>
                  <w:checkBox>
                    <w:sizeAuto/>
                    <w:default w:val="1"/>
                  </w:checkBox>
                </w:ffData>
              </w:fldChar>
            </w:r>
            <w:r w:rsidRPr="00E778AD">
              <w:instrText xml:space="preserve"> FORMCHECKBOX </w:instrText>
            </w:r>
            <w:r w:rsidR="00497513">
              <w:fldChar w:fldCharType="separate"/>
            </w:r>
            <w:r w:rsidRPr="00E778AD">
              <w:fldChar w:fldCharType="end"/>
            </w:r>
            <w:r w:rsidRPr="00E778AD">
              <w:t>Medical Practitioners</w:t>
            </w:r>
          </w:p>
        </w:tc>
      </w:tr>
      <w:tr w:rsidR="001E3CEA" w:rsidRPr="00E778AD" w14:paraId="7C03A565" w14:textId="77777777" w:rsidTr="003E5829">
        <w:tc>
          <w:tcPr>
            <w:tcW w:w="5000" w:type="pct"/>
          </w:tcPr>
          <w:p w14:paraId="427E22A3" w14:textId="77777777" w:rsidR="001E3CEA" w:rsidRPr="00E778AD" w:rsidRDefault="001E3CEA" w:rsidP="00677F6D">
            <w:pPr>
              <w:pStyle w:val="PBACTabletext0"/>
              <w:keepNext w:val="0"/>
              <w:keepLines w:val="0"/>
              <w:suppressLineNumbers w:val="0"/>
              <w:rPr>
                <w:b/>
                <w:bCs/>
              </w:rPr>
            </w:pPr>
            <w:r w:rsidRPr="00E778AD">
              <w:rPr>
                <w:b/>
                <w:bCs/>
              </w:rPr>
              <w:t xml:space="preserve">Restriction </w:t>
            </w:r>
            <w:r>
              <w:rPr>
                <w:b/>
                <w:bCs/>
              </w:rPr>
              <w:t>type</w:t>
            </w:r>
            <w:r w:rsidRPr="00E778AD">
              <w:rPr>
                <w:b/>
                <w:bCs/>
              </w:rPr>
              <w:t>:</w:t>
            </w:r>
            <w:r w:rsidRPr="00E778AD">
              <w:t xml:space="preserve"> </w:t>
            </w:r>
            <w:r w:rsidRPr="00E778AD">
              <w:fldChar w:fldCharType="begin" w:fldLock="1">
                <w:ffData>
                  <w:name w:val="Check3"/>
                  <w:enabled/>
                  <w:calcOnExit w:val="0"/>
                  <w:checkBox>
                    <w:sizeAuto/>
                    <w:default w:val="1"/>
                  </w:checkBox>
                </w:ffData>
              </w:fldChar>
            </w:r>
            <w:r w:rsidRPr="00E778AD">
              <w:instrText xml:space="preserve"> FORMCHECKBOX </w:instrText>
            </w:r>
            <w:r w:rsidR="00497513">
              <w:fldChar w:fldCharType="separate"/>
            </w:r>
            <w:r w:rsidRPr="00E778AD">
              <w:fldChar w:fldCharType="end"/>
            </w:r>
            <w:r w:rsidRPr="00E778AD">
              <w:t xml:space="preserve">Authority Required – </w:t>
            </w:r>
            <w:r>
              <w:t>written</w:t>
            </w:r>
          </w:p>
        </w:tc>
      </w:tr>
      <w:tr w:rsidR="001E3CEA" w:rsidRPr="00E778AD" w14:paraId="4DFB5486" w14:textId="77777777" w:rsidTr="003E5829">
        <w:tc>
          <w:tcPr>
            <w:tcW w:w="5000" w:type="pct"/>
          </w:tcPr>
          <w:p w14:paraId="32ED2042" w14:textId="77777777" w:rsidR="001E3CEA" w:rsidRPr="00D74214" w:rsidRDefault="001E3CEA" w:rsidP="00677F6D">
            <w:pPr>
              <w:pStyle w:val="PBACTabletext0"/>
              <w:keepNext w:val="0"/>
              <w:keepLines w:val="0"/>
              <w:suppressLineNumbers w:val="0"/>
              <w:rPr>
                <w:b/>
                <w:bCs/>
              </w:rPr>
            </w:pPr>
            <w:r>
              <w:rPr>
                <w:b/>
                <w:bCs/>
              </w:rPr>
              <w:t>Condition</w:t>
            </w:r>
            <w:r w:rsidRPr="00E778AD">
              <w:rPr>
                <w:b/>
                <w:bCs/>
              </w:rPr>
              <w:t>:</w:t>
            </w:r>
            <w:r>
              <w:rPr>
                <w:b/>
                <w:bCs/>
              </w:rPr>
              <w:t xml:space="preserve"> </w:t>
            </w:r>
            <w:r w:rsidRPr="006B4C68">
              <w:t>Atypical haemolytic uraemic syndrome (aHUS)</w:t>
            </w:r>
          </w:p>
        </w:tc>
      </w:tr>
      <w:tr w:rsidR="001E3CEA" w:rsidRPr="00E778AD" w14:paraId="4E483887" w14:textId="77777777" w:rsidTr="003E5829">
        <w:tc>
          <w:tcPr>
            <w:tcW w:w="5000" w:type="pct"/>
            <w:shd w:val="clear" w:color="auto" w:fill="auto"/>
          </w:tcPr>
          <w:p w14:paraId="3DE67CA2" w14:textId="77777777" w:rsidR="001E3CEA" w:rsidRPr="00FA1B82" w:rsidRDefault="001E3CEA" w:rsidP="00677F6D">
            <w:pPr>
              <w:pStyle w:val="PBACTabletext0"/>
              <w:keepNext w:val="0"/>
              <w:keepLines w:val="0"/>
              <w:suppressLineNumbers w:val="0"/>
              <w:rPr>
                <w:b/>
                <w:bCs/>
              </w:rPr>
            </w:pPr>
            <w:r w:rsidRPr="00E778AD">
              <w:rPr>
                <w:b/>
                <w:bCs/>
              </w:rPr>
              <w:t>Treatment phase</w:t>
            </w:r>
            <w:r>
              <w:rPr>
                <w:b/>
                <w:bCs/>
              </w:rPr>
              <w:t xml:space="preserve">: </w:t>
            </w:r>
            <w:r w:rsidRPr="00FA1B82">
              <w:rPr>
                <w:b/>
                <w:bCs/>
              </w:rPr>
              <w:t xml:space="preserve">Initial treatment </w:t>
            </w:r>
            <w:r w:rsidRPr="00801FCC">
              <w:rPr>
                <w:b/>
                <w:bCs/>
                <w:color w:val="FF0000"/>
              </w:rPr>
              <w:t xml:space="preserve">(new patient) </w:t>
            </w:r>
          </w:p>
        </w:tc>
      </w:tr>
      <w:tr w:rsidR="001E3CEA" w:rsidRPr="00E778AD" w14:paraId="7202AB92" w14:textId="77777777" w:rsidTr="003E5829">
        <w:tc>
          <w:tcPr>
            <w:tcW w:w="5000" w:type="pct"/>
            <w:shd w:val="clear" w:color="auto" w:fill="auto"/>
          </w:tcPr>
          <w:p w14:paraId="43AD7F8A" w14:textId="77777777" w:rsidR="001E3CEA" w:rsidRPr="00E778AD" w:rsidRDefault="001E3CEA" w:rsidP="00677F6D">
            <w:pPr>
              <w:pStyle w:val="PBACTabletext0"/>
              <w:keepNext w:val="0"/>
              <w:keepLines w:val="0"/>
              <w:suppressLineNumbers w:val="0"/>
              <w:rPr>
                <w:b/>
                <w:bCs/>
              </w:rPr>
            </w:pPr>
            <w:r>
              <w:rPr>
                <w:b/>
                <w:bCs/>
              </w:rPr>
              <w:t>Clinical criteria</w:t>
            </w:r>
          </w:p>
        </w:tc>
      </w:tr>
      <w:tr w:rsidR="001E3CEA" w:rsidRPr="00E778AD" w14:paraId="3120EEA7" w14:textId="77777777" w:rsidTr="003E5829">
        <w:tc>
          <w:tcPr>
            <w:tcW w:w="5000" w:type="pct"/>
            <w:shd w:val="clear" w:color="auto" w:fill="auto"/>
          </w:tcPr>
          <w:p w14:paraId="6B7CE318" w14:textId="77777777" w:rsidR="001E3CEA" w:rsidRPr="00D74214" w:rsidRDefault="001E3CEA" w:rsidP="00677F6D">
            <w:pPr>
              <w:pStyle w:val="PBACTabletext0"/>
              <w:keepNext w:val="0"/>
              <w:keepLines w:val="0"/>
              <w:suppressLineNumbers w:val="0"/>
            </w:pPr>
            <w:r w:rsidRPr="006B4C68">
              <w:t>Patient must have active and progressing thrombotic microangiopathy (TMA) caused by aHUS,</w:t>
            </w:r>
          </w:p>
        </w:tc>
      </w:tr>
      <w:tr w:rsidR="001E3CEA" w:rsidRPr="00E778AD" w14:paraId="0C828197" w14:textId="77777777" w:rsidTr="003E5829">
        <w:tc>
          <w:tcPr>
            <w:tcW w:w="5000" w:type="pct"/>
            <w:shd w:val="clear" w:color="auto" w:fill="auto"/>
          </w:tcPr>
          <w:p w14:paraId="57705BE7" w14:textId="77777777" w:rsidR="001E3CEA" w:rsidRPr="00D74214" w:rsidRDefault="001E3CEA" w:rsidP="00677F6D">
            <w:pPr>
              <w:pStyle w:val="PBACTabletext0"/>
              <w:keepNext w:val="0"/>
              <w:keepLines w:val="0"/>
              <w:suppressLineNumbers w:val="0"/>
              <w:rPr>
                <w:b/>
                <w:bCs/>
              </w:rPr>
            </w:pPr>
            <w:r w:rsidRPr="006B4C68">
              <w:rPr>
                <w:b/>
                <w:bCs/>
              </w:rPr>
              <w:t>AND</w:t>
            </w:r>
          </w:p>
        </w:tc>
      </w:tr>
      <w:tr w:rsidR="001E3CEA" w:rsidRPr="00E778AD" w14:paraId="21910ABE" w14:textId="77777777" w:rsidTr="003E5829">
        <w:tc>
          <w:tcPr>
            <w:tcW w:w="5000" w:type="pct"/>
            <w:shd w:val="clear" w:color="auto" w:fill="auto"/>
          </w:tcPr>
          <w:p w14:paraId="05B23B13" w14:textId="77777777" w:rsidR="001E3CEA" w:rsidRPr="00D74214" w:rsidRDefault="001E3CEA" w:rsidP="00677F6D">
            <w:pPr>
              <w:pStyle w:val="PBACTabletext0"/>
              <w:keepNext w:val="0"/>
              <w:keepLines w:val="0"/>
              <w:suppressLineNumbers w:val="0"/>
            </w:pPr>
            <w:r w:rsidRPr="006B4C68">
              <w:t>Patient must have ADAMTS-13 activity of greater than or equal to 10% on a blood sample taken prior to plasma exchange or infusion; or, if ADAMTS-13 activity was not collected prior to plasma exchange or infusion, patient must have platelet counts of greater than 30x10</w:t>
            </w:r>
            <w:r w:rsidRPr="00323AA6">
              <w:rPr>
                <w:vertAlign w:val="superscript"/>
              </w:rPr>
              <w:t>9</w:t>
            </w:r>
            <w:r w:rsidRPr="006B4C68">
              <w:t>/L and a serum creatinine of greater than 150 mol/L,</w:t>
            </w:r>
          </w:p>
        </w:tc>
      </w:tr>
      <w:tr w:rsidR="001E3CEA" w:rsidRPr="00E778AD" w14:paraId="7B02549E" w14:textId="77777777" w:rsidTr="003E5829">
        <w:tc>
          <w:tcPr>
            <w:tcW w:w="5000" w:type="pct"/>
            <w:shd w:val="clear" w:color="auto" w:fill="auto"/>
          </w:tcPr>
          <w:p w14:paraId="5455CF66" w14:textId="77777777" w:rsidR="001E3CEA" w:rsidRPr="00D74214" w:rsidRDefault="001E3CEA" w:rsidP="00677F6D">
            <w:pPr>
              <w:pStyle w:val="PBACTabletext0"/>
              <w:keepNext w:val="0"/>
              <w:keepLines w:val="0"/>
              <w:suppressLineNumbers w:val="0"/>
              <w:rPr>
                <w:b/>
                <w:bCs/>
              </w:rPr>
            </w:pPr>
            <w:r w:rsidRPr="006B4C68">
              <w:rPr>
                <w:b/>
                <w:bCs/>
              </w:rPr>
              <w:t>AND</w:t>
            </w:r>
          </w:p>
        </w:tc>
      </w:tr>
      <w:tr w:rsidR="001E3CEA" w:rsidRPr="00E778AD" w14:paraId="6042069B" w14:textId="77777777" w:rsidTr="003E5829">
        <w:tc>
          <w:tcPr>
            <w:tcW w:w="5000" w:type="pct"/>
            <w:shd w:val="clear" w:color="auto" w:fill="auto"/>
          </w:tcPr>
          <w:p w14:paraId="23752610" w14:textId="77777777" w:rsidR="001E3CEA" w:rsidRPr="00D74214" w:rsidRDefault="001E3CEA" w:rsidP="00677F6D">
            <w:pPr>
              <w:pStyle w:val="PBACTabletext0"/>
              <w:keepNext w:val="0"/>
              <w:keepLines w:val="0"/>
              <w:suppressLineNumbers w:val="0"/>
            </w:pPr>
            <w:r w:rsidRPr="006B4C68">
              <w:t xml:space="preserve">Patient must have a confirmed negative STEC (Shiga toxin-producing </w:t>
            </w:r>
            <w:proofErr w:type="gramStart"/>
            <w:r w:rsidRPr="006B4C68">
              <w:t>E.Coli</w:t>
            </w:r>
            <w:proofErr w:type="gramEnd"/>
            <w:r w:rsidRPr="006B4C68">
              <w:t>) result if the patient has had diarrhoea in the preceding 14 days,</w:t>
            </w:r>
          </w:p>
        </w:tc>
      </w:tr>
      <w:tr w:rsidR="001E3CEA" w:rsidRPr="00E778AD" w14:paraId="2283AE46" w14:textId="77777777" w:rsidTr="003E5829">
        <w:tc>
          <w:tcPr>
            <w:tcW w:w="5000" w:type="pct"/>
            <w:shd w:val="clear" w:color="auto" w:fill="auto"/>
          </w:tcPr>
          <w:p w14:paraId="60045D7F" w14:textId="77777777" w:rsidR="001E3CEA" w:rsidRPr="00D74214" w:rsidRDefault="001E3CEA" w:rsidP="00677F6D">
            <w:pPr>
              <w:pStyle w:val="PBACTabletext0"/>
              <w:keepNext w:val="0"/>
              <w:keepLines w:val="0"/>
              <w:suppressLineNumbers w:val="0"/>
              <w:rPr>
                <w:b/>
                <w:bCs/>
              </w:rPr>
            </w:pPr>
            <w:r w:rsidRPr="006B4C68">
              <w:rPr>
                <w:b/>
                <w:bCs/>
              </w:rPr>
              <w:t>AND</w:t>
            </w:r>
          </w:p>
        </w:tc>
      </w:tr>
      <w:tr w:rsidR="001E3CEA" w:rsidRPr="00E778AD" w14:paraId="0B10905B" w14:textId="77777777" w:rsidTr="003E5829">
        <w:tc>
          <w:tcPr>
            <w:tcW w:w="5000" w:type="pct"/>
            <w:shd w:val="clear" w:color="auto" w:fill="auto"/>
          </w:tcPr>
          <w:p w14:paraId="30C184CE" w14:textId="77777777" w:rsidR="001E3CEA" w:rsidRPr="00D74214" w:rsidRDefault="001E3CEA" w:rsidP="00677F6D">
            <w:pPr>
              <w:pStyle w:val="PBACTabletext0"/>
              <w:keepNext w:val="0"/>
              <w:keepLines w:val="0"/>
              <w:suppressLineNumbers w:val="0"/>
            </w:pPr>
            <w:r w:rsidRPr="006B4C68">
              <w:t>Patient must have clinical features of active organ damage or impairment</w:t>
            </w:r>
          </w:p>
        </w:tc>
      </w:tr>
      <w:tr w:rsidR="001E3CEA" w:rsidRPr="00E778AD" w14:paraId="37827F09" w14:textId="77777777" w:rsidTr="003E5829">
        <w:tc>
          <w:tcPr>
            <w:tcW w:w="5000" w:type="pct"/>
            <w:shd w:val="clear" w:color="auto" w:fill="auto"/>
          </w:tcPr>
          <w:p w14:paraId="157EAB68" w14:textId="77777777" w:rsidR="001E3CEA" w:rsidRPr="00D74214" w:rsidRDefault="001E3CEA" w:rsidP="00677F6D">
            <w:pPr>
              <w:pStyle w:val="PBACTabletext0"/>
              <w:keepNext w:val="0"/>
              <w:keepLines w:val="0"/>
              <w:suppressLineNumbers w:val="0"/>
              <w:rPr>
                <w:b/>
                <w:bCs/>
              </w:rPr>
            </w:pPr>
            <w:r w:rsidRPr="006B4C68">
              <w:rPr>
                <w:b/>
                <w:bCs/>
              </w:rPr>
              <w:t>AND</w:t>
            </w:r>
          </w:p>
        </w:tc>
      </w:tr>
      <w:tr w:rsidR="001E3CEA" w:rsidRPr="00E778AD" w14:paraId="390CE175" w14:textId="77777777" w:rsidTr="003E5829">
        <w:tc>
          <w:tcPr>
            <w:tcW w:w="5000" w:type="pct"/>
            <w:shd w:val="clear" w:color="auto" w:fill="auto"/>
          </w:tcPr>
          <w:p w14:paraId="24505656" w14:textId="77777777" w:rsidR="001E3CEA" w:rsidRPr="00D74214" w:rsidRDefault="001E3CEA" w:rsidP="00677F6D">
            <w:pPr>
              <w:pStyle w:val="PBACTabletext0"/>
              <w:keepNext w:val="0"/>
              <w:keepLines w:val="0"/>
              <w:suppressLineNumbers w:val="0"/>
            </w:pPr>
            <w:r w:rsidRPr="006B4C68">
              <w:t xml:space="preserve">Patient must not receive more than </w:t>
            </w:r>
            <w:r w:rsidRPr="00486A8C">
              <w:rPr>
                <w:strike/>
              </w:rPr>
              <w:t>4 weeks</w:t>
            </w:r>
            <w:r>
              <w:t xml:space="preserve"> </w:t>
            </w:r>
            <w:r w:rsidRPr="00486A8C">
              <w:rPr>
                <w:color w:val="FF0000"/>
              </w:rPr>
              <w:t xml:space="preserve">2 </w:t>
            </w:r>
            <w:r w:rsidRPr="00A145D9">
              <w:rPr>
                <w:color w:val="FF0000"/>
              </w:rPr>
              <w:t xml:space="preserve">weeks </w:t>
            </w:r>
            <w:r w:rsidRPr="006B4C68">
              <w:t>of treatment under this restriction.</w:t>
            </w:r>
          </w:p>
        </w:tc>
      </w:tr>
      <w:tr w:rsidR="001E3CEA" w:rsidRPr="00E778AD" w14:paraId="21FDBAC2" w14:textId="77777777" w:rsidTr="003E5829">
        <w:tc>
          <w:tcPr>
            <w:tcW w:w="5000" w:type="pct"/>
            <w:shd w:val="clear" w:color="auto" w:fill="auto"/>
          </w:tcPr>
          <w:p w14:paraId="3E321288" w14:textId="77777777" w:rsidR="001E3CEA" w:rsidRPr="00D74214" w:rsidRDefault="001E3CEA" w:rsidP="00677F6D">
            <w:pPr>
              <w:pStyle w:val="PBACTabletext0"/>
              <w:keepNext w:val="0"/>
              <w:keepLines w:val="0"/>
              <w:suppressLineNumbers w:val="0"/>
              <w:rPr>
                <w:b/>
                <w:bCs/>
                <w:color w:val="FF0000"/>
              </w:rPr>
            </w:pPr>
            <w:r w:rsidRPr="00A145D9">
              <w:rPr>
                <w:b/>
                <w:bCs/>
                <w:color w:val="FF0000"/>
              </w:rPr>
              <w:t>AND</w:t>
            </w:r>
          </w:p>
        </w:tc>
      </w:tr>
      <w:tr w:rsidR="001E3CEA" w:rsidRPr="00E778AD" w14:paraId="773305A5" w14:textId="77777777" w:rsidTr="003E5829">
        <w:tc>
          <w:tcPr>
            <w:tcW w:w="5000" w:type="pct"/>
            <w:shd w:val="clear" w:color="auto" w:fill="auto"/>
          </w:tcPr>
          <w:p w14:paraId="1DF265AB" w14:textId="77777777" w:rsidR="001E3CEA" w:rsidRPr="00A145D9" w:rsidRDefault="001E3CEA" w:rsidP="00677F6D">
            <w:pPr>
              <w:pStyle w:val="PBACTabletext0"/>
              <w:keepNext w:val="0"/>
              <w:keepLines w:val="0"/>
              <w:suppressLineNumbers w:val="0"/>
              <w:rPr>
                <w:b/>
                <w:bCs/>
                <w:color w:val="FF0000"/>
              </w:rPr>
            </w:pPr>
            <w:r w:rsidRPr="00A145D9">
              <w:rPr>
                <w:color w:val="FF0000"/>
              </w:rPr>
              <w:t>The treatment must not be in combination with eculizumab.</w:t>
            </w:r>
          </w:p>
        </w:tc>
      </w:tr>
      <w:tr w:rsidR="001E3CEA" w:rsidRPr="00E778AD" w14:paraId="0A48E87A" w14:textId="77777777" w:rsidTr="003E5829">
        <w:tc>
          <w:tcPr>
            <w:tcW w:w="5000" w:type="pct"/>
            <w:shd w:val="clear" w:color="auto" w:fill="auto"/>
          </w:tcPr>
          <w:p w14:paraId="7B6C7171" w14:textId="77777777" w:rsidR="001E3CEA" w:rsidRPr="00A145D9" w:rsidRDefault="001E3CEA" w:rsidP="00677F6D">
            <w:pPr>
              <w:pStyle w:val="PBACTabletext0"/>
              <w:keepNext w:val="0"/>
              <w:keepLines w:val="0"/>
              <w:suppressLineNumbers w:val="0"/>
              <w:rPr>
                <w:color w:val="FF0000"/>
              </w:rPr>
            </w:pPr>
            <w:r w:rsidRPr="005B6756">
              <w:rPr>
                <w:b/>
                <w:bCs/>
              </w:rPr>
              <w:t>Treatment phase</w:t>
            </w:r>
            <w:r>
              <w:rPr>
                <w:b/>
                <w:bCs/>
              </w:rPr>
              <w:t>:</w:t>
            </w:r>
            <w:r w:rsidRPr="005B6756">
              <w:rPr>
                <w:b/>
                <w:bCs/>
              </w:rPr>
              <w:t xml:space="preserve"> Initial treatment – balance of supply</w:t>
            </w:r>
          </w:p>
        </w:tc>
      </w:tr>
      <w:tr w:rsidR="001E3CEA" w:rsidRPr="00E778AD" w14:paraId="0C4345A6" w14:textId="77777777" w:rsidTr="003E5829">
        <w:tc>
          <w:tcPr>
            <w:tcW w:w="5000" w:type="pct"/>
            <w:shd w:val="clear" w:color="auto" w:fill="auto"/>
          </w:tcPr>
          <w:p w14:paraId="2A0B3D81" w14:textId="77777777" w:rsidR="001E3CEA" w:rsidRPr="005B6756" w:rsidRDefault="001E3CEA" w:rsidP="00677F6D">
            <w:pPr>
              <w:pStyle w:val="PBACTabletext0"/>
              <w:keepNext w:val="0"/>
              <w:keepLines w:val="0"/>
              <w:suppressLineNumbers w:val="0"/>
              <w:rPr>
                <w:b/>
                <w:bCs/>
              </w:rPr>
            </w:pPr>
            <w:r>
              <w:rPr>
                <w:b/>
                <w:bCs/>
              </w:rPr>
              <w:t>Clinical criteria</w:t>
            </w:r>
          </w:p>
        </w:tc>
      </w:tr>
      <w:tr w:rsidR="001E3CEA" w:rsidRPr="00E778AD" w14:paraId="51769D8D" w14:textId="77777777" w:rsidTr="003E5829">
        <w:tc>
          <w:tcPr>
            <w:tcW w:w="5000" w:type="pct"/>
            <w:shd w:val="clear" w:color="auto" w:fill="auto"/>
          </w:tcPr>
          <w:p w14:paraId="0BD3A53C" w14:textId="77777777" w:rsidR="001E3CEA" w:rsidRPr="00D74214" w:rsidRDefault="001E3CEA" w:rsidP="00677F6D">
            <w:pPr>
              <w:pStyle w:val="PBACTabletext0"/>
              <w:keepNext w:val="0"/>
              <w:keepLines w:val="0"/>
            </w:pPr>
            <w:r>
              <w:t xml:space="preserve">Patient must have received PBS-subsidised initial supply of </w:t>
            </w:r>
            <w:r w:rsidRPr="002376D7">
              <w:rPr>
                <w:color w:val="FF0000"/>
              </w:rPr>
              <w:t>ravulizumab</w:t>
            </w:r>
            <w:r>
              <w:t xml:space="preserve"> for this condition,</w:t>
            </w:r>
          </w:p>
        </w:tc>
      </w:tr>
      <w:tr w:rsidR="001E3CEA" w:rsidRPr="00E778AD" w14:paraId="2EAD94B9" w14:textId="77777777" w:rsidTr="003E5829">
        <w:tc>
          <w:tcPr>
            <w:tcW w:w="5000" w:type="pct"/>
            <w:shd w:val="clear" w:color="auto" w:fill="auto"/>
          </w:tcPr>
          <w:p w14:paraId="4E871140" w14:textId="77777777" w:rsidR="001E3CEA" w:rsidRPr="00D74214" w:rsidRDefault="001E3CEA" w:rsidP="00677F6D">
            <w:pPr>
              <w:pStyle w:val="PBACTabletext0"/>
              <w:keepNext w:val="0"/>
              <w:keepLines w:val="0"/>
              <w:rPr>
                <w:b/>
                <w:bCs/>
              </w:rPr>
            </w:pPr>
            <w:r w:rsidRPr="005B6756">
              <w:rPr>
                <w:b/>
                <w:bCs/>
              </w:rPr>
              <w:t>AND</w:t>
            </w:r>
          </w:p>
        </w:tc>
      </w:tr>
      <w:tr w:rsidR="001E3CEA" w:rsidRPr="00E778AD" w14:paraId="37A3F39A" w14:textId="77777777" w:rsidTr="003E5829">
        <w:tc>
          <w:tcPr>
            <w:tcW w:w="5000" w:type="pct"/>
            <w:shd w:val="clear" w:color="auto" w:fill="auto"/>
          </w:tcPr>
          <w:p w14:paraId="542F5A31" w14:textId="77777777" w:rsidR="001E3CEA" w:rsidRPr="00D74214" w:rsidRDefault="001E3CEA" w:rsidP="00677F6D">
            <w:pPr>
              <w:pStyle w:val="PBACTabletext0"/>
              <w:keepNext w:val="0"/>
              <w:keepLines w:val="0"/>
            </w:pPr>
            <w:r>
              <w:lastRenderedPageBreak/>
              <w:t>Patient must have ADAMTS-13 activity of greater than or equal to 10% on a blood sample,</w:t>
            </w:r>
          </w:p>
        </w:tc>
      </w:tr>
      <w:tr w:rsidR="001E3CEA" w:rsidRPr="00E778AD" w14:paraId="5084775A" w14:textId="77777777" w:rsidTr="003E5829">
        <w:tc>
          <w:tcPr>
            <w:tcW w:w="5000" w:type="pct"/>
            <w:shd w:val="clear" w:color="auto" w:fill="auto"/>
          </w:tcPr>
          <w:p w14:paraId="27C520B5" w14:textId="77777777" w:rsidR="001E3CEA" w:rsidRPr="00D74214" w:rsidRDefault="001E3CEA" w:rsidP="00677F6D">
            <w:pPr>
              <w:pStyle w:val="PBACTabletext0"/>
              <w:keepNext w:val="0"/>
              <w:keepLines w:val="0"/>
              <w:rPr>
                <w:b/>
                <w:bCs/>
              </w:rPr>
            </w:pPr>
            <w:r w:rsidRPr="005B6756">
              <w:rPr>
                <w:b/>
                <w:bCs/>
              </w:rPr>
              <w:t>AND</w:t>
            </w:r>
          </w:p>
        </w:tc>
      </w:tr>
      <w:tr w:rsidR="001E3CEA" w:rsidRPr="00E778AD" w14:paraId="280B5530" w14:textId="77777777" w:rsidTr="003E5829">
        <w:tc>
          <w:tcPr>
            <w:tcW w:w="5000" w:type="pct"/>
            <w:shd w:val="clear" w:color="auto" w:fill="auto"/>
          </w:tcPr>
          <w:p w14:paraId="04E388FF" w14:textId="77777777" w:rsidR="001E3CEA" w:rsidRPr="00D74214" w:rsidRDefault="001E3CEA" w:rsidP="00677F6D">
            <w:pPr>
              <w:pStyle w:val="PBACTabletext0"/>
              <w:keepNext w:val="0"/>
              <w:keepLines w:val="0"/>
              <w:suppressLineNumbers w:val="0"/>
            </w:pPr>
            <w:r>
              <w:t xml:space="preserve">Patient must not receive more than </w:t>
            </w:r>
            <w:r w:rsidRPr="00D928BD">
              <w:rPr>
                <w:strike/>
              </w:rPr>
              <w:t>20 weeks</w:t>
            </w:r>
            <w:r>
              <w:t xml:space="preserve"> </w:t>
            </w:r>
            <w:r w:rsidRPr="00D928BD">
              <w:rPr>
                <w:color w:val="FF0000"/>
              </w:rPr>
              <w:t xml:space="preserve">24 </w:t>
            </w:r>
            <w:r w:rsidRPr="002376D7">
              <w:rPr>
                <w:color w:val="FF0000"/>
              </w:rPr>
              <w:t xml:space="preserve">weeks </w:t>
            </w:r>
            <w:r>
              <w:t>supply under this restriction.</w:t>
            </w:r>
          </w:p>
        </w:tc>
      </w:tr>
      <w:tr w:rsidR="001E3CEA" w:rsidRPr="00E778AD" w14:paraId="2041642A" w14:textId="77777777" w:rsidTr="003E5829">
        <w:tc>
          <w:tcPr>
            <w:tcW w:w="5000" w:type="pct"/>
            <w:shd w:val="clear" w:color="auto" w:fill="auto"/>
          </w:tcPr>
          <w:p w14:paraId="55CFCEE7" w14:textId="77777777" w:rsidR="001E3CEA" w:rsidRPr="00D74214" w:rsidRDefault="001E3CEA" w:rsidP="00677F6D">
            <w:pPr>
              <w:pStyle w:val="PBACTabletext0"/>
              <w:keepNext w:val="0"/>
              <w:keepLines w:val="0"/>
              <w:suppressLineNumbers w:val="0"/>
              <w:rPr>
                <w:b/>
                <w:bCs/>
                <w:color w:val="FF0000"/>
              </w:rPr>
            </w:pPr>
            <w:r w:rsidRPr="00A145D9">
              <w:rPr>
                <w:b/>
                <w:bCs/>
                <w:color w:val="FF0000"/>
              </w:rPr>
              <w:t>AND</w:t>
            </w:r>
          </w:p>
        </w:tc>
      </w:tr>
      <w:tr w:rsidR="001E3CEA" w:rsidRPr="00E778AD" w14:paraId="797E8180" w14:textId="77777777" w:rsidTr="003E5829">
        <w:tc>
          <w:tcPr>
            <w:tcW w:w="5000" w:type="pct"/>
            <w:shd w:val="clear" w:color="auto" w:fill="auto"/>
          </w:tcPr>
          <w:p w14:paraId="07AC567C" w14:textId="77777777" w:rsidR="001E3CEA" w:rsidRPr="00A145D9" w:rsidRDefault="001E3CEA" w:rsidP="00677F6D">
            <w:pPr>
              <w:pStyle w:val="PBACTabletext0"/>
              <w:keepNext w:val="0"/>
              <w:keepLines w:val="0"/>
              <w:suppressLineNumbers w:val="0"/>
              <w:rPr>
                <w:b/>
                <w:bCs/>
                <w:color w:val="FF0000"/>
              </w:rPr>
            </w:pPr>
            <w:r w:rsidRPr="00A145D9">
              <w:rPr>
                <w:color w:val="FF0000"/>
              </w:rPr>
              <w:t>The treatment must not be in combination with eculizumab.</w:t>
            </w:r>
          </w:p>
        </w:tc>
      </w:tr>
    </w:tbl>
    <w:p w14:paraId="053AFD05" w14:textId="77777777" w:rsidR="001E3CEA" w:rsidRDefault="001E3CEA" w:rsidP="00677F6D">
      <w:pPr>
        <w:pStyle w:val="PBACTblFignote"/>
        <w:keepNext w:val="0"/>
        <w:keepLines w:val="0"/>
        <w:spacing w:after="120"/>
        <w:contextualSpacing w:val="0"/>
        <w:rPr>
          <w:lang w:val="en-US"/>
        </w:rPr>
      </w:pPr>
      <w:r>
        <w:rPr>
          <w:lang w:val="en-US"/>
        </w:rPr>
        <w:t xml:space="preserve">Source: Table 16, p40 of the submission. </w:t>
      </w:r>
    </w:p>
    <w:p w14:paraId="4309637C" w14:textId="2BF2043F" w:rsidR="001E3CEA" w:rsidRDefault="00485C52" w:rsidP="00677F6D">
      <w:pPr>
        <w:pStyle w:val="5-SubsectionSubheading"/>
        <w:spacing w:before="0" w:after="0"/>
      </w:pPr>
      <w:r>
        <w:t>I</w:t>
      </w:r>
      <w:r w:rsidR="001E3CEA">
        <w:t>nitial treatment (switch</w:t>
      </w:r>
      <w:r>
        <w:t>ing from eculizumab</w:t>
      </w:r>
      <w:r w:rsidR="001E3CEA">
        <w:t>)</w:t>
      </w:r>
    </w:p>
    <w:tbl>
      <w:tblPr>
        <w:tblStyle w:val="TableGrid"/>
        <w:tblW w:w="5000" w:type="pct"/>
        <w:tblLook w:val="04A0" w:firstRow="1" w:lastRow="0" w:firstColumn="1" w:lastColumn="0" w:noHBand="0" w:noVBand="1"/>
      </w:tblPr>
      <w:tblGrid>
        <w:gridCol w:w="9017"/>
      </w:tblGrid>
      <w:tr w:rsidR="001E3CEA" w:rsidRPr="00E778AD" w14:paraId="0EAE1844" w14:textId="77777777" w:rsidTr="003E5829">
        <w:tc>
          <w:tcPr>
            <w:tcW w:w="5000" w:type="pct"/>
          </w:tcPr>
          <w:p w14:paraId="5A3A6E80" w14:textId="77777777" w:rsidR="001E3CEA" w:rsidRPr="003E5D6C" w:rsidRDefault="001E3CEA" w:rsidP="0023377A">
            <w:pPr>
              <w:pStyle w:val="PBACTabletext0"/>
              <w:keepNext w:val="0"/>
              <w:keepLines w:val="0"/>
              <w:widowControl w:val="0"/>
              <w:suppressLineNumbers w:val="0"/>
              <w:rPr>
                <w:b/>
                <w:bCs/>
              </w:rPr>
            </w:pPr>
            <w:r w:rsidRPr="00E778AD">
              <w:rPr>
                <w:b/>
                <w:bCs/>
              </w:rPr>
              <w:t>Category/Program:</w:t>
            </w:r>
            <w:r>
              <w:rPr>
                <w:b/>
                <w:bCs/>
              </w:rPr>
              <w:t xml:space="preserve"> </w:t>
            </w:r>
            <w:r>
              <w:t xml:space="preserve">S100 </w:t>
            </w:r>
            <w:r w:rsidRPr="00B479B3">
              <w:t>Highly Specialised Drugs Program (Public/Private)</w:t>
            </w:r>
          </w:p>
        </w:tc>
      </w:tr>
      <w:tr w:rsidR="001E3CEA" w:rsidRPr="00E778AD" w14:paraId="524B985A" w14:textId="77777777" w:rsidTr="003E5829">
        <w:tc>
          <w:tcPr>
            <w:tcW w:w="5000" w:type="pct"/>
          </w:tcPr>
          <w:p w14:paraId="47E5B488" w14:textId="65E12190" w:rsidR="001E3CEA" w:rsidRPr="003E5D6C" w:rsidRDefault="001E3CEA" w:rsidP="0023377A">
            <w:pPr>
              <w:pStyle w:val="PBACTabletext0"/>
              <w:keepNext w:val="0"/>
              <w:keepLines w:val="0"/>
              <w:widowControl w:val="0"/>
              <w:suppressLineNumbers w:val="0"/>
              <w:rPr>
                <w:b/>
                <w:bCs/>
              </w:rPr>
            </w:pPr>
            <w:r w:rsidRPr="00E778AD">
              <w:rPr>
                <w:b/>
                <w:bCs/>
              </w:rPr>
              <w:t>Prescriber type:</w:t>
            </w:r>
            <w:r w:rsidR="001B5AFD">
              <w:rPr>
                <w:b/>
                <w:bCs/>
              </w:rPr>
              <w:t xml:space="preserve"> </w:t>
            </w:r>
            <w:r w:rsidRPr="00E778AD">
              <w:fldChar w:fldCharType="begin" w:fldLock="1">
                <w:ffData>
                  <w:name w:val=""/>
                  <w:enabled/>
                  <w:calcOnExit w:val="0"/>
                  <w:checkBox>
                    <w:sizeAuto/>
                    <w:default w:val="1"/>
                  </w:checkBox>
                </w:ffData>
              </w:fldChar>
            </w:r>
            <w:r w:rsidRPr="00E778AD">
              <w:instrText xml:space="preserve"> FORMCHECKBOX </w:instrText>
            </w:r>
            <w:r w:rsidR="00497513">
              <w:fldChar w:fldCharType="separate"/>
            </w:r>
            <w:r w:rsidRPr="00E778AD">
              <w:fldChar w:fldCharType="end"/>
            </w:r>
            <w:r w:rsidRPr="00E778AD">
              <w:t>Medical Practitioners</w:t>
            </w:r>
          </w:p>
        </w:tc>
      </w:tr>
      <w:tr w:rsidR="001E3CEA" w:rsidRPr="00E778AD" w14:paraId="31790A66" w14:textId="77777777" w:rsidTr="003E5829">
        <w:tc>
          <w:tcPr>
            <w:tcW w:w="5000" w:type="pct"/>
          </w:tcPr>
          <w:p w14:paraId="39209175" w14:textId="77777777" w:rsidR="001E3CEA" w:rsidRPr="00E778AD" w:rsidRDefault="001E3CEA" w:rsidP="0023377A">
            <w:pPr>
              <w:pStyle w:val="PBACTabletext0"/>
              <w:keepNext w:val="0"/>
              <w:keepLines w:val="0"/>
              <w:widowControl w:val="0"/>
              <w:suppressLineNumbers w:val="0"/>
              <w:rPr>
                <w:b/>
                <w:bCs/>
              </w:rPr>
            </w:pPr>
            <w:r w:rsidRPr="00E778AD">
              <w:rPr>
                <w:b/>
                <w:bCs/>
              </w:rPr>
              <w:t>Restriction Level / Method:</w:t>
            </w:r>
            <w:r w:rsidRPr="00E778AD">
              <w:t xml:space="preserve"> </w:t>
            </w:r>
            <w:r w:rsidRPr="00E778AD">
              <w:fldChar w:fldCharType="begin" w:fldLock="1">
                <w:ffData>
                  <w:name w:val="Check3"/>
                  <w:enabled/>
                  <w:calcOnExit w:val="0"/>
                  <w:checkBox>
                    <w:sizeAuto/>
                    <w:default w:val="1"/>
                  </w:checkBox>
                </w:ffData>
              </w:fldChar>
            </w:r>
            <w:r w:rsidRPr="00E778AD">
              <w:instrText xml:space="preserve"> FORMCHECKBOX </w:instrText>
            </w:r>
            <w:r w:rsidR="00497513">
              <w:fldChar w:fldCharType="separate"/>
            </w:r>
            <w:r w:rsidRPr="00E778AD">
              <w:fldChar w:fldCharType="end"/>
            </w:r>
            <w:r w:rsidRPr="00E778AD">
              <w:t xml:space="preserve">Authority Required – </w:t>
            </w:r>
            <w:r>
              <w:t>written</w:t>
            </w:r>
          </w:p>
        </w:tc>
      </w:tr>
      <w:tr w:rsidR="001E3CEA" w:rsidRPr="00E778AD" w14:paraId="4AB6442F" w14:textId="77777777" w:rsidTr="003E5829">
        <w:tc>
          <w:tcPr>
            <w:tcW w:w="5000" w:type="pct"/>
          </w:tcPr>
          <w:p w14:paraId="0B90BD2E" w14:textId="77777777" w:rsidR="001E3CEA" w:rsidRPr="003E5D6C" w:rsidRDefault="001E3CEA" w:rsidP="0023377A">
            <w:pPr>
              <w:pStyle w:val="PBACTabletext0"/>
              <w:keepNext w:val="0"/>
              <w:keepLines w:val="0"/>
              <w:widowControl w:val="0"/>
              <w:suppressLineNumbers w:val="0"/>
              <w:rPr>
                <w:b/>
                <w:bCs/>
              </w:rPr>
            </w:pPr>
            <w:r>
              <w:rPr>
                <w:b/>
                <w:bCs/>
              </w:rPr>
              <w:t>Condition</w:t>
            </w:r>
            <w:r w:rsidRPr="00E778AD">
              <w:rPr>
                <w:b/>
                <w:bCs/>
              </w:rPr>
              <w:t>:</w:t>
            </w:r>
            <w:r>
              <w:rPr>
                <w:b/>
                <w:bCs/>
              </w:rPr>
              <w:t xml:space="preserve"> </w:t>
            </w:r>
            <w:r w:rsidRPr="006B4C68">
              <w:t>Atypical haemolytic uraemic syndrome (aHUS)</w:t>
            </w:r>
          </w:p>
        </w:tc>
      </w:tr>
      <w:tr w:rsidR="001E3CEA" w:rsidRPr="00E778AD" w14:paraId="5ADEB730" w14:textId="77777777" w:rsidTr="003E5829">
        <w:tc>
          <w:tcPr>
            <w:tcW w:w="5000" w:type="pct"/>
            <w:shd w:val="clear" w:color="auto" w:fill="auto"/>
          </w:tcPr>
          <w:p w14:paraId="4D629AF0" w14:textId="77777777" w:rsidR="001E3CEA" w:rsidRPr="003E5D6C" w:rsidRDefault="001E3CEA" w:rsidP="0023377A">
            <w:pPr>
              <w:pStyle w:val="PBACTabletext0"/>
              <w:keepNext w:val="0"/>
              <w:keepLines w:val="0"/>
              <w:widowControl w:val="0"/>
              <w:suppressLineNumbers w:val="0"/>
              <w:rPr>
                <w:b/>
                <w:bCs/>
              </w:rPr>
            </w:pPr>
            <w:r w:rsidRPr="00E778AD">
              <w:rPr>
                <w:b/>
                <w:bCs/>
              </w:rPr>
              <w:t>Treatment phase</w:t>
            </w:r>
            <w:r>
              <w:rPr>
                <w:b/>
                <w:bCs/>
              </w:rPr>
              <w:t xml:space="preserve">: </w:t>
            </w:r>
            <w:r w:rsidRPr="00801FCC">
              <w:rPr>
                <w:b/>
                <w:bCs/>
                <w:color w:val="FF0000"/>
              </w:rPr>
              <w:t>Initial treatment (switch</w:t>
            </w:r>
            <w:r>
              <w:rPr>
                <w:b/>
                <w:bCs/>
                <w:color w:val="FF0000"/>
              </w:rPr>
              <w:t>ing from eculizumab</w:t>
            </w:r>
            <w:r w:rsidRPr="00801FCC">
              <w:rPr>
                <w:b/>
                <w:bCs/>
                <w:color w:val="FF0000"/>
              </w:rPr>
              <w:t>)</w:t>
            </w:r>
          </w:p>
        </w:tc>
      </w:tr>
      <w:tr w:rsidR="001E3CEA" w:rsidRPr="00E778AD" w14:paraId="3A7B7DA5" w14:textId="77777777" w:rsidTr="003E5829">
        <w:tc>
          <w:tcPr>
            <w:tcW w:w="5000" w:type="pct"/>
            <w:shd w:val="clear" w:color="auto" w:fill="auto"/>
          </w:tcPr>
          <w:p w14:paraId="2D2689A6" w14:textId="77777777" w:rsidR="001E3CEA" w:rsidRPr="00E778AD" w:rsidRDefault="001E3CEA" w:rsidP="0023377A">
            <w:pPr>
              <w:pStyle w:val="PBACTabletext0"/>
              <w:keepNext w:val="0"/>
              <w:keepLines w:val="0"/>
              <w:widowControl w:val="0"/>
              <w:suppressLineNumbers w:val="0"/>
              <w:rPr>
                <w:b/>
                <w:bCs/>
              </w:rPr>
            </w:pPr>
            <w:r>
              <w:rPr>
                <w:b/>
                <w:bCs/>
              </w:rPr>
              <w:t>Clinical criteria</w:t>
            </w:r>
          </w:p>
        </w:tc>
      </w:tr>
      <w:tr w:rsidR="001E3CEA" w:rsidRPr="00E778AD" w14:paraId="65C46C1C" w14:textId="77777777" w:rsidTr="003E5829">
        <w:tc>
          <w:tcPr>
            <w:tcW w:w="5000" w:type="pct"/>
            <w:shd w:val="clear" w:color="auto" w:fill="auto"/>
          </w:tcPr>
          <w:p w14:paraId="2E9002B3" w14:textId="77777777" w:rsidR="001E3CEA" w:rsidRPr="003E5D6C" w:rsidRDefault="001E3CEA" w:rsidP="0023377A">
            <w:pPr>
              <w:pStyle w:val="PBACTabletext0"/>
              <w:keepNext w:val="0"/>
              <w:keepLines w:val="0"/>
              <w:widowControl w:val="0"/>
              <w:suppressLineNumbers w:val="0"/>
              <w:rPr>
                <w:color w:val="FF0000"/>
              </w:rPr>
            </w:pPr>
            <w:r w:rsidRPr="00801FCC">
              <w:rPr>
                <w:color w:val="FF0000"/>
              </w:rPr>
              <w:t>Patient must have received treatment under the initial restriction with PBS</w:t>
            </w:r>
            <w:r>
              <w:rPr>
                <w:color w:val="FF0000"/>
              </w:rPr>
              <w:t>-</w:t>
            </w:r>
            <w:r w:rsidRPr="00801FCC">
              <w:rPr>
                <w:color w:val="FF0000"/>
              </w:rPr>
              <w:t>subsidised eculizumab for this condition,</w:t>
            </w:r>
          </w:p>
        </w:tc>
      </w:tr>
      <w:tr w:rsidR="001E3CEA" w:rsidRPr="00E778AD" w14:paraId="79DE2B86" w14:textId="77777777" w:rsidTr="003E5829">
        <w:tc>
          <w:tcPr>
            <w:tcW w:w="5000" w:type="pct"/>
            <w:shd w:val="clear" w:color="auto" w:fill="auto"/>
          </w:tcPr>
          <w:p w14:paraId="3B745B45" w14:textId="77777777" w:rsidR="001E3CEA" w:rsidRPr="003E5D6C" w:rsidRDefault="001E3CEA" w:rsidP="0023377A">
            <w:pPr>
              <w:pStyle w:val="PBACTabletext0"/>
              <w:keepNext w:val="0"/>
              <w:keepLines w:val="0"/>
              <w:widowControl w:val="0"/>
              <w:rPr>
                <w:b/>
                <w:bCs/>
                <w:color w:val="FF0000"/>
              </w:rPr>
            </w:pPr>
            <w:r w:rsidRPr="00801FCC">
              <w:rPr>
                <w:b/>
                <w:bCs/>
                <w:color w:val="FF0000"/>
              </w:rPr>
              <w:t>AND</w:t>
            </w:r>
          </w:p>
        </w:tc>
      </w:tr>
      <w:tr w:rsidR="001E3CEA" w:rsidRPr="00E778AD" w14:paraId="25CA7FEC" w14:textId="77777777" w:rsidTr="003E5829">
        <w:tc>
          <w:tcPr>
            <w:tcW w:w="5000" w:type="pct"/>
            <w:shd w:val="clear" w:color="auto" w:fill="auto"/>
          </w:tcPr>
          <w:p w14:paraId="5B389C21" w14:textId="77777777" w:rsidR="001E3CEA" w:rsidRPr="003E5D6C" w:rsidRDefault="001E3CEA" w:rsidP="0023377A">
            <w:pPr>
              <w:pStyle w:val="PBACTabletext0"/>
              <w:keepNext w:val="0"/>
              <w:keepLines w:val="0"/>
              <w:widowControl w:val="0"/>
              <w:rPr>
                <w:color w:val="FF0000"/>
              </w:rPr>
            </w:pPr>
            <w:r w:rsidRPr="007B3650">
              <w:rPr>
                <w:color w:val="FF0000"/>
              </w:rPr>
              <w:t>Patient must have ADAMTS-13 activity of greater than or equal to 10% on a blood sample,</w:t>
            </w:r>
          </w:p>
        </w:tc>
      </w:tr>
      <w:tr w:rsidR="001E3CEA" w:rsidRPr="00E778AD" w14:paraId="0D24D286" w14:textId="77777777" w:rsidTr="003E5829">
        <w:tc>
          <w:tcPr>
            <w:tcW w:w="5000" w:type="pct"/>
            <w:shd w:val="clear" w:color="auto" w:fill="auto"/>
          </w:tcPr>
          <w:p w14:paraId="649A43B8" w14:textId="77777777" w:rsidR="001E3CEA" w:rsidRPr="003E5D6C" w:rsidRDefault="001E3CEA" w:rsidP="0023377A">
            <w:pPr>
              <w:pStyle w:val="PBACTabletext0"/>
              <w:keepNext w:val="0"/>
              <w:keepLines w:val="0"/>
              <w:widowControl w:val="0"/>
              <w:rPr>
                <w:b/>
                <w:bCs/>
                <w:color w:val="FF0000"/>
              </w:rPr>
            </w:pPr>
            <w:r w:rsidRPr="007B3650">
              <w:rPr>
                <w:b/>
                <w:bCs/>
                <w:color w:val="FF0000"/>
              </w:rPr>
              <w:t>AND</w:t>
            </w:r>
          </w:p>
        </w:tc>
      </w:tr>
      <w:tr w:rsidR="001E3CEA" w:rsidRPr="00E778AD" w14:paraId="01314AA2" w14:textId="77777777" w:rsidTr="003E5829">
        <w:tc>
          <w:tcPr>
            <w:tcW w:w="5000" w:type="pct"/>
            <w:shd w:val="clear" w:color="auto" w:fill="auto"/>
          </w:tcPr>
          <w:p w14:paraId="58AD08A3" w14:textId="77777777" w:rsidR="001E3CEA" w:rsidRPr="003E5D6C" w:rsidRDefault="001E3CEA" w:rsidP="0023377A">
            <w:pPr>
              <w:pStyle w:val="PBACTabletext0"/>
              <w:keepNext w:val="0"/>
              <w:keepLines w:val="0"/>
              <w:widowControl w:val="0"/>
              <w:suppressLineNumbers w:val="0"/>
              <w:rPr>
                <w:color w:val="FF0000"/>
              </w:rPr>
            </w:pPr>
            <w:r w:rsidRPr="00801FCC">
              <w:rPr>
                <w:color w:val="FF0000"/>
              </w:rPr>
              <w:t>Patient must</w:t>
            </w:r>
            <w:r>
              <w:rPr>
                <w:color w:val="FF0000"/>
              </w:rPr>
              <w:t xml:space="preserve"> not receive more than 32 weeks </w:t>
            </w:r>
            <w:r w:rsidRPr="00801FCC">
              <w:rPr>
                <w:color w:val="FF0000"/>
              </w:rPr>
              <w:t xml:space="preserve">of treatment </w:t>
            </w:r>
            <w:r>
              <w:rPr>
                <w:color w:val="FF0000"/>
              </w:rPr>
              <w:t>in total under this restriction including prior eculizumab use</w:t>
            </w:r>
          </w:p>
        </w:tc>
      </w:tr>
      <w:tr w:rsidR="001E3CEA" w:rsidRPr="00E778AD" w14:paraId="7BDA0CA1" w14:textId="77777777" w:rsidTr="003E5829">
        <w:tc>
          <w:tcPr>
            <w:tcW w:w="5000" w:type="pct"/>
            <w:shd w:val="clear" w:color="auto" w:fill="auto"/>
          </w:tcPr>
          <w:p w14:paraId="5B08CE2A" w14:textId="77777777" w:rsidR="001E3CEA" w:rsidRPr="003E5D6C" w:rsidRDefault="001E3CEA" w:rsidP="0023377A">
            <w:pPr>
              <w:pStyle w:val="PBACTabletext0"/>
              <w:keepNext w:val="0"/>
              <w:keepLines w:val="0"/>
              <w:widowControl w:val="0"/>
              <w:suppressLineNumbers w:val="0"/>
              <w:rPr>
                <w:b/>
                <w:bCs/>
                <w:color w:val="FF0000"/>
              </w:rPr>
            </w:pPr>
            <w:r w:rsidRPr="00801FCC">
              <w:rPr>
                <w:b/>
                <w:bCs/>
                <w:color w:val="FF0000"/>
              </w:rPr>
              <w:t>AND</w:t>
            </w:r>
          </w:p>
        </w:tc>
      </w:tr>
      <w:tr w:rsidR="001E3CEA" w:rsidRPr="00E778AD" w14:paraId="2517BF35" w14:textId="77777777" w:rsidTr="003E5829">
        <w:tc>
          <w:tcPr>
            <w:tcW w:w="5000" w:type="pct"/>
            <w:shd w:val="clear" w:color="auto" w:fill="auto"/>
          </w:tcPr>
          <w:p w14:paraId="77236CF4" w14:textId="77777777" w:rsidR="001E3CEA" w:rsidRPr="00801FCC" w:rsidRDefault="001E3CEA" w:rsidP="0023377A">
            <w:pPr>
              <w:pStyle w:val="PBACTabletext0"/>
              <w:keepNext w:val="0"/>
              <w:keepLines w:val="0"/>
              <w:widowControl w:val="0"/>
              <w:suppressLineNumbers w:val="0"/>
              <w:rPr>
                <w:b/>
                <w:bCs/>
                <w:color w:val="FF0000"/>
              </w:rPr>
            </w:pPr>
            <w:r w:rsidRPr="00801FCC">
              <w:rPr>
                <w:color w:val="FF0000"/>
              </w:rPr>
              <w:t>The treatment must not be in combination with eculizumab.</w:t>
            </w:r>
          </w:p>
        </w:tc>
      </w:tr>
      <w:tr w:rsidR="001E3CEA" w:rsidRPr="00E778AD" w14:paraId="2EDB723D" w14:textId="77777777" w:rsidTr="003E5829">
        <w:tc>
          <w:tcPr>
            <w:tcW w:w="5000" w:type="pct"/>
            <w:shd w:val="clear" w:color="auto" w:fill="auto"/>
          </w:tcPr>
          <w:p w14:paraId="1B0F23C1" w14:textId="77777777" w:rsidR="001E3CEA" w:rsidRPr="00801FCC" w:rsidRDefault="001E3CEA" w:rsidP="0023377A">
            <w:pPr>
              <w:pStyle w:val="PBACTabletext0"/>
              <w:keepNext w:val="0"/>
              <w:keepLines w:val="0"/>
              <w:widowControl w:val="0"/>
              <w:suppressLineNumbers w:val="0"/>
              <w:rPr>
                <w:color w:val="FF0000"/>
              </w:rPr>
            </w:pPr>
            <w:r>
              <w:rPr>
                <w:b/>
                <w:bCs/>
              </w:rPr>
              <w:t>Administrative advice</w:t>
            </w:r>
          </w:p>
        </w:tc>
      </w:tr>
      <w:tr w:rsidR="001E3CEA" w:rsidRPr="00E778AD" w14:paraId="1020A617" w14:textId="77777777" w:rsidTr="003E5829">
        <w:tc>
          <w:tcPr>
            <w:tcW w:w="5000" w:type="pct"/>
            <w:shd w:val="clear" w:color="auto" w:fill="FFFFFF" w:themeFill="background1"/>
          </w:tcPr>
          <w:p w14:paraId="33BA60CF" w14:textId="77777777" w:rsidR="001E3CEA" w:rsidRPr="00801FCC" w:rsidRDefault="001E3CEA" w:rsidP="0023377A">
            <w:pPr>
              <w:pStyle w:val="PBACTabletext0"/>
              <w:keepNext w:val="0"/>
              <w:keepLines w:val="0"/>
              <w:widowControl w:val="0"/>
              <w:suppressLineNumbers w:val="0"/>
              <w:rPr>
                <w:color w:val="FF0000"/>
              </w:rPr>
            </w:pPr>
            <w:r w:rsidRPr="002C2329">
              <w:rPr>
                <w:color w:val="FF0000"/>
              </w:rPr>
              <w:t>Maximum quantities and repeats will only be authorised up to a total treatment duration of 32 weeks inclusive of duration of prior eculizumab</w:t>
            </w:r>
            <w:r>
              <w:rPr>
                <w:color w:val="FF0000"/>
              </w:rPr>
              <w:t xml:space="preserve"> for this treatment phase </w:t>
            </w:r>
          </w:p>
        </w:tc>
      </w:tr>
    </w:tbl>
    <w:p w14:paraId="4F907F5F" w14:textId="5A99068B" w:rsidR="001E3CEA" w:rsidRDefault="001E3CEA" w:rsidP="000B3185">
      <w:pPr>
        <w:pStyle w:val="PBACTblFignote"/>
        <w:keepNext w:val="0"/>
        <w:keepLines w:val="0"/>
        <w:spacing w:after="120"/>
        <w:rPr>
          <w:lang w:val="en-US"/>
        </w:rPr>
      </w:pPr>
      <w:r>
        <w:rPr>
          <w:lang w:val="en-US"/>
        </w:rPr>
        <w:t xml:space="preserve">Source: Table 17, p41 of the submission. </w:t>
      </w:r>
    </w:p>
    <w:p w14:paraId="75733022" w14:textId="0715684D" w:rsidR="001E3CEA" w:rsidRDefault="00485C52" w:rsidP="00677F6D">
      <w:pPr>
        <w:pStyle w:val="5-SubsectionSubheading"/>
        <w:spacing w:before="0" w:after="0"/>
      </w:pPr>
      <w:r>
        <w:t>E</w:t>
      </w:r>
      <w:r w:rsidR="001E3CEA">
        <w:t xml:space="preserve">xtended initial treatment </w:t>
      </w:r>
      <w:r w:rsidR="00040CB5">
        <w:t xml:space="preserve">– Assessment </w:t>
      </w:r>
      <w:r w:rsidR="001E3CEA">
        <w:t xml:space="preserve">phase / </w:t>
      </w:r>
      <w:r>
        <w:t>C</w:t>
      </w:r>
      <w:r w:rsidR="001E3CEA">
        <w:t xml:space="preserve">ontinuing treatment </w:t>
      </w:r>
      <w:r w:rsidR="00040CB5">
        <w:t xml:space="preserve">and </w:t>
      </w:r>
      <w:r>
        <w:t>E</w:t>
      </w:r>
      <w:r w:rsidR="001E3CEA">
        <w:t xml:space="preserve">xtended </w:t>
      </w:r>
      <w:r>
        <w:t>C</w:t>
      </w:r>
      <w:r w:rsidR="001E3CEA">
        <w:t>ontinuing treatment</w:t>
      </w:r>
    </w:p>
    <w:tbl>
      <w:tblPr>
        <w:tblStyle w:val="TableGrid"/>
        <w:tblW w:w="5000" w:type="pct"/>
        <w:tblLook w:val="04A0" w:firstRow="1" w:lastRow="0" w:firstColumn="1" w:lastColumn="0" w:noHBand="0" w:noVBand="1"/>
      </w:tblPr>
      <w:tblGrid>
        <w:gridCol w:w="9017"/>
      </w:tblGrid>
      <w:tr w:rsidR="001E3CEA" w:rsidRPr="00E778AD" w14:paraId="2EF52610" w14:textId="77777777" w:rsidTr="003E5829">
        <w:tc>
          <w:tcPr>
            <w:tcW w:w="5000" w:type="pct"/>
          </w:tcPr>
          <w:p w14:paraId="5F0A7346" w14:textId="77777777" w:rsidR="001E3CEA" w:rsidRPr="003E5D6C" w:rsidRDefault="001E3CEA" w:rsidP="0023377A">
            <w:pPr>
              <w:pStyle w:val="PBACTabletext0"/>
              <w:keepNext w:val="0"/>
              <w:keepLines w:val="0"/>
              <w:widowControl w:val="0"/>
              <w:suppressLineNumbers w:val="0"/>
              <w:rPr>
                <w:b/>
                <w:bCs/>
              </w:rPr>
            </w:pPr>
            <w:r w:rsidRPr="00E778AD">
              <w:rPr>
                <w:b/>
                <w:bCs/>
              </w:rPr>
              <w:t>Category/Program:</w:t>
            </w:r>
            <w:r>
              <w:rPr>
                <w:b/>
                <w:bCs/>
              </w:rPr>
              <w:t xml:space="preserve"> </w:t>
            </w:r>
            <w:r>
              <w:t xml:space="preserve">S100 </w:t>
            </w:r>
            <w:r w:rsidRPr="00B479B3">
              <w:t>Highly Specialised Drugs Program (Public/Private)</w:t>
            </w:r>
          </w:p>
        </w:tc>
      </w:tr>
      <w:tr w:rsidR="001E3CEA" w:rsidRPr="00E778AD" w14:paraId="66B846AD" w14:textId="77777777" w:rsidTr="003E5829">
        <w:tc>
          <w:tcPr>
            <w:tcW w:w="5000" w:type="pct"/>
          </w:tcPr>
          <w:p w14:paraId="0DC2014B" w14:textId="08D174F9" w:rsidR="001E3CEA" w:rsidRPr="003E5D6C" w:rsidRDefault="001E3CEA" w:rsidP="0023377A">
            <w:pPr>
              <w:pStyle w:val="PBACTabletext0"/>
              <w:keepNext w:val="0"/>
              <w:keepLines w:val="0"/>
              <w:widowControl w:val="0"/>
              <w:suppressLineNumbers w:val="0"/>
              <w:rPr>
                <w:b/>
                <w:bCs/>
              </w:rPr>
            </w:pPr>
            <w:r w:rsidRPr="00E778AD">
              <w:rPr>
                <w:b/>
                <w:bCs/>
              </w:rPr>
              <w:t>Prescriber type:</w:t>
            </w:r>
            <w:r w:rsidR="001B5AFD">
              <w:rPr>
                <w:b/>
                <w:bCs/>
              </w:rPr>
              <w:t xml:space="preserve"> </w:t>
            </w:r>
            <w:r w:rsidRPr="00E778AD">
              <w:fldChar w:fldCharType="begin" w:fldLock="1">
                <w:ffData>
                  <w:name w:val=""/>
                  <w:enabled/>
                  <w:calcOnExit w:val="0"/>
                  <w:checkBox>
                    <w:sizeAuto/>
                    <w:default w:val="1"/>
                  </w:checkBox>
                </w:ffData>
              </w:fldChar>
            </w:r>
            <w:r w:rsidRPr="00E778AD">
              <w:instrText xml:space="preserve"> FORMCHECKBOX </w:instrText>
            </w:r>
            <w:r w:rsidR="00497513">
              <w:fldChar w:fldCharType="separate"/>
            </w:r>
            <w:r w:rsidRPr="00E778AD">
              <w:fldChar w:fldCharType="end"/>
            </w:r>
            <w:r w:rsidRPr="00E778AD">
              <w:t>Medical Practitioners</w:t>
            </w:r>
          </w:p>
        </w:tc>
      </w:tr>
      <w:tr w:rsidR="001E3CEA" w:rsidRPr="00E778AD" w14:paraId="2A174668" w14:textId="77777777" w:rsidTr="003E5829">
        <w:tc>
          <w:tcPr>
            <w:tcW w:w="5000" w:type="pct"/>
          </w:tcPr>
          <w:p w14:paraId="467C5009" w14:textId="77777777" w:rsidR="001E3CEA" w:rsidRPr="00E778AD" w:rsidRDefault="001E3CEA" w:rsidP="0023377A">
            <w:pPr>
              <w:pStyle w:val="PBACTabletext0"/>
              <w:keepNext w:val="0"/>
              <w:keepLines w:val="0"/>
              <w:widowControl w:val="0"/>
              <w:suppressLineNumbers w:val="0"/>
              <w:rPr>
                <w:b/>
                <w:bCs/>
              </w:rPr>
            </w:pPr>
            <w:r w:rsidRPr="00E778AD">
              <w:rPr>
                <w:b/>
                <w:bCs/>
              </w:rPr>
              <w:t>Restriction Level / Method:</w:t>
            </w:r>
            <w:r w:rsidRPr="00E778AD">
              <w:t xml:space="preserve"> </w:t>
            </w:r>
            <w:r w:rsidRPr="00E778AD">
              <w:fldChar w:fldCharType="begin" w:fldLock="1">
                <w:ffData>
                  <w:name w:val="Check3"/>
                  <w:enabled/>
                  <w:calcOnExit w:val="0"/>
                  <w:checkBox>
                    <w:sizeAuto/>
                    <w:default w:val="1"/>
                  </w:checkBox>
                </w:ffData>
              </w:fldChar>
            </w:r>
            <w:r w:rsidRPr="00E778AD">
              <w:instrText xml:space="preserve"> FORMCHECKBOX </w:instrText>
            </w:r>
            <w:r w:rsidR="00497513">
              <w:fldChar w:fldCharType="separate"/>
            </w:r>
            <w:r w:rsidRPr="00E778AD">
              <w:fldChar w:fldCharType="end"/>
            </w:r>
            <w:r w:rsidRPr="00E778AD">
              <w:t xml:space="preserve">Authority Required – </w:t>
            </w:r>
            <w:r>
              <w:t>written</w:t>
            </w:r>
          </w:p>
        </w:tc>
      </w:tr>
      <w:tr w:rsidR="001E3CEA" w:rsidRPr="00E778AD" w14:paraId="20A21D0D" w14:textId="77777777" w:rsidTr="003E5829">
        <w:tc>
          <w:tcPr>
            <w:tcW w:w="5000" w:type="pct"/>
          </w:tcPr>
          <w:p w14:paraId="59F4D527" w14:textId="77777777" w:rsidR="001E3CEA" w:rsidRPr="003E5D6C" w:rsidRDefault="001E3CEA" w:rsidP="0023377A">
            <w:pPr>
              <w:pStyle w:val="PBACTabletext0"/>
              <w:keepNext w:val="0"/>
              <w:keepLines w:val="0"/>
              <w:widowControl w:val="0"/>
              <w:suppressLineNumbers w:val="0"/>
              <w:rPr>
                <w:b/>
                <w:bCs/>
              </w:rPr>
            </w:pPr>
            <w:r>
              <w:rPr>
                <w:b/>
                <w:bCs/>
              </w:rPr>
              <w:t>Condition</w:t>
            </w:r>
            <w:r w:rsidRPr="00E778AD">
              <w:rPr>
                <w:b/>
                <w:bCs/>
              </w:rPr>
              <w:t>:</w:t>
            </w:r>
            <w:r>
              <w:rPr>
                <w:b/>
                <w:bCs/>
              </w:rPr>
              <w:t xml:space="preserve"> </w:t>
            </w:r>
            <w:r w:rsidRPr="006B4C68">
              <w:t>Atypical haemolytic uraemic syndrome (aHUS)</w:t>
            </w:r>
          </w:p>
        </w:tc>
      </w:tr>
      <w:tr w:rsidR="001E3CEA" w:rsidRPr="00E778AD" w14:paraId="0E7760CC" w14:textId="77777777" w:rsidTr="003E5829">
        <w:tc>
          <w:tcPr>
            <w:tcW w:w="5000" w:type="pct"/>
            <w:shd w:val="clear" w:color="auto" w:fill="auto"/>
          </w:tcPr>
          <w:p w14:paraId="06413413" w14:textId="77777777" w:rsidR="001E3CEA" w:rsidRPr="00FA1B82" w:rsidRDefault="001E3CEA" w:rsidP="0023377A">
            <w:pPr>
              <w:pStyle w:val="PBACTabletext0"/>
              <w:keepNext w:val="0"/>
              <w:keepLines w:val="0"/>
              <w:widowControl w:val="0"/>
              <w:suppressLineNumbers w:val="0"/>
              <w:rPr>
                <w:b/>
                <w:bCs/>
              </w:rPr>
            </w:pPr>
            <w:r w:rsidRPr="00E778AD">
              <w:rPr>
                <w:b/>
                <w:bCs/>
              </w:rPr>
              <w:t>Treatment phase</w:t>
            </w:r>
            <w:r>
              <w:rPr>
                <w:b/>
                <w:bCs/>
              </w:rPr>
              <w:t xml:space="preserve">: </w:t>
            </w:r>
            <w:bookmarkStart w:id="14" w:name="_Hlk128996618"/>
            <w:r w:rsidRPr="002376D7">
              <w:rPr>
                <w:b/>
                <w:bCs/>
              </w:rPr>
              <w:t>Extended initial treatment – Assessment phase</w:t>
            </w:r>
            <w:r>
              <w:rPr>
                <w:b/>
                <w:bCs/>
              </w:rPr>
              <w:t xml:space="preserve"> / Continuing treatment </w:t>
            </w:r>
            <w:bookmarkEnd w:id="14"/>
          </w:p>
        </w:tc>
      </w:tr>
      <w:tr w:rsidR="001E3CEA" w:rsidRPr="00E778AD" w14:paraId="03BC5CC8" w14:textId="77777777" w:rsidTr="003E5829">
        <w:tc>
          <w:tcPr>
            <w:tcW w:w="5000" w:type="pct"/>
            <w:shd w:val="clear" w:color="auto" w:fill="auto"/>
          </w:tcPr>
          <w:p w14:paraId="14C925D0" w14:textId="77777777" w:rsidR="001E3CEA" w:rsidRPr="00E778AD" w:rsidRDefault="001E3CEA" w:rsidP="0023377A">
            <w:pPr>
              <w:pStyle w:val="PBACTabletext0"/>
              <w:keepNext w:val="0"/>
              <w:keepLines w:val="0"/>
              <w:widowControl w:val="0"/>
              <w:suppressLineNumbers w:val="0"/>
              <w:rPr>
                <w:b/>
                <w:bCs/>
              </w:rPr>
            </w:pPr>
            <w:r>
              <w:rPr>
                <w:b/>
                <w:bCs/>
              </w:rPr>
              <w:t>Clinical criteria</w:t>
            </w:r>
          </w:p>
        </w:tc>
      </w:tr>
      <w:tr w:rsidR="001E3CEA" w:rsidRPr="00E778AD" w14:paraId="4E579189" w14:textId="77777777" w:rsidTr="003E5829">
        <w:tc>
          <w:tcPr>
            <w:tcW w:w="5000" w:type="pct"/>
            <w:shd w:val="clear" w:color="auto" w:fill="auto"/>
          </w:tcPr>
          <w:p w14:paraId="6C400B51" w14:textId="77777777" w:rsidR="001E3CEA" w:rsidRDefault="001E3CEA" w:rsidP="0023377A">
            <w:pPr>
              <w:pStyle w:val="PBACTabletext0"/>
              <w:keepNext w:val="0"/>
              <w:keepLines w:val="0"/>
              <w:widowControl w:val="0"/>
              <w:suppressLineNumbers w:val="0"/>
            </w:pPr>
            <w:r w:rsidRPr="00802D65">
              <w:t>Patient must have received treatment under the initial restriction with PBS</w:t>
            </w:r>
            <w:r>
              <w:t>-</w:t>
            </w:r>
            <w:r w:rsidRPr="00802D65">
              <w:t xml:space="preserve">subsidised </w:t>
            </w:r>
            <w:r w:rsidRPr="00802D65">
              <w:rPr>
                <w:color w:val="FF0000"/>
              </w:rPr>
              <w:t xml:space="preserve">ravulizumab </w:t>
            </w:r>
            <w:r w:rsidRPr="00802D65">
              <w:t>for this condition,</w:t>
            </w:r>
            <w:r>
              <w:t xml:space="preserve"> </w:t>
            </w:r>
          </w:p>
          <w:p w14:paraId="6FFF1823" w14:textId="77777777" w:rsidR="001E3CEA" w:rsidRPr="001B5A2F" w:rsidRDefault="001E3CEA" w:rsidP="0023377A">
            <w:pPr>
              <w:pStyle w:val="PBACTabletext0"/>
              <w:keepNext w:val="0"/>
              <w:keepLines w:val="0"/>
              <w:widowControl w:val="0"/>
              <w:suppressLineNumbers w:val="0"/>
              <w:rPr>
                <w:color w:val="FF0000"/>
              </w:rPr>
            </w:pPr>
            <w:r w:rsidRPr="001B5A2F">
              <w:rPr>
                <w:color w:val="FF0000"/>
              </w:rPr>
              <w:t>OR</w:t>
            </w:r>
          </w:p>
          <w:p w14:paraId="284DDE58" w14:textId="77777777" w:rsidR="001E3CEA" w:rsidRPr="003E5D6C" w:rsidRDefault="001E3CEA" w:rsidP="0023377A">
            <w:pPr>
              <w:pStyle w:val="PBACTabletext0"/>
              <w:keepNext w:val="0"/>
              <w:keepLines w:val="0"/>
              <w:widowControl w:val="0"/>
              <w:suppressLineNumbers w:val="0"/>
              <w:rPr>
                <w:color w:val="FF0000"/>
              </w:rPr>
            </w:pPr>
            <w:r w:rsidRPr="00E42CA6">
              <w:rPr>
                <w:color w:val="FF0000"/>
              </w:rPr>
              <w:t xml:space="preserve">Patient must have received treatment under </w:t>
            </w:r>
            <w:r>
              <w:rPr>
                <w:color w:val="FF0000"/>
              </w:rPr>
              <w:t xml:space="preserve">either </w:t>
            </w:r>
            <w:r w:rsidRPr="00E42CA6">
              <w:rPr>
                <w:color w:val="FF0000"/>
              </w:rPr>
              <w:t xml:space="preserve">the </w:t>
            </w:r>
            <w:r>
              <w:rPr>
                <w:color w:val="FF0000"/>
              </w:rPr>
              <w:t>‘Initial treatment’, ‘Extended initial treatment’</w:t>
            </w:r>
            <w:r w:rsidRPr="00E42CA6">
              <w:rPr>
                <w:color w:val="FF0000"/>
              </w:rPr>
              <w:t xml:space="preserve"> </w:t>
            </w:r>
            <w:r>
              <w:rPr>
                <w:color w:val="FF0000"/>
              </w:rPr>
              <w:t xml:space="preserve">or ‘Continuing treatment’ restriction </w:t>
            </w:r>
            <w:r w:rsidRPr="00E42CA6">
              <w:rPr>
                <w:color w:val="FF0000"/>
              </w:rPr>
              <w:t>with PBS</w:t>
            </w:r>
            <w:r>
              <w:rPr>
                <w:color w:val="FF0000"/>
              </w:rPr>
              <w:t>-</w:t>
            </w:r>
            <w:r w:rsidRPr="00E42CA6">
              <w:rPr>
                <w:color w:val="FF0000"/>
              </w:rPr>
              <w:t>subsidised eculizumab for this condition,</w:t>
            </w:r>
          </w:p>
        </w:tc>
      </w:tr>
      <w:tr w:rsidR="001E3CEA" w:rsidRPr="00E778AD" w14:paraId="44CB4D93" w14:textId="77777777" w:rsidTr="003E5829">
        <w:tc>
          <w:tcPr>
            <w:tcW w:w="5000" w:type="pct"/>
            <w:shd w:val="clear" w:color="auto" w:fill="auto"/>
          </w:tcPr>
          <w:p w14:paraId="10771E1F" w14:textId="77777777" w:rsidR="001E3CEA" w:rsidRPr="00E778AD" w:rsidRDefault="001E3CEA" w:rsidP="0023377A">
            <w:pPr>
              <w:pStyle w:val="PBACTabletext0"/>
              <w:keepNext w:val="0"/>
              <w:keepLines w:val="0"/>
              <w:widowControl w:val="0"/>
              <w:rPr>
                <w:b/>
                <w:bCs/>
              </w:rPr>
            </w:pPr>
            <w:r w:rsidRPr="004F6400">
              <w:rPr>
                <w:b/>
                <w:bCs/>
              </w:rPr>
              <w:t>AND</w:t>
            </w:r>
          </w:p>
        </w:tc>
      </w:tr>
      <w:tr w:rsidR="001E3CEA" w:rsidRPr="00E778AD" w14:paraId="31333E9F" w14:textId="77777777" w:rsidTr="003E5829">
        <w:tc>
          <w:tcPr>
            <w:tcW w:w="5000" w:type="pct"/>
            <w:shd w:val="clear" w:color="auto" w:fill="auto"/>
          </w:tcPr>
          <w:p w14:paraId="466BD0BA" w14:textId="77777777" w:rsidR="001E3CEA" w:rsidRPr="003E5D6C" w:rsidRDefault="001E3CEA" w:rsidP="0023377A">
            <w:pPr>
              <w:pStyle w:val="PBACTabletext0"/>
              <w:keepNext w:val="0"/>
              <w:keepLines w:val="0"/>
              <w:widowControl w:val="0"/>
            </w:pPr>
            <w:r>
              <w:t xml:space="preserve">Patient must have demonstrated ongoing treatment response of PBS-subsidised </w:t>
            </w:r>
            <w:r w:rsidRPr="00802D65">
              <w:rPr>
                <w:color w:val="FF0000"/>
              </w:rPr>
              <w:t xml:space="preserve">ravulizumab or </w:t>
            </w:r>
            <w:r>
              <w:t>eculizumab treatment for this condition,</w:t>
            </w:r>
          </w:p>
        </w:tc>
      </w:tr>
      <w:tr w:rsidR="001E3CEA" w:rsidRPr="00E778AD" w14:paraId="1F072510" w14:textId="77777777" w:rsidTr="003E5829">
        <w:tc>
          <w:tcPr>
            <w:tcW w:w="5000" w:type="pct"/>
            <w:shd w:val="clear" w:color="auto" w:fill="auto"/>
          </w:tcPr>
          <w:p w14:paraId="15F62571" w14:textId="77777777" w:rsidR="001E3CEA" w:rsidRPr="00E778AD" w:rsidRDefault="001E3CEA" w:rsidP="0023377A">
            <w:pPr>
              <w:pStyle w:val="PBACTabletext0"/>
              <w:keepNext w:val="0"/>
              <w:keepLines w:val="0"/>
              <w:widowControl w:val="0"/>
              <w:rPr>
                <w:b/>
                <w:bCs/>
              </w:rPr>
            </w:pPr>
            <w:r w:rsidRPr="004F6400">
              <w:rPr>
                <w:b/>
                <w:bCs/>
              </w:rPr>
              <w:t>AND</w:t>
            </w:r>
          </w:p>
        </w:tc>
      </w:tr>
      <w:tr w:rsidR="001E3CEA" w:rsidRPr="00E778AD" w14:paraId="6CE35748" w14:textId="77777777" w:rsidTr="003E5829">
        <w:tc>
          <w:tcPr>
            <w:tcW w:w="5000" w:type="pct"/>
            <w:shd w:val="clear" w:color="auto" w:fill="auto"/>
          </w:tcPr>
          <w:p w14:paraId="70259573" w14:textId="77777777" w:rsidR="001E3CEA" w:rsidRPr="003E5D6C" w:rsidRDefault="001E3CEA" w:rsidP="0023377A">
            <w:pPr>
              <w:pStyle w:val="PBACTabletext0"/>
              <w:keepNext w:val="0"/>
              <w:keepLines w:val="0"/>
              <w:widowControl w:val="0"/>
            </w:pPr>
            <w:r>
              <w:t xml:space="preserve">Patient must not have experienced treatment failure with </w:t>
            </w:r>
            <w:r w:rsidRPr="00802D65">
              <w:rPr>
                <w:color w:val="FF0000"/>
              </w:rPr>
              <w:t xml:space="preserve">ravulizumab or </w:t>
            </w:r>
            <w:r>
              <w:t xml:space="preserve">eculizumab including PBS-subsidised </w:t>
            </w:r>
            <w:r w:rsidRPr="00802D65">
              <w:rPr>
                <w:color w:val="FF0000"/>
              </w:rPr>
              <w:t xml:space="preserve">ravulizumab or </w:t>
            </w:r>
            <w:r>
              <w:t>eculizumab for this condition,</w:t>
            </w:r>
          </w:p>
        </w:tc>
      </w:tr>
      <w:tr w:rsidR="001E3CEA" w:rsidRPr="00E778AD" w14:paraId="395E4D34" w14:textId="77777777" w:rsidTr="003E5829">
        <w:tc>
          <w:tcPr>
            <w:tcW w:w="5000" w:type="pct"/>
            <w:shd w:val="clear" w:color="auto" w:fill="auto"/>
          </w:tcPr>
          <w:p w14:paraId="689864C2" w14:textId="77777777" w:rsidR="001E3CEA" w:rsidRPr="00E778AD" w:rsidRDefault="001E3CEA" w:rsidP="0023377A">
            <w:pPr>
              <w:pStyle w:val="PBACTabletext0"/>
              <w:keepNext w:val="0"/>
              <w:keepLines w:val="0"/>
              <w:widowControl w:val="0"/>
              <w:rPr>
                <w:b/>
                <w:bCs/>
              </w:rPr>
            </w:pPr>
            <w:r w:rsidRPr="004F6400">
              <w:rPr>
                <w:b/>
                <w:bCs/>
              </w:rPr>
              <w:t>AND</w:t>
            </w:r>
          </w:p>
        </w:tc>
      </w:tr>
      <w:tr w:rsidR="001E3CEA" w:rsidRPr="00E778AD" w14:paraId="1F0EFEAB" w14:textId="77777777" w:rsidTr="003E5829">
        <w:tc>
          <w:tcPr>
            <w:tcW w:w="5000" w:type="pct"/>
            <w:shd w:val="clear" w:color="auto" w:fill="auto"/>
          </w:tcPr>
          <w:p w14:paraId="71C49EDA" w14:textId="77777777" w:rsidR="001E3CEA" w:rsidRPr="003E5D6C" w:rsidRDefault="001E3CEA" w:rsidP="0023377A">
            <w:pPr>
              <w:pStyle w:val="PBACTabletext0"/>
              <w:keepNext w:val="0"/>
              <w:keepLines w:val="0"/>
              <w:widowControl w:val="0"/>
              <w:suppressLineNumbers w:val="0"/>
              <w:rPr>
                <w:color w:val="FF0000"/>
              </w:rPr>
            </w:pPr>
            <w:r>
              <w:t xml:space="preserve">Patient must not receive more than </w:t>
            </w:r>
            <w:r w:rsidRPr="00D928BD">
              <w:rPr>
                <w:strike/>
              </w:rPr>
              <w:t>56 weeks</w:t>
            </w:r>
            <w:r>
              <w:rPr>
                <w:strike/>
              </w:rPr>
              <w:t xml:space="preserve"> [extended initial treatment] and 24 weeks [continuing treatment]</w:t>
            </w:r>
            <w:r w:rsidRPr="00E42CA6">
              <w:t xml:space="preserve"> </w:t>
            </w:r>
            <w:r w:rsidRPr="00E42CA6">
              <w:rPr>
                <w:color w:val="FF0000"/>
              </w:rPr>
              <w:t>8</w:t>
            </w:r>
            <w:r>
              <w:rPr>
                <w:color w:val="FF0000"/>
              </w:rPr>
              <w:t>2</w:t>
            </w:r>
            <w:r w:rsidRPr="00E42CA6">
              <w:rPr>
                <w:color w:val="FF0000"/>
              </w:rPr>
              <w:t xml:space="preserve"> </w:t>
            </w:r>
            <w:r w:rsidRPr="00802D65">
              <w:rPr>
                <w:color w:val="FF0000"/>
              </w:rPr>
              <w:t xml:space="preserve">weeks </w:t>
            </w:r>
            <w:r>
              <w:t xml:space="preserve">of treatment </w:t>
            </w:r>
            <w:r w:rsidRPr="003C208E">
              <w:rPr>
                <w:color w:val="FF0000"/>
              </w:rPr>
              <w:t xml:space="preserve">in total </w:t>
            </w:r>
            <w:r w:rsidRPr="003C208E">
              <w:rPr>
                <w:color w:val="000000" w:themeColor="text1"/>
              </w:rPr>
              <w:t xml:space="preserve">under this restriction </w:t>
            </w:r>
            <w:r w:rsidRPr="003C208E">
              <w:rPr>
                <w:color w:val="FF0000"/>
              </w:rPr>
              <w:t>including prior eculizumab use</w:t>
            </w:r>
          </w:p>
        </w:tc>
      </w:tr>
      <w:tr w:rsidR="001E3CEA" w:rsidRPr="00E778AD" w14:paraId="20DAFB2B" w14:textId="77777777" w:rsidTr="003E5829">
        <w:tc>
          <w:tcPr>
            <w:tcW w:w="5000" w:type="pct"/>
            <w:shd w:val="clear" w:color="auto" w:fill="auto"/>
          </w:tcPr>
          <w:p w14:paraId="1D4CA823" w14:textId="77777777" w:rsidR="001E3CEA" w:rsidRPr="003E5D6C" w:rsidRDefault="001E3CEA" w:rsidP="0023377A">
            <w:pPr>
              <w:pStyle w:val="PBACTabletext0"/>
              <w:keepNext w:val="0"/>
              <w:keepLines w:val="0"/>
              <w:widowControl w:val="0"/>
              <w:suppressLineNumbers w:val="0"/>
              <w:rPr>
                <w:b/>
                <w:bCs/>
                <w:color w:val="FF0000"/>
              </w:rPr>
            </w:pPr>
            <w:r w:rsidRPr="00A145D9">
              <w:rPr>
                <w:b/>
                <w:bCs/>
                <w:color w:val="FF0000"/>
              </w:rPr>
              <w:t>AND</w:t>
            </w:r>
          </w:p>
        </w:tc>
      </w:tr>
      <w:tr w:rsidR="001E3CEA" w:rsidRPr="00E778AD" w14:paraId="059B8AEE" w14:textId="77777777" w:rsidTr="003E5829">
        <w:tc>
          <w:tcPr>
            <w:tcW w:w="5000" w:type="pct"/>
            <w:shd w:val="clear" w:color="auto" w:fill="auto"/>
          </w:tcPr>
          <w:p w14:paraId="0BE259CB" w14:textId="77777777" w:rsidR="001E3CEA" w:rsidRPr="00A145D9" w:rsidRDefault="001E3CEA" w:rsidP="0023377A">
            <w:pPr>
              <w:pStyle w:val="PBACTabletext0"/>
              <w:keepNext w:val="0"/>
              <w:keepLines w:val="0"/>
              <w:widowControl w:val="0"/>
              <w:suppressLineNumbers w:val="0"/>
              <w:rPr>
                <w:b/>
                <w:bCs/>
                <w:color w:val="FF0000"/>
              </w:rPr>
            </w:pPr>
            <w:r w:rsidRPr="00A145D9">
              <w:rPr>
                <w:color w:val="FF0000"/>
              </w:rPr>
              <w:t>The treatment must not be in combination with eculizumab.</w:t>
            </w:r>
          </w:p>
        </w:tc>
      </w:tr>
      <w:tr w:rsidR="001E3CEA" w:rsidRPr="00E778AD" w14:paraId="4350F627" w14:textId="77777777" w:rsidTr="003E5829">
        <w:tc>
          <w:tcPr>
            <w:tcW w:w="5000" w:type="pct"/>
            <w:shd w:val="clear" w:color="auto" w:fill="FFFFFF" w:themeFill="background1"/>
          </w:tcPr>
          <w:p w14:paraId="3B2D7932" w14:textId="77777777" w:rsidR="001E3CEA" w:rsidRDefault="001E3CEA" w:rsidP="0023377A">
            <w:pPr>
              <w:pStyle w:val="PBACTabletext0"/>
              <w:keepNext w:val="0"/>
              <w:keepLines w:val="0"/>
              <w:widowControl w:val="0"/>
              <w:suppressLineNumbers w:val="0"/>
              <w:rPr>
                <w:b/>
                <w:bCs/>
              </w:rPr>
            </w:pPr>
            <w:r>
              <w:rPr>
                <w:b/>
                <w:bCs/>
              </w:rPr>
              <w:t xml:space="preserve">Administrative Advice: </w:t>
            </w:r>
          </w:p>
          <w:p w14:paraId="5A8F377F" w14:textId="77777777" w:rsidR="001E3CEA" w:rsidRPr="00802D65" w:rsidRDefault="001E3CEA" w:rsidP="0023377A">
            <w:pPr>
              <w:pStyle w:val="PBACTabletext0"/>
              <w:keepNext w:val="0"/>
              <w:keepLines w:val="0"/>
              <w:widowControl w:val="0"/>
              <w:suppressLineNumbers w:val="0"/>
            </w:pPr>
            <w:r w:rsidRPr="002C2329">
              <w:rPr>
                <w:color w:val="FF0000"/>
              </w:rPr>
              <w:t xml:space="preserve">Maximum quantities and repeats will only be authorised up to a total treatment duration of </w:t>
            </w:r>
            <w:r>
              <w:rPr>
                <w:color w:val="FF0000"/>
              </w:rPr>
              <w:t>82</w:t>
            </w:r>
            <w:r w:rsidRPr="002C2329">
              <w:rPr>
                <w:color w:val="FF0000"/>
              </w:rPr>
              <w:t xml:space="preserve"> weeks inclusive of duration </w:t>
            </w:r>
            <w:r w:rsidRPr="002C2329">
              <w:rPr>
                <w:color w:val="FF0000"/>
              </w:rPr>
              <w:lastRenderedPageBreak/>
              <w:t>of prior eculizumab</w:t>
            </w:r>
            <w:r>
              <w:rPr>
                <w:color w:val="FF0000"/>
              </w:rPr>
              <w:t xml:space="preserve"> for this treatment phase </w:t>
            </w:r>
          </w:p>
        </w:tc>
      </w:tr>
      <w:tr w:rsidR="001E3CEA" w:rsidRPr="00CD0287" w14:paraId="60679A6D" w14:textId="77777777" w:rsidTr="003E5829">
        <w:tc>
          <w:tcPr>
            <w:tcW w:w="5000" w:type="pct"/>
            <w:shd w:val="clear" w:color="auto" w:fill="auto"/>
          </w:tcPr>
          <w:p w14:paraId="1400090B" w14:textId="77777777" w:rsidR="001E3CEA" w:rsidRPr="00CD0287" w:rsidRDefault="001E3CEA" w:rsidP="0023377A">
            <w:pPr>
              <w:pStyle w:val="PBACTabletext0"/>
              <w:keepNext w:val="0"/>
              <w:keepLines w:val="0"/>
              <w:widowControl w:val="0"/>
              <w:suppressLineNumbers w:val="0"/>
              <w:rPr>
                <w:b/>
                <w:bCs/>
              </w:rPr>
            </w:pPr>
            <w:r w:rsidRPr="00E778AD">
              <w:rPr>
                <w:b/>
                <w:bCs/>
              </w:rPr>
              <w:lastRenderedPageBreak/>
              <w:t>Treatment phase</w:t>
            </w:r>
            <w:r>
              <w:rPr>
                <w:b/>
                <w:bCs/>
              </w:rPr>
              <w:t xml:space="preserve">: </w:t>
            </w:r>
            <w:r w:rsidRPr="00CD0287">
              <w:rPr>
                <w:b/>
                <w:bCs/>
              </w:rPr>
              <w:t>Extended Continuing treatment</w:t>
            </w:r>
          </w:p>
        </w:tc>
      </w:tr>
      <w:tr w:rsidR="001E3CEA" w:rsidRPr="00CD0287" w14:paraId="5D9BF8C8" w14:textId="77777777" w:rsidTr="003E5829">
        <w:tc>
          <w:tcPr>
            <w:tcW w:w="5000" w:type="pct"/>
            <w:shd w:val="clear" w:color="auto" w:fill="auto"/>
          </w:tcPr>
          <w:p w14:paraId="019C209E" w14:textId="77777777" w:rsidR="001E3CEA" w:rsidRPr="00E778AD" w:rsidRDefault="001E3CEA" w:rsidP="0023377A">
            <w:pPr>
              <w:pStyle w:val="PBACTabletext0"/>
              <w:keepNext w:val="0"/>
              <w:keepLines w:val="0"/>
              <w:widowControl w:val="0"/>
              <w:suppressLineNumbers w:val="0"/>
              <w:rPr>
                <w:b/>
                <w:bCs/>
              </w:rPr>
            </w:pPr>
            <w:r w:rsidRPr="00CD0287">
              <w:rPr>
                <w:b/>
                <w:bCs/>
              </w:rPr>
              <w:t>Clinical criteria</w:t>
            </w:r>
          </w:p>
        </w:tc>
      </w:tr>
      <w:tr w:rsidR="001E3CEA" w:rsidRPr="00CD0287" w14:paraId="0361FC06" w14:textId="77777777" w:rsidTr="003E5829">
        <w:tc>
          <w:tcPr>
            <w:tcW w:w="5000" w:type="pct"/>
            <w:shd w:val="clear" w:color="auto" w:fill="auto"/>
          </w:tcPr>
          <w:p w14:paraId="43A3F104" w14:textId="77777777" w:rsidR="001E3CEA" w:rsidRPr="003E5D6C" w:rsidRDefault="001E3CEA" w:rsidP="0023377A">
            <w:pPr>
              <w:pStyle w:val="PBACTabletext0"/>
              <w:keepNext w:val="0"/>
              <w:keepLines w:val="0"/>
              <w:widowControl w:val="0"/>
              <w:suppressLineNumbers w:val="0"/>
            </w:pPr>
            <w:r w:rsidRPr="00CD0287">
              <w:t xml:space="preserve">Patient must have received treatment under the Continuing treatment with PBS-subsidised </w:t>
            </w:r>
            <w:r w:rsidRPr="00802D65">
              <w:rPr>
                <w:color w:val="FF0000"/>
              </w:rPr>
              <w:t xml:space="preserve">ravulizumab or </w:t>
            </w:r>
            <w:r w:rsidRPr="00CD0287">
              <w:t>eculizumab for this condition,</w:t>
            </w:r>
          </w:p>
        </w:tc>
      </w:tr>
      <w:tr w:rsidR="001E3CEA" w:rsidRPr="00CD0287" w14:paraId="794592FD" w14:textId="77777777" w:rsidTr="003E5829">
        <w:tc>
          <w:tcPr>
            <w:tcW w:w="5000" w:type="pct"/>
            <w:shd w:val="clear" w:color="auto" w:fill="auto"/>
          </w:tcPr>
          <w:p w14:paraId="610E364A" w14:textId="77777777" w:rsidR="001E3CEA" w:rsidRPr="00E778AD" w:rsidRDefault="001E3CEA" w:rsidP="0023377A">
            <w:pPr>
              <w:pStyle w:val="PBACTabletext0"/>
              <w:keepNext w:val="0"/>
              <w:keepLines w:val="0"/>
              <w:widowControl w:val="0"/>
              <w:suppressLineNumbers w:val="0"/>
              <w:rPr>
                <w:b/>
                <w:bCs/>
              </w:rPr>
            </w:pPr>
            <w:r w:rsidRPr="00FD6E30">
              <w:rPr>
                <w:b/>
                <w:bCs/>
              </w:rPr>
              <w:t>AND</w:t>
            </w:r>
          </w:p>
        </w:tc>
      </w:tr>
      <w:tr w:rsidR="001E3CEA" w:rsidRPr="00CD0287" w14:paraId="0E84C4F9" w14:textId="77777777" w:rsidTr="003E5829">
        <w:tc>
          <w:tcPr>
            <w:tcW w:w="5000" w:type="pct"/>
            <w:shd w:val="clear" w:color="auto" w:fill="auto"/>
          </w:tcPr>
          <w:p w14:paraId="7D24F981" w14:textId="77777777" w:rsidR="001E3CEA" w:rsidRPr="003E5D6C" w:rsidRDefault="001E3CEA" w:rsidP="0023377A">
            <w:pPr>
              <w:pStyle w:val="PBACTabletext0"/>
              <w:keepNext w:val="0"/>
              <w:keepLines w:val="0"/>
              <w:widowControl w:val="0"/>
              <w:suppressLineNumbers w:val="0"/>
            </w:pPr>
            <w:r w:rsidRPr="00CD0287">
              <w:t>Patient must have demonstrated on</w:t>
            </w:r>
            <w:r>
              <w:t>going</w:t>
            </w:r>
            <w:r w:rsidRPr="00CD0287">
              <w:t xml:space="preserve"> treatment response with PBS-subsidised </w:t>
            </w:r>
            <w:r w:rsidRPr="00802D65">
              <w:rPr>
                <w:color w:val="FF0000"/>
              </w:rPr>
              <w:t xml:space="preserve">ravulizumab or </w:t>
            </w:r>
            <w:r w:rsidRPr="00CD0287">
              <w:t>eculizumab for this condition,</w:t>
            </w:r>
          </w:p>
        </w:tc>
      </w:tr>
      <w:tr w:rsidR="001E3CEA" w:rsidRPr="00CD0287" w14:paraId="12438088" w14:textId="77777777" w:rsidTr="003E5829">
        <w:tc>
          <w:tcPr>
            <w:tcW w:w="5000" w:type="pct"/>
            <w:shd w:val="clear" w:color="auto" w:fill="auto"/>
          </w:tcPr>
          <w:p w14:paraId="168548B8" w14:textId="77777777" w:rsidR="001E3CEA" w:rsidRPr="00E778AD" w:rsidRDefault="001E3CEA" w:rsidP="0023377A">
            <w:pPr>
              <w:pStyle w:val="PBACTabletext0"/>
              <w:keepNext w:val="0"/>
              <w:keepLines w:val="0"/>
              <w:widowControl w:val="0"/>
              <w:suppressLineNumbers w:val="0"/>
              <w:rPr>
                <w:b/>
                <w:bCs/>
              </w:rPr>
            </w:pPr>
            <w:r w:rsidRPr="00FD6E30">
              <w:rPr>
                <w:b/>
                <w:bCs/>
              </w:rPr>
              <w:t>AND</w:t>
            </w:r>
          </w:p>
        </w:tc>
      </w:tr>
      <w:tr w:rsidR="001E3CEA" w:rsidRPr="00CD0287" w14:paraId="0B3D38B1" w14:textId="77777777" w:rsidTr="003E5829">
        <w:tc>
          <w:tcPr>
            <w:tcW w:w="5000" w:type="pct"/>
            <w:shd w:val="clear" w:color="auto" w:fill="auto"/>
          </w:tcPr>
          <w:p w14:paraId="42A69209" w14:textId="77777777" w:rsidR="001E3CEA" w:rsidRPr="003E5D6C" w:rsidRDefault="001E3CEA" w:rsidP="0023377A">
            <w:pPr>
              <w:pStyle w:val="PBACTabletext0"/>
              <w:keepNext w:val="0"/>
              <w:keepLines w:val="0"/>
              <w:widowControl w:val="0"/>
              <w:suppressLineNumbers w:val="0"/>
            </w:pPr>
            <w:r w:rsidRPr="00CD0287">
              <w:t xml:space="preserve">Patient must not have ever experienced treatment failure with </w:t>
            </w:r>
            <w:r w:rsidRPr="00802D65">
              <w:rPr>
                <w:color w:val="FF0000"/>
              </w:rPr>
              <w:t xml:space="preserve">ravulizumab or </w:t>
            </w:r>
            <w:r w:rsidRPr="00CD0287">
              <w:t xml:space="preserve">eculizumab including PBS-subsidised </w:t>
            </w:r>
            <w:r w:rsidRPr="00802D65">
              <w:rPr>
                <w:color w:val="FF0000"/>
              </w:rPr>
              <w:t xml:space="preserve">ravulizumab or </w:t>
            </w:r>
            <w:r w:rsidRPr="00CD0287">
              <w:t>eculizumab for this condition,</w:t>
            </w:r>
          </w:p>
        </w:tc>
      </w:tr>
      <w:tr w:rsidR="001E3CEA" w:rsidRPr="00CD0287" w14:paraId="18B0CC50" w14:textId="77777777" w:rsidTr="003E5829">
        <w:tc>
          <w:tcPr>
            <w:tcW w:w="5000" w:type="pct"/>
            <w:shd w:val="clear" w:color="auto" w:fill="auto"/>
          </w:tcPr>
          <w:p w14:paraId="46B49479" w14:textId="77777777" w:rsidR="001E3CEA" w:rsidRPr="00FD6E30" w:rsidRDefault="001E3CEA" w:rsidP="0023377A">
            <w:pPr>
              <w:pStyle w:val="PBACTabletext0"/>
              <w:keepNext w:val="0"/>
              <w:keepLines w:val="0"/>
              <w:widowControl w:val="0"/>
              <w:suppressLineNumbers w:val="0"/>
              <w:rPr>
                <w:b/>
                <w:bCs/>
              </w:rPr>
            </w:pPr>
            <w:r w:rsidRPr="00FD6E30">
              <w:rPr>
                <w:b/>
                <w:bCs/>
              </w:rPr>
              <w:t>AND</w:t>
            </w:r>
          </w:p>
        </w:tc>
      </w:tr>
      <w:tr w:rsidR="001E3CEA" w:rsidRPr="00CD0287" w14:paraId="5D8D6BF5" w14:textId="77777777" w:rsidTr="003E5829">
        <w:tc>
          <w:tcPr>
            <w:tcW w:w="5000" w:type="pct"/>
            <w:shd w:val="clear" w:color="auto" w:fill="auto"/>
          </w:tcPr>
          <w:p w14:paraId="519AD12F" w14:textId="77777777" w:rsidR="001E3CEA" w:rsidRDefault="001E3CEA" w:rsidP="0023377A">
            <w:pPr>
              <w:pStyle w:val="PBACTabletext0"/>
              <w:keepNext w:val="0"/>
              <w:keepLines w:val="0"/>
              <w:widowControl w:val="0"/>
              <w:suppressLineNumbers w:val="0"/>
            </w:pPr>
            <w:r>
              <w:t xml:space="preserve">Patient must have a TMA-related cardiomyopathy as evidenced by left ventricular ejection fraction &lt; 40% on current objective </w:t>
            </w:r>
            <w:proofErr w:type="gramStart"/>
            <w:r>
              <w:t>measurement;</w:t>
            </w:r>
            <w:proofErr w:type="gramEnd"/>
            <w:r>
              <w:t xml:space="preserve"> </w:t>
            </w:r>
          </w:p>
          <w:p w14:paraId="3B57D3C9" w14:textId="77777777" w:rsidR="001E3CEA" w:rsidRDefault="001E3CEA" w:rsidP="0023377A">
            <w:pPr>
              <w:pStyle w:val="PBACTabletext0"/>
              <w:keepNext w:val="0"/>
              <w:keepLines w:val="0"/>
              <w:widowControl w:val="0"/>
              <w:suppressLineNumbers w:val="0"/>
            </w:pPr>
            <w:r>
              <w:t>OR</w:t>
            </w:r>
          </w:p>
          <w:p w14:paraId="3364AC73" w14:textId="77777777" w:rsidR="001E3CEA" w:rsidRDefault="001E3CEA" w:rsidP="0023377A">
            <w:pPr>
              <w:pStyle w:val="PBACTabletext0"/>
              <w:keepNext w:val="0"/>
              <w:keepLines w:val="0"/>
              <w:widowControl w:val="0"/>
              <w:suppressLineNumbers w:val="0"/>
            </w:pPr>
            <w:r>
              <w:t xml:space="preserve">Patient must have severe TMA-related neurological </w:t>
            </w:r>
            <w:proofErr w:type="gramStart"/>
            <w:r>
              <w:t>impairment;</w:t>
            </w:r>
            <w:proofErr w:type="gramEnd"/>
            <w:r>
              <w:t xml:space="preserve"> OR</w:t>
            </w:r>
          </w:p>
          <w:p w14:paraId="383876DE" w14:textId="77777777" w:rsidR="001E3CEA" w:rsidRDefault="001E3CEA" w:rsidP="0023377A">
            <w:pPr>
              <w:pStyle w:val="PBACTabletext0"/>
              <w:keepNext w:val="0"/>
              <w:keepLines w:val="0"/>
              <w:widowControl w:val="0"/>
              <w:suppressLineNumbers w:val="0"/>
            </w:pPr>
            <w:r>
              <w:t xml:space="preserve">Patient must have severe TMA-related gastrointestinal </w:t>
            </w:r>
            <w:proofErr w:type="gramStart"/>
            <w:r>
              <w:t>impairment;</w:t>
            </w:r>
            <w:proofErr w:type="gramEnd"/>
            <w:r>
              <w:t xml:space="preserve"> OR</w:t>
            </w:r>
          </w:p>
          <w:p w14:paraId="6934FA3D" w14:textId="77777777" w:rsidR="001E3CEA" w:rsidRDefault="001E3CEA" w:rsidP="0023377A">
            <w:pPr>
              <w:pStyle w:val="PBACTabletext0"/>
              <w:keepNext w:val="0"/>
              <w:keepLines w:val="0"/>
              <w:widowControl w:val="0"/>
              <w:suppressLineNumbers w:val="0"/>
            </w:pPr>
            <w:r>
              <w:t xml:space="preserve">Patient must have severe TMA-related pulmonary impairment on current objective </w:t>
            </w:r>
            <w:proofErr w:type="gramStart"/>
            <w:r>
              <w:t>measurement;</w:t>
            </w:r>
            <w:proofErr w:type="gramEnd"/>
            <w:r>
              <w:t xml:space="preserve"> OR</w:t>
            </w:r>
          </w:p>
          <w:p w14:paraId="3070DCF7" w14:textId="77777777" w:rsidR="001E3CEA" w:rsidRDefault="001E3CEA" w:rsidP="0023377A">
            <w:pPr>
              <w:pStyle w:val="PBACTabletext0"/>
              <w:keepNext w:val="0"/>
              <w:keepLines w:val="0"/>
              <w:widowControl w:val="0"/>
              <w:suppressLineNumbers w:val="0"/>
            </w:pPr>
            <w:r>
              <w:t>Patient must have grade 4 or 5 chronic kidney disease (eGFR of less than 30 mL/min); OR</w:t>
            </w:r>
          </w:p>
          <w:p w14:paraId="74D9AB4C" w14:textId="77777777" w:rsidR="001E3CEA" w:rsidRPr="003E5D6C" w:rsidRDefault="001E3CEA" w:rsidP="0023377A">
            <w:pPr>
              <w:pStyle w:val="PBACTabletext0"/>
              <w:keepNext w:val="0"/>
              <w:keepLines w:val="0"/>
              <w:widowControl w:val="0"/>
              <w:suppressLineNumbers w:val="0"/>
            </w:pPr>
            <w:r>
              <w:t xml:space="preserve">Patient must have a high risk of aHUS recurrence in the short term in the absence of continued treatment with </w:t>
            </w:r>
            <w:r w:rsidRPr="00802D65">
              <w:rPr>
                <w:color w:val="FF0000"/>
              </w:rPr>
              <w:t xml:space="preserve">ravulizumab or </w:t>
            </w:r>
            <w:r>
              <w:t>eculizumab,</w:t>
            </w:r>
          </w:p>
        </w:tc>
      </w:tr>
      <w:tr w:rsidR="001E3CEA" w:rsidRPr="00CD0287" w14:paraId="0AD56947" w14:textId="77777777" w:rsidTr="003E5829">
        <w:tc>
          <w:tcPr>
            <w:tcW w:w="5000" w:type="pct"/>
            <w:shd w:val="clear" w:color="auto" w:fill="auto"/>
          </w:tcPr>
          <w:p w14:paraId="15737ED5" w14:textId="77777777" w:rsidR="001E3CEA" w:rsidRPr="00FD6E30" w:rsidRDefault="001E3CEA" w:rsidP="0023377A">
            <w:pPr>
              <w:pStyle w:val="PBACTabletext0"/>
              <w:keepNext w:val="0"/>
              <w:keepLines w:val="0"/>
              <w:widowControl w:val="0"/>
              <w:suppressLineNumbers w:val="0"/>
              <w:rPr>
                <w:b/>
                <w:bCs/>
              </w:rPr>
            </w:pPr>
            <w:r w:rsidRPr="00FD6E30">
              <w:rPr>
                <w:b/>
                <w:bCs/>
              </w:rPr>
              <w:t>AND</w:t>
            </w:r>
          </w:p>
        </w:tc>
      </w:tr>
      <w:tr w:rsidR="001E3CEA" w:rsidRPr="00CD0287" w14:paraId="5375D35F" w14:textId="77777777" w:rsidTr="003E5829">
        <w:tc>
          <w:tcPr>
            <w:tcW w:w="5000" w:type="pct"/>
            <w:shd w:val="clear" w:color="auto" w:fill="auto"/>
          </w:tcPr>
          <w:p w14:paraId="38348F9A" w14:textId="77777777" w:rsidR="001E3CEA" w:rsidRPr="003E5D6C" w:rsidRDefault="001E3CEA" w:rsidP="0023377A">
            <w:pPr>
              <w:pStyle w:val="PBACTabletext0"/>
              <w:keepNext w:val="0"/>
              <w:keepLines w:val="0"/>
              <w:widowControl w:val="0"/>
              <w:suppressLineNumbers w:val="0"/>
            </w:pPr>
            <w:r w:rsidRPr="00FD6E30">
              <w:t xml:space="preserve">Patient must not receive more than </w:t>
            </w:r>
            <w:r w:rsidRPr="002E1054">
              <w:rPr>
                <w:strike/>
                <w:color w:val="000000" w:themeColor="text1"/>
              </w:rPr>
              <w:t>24 weeks</w:t>
            </w:r>
            <w:r w:rsidRPr="002E1054">
              <w:rPr>
                <w:color w:val="000000" w:themeColor="text1"/>
              </w:rPr>
              <w:t xml:space="preserve"> </w:t>
            </w:r>
            <w:r w:rsidRPr="002E1054">
              <w:rPr>
                <w:color w:val="FF0000"/>
              </w:rPr>
              <w:t>26</w:t>
            </w:r>
            <w:r w:rsidRPr="00FD6E30">
              <w:t xml:space="preserve"> </w:t>
            </w:r>
            <w:r w:rsidRPr="002E1054">
              <w:rPr>
                <w:color w:val="FF0000"/>
              </w:rPr>
              <w:t>weeks</w:t>
            </w:r>
            <w:r w:rsidRPr="00FD6E30">
              <w:t xml:space="preserve"> of treatment per continuing treatment course authorised under this restriction</w:t>
            </w:r>
            <w:r>
              <w:t xml:space="preserve"> </w:t>
            </w:r>
            <w:r>
              <w:rPr>
                <w:color w:val="FF0000"/>
              </w:rPr>
              <w:t>including prior eculizumab use</w:t>
            </w:r>
          </w:p>
        </w:tc>
      </w:tr>
      <w:tr w:rsidR="001E3CEA" w:rsidRPr="00CD0287" w14:paraId="6C116542" w14:textId="77777777" w:rsidTr="003E5829">
        <w:tc>
          <w:tcPr>
            <w:tcW w:w="5000" w:type="pct"/>
            <w:shd w:val="clear" w:color="auto" w:fill="auto"/>
          </w:tcPr>
          <w:p w14:paraId="6A3AC7D7" w14:textId="77777777" w:rsidR="001E3CEA" w:rsidRPr="003E5D6C" w:rsidRDefault="001E3CEA" w:rsidP="0023377A">
            <w:pPr>
              <w:pStyle w:val="PBACTabletext0"/>
              <w:keepNext w:val="0"/>
              <w:keepLines w:val="0"/>
              <w:widowControl w:val="0"/>
              <w:suppressLineNumbers w:val="0"/>
              <w:rPr>
                <w:b/>
                <w:bCs/>
                <w:color w:val="FF0000"/>
              </w:rPr>
            </w:pPr>
            <w:r w:rsidRPr="00A145D9">
              <w:rPr>
                <w:b/>
                <w:bCs/>
                <w:color w:val="FF0000"/>
              </w:rPr>
              <w:t>AND</w:t>
            </w:r>
          </w:p>
        </w:tc>
      </w:tr>
      <w:tr w:rsidR="001E3CEA" w:rsidRPr="00CD0287" w14:paraId="642B1AD1" w14:textId="77777777" w:rsidTr="003E5829">
        <w:tc>
          <w:tcPr>
            <w:tcW w:w="5000" w:type="pct"/>
            <w:shd w:val="clear" w:color="auto" w:fill="auto"/>
          </w:tcPr>
          <w:p w14:paraId="7266933A" w14:textId="77777777" w:rsidR="001E3CEA" w:rsidRPr="00A145D9" w:rsidRDefault="001E3CEA" w:rsidP="0023377A">
            <w:pPr>
              <w:pStyle w:val="PBACTabletext0"/>
              <w:keepNext w:val="0"/>
              <w:keepLines w:val="0"/>
              <w:widowControl w:val="0"/>
              <w:suppressLineNumbers w:val="0"/>
              <w:rPr>
                <w:b/>
                <w:bCs/>
                <w:color w:val="FF0000"/>
              </w:rPr>
            </w:pPr>
            <w:r w:rsidRPr="00A145D9">
              <w:rPr>
                <w:color w:val="FF0000"/>
              </w:rPr>
              <w:t>The treatment must not be in combination with eculizumab.</w:t>
            </w:r>
          </w:p>
        </w:tc>
      </w:tr>
      <w:tr w:rsidR="001E3CEA" w14:paraId="1E1675C1" w14:textId="77777777" w:rsidTr="003E5829">
        <w:tc>
          <w:tcPr>
            <w:tcW w:w="5000" w:type="pct"/>
          </w:tcPr>
          <w:p w14:paraId="64B0C2C7" w14:textId="77777777" w:rsidR="001E3CEA" w:rsidRPr="00CD0287" w:rsidRDefault="001E3CEA" w:rsidP="0023377A">
            <w:pPr>
              <w:pStyle w:val="PBACTabletext0"/>
              <w:keepNext w:val="0"/>
              <w:keepLines w:val="0"/>
              <w:widowControl w:val="0"/>
              <w:suppressLineNumbers w:val="0"/>
              <w:rPr>
                <w:b/>
                <w:bCs/>
              </w:rPr>
            </w:pPr>
            <w:r>
              <w:rPr>
                <w:b/>
                <w:bCs/>
              </w:rPr>
              <w:t>Administrative Advice</w:t>
            </w:r>
          </w:p>
          <w:p w14:paraId="6C2D39FC" w14:textId="77777777" w:rsidR="001E3CEA" w:rsidRPr="00CD0287" w:rsidRDefault="001E3CEA" w:rsidP="0023377A">
            <w:pPr>
              <w:pStyle w:val="PBACTabletext0"/>
              <w:keepNext w:val="0"/>
              <w:keepLines w:val="0"/>
              <w:widowControl w:val="0"/>
              <w:suppressLineNumbers w:val="0"/>
            </w:pPr>
            <w:r w:rsidRPr="002C2329">
              <w:rPr>
                <w:color w:val="FF0000"/>
              </w:rPr>
              <w:t xml:space="preserve">Maximum quantities and repeats will only be authorised up to a total treatment duration of </w:t>
            </w:r>
            <w:r>
              <w:rPr>
                <w:color w:val="FF0000"/>
              </w:rPr>
              <w:t>26</w:t>
            </w:r>
            <w:r w:rsidRPr="002C2329">
              <w:rPr>
                <w:color w:val="FF0000"/>
              </w:rPr>
              <w:t xml:space="preserve"> weeks inclusive of duration of prior eculizumab</w:t>
            </w:r>
            <w:r>
              <w:rPr>
                <w:color w:val="FF0000"/>
              </w:rPr>
              <w:t xml:space="preserve"> for this treatment phase.</w:t>
            </w:r>
          </w:p>
        </w:tc>
      </w:tr>
    </w:tbl>
    <w:p w14:paraId="5EB034AB" w14:textId="77777777" w:rsidR="001E3CEA" w:rsidRDefault="001E3CEA" w:rsidP="000B3185">
      <w:pPr>
        <w:pStyle w:val="PBACTblFignote"/>
        <w:keepNext w:val="0"/>
        <w:keepLines w:val="0"/>
        <w:spacing w:after="120"/>
        <w:contextualSpacing w:val="0"/>
        <w:rPr>
          <w:lang w:val="en-US"/>
        </w:rPr>
      </w:pPr>
      <w:r>
        <w:rPr>
          <w:lang w:val="en-US"/>
        </w:rPr>
        <w:t xml:space="preserve">Source: Table 18, p 42 of the submission. </w:t>
      </w:r>
    </w:p>
    <w:p w14:paraId="28E16FDF" w14:textId="5B43ED3D" w:rsidR="001E3CEA" w:rsidRDefault="00485C52" w:rsidP="00677F6D">
      <w:pPr>
        <w:pStyle w:val="5-SubsectionSubheading"/>
        <w:spacing w:before="0" w:after="0"/>
      </w:pPr>
      <w:r>
        <w:t>R</w:t>
      </w:r>
      <w:r w:rsidR="001E3CEA">
        <w:t xml:space="preserve">ecommencement </w:t>
      </w:r>
      <w:r>
        <w:t xml:space="preserve">of treatment </w:t>
      </w:r>
      <w:r w:rsidR="001E3CEA">
        <w:t xml:space="preserve">and </w:t>
      </w:r>
      <w:r>
        <w:t>C</w:t>
      </w:r>
      <w:r w:rsidR="001E3CEA">
        <w:t xml:space="preserve">ontinuing recommencement </w:t>
      </w:r>
      <w:r>
        <w:t xml:space="preserve">of </w:t>
      </w:r>
      <w:r w:rsidR="001E3CEA">
        <w:t>treatment</w:t>
      </w:r>
    </w:p>
    <w:tbl>
      <w:tblPr>
        <w:tblStyle w:val="TableGrid"/>
        <w:tblW w:w="5000" w:type="pct"/>
        <w:tblLook w:val="04A0" w:firstRow="1" w:lastRow="0" w:firstColumn="1" w:lastColumn="0" w:noHBand="0" w:noVBand="1"/>
      </w:tblPr>
      <w:tblGrid>
        <w:gridCol w:w="9017"/>
      </w:tblGrid>
      <w:tr w:rsidR="001E3CEA" w:rsidRPr="00E778AD" w14:paraId="2D6CCCE4" w14:textId="77777777" w:rsidTr="003E5829">
        <w:tc>
          <w:tcPr>
            <w:tcW w:w="5000" w:type="pct"/>
          </w:tcPr>
          <w:p w14:paraId="6B8D7921" w14:textId="77777777" w:rsidR="001E3CEA" w:rsidRPr="003E5D6C" w:rsidRDefault="001E3CEA" w:rsidP="0023377A">
            <w:pPr>
              <w:pStyle w:val="PBACTabletext0"/>
              <w:keepNext w:val="0"/>
              <w:keepLines w:val="0"/>
              <w:widowControl w:val="0"/>
              <w:suppressLineNumbers w:val="0"/>
              <w:rPr>
                <w:b/>
                <w:bCs/>
              </w:rPr>
            </w:pPr>
            <w:r w:rsidRPr="00E778AD">
              <w:rPr>
                <w:b/>
                <w:bCs/>
              </w:rPr>
              <w:t>Category/Program:</w:t>
            </w:r>
            <w:r>
              <w:rPr>
                <w:b/>
                <w:bCs/>
              </w:rPr>
              <w:t xml:space="preserve"> </w:t>
            </w:r>
            <w:r>
              <w:t xml:space="preserve">S100 </w:t>
            </w:r>
            <w:r w:rsidRPr="00B479B3">
              <w:t>Highly Specialised Drugs Program (Public/Private)</w:t>
            </w:r>
          </w:p>
        </w:tc>
      </w:tr>
      <w:tr w:rsidR="001E3CEA" w:rsidRPr="00E778AD" w14:paraId="27090FBA" w14:textId="77777777" w:rsidTr="003E5829">
        <w:tc>
          <w:tcPr>
            <w:tcW w:w="5000" w:type="pct"/>
          </w:tcPr>
          <w:p w14:paraId="41FD21DE" w14:textId="77777777" w:rsidR="001E3CEA" w:rsidRPr="003E5D6C" w:rsidRDefault="001E3CEA" w:rsidP="0023377A">
            <w:pPr>
              <w:pStyle w:val="PBACTabletext0"/>
              <w:keepNext w:val="0"/>
              <w:keepLines w:val="0"/>
              <w:widowControl w:val="0"/>
              <w:suppressLineNumbers w:val="0"/>
              <w:rPr>
                <w:b/>
                <w:bCs/>
              </w:rPr>
            </w:pPr>
            <w:r w:rsidRPr="00E778AD">
              <w:rPr>
                <w:b/>
                <w:bCs/>
              </w:rPr>
              <w:t>Prescriber type:</w:t>
            </w:r>
            <w:r>
              <w:rPr>
                <w:b/>
                <w:bCs/>
              </w:rPr>
              <w:t xml:space="preserve"> </w:t>
            </w:r>
            <w:r w:rsidRPr="00E778AD">
              <w:fldChar w:fldCharType="begin" w:fldLock="1">
                <w:ffData>
                  <w:name w:val=""/>
                  <w:enabled/>
                  <w:calcOnExit w:val="0"/>
                  <w:checkBox>
                    <w:sizeAuto/>
                    <w:default w:val="1"/>
                  </w:checkBox>
                </w:ffData>
              </w:fldChar>
            </w:r>
            <w:r w:rsidRPr="00E778AD">
              <w:instrText xml:space="preserve"> FORMCHECKBOX </w:instrText>
            </w:r>
            <w:r w:rsidR="00497513">
              <w:fldChar w:fldCharType="separate"/>
            </w:r>
            <w:r w:rsidRPr="00E778AD">
              <w:fldChar w:fldCharType="end"/>
            </w:r>
            <w:r w:rsidRPr="00E778AD">
              <w:t>Medical Practitioners</w:t>
            </w:r>
          </w:p>
        </w:tc>
      </w:tr>
      <w:tr w:rsidR="001E3CEA" w:rsidRPr="00E778AD" w14:paraId="075A7A30" w14:textId="77777777" w:rsidTr="003E5829">
        <w:tc>
          <w:tcPr>
            <w:tcW w:w="5000" w:type="pct"/>
          </w:tcPr>
          <w:p w14:paraId="21AD1063" w14:textId="77777777" w:rsidR="001E3CEA" w:rsidRPr="00E778AD" w:rsidRDefault="001E3CEA" w:rsidP="0023377A">
            <w:pPr>
              <w:pStyle w:val="PBACTabletext0"/>
              <w:keepNext w:val="0"/>
              <w:keepLines w:val="0"/>
              <w:widowControl w:val="0"/>
              <w:suppressLineNumbers w:val="0"/>
              <w:rPr>
                <w:b/>
                <w:bCs/>
              </w:rPr>
            </w:pPr>
            <w:r w:rsidRPr="00E778AD">
              <w:rPr>
                <w:b/>
                <w:bCs/>
              </w:rPr>
              <w:t>Restriction Level / Method:</w:t>
            </w:r>
            <w:r w:rsidRPr="00E778AD">
              <w:t xml:space="preserve"> </w:t>
            </w:r>
            <w:r w:rsidRPr="00E778AD">
              <w:fldChar w:fldCharType="begin" w:fldLock="1">
                <w:ffData>
                  <w:name w:val="Check3"/>
                  <w:enabled/>
                  <w:calcOnExit w:val="0"/>
                  <w:checkBox>
                    <w:sizeAuto/>
                    <w:default w:val="1"/>
                  </w:checkBox>
                </w:ffData>
              </w:fldChar>
            </w:r>
            <w:r w:rsidRPr="00E778AD">
              <w:instrText xml:space="preserve"> FORMCHECKBOX </w:instrText>
            </w:r>
            <w:r w:rsidR="00497513">
              <w:fldChar w:fldCharType="separate"/>
            </w:r>
            <w:r w:rsidRPr="00E778AD">
              <w:fldChar w:fldCharType="end"/>
            </w:r>
            <w:r w:rsidRPr="00E778AD">
              <w:t xml:space="preserve">Authority Required – </w:t>
            </w:r>
            <w:r>
              <w:t>written</w:t>
            </w:r>
          </w:p>
        </w:tc>
      </w:tr>
      <w:tr w:rsidR="001E3CEA" w:rsidRPr="00E778AD" w14:paraId="36392B6B" w14:textId="77777777" w:rsidTr="003E5829">
        <w:tc>
          <w:tcPr>
            <w:tcW w:w="5000" w:type="pct"/>
          </w:tcPr>
          <w:p w14:paraId="7E4EF5D0" w14:textId="57F12130" w:rsidR="001E3CEA" w:rsidRPr="00E778AD" w:rsidRDefault="001E3CEA" w:rsidP="0023377A">
            <w:pPr>
              <w:pStyle w:val="PBACTabletext0"/>
              <w:keepNext w:val="0"/>
              <w:keepLines w:val="0"/>
              <w:widowControl w:val="0"/>
              <w:suppressLineNumbers w:val="0"/>
            </w:pPr>
            <w:r>
              <w:rPr>
                <w:b/>
                <w:bCs/>
              </w:rPr>
              <w:t>Condition</w:t>
            </w:r>
            <w:r w:rsidRPr="00E778AD">
              <w:rPr>
                <w:b/>
                <w:bCs/>
              </w:rPr>
              <w:t>:</w:t>
            </w:r>
            <w:r w:rsidR="00921407">
              <w:rPr>
                <w:b/>
                <w:bCs/>
              </w:rPr>
              <w:t xml:space="preserve"> </w:t>
            </w:r>
            <w:r w:rsidRPr="006B4C68">
              <w:t>Atypical haemolytic uraemic syndrome (aHUS)</w:t>
            </w:r>
          </w:p>
        </w:tc>
      </w:tr>
      <w:tr w:rsidR="001E3CEA" w:rsidRPr="005B6756" w14:paraId="1810D49B" w14:textId="77777777" w:rsidTr="003E5829">
        <w:tc>
          <w:tcPr>
            <w:tcW w:w="5000" w:type="pct"/>
            <w:shd w:val="clear" w:color="auto" w:fill="auto"/>
          </w:tcPr>
          <w:p w14:paraId="4A436F47" w14:textId="77777777" w:rsidR="001E3CEA" w:rsidRPr="005B6756" w:rsidRDefault="001E3CEA" w:rsidP="0023377A">
            <w:pPr>
              <w:pStyle w:val="PBACTabletext0"/>
              <w:keepNext w:val="0"/>
              <w:keepLines w:val="0"/>
              <w:widowControl w:val="0"/>
              <w:suppressLineNumbers w:val="0"/>
              <w:rPr>
                <w:b/>
                <w:bCs/>
              </w:rPr>
            </w:pPr>
            <w:r w:rsidRPr="005B6756">
              <w:rPr>
                <w:b/>
                <w:bCs/>
              </w:rPr>
              <w:t>Treatment phase</w:t>
            </w:r>
            <w:r>
              <w:rPr>
                <w:b/>
                <w:bCs/>
              </w:rPr>
              <w:t xml:space="preserve">:  </w:t>
            </w:r>
            <w:r w:rsidRPr="005B6756">
              <w:rPr>
                <w:b/>
                <w:bCs/>
              </w:rPr>
              <w:t>Recommencement of treatment</w:t>
            </w:r>
          </w:p>
        </w:tc>
      </w:tr>
      <w:tr w:rsidR="001E3CEA" w:rsidRPr="005B6756" w14:paraId="4C81E246" w14:textId="77777777" w:rsidTr="003E5829">
        <w:tc>
          <w:tcPr>
            <w:tcW w:w="5000" w:type="pct"/>
            <w:shd w:val="clear" w:color="auto" w:fill="auto"/>
          </w:tcPr>
          <w:p w14:paraId="58B901AB" w14:textId="77777777" w:rsidR="001E3CEA" w:rsidRPr="005B6756" w:rsidRDefault="001E3CEA" w:rsidP="0023377A">
            <w:pPr>
              <w:pStyle w:val="PBACTabletext0"/>
              <w:keepNext w:val="0"/>
              <w:keepLines w:val="0"/>
              <w:widowControl w:val="0"/>
              <w:suppressLineNumbers w:val="0"/>
              <w:rPr>
                <w:b/>
                <w:bCs/>
              </w:rPr>
            </w:pPr>
            <w:r w:rsidRPr="00CD0287">
              <w:rPr>
                <w:b/>
                <w:bCs/>
              </w:rPr>
              <w:t>Clinical criteria</w:t>
            </w:r>
          </w:p>
        </w:tc>
      </w:tr>
      <w:tr w:rsidR="001E3CEA" w:rsidRPr="005B6756" w14:paraId="7E8C6782" w14:textId="77777777" w:rsidTr="003E5829">
        <w:tc>
          <w:tcPr>
            <w:tcW w:w="5000" w:type="pct"/>
            <w:shd w:val="clear" w:color="auto" w:fill="auto"/>
          </w:tcPr>
          <w:p w14:paraId="2DD27983" w14:textId="77777777" w:rsidR="001E3CEA" w:rsidRPr="003E5D6C" w:rsidRDefault="001E3CEA" w:rsidP="0023377A">
            <w:pPr>
              <w:pStyle w:val="PBACTabletext0"/>
              <w:keepNext w:val="0"/>
              <w:keepLines w:val="0"/>
              <w:widowControl w:val="0"/>
              <w:suppressLineNumbers w:val="0"/>
            </w:pPr>
            <w:r>
              <w:t xml:space="preserve">Patient must have demonstrated treatment response to previous treatment with PBS-subsidised </w:t>
            </w:r>
            <w:r w:rsidRPr="00AD1A8C">
              <w:rPr>
                <w:color w:val="FF0000"/>
              </w:rPr>
              <w:t xml:space="preserve">ravulizumab or </w:t>
            </w:r>
            <w:r>
              <w:t>eculizumab for this condition,</w:t>
            </w:r>
          </w:p>
        </w:tc>
      </w:tr>
      <w:tr w:rsidR="001E3CEA" w:rsidRPr="005B6756" w14:paraId="2670D054" w14:textId="77777777" w:rsidTr="003E5829">
        <w:tc>
          <w:tcPr>
            <w:tcW w:w="5000" w:type="pct"/>
            <w:shd w:val="clear" w:color="auto" w:fill="auto"/>
          </w:tcPr>
          <w:p w14:paraId="6B6BED05" w14:textId="77777777" w:rsidR="001E3CEA" w:rsidRPr="005B6756" w:rsidRDefault="001E3CEA" w:rsidP="0023377A">
            <w:pPr>
              <w:pStyle w:val="PBACTabletext0"/>
              <w:keepNext w:val="0"/>
              <w:keepLines w:val="0"/>
              <w:widowControl w:val="0"/>
              <w:suppressLineNumbers w:val="0"/>
              <w:rPr>
                <w:b/>
                <w:bCs/>
              </w:rPr>
            </w:pPr>
            <w:r w:rsidRPr="005B6756">
              <w:rPr>
                <w:b/>
                <w:bCs/>
              </w:rPr>
              <w:t>AND</w:t>
            </w:r>
          </w:p>
        </w:tc>
      </w:tr>
      <w:tr w:rsidR="001E3CEA" w:rsidRPr="005B6756" w14:paraId="607D875A" w14:textId="77777777" w:rsidTr="003E5829">
        <w:tc>
          <w:tcPr>
            <w:tcW w:w="5000" w:type="pct"/>
            <w:shd w:val="clear" w:color="auto" w:fill="auto"/>
          </w:tcPr>
          <w:p w14:paraId="50F4F590" w14:textId="77777777" w:rsidR="001E3CEA" w:rsidRPr="003E5D6C" w:rsidRDefault="001E3CEA" w:rsidP="0023377A">
            <w:pPr>
              <w:pStyle w:val="PBACTabletext0"/>
              <w:keepNext w:val="0"/>
              <w:keepLines w:val="0"/>
              <w:widowControl w:val="0"/>
              <w:suppressLineNumbers w:val="0"/>
            </w:pPr>
            <w:r>
              <w:t xml:space="preserve">Patient must not have ever experienced treatment failure with </w:t>
            </w:r>
            <w:r w:rsidRPr="00AD1A8C">
              <w:rPr>
                <w:color w:val="FF0000"/>
              </w:rPr>
              <w:t xml:space="preserve">ravulizumab or </w:t>
            </w:r>
            <w:r>
              <w:t xml:space="preserve">eculizumab including PBS-subsidised </w:t>
            </w:r>
            <w:r w:rsidRPr="00AD1A8C">
              <w:rPr>
                <w:color w:val="FF0000"/>
              </w:rPr>
              <w:t xml:space="preserve">ravulizumab or </w:t>
            </w:r>
            <w:r>
              <w:t>eculizumab for this condition,</w:t>
            </w:r>
          </w:p>
        </w:tc>
      </w:tr>
      <w:tr w:rsidR="001E3CEA" w:rsidRPr="005B6756" w14:paraId="0751382F" w14:textId="77777777" w:rsidTr="003E5829">
        <w:tc>
          <w:tcPr>
            <w:tcW w:w="5000" w:type="pct"/>
            <w:shd w:val="clear" w:color="auto" w:fill="auto"/>
          </w:tcPr>
          <w:p w14:paraId="4ABE7311" w14:textId="77777777" w:rsidR="001E3CEA" w:rsidRPr="005B6756" w:rsidRDefault="001E3CEA" w:rsidP="0023377A">
            <w:pPr>
              <w:pStyle w:val="PBACTabletext0"/>
              <w:keepNext w:val="0"/>
              <w:keepLines w:val="0"/>
              <w:widowControl w:val="0"/>
              <w:suppressLineNumbers w:val="0"/>
              <w:rPr>
                <w:b/>
                <w:bCs/>
              </w:rPr>
            </w:pPr>
            <w:r w:rsidRPr="005B6756">
              <w:rPr>
                <w:b/>
                <w:bCs/>
              </w:rPr>
              <w:t>AND</w:t>
            </w:r>
          </w:p>
        </w:tc>
      </w:tr>
      <w:tr w:rsidR="001E3CEA" w:rsidRPr="005B6756" w14:paraId="5BC47AB9" w14:textId="77777777" w:rsidTr="003E5829">
        <w:tc>
          <w:tcPr>
            <w:tcW w:w="5000" w:type="pct"/>
            <w:shd w:val="clear" w:color="auto" w:fill="auto"/>
          </w:tcPr>
          <w:p w14:paraId="51E510DB" w14:textId="77777777" w:rsidR="001E3CEA" w:rsidRPr="003E5D6C" w:rsidRDefault="001E3CEA" w:rsidP="0023377A">
            <w:pPr>
              <w:pStyle w:val="PBACTabletext0"/>
              <w:keepNext w:val="0"/>
              <w:keepLines w:val="0"/>
              <w:widowControl w:val="0"/>
              <w:suppressLineNumbers w:val="0"/>
            </w:pPr>
            <w:r>
              <w:t xml:space="preserve">Patient must have the following clinical conditions:(i) either significant haemolysis as measured by low/absent haptoglobin; or presence of schistocytes on the blood film; or lactate dehydrogenase (LDH) above normal; </w:t>
            </w:r>
            <w:proofErr w:type="gramStart"/>
            <w:r>
              <w:t>AND(</w:t>
            </w:r>
            <w:proofErr w:type="gramEnd"/>
            <w:r>
              <w:t>ii) either platelet consumption as measured by either 25% decline from patient baseline or thrombocytopenia (platelet count &lt;150 x 10</w:t>
            </w:r>
            <w:r w:rsidRPr="00323AA6">
              <w:rPr>
                <w:vertAlign w:val="superscript"/>
              </w:rPr>
              <w:t>9</w:t>
            </w:r>
            <w:r>
              <w:t>/L);OR(iii) TMA-related organ impairment including on recent biopsy,</w:t>
            </w:r>
          </w:p>
        </w:tc>
      </w:tr>
      <w:tr w:rsidR="001E3CEA" w:rsidRPr="005B6756" w14:paraId="20D404F2" w14:textId="77777777" w:rsidTr="003E5829">
        <w:tc>
          <w:tcPr>
            <w:tcW w:w="5000" w:type="pct"/>
            <w:shd w:val="clear" w:color="auto" w:fill="auto"/>
          </w:tcPr>
          <w:p w14:paraId="1BA4EAE5" w14:textId="77777777" w:rsidR="001E3CEA" w:rsidRPr="005B6756" w:rsidRDefault="001E3CEA" w:rsidP="0023377A">
            <w:pPr>
              <w:pStyle w:val="PBACTabletext0"/>
              <w:keepNext w:val="0"/>
              <w:keepLines w:val="0"/>
              <w:widowControl w:val="0"/>
              <w:suppressLineNumbers w:val="0"/>
              <w:rPr>
                <w:b/>
                <w:bCs/>
              </w:rPr>
            </w:pPr>
            <w:r w:rsidRPr="005B6756">
              <w:rPr>
                <w:b/>
                <w:bCs/>
              </w:rPr>
              <w:t>AND</w:t>
            </w:r>
          </w:p>
        </w:tc>
      </w:tr>
      <w:tr w:rsidR="001E3CEA" w:rsidRPr="005B6756" w14:paraId="0D7B84A7" w14:textId="77777777" w:rsidTr="003E5829">
        <w:tc>
          <w:tcPr>
            <w:tcW w:w="5000" w:type="pct"/>
            <w:shd w:val="clear" w:color="auto" w:fill="auto"/>
          </w:tcPr>
          <w:p w14:paraId="00CE82C6" w14:textId="77777777" w:rsidR="001E3CEA" w:rsidRPr="005B6756" w:rsidRDefault="001E3CEA" w:rsidP="0023377A">
            <w:pPr>
              <w:pStyle w:val="PBACTabletext0"/>
              <w:keepNext w:val="0"/>
              <w:keepLines w:val="0"/>
              <w:widowControl w:val="0"/>
              <w:suppressLineNumbers w:val="0"/>
              <w:rPr>
                <w:b/>
                <w:bCs/>
              </w:rPr>
            </w:pPr>
            <w:r>
              <w:t xml:space="preserve">Patient must not receive more than </w:t>
            </w:r>
            <w:r w:rsidRPr="00D928BD">
              <w:rPr>
                <w:strike/>
              </w:rPr>
              <w:t>24 weeks</w:t>
            </w:r>
            <w:r>
              <w:t xml:space="preserve"> </w:t>
            </w:r>
            <w:r w:rsidRPr="00AD1A8C">
              <w:rPr>
                <w:color w:val="FF0000"/>
              </w:rPr>
              <w:t>26 weeks</w:t>
            </w:r>
            <w:r>
              <w:t xml:space="preserve"> of treatment under this restriction </w:t>
            </w:r>
            <w:r>
              <w:rPr>
                <w:color w:val="FF0000"/>
              </w:rPr>
              <w:t>including prior eculizumab use</w:t>
            </w:r>
          </w:p>
        </w:tc>
      </w:tr>
      <w:tr w:rsidR="001E3CEA" w:rsidRPr="005B6756" w14:paraId="56893F51" w14:textId="77777777" w:rsidTr="003E5829">
        <w:tc>
          <w:tcPr>
            <w:tcW w:w="5000" w:type="pct"/>
            <w:shd w:val="clear" w:color="auto" w:fill="auto"/>
          </w:tcPr>
          <w:p w14:paraId="569CC047" w14:textId="77777777" w:rsidR="001E3CEA" w:rsidRPr="003E5D6C" w:rsidRDefault="001E3CEA" w:rsidP="0023377A">
            <w:pPr>
              <w:pStyle w:val="PBACTabletext0"/>
              <w:keepNext w:val="0"/>
              <w:keepLines w:val="0"/>
              <w:widowControl w:val="0"/>
              <w:suppressLineNumbers w:val="0"/>
              <w:rPr>
                <w:b/>
                <w:bCs/>
                <w:color w:val="FF0000"/>
              </w:rPr>
            </w:pPr>
            <w:r w:rsidRPr="00A145D9">
              <w:rPr>
                <w:b/>
                <w:bCs/>
                <w:color w:val="FF0000"/>
              </w:rPr>
              <w:t>AND</w:t>
            </w:r>
          </w:p>
        </w:tc>
      </w:tr>
      <w:tr w:rsidR="001E3CEA" w14:paraId="712369AC" w14:textId="77777777" w:rsidTr="003E5829">
        <w:tc>
          <w:tcPr>
            <w:tcW w:w="5000" w:type="pct"/>
            <w:shd w:val="clear" w:color="auto" w:fill="FFFFFF" w:themeFill="background1"/>
          </w:tcPr>
          <w:p w14:paraId="6A4EEE93" w14:textId="77777777" w:rsidR="001E3CEA" w:rsidRDefault="001E3CEA" w:rsidP="0023377A">
            <w:pPr>
              <w:pStyle w:val="PBACTabletext0"/>
              <w:keepNext w:val="0"/>
              <w:keepLines w:val="0"/>
              <w:widowControl w:val="0"/>
              <w:suppressLineNumbers w:val="0"/>
            </w:pPr>
            <w:r w:rsidRPr="00A145D9">
              <w:rPr>
                <w:color w:val="FF0000"/>
              </w:rPr>
              <w:lastRenderedPageBreak/>
              <w:t>The treatment must not be in combination with eculizumab.</w:t>
            </w:r>
          </w:p>
        </w:tc>
      </w:tr>
      <w:tr w:rsidR="001E3CEA" w14:paraId="237571C5" w14:textId="77777777" w:rsidTr="003E5829">
        <w:tc>
          <w:tcPr>
            <w:tcW w:w="5000" w:type="pct"/>
            <w:shd w:val="clear" w:color="auto" w:fill="FFFFFF" w:themeFill="background1"/>
          </w:tcPr>
          <w:p w14:paraId="7699D761" w14:textId="77777777" w:rsidR="001E3CEA" w:rsidRPr="00CD0287" w:rsidRDefault="001E3CEA" w:rsidP="0023377A">
            <w:pPr>
              <w:pStyle w:val="PBACTabletext0"/>
              <w:keepNext w:val="0"/>
              <w:keepLines w:val="0"/>
              <w:widowControl w:val="0"/>
              <w:suppressLineNumbers w:val="0"/>
              <w:rPr>
                <w:b/>
                <w:bCs/>
              </w:rPr>
            </w:pPr>
            <w:r>
              <w:rPr>
                <w:b/>
                <w:bCs/>
              </w:rPr>
              <w:t xml:space="preserve">Administrative Advice: </w:t>
            </w:r>
          </w:p>
          <w:p w14:paraId="06E893A9" w14:textId="77777777" w:rsidR="001E3CEA" w:rsidRDefault="001E3CEA" w:rsidP="0023377A">
            <w:pPr>
              <w:pStyle w:val="PBACTabletext0"/>
              <w:keepNext w:val="0"/>
              <w:keepLines w:val="0"/>
              <w:widowControl w:val="0"/>
              <w:suppressLineNumbers w:val="0"/>
            </w:pPr>
            <w:r w:rsidRPr="002C2329">
              <w:rPr>
                <w:color w:val="FF0000"/>
              </w:rPr>
              <w:t xml:space="preserve">Maximum quantities and repeats will only be authorised up to a total treatment duration of </w:t>
            </w:r>
            <w:r>
              <w:rPr>
                <w:color w:val="FF0000"/>
              </w:rPr>
              <w:t>26</w:t>
            </w:r>
            <w:r w:rsidRPr="002C2329">
              <w:rPr>
                <w:color w:val="FF0000"/>
              </w:rPr>
              <w:t xml:space="preserve"> weeks inclusive of duration of prior eculizumab</w:t>
            </w:r>
            <w:r>
              <w:rPr>
                <w:color w:val="FF0000"/>
              </w:rPr>
              <w:t xml:space="preserve"> for this treatment phase </w:t>
            </w:r>
          </w:p>
        </w:tc>
      </w:tr>
      <w:tr w:rsidR="001E3CEA" w:rsidRPr="005B6756" w14:paraId="19D3F648" w14:textId="77777777" w:rsidTr="003E5829">
        <w:tc>
          <w:tcPr>
            <w:tcW w:w="5000" w:type="pct"/>
            <w:shd w:val="clear" w:color="auto" w:fill="auto"/>
          </w:tcPr>
          <w:p w14:paraId="6B9A4EF5" w14:textId="77777777" w:rsidR="001E3CEA" w:rsidRPr="005B6756" w:rsidRDefault="001E3CEA" w:rsidP="0023377A">
            <w:pPr>
              <w:pStyle w:val="PBACTabletext0"/>
              <w:keepNext w:val="0"/>
              <w:keepLines w:val="0"/>
              <w:widowControl w:val="0"/>
              <w:suppressLineNumbers w:val="0"/>
              <w:rPr>
                <w:b/>
                <w:bCs/>
              </w:rPr>
            </w:pPr>
            <w:r w:rsidRPr="005B6756">
              <w:rPr>
                <w:b/>
                <w:bCs/>
              </w:rPr>
              <w:t>Treatment phase</w:t>
            </w:r>
            <w:r>
              <w:rPr>
                <w:b/>
                <w:bCs/>
              </w:rPr>
              <w:t>: Continuing r</w:t>
            </w:r>
            <w:r w:rsidRPr="005B6756">
              <w:rPr>
                <w:b/>
                <w:bCs/>
              </w:rPr>
              <w:t>ecommencement of treatment</w:t>
            </w:r>
          </w:p>
        </w:tc>
      </w:tr>
      <w:tr w:rsidR="001E3CEA" w:rsidRPr="005B6756" w14:paraId="3E7659D1" w14:textId="77777777" w:rsidTr="003E5829">
        <w:tc>
          <w:tcPr>
            <w:tcW w:w="5000" w:type="pct"/>
            <w:shd w:val="clear" w:color="auto" w:fill="auto"/>
          </w:tcPr>
          <w:p w14:paraId="739BE392" w14:textId="77777777" w:rsidR="001E3CEA" w:rsidRPr="005B6756" w:rsidRDefault="001E3CEA" w:rsidP="0023377A">
            <w:pPr>
              <w:pStyle w:val="PBACTabletext0"/>
              <w:keepNext w:val="0"/>
              <w:keepLines w:val="0"/>
              <w:widowControl w:val="0"/>
              <w:suppressLineNumbers w:val="0"/>
              <w:rPr>
                <w:b/>
                <w:bCs/>
              </w:rPr>
            </w:pPr>
            <w:r w:rsidRPr="00CD0287">
              <w:rPr>
                <w:b/>
                <w:bCs/>
              </w:rPr>
              <w:t>Clinical criteria</w:t>
            </w:r>
          </w:p>
        </w:tc>
      </w:tr>
      <w:tr w:rsidR="001E3CEA" w:rsidRPr="005B6756" w14:paraId="57EE4B42" w14:textId="77777777" w:rsidTr="003E5829">
        <w:tc>
          <w:tcPr>
            <w:tcW w:w="5000" w:type="pct"/>
            <w:shd w:val="clear" w:color="auto" w:fill="auto"/>
          </w:tcPr>
          <w:p w14:paraId="5D60717A" w14:textId="77777777" w:rsidR="001E3CEA" w:rsidRPr="003E5D6C" w:rsidRDefault="001E3CEA" w:rsidP="0023377A">
            <w:pPr>
              <w:pStyle w:val="PBACTabletext0"/>
              <w:keepNext w:val="0"/>
              <w:keepLines w:val="0"/>
              <w:widowControl w:val="0"/>
              <w:suppressLineNumbers w:val="0"/>
            </w:pPr>
            <w:r>
              <w:t xml:space="preserve">Patient must have received treatment under Recommencement of treatment restriction with PBS-subsidised </w:t>
            </w:r>
            <w:r w:rsidRPr="00AD1A8C">
              <w:rPr>
                <w:color w:val="FF0000"/>
              </w:rPr>
              <w:t xml:space="preserve">ravulizumab or </w:t>
            </w:r>
            <w:r>
              <w:t>eculizumab for this condition,</w:t>
            </w:r>
          </w:p>
        </w:tc>
      </w:tr>
      <w:tr w:rsidR="001E3CEA" w:rsidRPr="005B6756" w14:paraId="3E64F610" w14:textId="77777777" w:rsidTr="003E5829">
        <w:tc>
          <w:tcPr>
            <w:tcW w:w="5000" w:type="pct"/>
            <w:shd w:val="clear" w:color="auto" w:fill="auto"/>
          </w:tcPr>
          <w:p w14:paraId="6BC9F911" w14:textId="77777777" w:rsidR="001E3CEA" w:rsidRPr="003E5D6C" w:rsidRDefault="001E3CEA" w:rsidP="0023377A">
            <w:pPr>
              <w:pStyle w:val="PBACTabletext0"/>
              <w:keepNext w:val="0"/>
              <w:keepLines w:val="0"/>
              <w:widowControl w:val="0"/>
              <w:suppressLineNumbers w:val="0"/>
              <w:rPr>
                <w:b/>
                <w:bCs/>
              </w:rPr>
            </w:pPr>
            <w:r w:rsidRPr="003E5D6C">
              <w:rPr>
                <w:b/>
                <w:bCs/>
              </w:rPr>
              <w:t>AND</w:t>
            </w:r>
          </w:p>
        </w:tc>
      </w:tr>
      <w:tr w:rsidR="001E3CEA" w:rsidRPr="005B6756" w14:paraId="45FDC98B" w14:textId="77777777" w:rsidTr="003E5829">
        <w:tc>
          <w:tcPr>
            <w:tcW w:w="5000" w:type="pct"/>
            <w:shd w:val="clear" w:color="auto" w:fill="auto"/>
          </w:tcPr>
          <w:p w14:paraId="4240AB70" w14:textId="77777777" w:rsidR="001E3CEA" w:rsidRPr="003E5D6C" w:rsidRDefault="001E3CEA" w:rsidP="0023377A">
            <w:pPr>
              <w:pStyle w:val="PBACTabletext0"/>
              <w:keepNext w:val="0"/>
              <w:keepLines w:val="0"/>
              <w:widowControl w:val="0"/>
              <w:suppressLineNumbers w:val="0"/>
            </w:pPr>
            <w:r>
              <w:t xml:space="preserve">Patient must have demonstrated ongoing treatment response to the previous 24 weeks of PBS-subsidised eculizumab </w:t>
            </w:r>
            <w:r w:rsidRPr="00BB5412">
              <w:rPr>
                <w:color w:val="FF0000"/>
              </w:rPr>
              <w:t xml:space="preserve">or 26 weeks of PBS-subsidised ravulizumab </w:t>
            </w:r>
            <w:r>
              <w:t>for this condition,</w:t>
            </w:r>
          </w:p>
        </w:tc>
      </w:tr>
      <w:tr w:rsidR="001E3CEA" w:rsidRPr="005B6756" w14:paraId="40196D2C" w14:textId="77777777" w:rsidTr="003E5829">
        <w:tc>
          <w:tcPr>
            <w:tcW w:w="5000" w:type="pct"/>
            <w:shd w:val="clear" w:color="auto" w:fill="auto"/>
          </w:tcPr>
          <w:p w14:paraId="3429BBE1" w14:textId="77777777" w:rsidR="001E3CEA" w:rsidRPr="005B6756" w:rsidRDefault="001E3CEA" w:rsidP="0023377A">
            <w:pPr>
              <w:pStyle w:val="PBACTabletext0"/>
              <w:keepNext w:val="0"/>
              <w:keepLines w:val="0"/>
              <w:widowControl w:val="0"/>
              <w:suppressLineNumbers w:val="0"/>
              <w:rPr>
                <w:b/>
                <w:bCs/>
              </w:rPr>
            </w:pPr>
            <w:r w:rsidRPr="003E5D6C">
              <w:rPr>
                <w:b/>
                <w:bCs/>
              </w:rPr>
              <w:t>AND</w:t>
            </w:r>
          </w:p>
        </w:tc>
      </w:tr>
      <w:tr w:rsidR="001E3CEA" w:rsidRPr="005B6756" w14:paraId="3EF6A365" w14:textId="77777777" w:rsidTr="003E5829">
        <w:tc>
          <w:tcPr>
            <w:tcW w:w="5000" w:type="pct"/>
            <w:shd w:val="clear" w:color="auto" w:fill="auto"/>
          </w:tcPr>
          <w:p w14:paraId="2A7E00EF" w14:textId="77777777" w:rsidR="001E3CEA" w:rsidRPr="003E5D6C" w:rsidRDefault="001E3CEA" w:rsidP="0023377A">
            <w:pPr>
              <w:pStyle w:val="PBACTabletext0"/>
              <w:keepNext w:val="0"/>
              <w:keepLines w:val="0"/>
              <w:widowControl w:val="0"/>
              <w:suppressLineNumbers w:val="0"/>
            </w:pPr>
            <w:r>
              <w:t xml:space="preserve">Patient must not have experienced treatment failure with </w:t>
            </w:r>
            <w:r w:rsidRPr="00AD1A8C">
              <w:rPr>
                <w:color w:val="FF0000"/>
              </w:rPr>
              <w:t xml:space="preserve">ravulizumab or </w:t>
            </w:r>
            <w:r>
              <w:t xml:space="preserve">eculizumab including PBS-subsidised </w:t>
            </w:r>
            <w:r w:rsidRPr="00AD1A8C">
              <w:rPr>
                <w:color w:val="FF0000"/>
              </w:rPr>
              <w:t xml:space="preserve">ravulizumab or </w:t>
            </w:r>
            <w:r>
              <w:t>eculizumab for this condition,</w:t>
            </w:r>
          </w:p>
        </w:tc>
      </w:tr>
      <w:tr w:rsidR="001E3CEA" w:rsidRPr="005B6756" w14:paraId="3FA7EEF5" w14:textId="77777777" w:rsidTr="003E5829">
        <w:tc>
          <w:tcPr>
            <w:tcW w:w="5000" w:type="pct"/>
            <w:shd w:val="clear" w:color="auto" w:fill="auto"/>
          </w:tcPr>
          <w:p w14:paraId="16E739FA" w14:textId="77777777" w:rsidR="001E3CEA" w:rsidRPr="003E5D6C" w:rsidRDefault="001E3CEA" w:rsidP="0023377A">
            <w:pPr>
              <w:pStyle w:val="PBACTabletext0"/>
              <w:keepNext w:val="0"/>
              <w:keepLines w:val="0"/>
              <w:widowControl w:val="0"/>
              <w:suppressLineNumbers w:val="0"/>
              <w:rPr>
                <w:b/>
                <w:bCs/>
              </w:rPr>
            </w:pPr>
            <w:r w:rsidRPr="003E5D6C">
              <w:rPr>
                <w:b/>
                <w:bCs/>
              </w:rPr>
              <w:t>AND</w:t>
            </w:r>
          </w:p>
        </w:tc>
      </w:tr>
      <w:tr w:rsidR="001E3CEA" w:rsidRPr="005B6756" w14:paraId="5DAE6EB1" w14:textId="77777777" w:rsidTr="003E5829">
        <w:tc>
          <w:tcPr>
            <w:tcW w:w="5000" w:type="pct"/>
            <w:shd w:val="clear" w:color="auto" w:fill="auto"/>
          </w:tcPr>
          <w:p w14:paraId="2886FD41" w14:textId="77777777" w:rsidR="001E3CEA" w:rsidRPr="003E5D6C" w:rsidRDefault="001E3CEA" w:rsidP="0023377A">
            <w:pPr>
              <w:pStyle w:val="PBACTabletext0"/>
              <w:keepNext w:val="0"/>
              <w:keepLines w:val="0"/>
              <w:widowControl w:val="0"/>
              <w:suppressLineNumbers w:val="0"/>
            </w:pPr>
            <w:r>
              <w:t xml:space="preserve">Patient must not receive more than </w:t>
            </w:r>
            <w:r w:rsidRPr="00D928BD">
              <w:rPr>
                <w:strike/>
              </w:rPr>
              <w:t>24 weeks</w:t>
            </w:r>
            <w:r>
              <w:t xml:space="preserve"> </w:t>
            </w:r>
            <w:r w:rsidRPr="00AD1A8C">
              <w:rPr>
                <w:color w:val="FF0000"/>
              </w:rPr>
              <w:t>26 weeks</w:t>
            </w:r>
            <w:r>
              <w:t xml:space="preserve"> of treatment </w:t>
            </w:r>
            <w:r w:rsidRPr="00694777">
              <w:rPr>
                <w:color w:val="FF0000"/>
              </w:rPr>
              <w:t xml:space="preserve">per continuing treatment course </w:t>
            </w:r>
            <w:r>
              <w:t xml:space="preserve">under this restriction </w:t>
            </w:r>
            <w:r>
              <w:rPr>
                <w:color w:val="FF0000"/>
              </w:rPr>
              <w:t>including prior eculizumab use</w:t>
            </w:r>
            <w:r>
              <w:t>.</w:t>
            </w:r>
          </w:p>
        </w:tc>
      </w:tr>
      <w:tr w:rsidR="001E3CEA" w:rsidRPr="005B6756" w14:paraId="3C0903DE" w14:textId="77777777" w:rsidTr="003E5829">
        <w:tc>
          <w:tcPr>
            <w:tcW w:w="5000" w:type="pct"/>
            <w:shd w:val="clear" w:color="auto" w:fill="auto"/>
          </w:tcPr>
          <w:p w14:paraId="07D97277" w14:textId="77777777" w:rsidR="001E3CEA" w:rsidRPr="003E5D6C" w:rsidRDefault="001E3CEA" w:rsidP="0023377A">
            <w:pPr>
              <w:pStyle w:val="PBACTabletext0"/>
              <w:keepNext w:val="0"/>
              <w:keepLines w:val="0"/>
              <w:widowControl w:val="0"/>
              <w:suppressLineNumbers w:val="0"/>
              <w:rPr>
                <w:b/>
                <w:bCs/>
                <w:color w:val="FF0000"/>
              </w:rPr>
            </w:pPr>
            <w:r w:rsidRPr="00A145D9">
              <w:rPr>
                <w:b/>
                <w:bCs/>
                <w:color w:val="FF0000"/>
              </w:rPr>
              <w:t>AND</w:t>
            </w:r>
          </w:p>
        </w:tc>
      </w:tr>
      <w:tr w:rsidR="001E3CEA" w:rsidRPr="005B6756" w14:paraId="571276F3" w14:textId="77777777" w:rsidTr="003E5829">
        <w:tc>
          <w:tcPr>
            <w:tcW w:w="5000" w:type="pct"/>
            <w:shd w:val="clear" w:color="auto" w:fill="auto"/>
          </w:tcPr>
          <w:p w14:paraId="40E61DCF" w14:textId="77777777" w:rsidR="001E3CEA" w:rsidRPr="00A145D9" w:rsidRDefault="001E3CEA" w:rsidP="0023377A">
            <w:pPr>
              <w:pStyle w:val="PBACTabletext0"/>
              <w:keepNext w:val="0"/>
              <w:keepLines w:val="0"/>
              <w:widowControl w:val="0"/>
              <w:suppressLineNumbers w:val="0"/>
              <w:rPr>
                <w:b/>
                <w:bCs/>
                <w:color w:val="FF0000"/>
              </w:rPr>
            </w:pPr>
            <w:r w:rsidRPr="00A145D9">
              <w:rPr>
                <w:color w:val="FF0000"/>
              </w:rPr>
              <w:t>The treatment must not be in combination with eculizumab.</w:t>
            </w:r>
          </w:p>
        </w:tc>
      </w:tr>
      <w:tr w:rsidR="001E3CEA" w14:paraId="33616C26" w14:textId="77777777" w:rsidTr="003E5829">
        <w:tc>
          <w:tcPr>
            <w:tcW w:w="5000" w:type="pct"/>
            <w:shd w:val="clear" w:color="auto" w:fill="FFFFFF" w:themeFill="background1"/>
          </w:tcPr>
          <w:p w14:paraId="7A6A1F91" w14:textId="77777777" w:rsidR="001E3CEA" w:rsidRPr="00CD0287" w:rsidRDefault="001E3CEA" w:rsidP="0023377A">
            <w:pPr>
              <w:pStyle w:val="PBACTabletext0"/>
              <w:keepNext w:val="0"/>
              <w:keepLines w:val="0"/>
              <w:widowControl w:val="0"/>
              <w:suppressLineNumbers w:val="0"/>
              <w:rPr>
                <w:b/>
                <w:bCs/>
              </w:rPr>
            </w:pPr>
            <w:r>
              <w:rPr>
                <w:b/>
                <w:bCs/>
              </w:rPr>
              <w:t xml:space="preserve">Administrative Advice: </w:t>
            </w:r>
          </w:p>
          <w:p w14:paraId="5449EEF7" w14:textId="77777777" w:rsidR="001E3CEA" w:rsidRDefault="001E3CEA" w:rsidP="0023377A">
            <w:pPr>
              <w:pStyle w:val="PBACTabletext0"/>
              <w:keepNext w:val="0"/>
              <w:keepLines w:val="0"/>
              <w:widowControl w:val="0"/>
              <w:suppressLineNumbers w:val="0"/>
            </w:pPr>
            <w:r w:rsidRPr="002C2329">
              <w:rPr>
                <w:color w:val="FF0000"/>
              </w:rPr>
              <w:t xml:space="preserve">Maximum quantities and repeats will only be authorised up to a total treatment duration of </w:t>
            </w:r>
            <w:r>
              <w:rPr>
                <w:color w:val="FF0000"/>
              </w:rPr>
              <w:t>26</w:t>
            </w:r>
            <w:r w:rsidRPr="002C2329">
              <w:rPr>
                <w:color w:val="FF0000"/>
              </w:rPr>
              <w:t xml:space="preserve"> weeks inclusive of duration of prior eculizumab</w:t>
            </w:r>
            <w:r>
              <w:rPr>
                <w:color w:val="FF0000"/>
              </w:rPr>
              <w:t xml:space="preserve"> for this treatment phase </w:t>
            </w:r>
          </w:p>
        </w:tc>
      </w:tr>
    </w:tbl>
    <w:p w14:paraId="089211E4" w14:textId="2D0BE3CE" w:rsidR="001E3CEA" w:rsidRPr="00653520" w:rsidRDefault="001E3CEA" w:rsidP="001E3CEA">
      <w:pPr>
        <w:pStyle w:val="FooterTableFigure"/>
      </w:pPr>
      <w:r>
        <w:t>Source: Table 19, p43 of the submission.</w:t>
      </w:r>
    </w:p>
    <w:p w14:paraId="00B3743B" w14:textId="0D5AF9F4" w:rsidR="00647EB0" w:rsidRDefault="00184598" w:rsidP="00B306AF">
      <w:pPr>
        <w:pStyle w:val="3-BodyText"/>
      </w:pPr>
      <w:r>
        <w:t xml:space="preserve">The submission proposed </w:t>
      </w:r>
      <w:r w:rsidR="004A2D2F">
        <w:t xml:space="preserve">the following </w:t>
      </w:r>
      <w:r>
        <w:t>restrictions</w:t>
      </w:r>
      <w:r w:rsidR="004A2D2F">
        <w:t xml:space="preserve"> for ravulizumab</w:t>
      </w:r>
      <w:r>
        <w:t>: initial treatment;</w:t>
      </w:r>
      <w:r w:rsidR="001F008E">
        <w:t xml:space="preserve"> balance of supply for initial treatment</w:t>
      </w:r>
      <w:r w:rsidR="004E15E0">
        <w:t>;</w:t>
      </w:r>
      <w:r w:rsidR="001F008E">
        <w:t xml:space="preserve"> </w:t>
      </w:r>
      <w:r>
        <w:t xml:space="preserve">initial treatment for a patient switching from eculizumab; </w:t>
      </w:r>
      <w:r w:rsidR="0060658A" w:rsidRPr="002D38B9">
        <w:rPr>
          <w:rFonts w:cstheme="minorHAnsi"/>
          <w:lang w:val="en-US"/>
        </w:rPr>
        <w:t>combining the ‘Extended initial treatment – Assessment’ and ‘Continuing’ phases, into a single phase</w:t>
      </w:r>
      <w:r w:rsidR="001F008E">
        <w:t xml:space="preserve">; </w:t>
      </w:r>
      <w:r w:rsidR="00AE03B4">
        <w:t xml:space="preserve">extended continuing treatment; </w:t>
      </w:r>
      <w:r w:rsidR="00921BD3">
        <w:t>recommencement</w:t>
      </w:r>
      <w:r w:rsidR="00AE03B4">
        <w:t xml:space="preserve"> and continuing recommencement treatment. </w:t>
      </w:r>
      <w:r w:rsidR="004E15E0">
        <w:t xml:space="preserve">The clinical and treatment criteria were </w:t>
      </w:r>
      <w:proofErr w:type="gramStart"/>
      <w:r w:rsidR="004E15E0">
        <w:t>similar to</w:t>
      </w:r>
      <w:proofErr w:type="gramEnd"/>
      <w:r w:rsidR="004E15E0">
        <w:t xml:space="preserve"> those for eculizumab, although proposed treatment durations differed</w:t>
      </w:r>
      <w:r w:rsidR="00AE03B4">
        <w:t>.</w:t>
      </w:r>
    </w:p>
    <w:p w14:paraId="61E2F45C" w14:textId="6D3806F1" w:rsidR="004A2D2F" w:rsidRDefault="004A2D2F" w:rsidP="00B306AF">
      <w:pPr>
        <w:pStyle w:val="3-BodyText"/>
      </w:pPr>
      <w:r>
        <w:t xml:space="preserve">The submission requested a </w:t>
      </w:r>
      <w:r w:rsidR="00422573">
        <w:t>‘</w:t>
      </w:r>
      <w:r>
        <w:t>grandfathering restriction</w:t>
      </w:r>
      <w:r w:rsidR="00422573">
        <w:t>’</w:t>
      </w:r>
      <w:r>
        <w:t xml:space="preserve"> </w:t>
      </w:r>
      <w:r w:rsidRPr="004A2D2F">
        <w:t xml:space="preserve">for patients currently receiving ravulizumab who would meet </w:t>
      </w:r>
      <w:r w:rsidR="00316D2F">
        <w:t xml:space="preserve">the </w:t>
      </w:r>
      <w:r w:rsidRPr="004A2D2F">
        <w:t xml:space="preserve">PBS eligibility criteria upon listing as well as provisions for patients who are pregnant/breastfeeding and switch from ravulizumab to eculizumab (as is currently the case for the PBS listing of ravulizumab for the treatment of PNH). </w:t>
      </w:r>
      <w:r w:rsidR="007001D5" w:rsidRPr="00D64D6F">
        <w:t>However, the submission did not provide proposed restriction wording for these settings.</w:t>
      </w:r>
    </w:p>
    <w:p w14:paraId="783C5EE7" w14:textId="1F8377D2" w:rsidR="00D1533A" w:rsidRDefault="00D1533A" w:rsidP="00B306AF">
      <w:pPr>
        <w:pStyle w:val="3-BodyText"/>
      </w:pPr>
      <w:r>
        <w:t xml:space="preserve">For eculizumab, the current restrictions are for initial treatment, balance of supply of initial treatment, </w:t>
      </w:r>
      <w:r w:rsidR="001F008E">
        <w:t xml:space="preserve">extended initial treatment – assessment phase, </w:t>
      </w:r>
      <w:r>
        <w:t xml:space="preserve">continuing treatment, extended continuing treatment, </w:t>
      </w:r>
      <w:r w:rsidR="000E1E11">
        <w:t>recommencement</w:t>
      </w:r>
      <w:r>
        <w:t xml:space="preserve"> of treatment,</w:t>
      </w:r>
      <w:r w:rsidR="000E1E11">
        <w:t xml:space="preserve"> and </w:t>
      </w:r>
      <w:r>
        <w:t>continuing recommencement of treatment</w:t>
      </w:r>
      <w:r w:rsidR="000E1E11">
        <w:t>.</w:t>
      </w:r>
      <w:r>
        <w:t xml:space="preserve"> </w:t>
      </w:r>
    </w:p>
    <w:p w14:paraId="67BE63E7" w14:textId="3EA286E6" w:rsidR="00E72AE6" w:rsidRPr="00D64D6F" w:rsidRDefault="00BF6A3E" w:rsidP="00B306AF">
      <w:pPr>
        <w:pStyle w:val="3-BodyText"/>
      </w:pPr>
      <w:r w:rsidRPr="00D64D6F">
        <w:t>Two key issues with respect to the listing and use of eculizumab have been the availability of ADAMTS-13 test results at the time of treatment initiation</w:t>
      </w:r>
      <w:r w:rsidR="009E6648" w:rsidRPr="00D64D6F">
        <w:t>,</w:t>
      </w:r>
      <w:r w:rsidRPr="00D64D6F">
        <w:t xml:space="preserve"> and the duration of treatment</w:t>
      </w:r>
      <w:r w:rsidR="004A2D2F" w:rsidRPr="00D64D6F">
        <w:t xml:space="preserve">. The current </w:t>
      </w:r>
      <w:r w:rsidR="00F55954" w:rsidRPr="00D64D6F">
        <w:t xml:space="preserve">eculizumab </w:t>
      </w:r>
      <w:r w:rsidR="004A2D2F" w:rsidRPr="00D64D6F">
        <w:t xml:space="preserve">and proposed </w:t>
      </w:r>
      <w:r w:rsidR="00F55954" w:rsidRPr="00D64D6F">
        <w:t xml:space="preserve">ravulizumab </w:t>
      </w:r>
      <w:r w:rsidR="004A2D2F" w:rsidRPr="00D64D6F">
        <w:t xml:space="preserve">durations of treatment are listed in </w:t>
      </w:r>
      <w:r w:rsidR="000E1E11" w:rsidRPr="00D64D6F">
        <w:fldChar w:fldCharType="begin" w:fldLock="1"/>
      </w:r>
      <w:r w:rsidR="000E1E11" w:rsidRPr="00D64D6F">
        <w:instrText xml:space="preserve"> REF _Ref121907715 \h  \* MERGEFORMAT </w:instrText>
      </w:r>
      <w:r w:rsidR="000E1E11" w:rsidRPr="00D64D6F">
        <w:fldChar w:fldCharType="separate"/>
      </w:r>
      <w:r w:rsidR="00916EDA">
        <w:t xml:space="preserve">Table </w:t>
      </w:r>
      <w:r w:rsidR="00916EDA">
        <w:rPr>
          <w:noProof/>
        </w:rPr>
        <w:t>3</w:t>
      </w:r>
      <w:r w:rsidR="000E1E11" w:rsidRPr="00D64D6F">
        <w:fldChar w:fldCharType="end"/>
      </w:r>
      <w:r w:rsidRPr="00D64D6F">
        <w:t xml:space="preserve">. </w:t>
      </w:r>
    </w:p>
    <w:p w14:paraId="0CD812D2" w14:textId="2C74614A" w:rsidR="00140C47" w:rsidRDefault="00140C47" w:rsidP="00140C47">
      <w:pPr>
        <w:pStyle w:val="Caption"/>
      </w:pPr>
      <w:bookmarkStart w:id="15" w:name="_Ref121907715"/>
      <w:r>
        <w:lastRenderedPageBreak/>
        <w:t xml:space="preserve">Table </w:t>
      </w:r>
      <w:r>
        <w:fldChar w:fldCharType="begin" w:fldLock="1"/>
      </w:r>
      <w:r>
        <w:instrText>SEQ Table \* ARABIC</w:instrText>
      </w:r>
      <w:r>
        <w:fldChar w:fldCharType="separate"/>
      </w:r>
      <w:r w:rsidR="00916EDA">
        <w:rPr>
          <w:noProof/>
        </w:rPr>
        <w:t>3</w:t>
      </w:r>
      <w:r>
        <w:fldChar w:fldCharType="end"/>
      </w:r>
      <w:bookmarkEnd w:id="15"/>
      <w:r>
        <w:t>: Current and proposed duration of treatment phases in the PBS restrictions</w:t>
      </w:r>
    </w:p>
    <w:tbl>
      <w:tblPr>
        <w:tblStyle w:val="TableGrid"/>
        <w:tblW w:w="5000" w:type="pct"/>
        <w:tblCellMar>
          <w:left w:w="28" w:type="dxa"/>
          <w:right w:w="28" w:type="dxa"/>
        </w:tblCellMar>
        <w:tblLook w:val="04A0" w:firstRow="1" w:lastRow="0" w:firstColumn="1" w:lastColumn="0" w:noHBand="0" w:noVBand="1"/>
      </w:tblPr>
      <w:tblGrid>
        <w:gridCol w:w="1838"/>
        <w:gridCol w:w="2371"/>
        <w:gridCol w:w="2480"/>
        <w:gridCol w:w="2328"/>
      </w:tblGrid>
      <w:tr w:rsidR="00140C47" w:rsidRPr="005A5B23" w14:paraId="3AA65362" w14:textId="77777777" w:rsidTr="00422573">
        <w:tc>
          <w:tcPr>
            <w:tcW w:w="1019" w:type="pct"/>
            <w:vMerge w:val="restart"/>
            <w:vAlign w:val="center"/>
          </w:tcPr>
          <w:p w14:paraId="5856C1AD" w14:textId="77777777" w:rsidR="00140C47" w:rsidRPr="005A5B23" w:rsidRDefault="00140C47" w:rsidP="0089485D">
            <w:pPr>
              <w:pStyle w:val="Tabletext"/>
              <w:keepNext/>
              <w:rPr>
                <w:b/>
                <w:bCs/>
              </w:rPr>
            </w:pPr>
            <w:r w:rsidRPr="005A5B23">
              <w:rPr>
                <w:b/>
                <w:bCs/>
              </w:rPr>
              <w:t xml:space="preserve">PBS treatment phase </w:t>
            </w:r>
          </w:p>
        </w:tc>
        <w:tc>
          <w:tcPr>
            <w:tcW w:w="1315" w:type="pct"/>
            <w:vMerge w:val="restart"/>
            <w:vAlign w:val="center"/>
          </w:tcPr>
          <w:p w14:paraId="1350FD51" w14:textId="77777777" w:rsidR="00140C47" w:rsidRPr="005A5B23" w:rsidRDefault="00140C47" w:rsidP="00422573">
            <w:pPr>
              <w:pStyle w:val="Tabletext"/>
              <w:keepNext/>
              <w:jc w:val="center"/>
              <w:rPr>
                <w:b/>
                <w:bCs/>
              </w:rPr>
            </w:pPr>
            <w:r>
              <w:rPr>
                <w:b/>
                <w:bCs/>
              </w:rPr>
              <w:t>Notes about treatment phase</w:t>
            </w:r>
          </w:p>
        </w:tc>
        <w:tc>
          <w:tcPr>
            <w:tcW w:w="1375" w:type="pct"/>
            <w:vAlign w:val="center"/>
          </w:tcPr>
          <w:p w14:paraId="2512BC62" w14:textId="77777777" w:rsidR="00140C47" w:rsidRPr="005A5B23" w:rsidRDefault="00140C47" w:rsidP="0089485D">
            <w:pPr>
              <w:pStyle w:val="Tabletext"/>
              <w:keepNext/>
              <w:jc w:val="center"/>
              <w:rPr>
                <w:b/>
                <w:bCs/>
              </w:rPr>
            </w:pPr>
            <w:r w:rsidRPr="005A5B23">
              <w:rPr>
                <w:b/>
                <w:bCs/>
              </w:rPr>
              <w:t>Current eculizumab PBS listing</w:t>
            </w:r>
          </w:p>
        </w:tc>
        <w:tc>
          <w:tcPr>
            <w:tcW w:w="1291" w:type="pct"/>
            <w:vAlign w:val="center"/>
          </w:tcPr>
          <w:p w14:paraId="5AD1B8AB" w14:textId="77777777" w:rsidR="00140C47" w:rsidRPr="005A5B23" w:rsidRDefault="00140C47" w:rsidP="0089485D">
            <w:pPr>
              <w:pStyle w:val="Tabletext"/>
              <w:keepNext/>
              <w:jc w:val="center"/>
              <w:rPr>
                <w:b/>
                <w:bCs/>
              </w:rPr>
            </w:pPr>
            <w:r w:rsidRPr="005A5B23">
              <w:rPr>
                <w:b/>
                <w:bCs/>
              </w:rPr>
              <w:t>Proposed ravulizumab</w:t>
            </w:r>
            <w:r>
              <w:rPr>
                <w:b/>
                <w:bCs/>
              </w:rPr>
              <w:t xml:space="preserve"> listing</w:t>
            </w:r>
          </w:p>
        </w:tc>
      </w:tr>
      <w:tr w:rsidR="00140C47" w:rsidRPr="005A5B23" w14:paraId="34C72E8C" w14:textId="77777777" w:rsidTr="0089485D">
        <w:tc>
          <w:tcPr>
            <w:tcW w:w="1019" w:type="pct"/>
            <w:vMerge/>
            <w:vAlign w:val="center"/>
          </w:tcPr>
          <w:p w14:paraId="19D9B996" w14:textId="77777777" w:rsidR="00140C47" w:rsidRPr="005A5B23" w:rsidRDefault="00140C47" w:rsidP="0089485D">
            <w:pPr>
              <w:pStyle w:val="Tabletext"/>
              <w:keepNext/>
              <w:rPr>
                <w:b/>
                <w:bCs/>
              </w:rPr>
            </w:pPr>
          </w:p>
        </w:tc>
        <w:tc>
          <w:tcPr>
            <w:tcW w:w="1315" w:type="pct"/>
            <w:vMerge/>
          </w:tcPr>
          <w:p w14:paraId="50B160F2" w14:textId="77777777" w:rsidR="00140C47" w:rsidRPr="005A5B23" w:rsidDel="00E45F42" w:rsidRDefault="00140C47" w:rsidP="0089485D">
            <w:pPr>
              <w:pStyle w:val="Tabletext"/>
              <w:keepNext/>
              <w:jc w:val="center"/>
              <w:rPr>
                <w:b/>
                <w:bCs/>
              </w:rPr>
            </w:pPr>
          </w:p>
        </w:tc>
        <w:tc>
          <w:tcPr>
            <w:tcW w:w="2666" w:type="pct"/>
            <w:gridSpan w:val="2"/>
            <w:vAlign w:val="center"/>
          </w:tcPr>
          <w:p w14:paraId="3FE0F942" w14:textId="77777777" w:rsidR="00140C47" w:rsidRPr="005A5B23" w:rsidRDefault="00140C47" w:rsidP="0089485D">
            <w:pPr>
              <w:pStyle w:val="Tabletext"/>
              <w:keepNext/>
              <w:jc w:val="center"/>
              <w:rPr>
                <w:b/>
                <w:bCs/>
              </w:rPr>
            </w:pPr>
            <w:r>
              <w:rPr>
                <w:b/>
                <w:bCs/>
              </w:rPr>
              <w:t>Duration of treatment per phase</w:t>
            </w:r>
          </w:p>
        </w:tc>
      </w:tr>
      <w:tr w:rsidR="00140C47" w:rsidRPr="005A5B23" w14:paraId="7F6096F9" w14:textId="77777777" w:rsidTr="0089485D">
        <w:tc>
          <w:tcPr>
            <w:tcW w:w="1019" w:type="pct"/>
            <w:vAlign w:val="center"/>
          </w:tcPr>
          <w:p w14:paraId="585174F8" w14:textId="77777777" w:rsidR="00140C47" w:rsidRPr="005A5B23" w:rsidRDefault="00140C47" w:rsidP="0089485D">
            <w:pPr>
              <w:pStyle w:val="Tabletext"/>
              <w:keepNext/>
            </w:pPr>
            <w:r w:rsidRPr="005A5B23">
              <w:t xml:space="preserve">Initial treatment </w:t>
            </w:r>
          </w:p>
        </w:tc>
        <w:tc>
          <w:tcPr>
            <w:tcW w:w="1315" w:type="pct"/>
          </w:tcPr>
          <w:p w14:paraId="48012C34" w14:textId="77777777" w:rsidR="00140C47" w:rsidRPr="005A5B23" w:rsidDel="006377D8" w:rsidRDefault="00140C47" w:rsidP="0089485D">
            <w:pPr>
              <w:pStyle w:val="Tabletext"/>
              <w:keepNext/>
            </w:pPr>
            <w:r>
              <w:t xml:space="preserve">Allows initiation pending ADAMTS-13 assay results </w:t>
            </w:r>
          </w:p>
        </w:tc>
        <w:tc>
          <w:tcPr>
            <w:tcW w:w="1375" w:type="pct"/>
            <w:vAlign w:val="center"/>
          </w:tcPr>
          <w:p w14:paraId="7009A61F" w14:textId="23688D35" w:rsidR="00140C47" w:rsidRPr="005A5B23" w:rsidRDefault="00140C47" w:rsidP="0089485D">
            <w:pPr>
              <w:pStyle w:val="Tabletext"/>
              <w:keepNext/>
            </w:pPr>
            <w:r>
              <w:t>Maximum</w:t>
            </w:r>
            <w:r w:rsidRPr="005A5B23">
              <w:t xml:space="preserve"> 4 weeks (4 </w:t>
            </w:r>
            <w:r>
              <w:t xml:space="preserve">x weekly </w:t>
            </w:r>
            <w:r w:rsidRPr="005A5B23">
              <w:t>doses</w:t>
            </w:r>
            <w:r>
              <w:t xml:space="preserve">) </w:t>
            </w:r>
          </w:p>
        </w:tc>
        <w:tc>
          <w:tcPr>
            <w:tcW w:w="1291" w:type="pct"/>
            <w:vAlign w:val="center"/>
          </w:tcPr>
          <w:p w14:paraId="3D36EE4B" w14:textId="6DEC759A" w:rsidR="00140C47" w:rsidRPr="005A5B23" w:rsidRDefault="00140C47" w:rsidP="0089485D">
            <w:pPr>
              <w:pStyle w:val="Tabletext"/>
              <w:keepNext/>
            </w:pPr>
            <w:r>
              <w:t xml:space="preserve">Maximum </w:t>
            </w:r>
            <w:r w:rsidRPr="005A5B23">
              <w:t>2 weeks (1 dose)</w:t>
            </w:r>
          </w:p>
        </w:tc>
      </w:tr>
      <w:tr w:rsidR="00140C47" w:rsidRPr="005A5B23" w14:paraId="6E4739DF" w14:textId="77777777" w:rsidTr="0089485D">
        <w:tc>
          <w:tcPr>
            <w:tcW w:w="1019" w:type="pct"/>
            <w:vAlign w:val="center"/>
          </w:tcPr>
          <w:p w14:paraId="378CC598" w14:textId="77777777" w:rsidR="00140C47" w:rsidRPr="005A5B23" w:rsidRDefault="00140C47" w:rsidP="0089485D">
            <w:pPr>
              <w:pStyle w:val="Tabletext"/>
              <w:keepNext/>
            </w:pPr>
            <w:r w:rsidRPr="005A5B23">
              <w:t>Initial treatment – balance of supply</w:t>
            </w:r>
          </w:p>
        </w:tc>
        <w:tc>
          <w:tcPr>
            <w:tcW w:w="1315" w:type="pct"/>
          </w:tcPr>
          <w:p w14:paraId="2E852ADE" w14:textId="04D3147A" w:rsidR="00140C47" w:rsidRPr="005A5B23" w:rsidDel="006377D8" w:rsidRDefault="00140C47" w:rsidP="0089485D">
            <w:pPr>
              <w:pStyle w:val="Tabletext"/>
              <w:keepNext/>
            </w:pPr>
            <w:r>
              <w:t>ADAMTS-13 assay results required</w:t>
            </w:r>
          </w:p>
        </w:tc>
        <w:tc>
          <w:tcPr>
            <w:tcW w:w="1375" w:type="pct"/>
            <w:vAlign w:val="center"/>
          </w:tcPr>
          <w:p w14:paraId="45CA4789" w14:textId="77777777" w:rsidR="00140C47" w:rsidRPr="005A5B23" w:rsidRDefault="00140C47" w:rsidP="0089485D">
            <w:pPr>
              <w:pStyle w:val="Tabletext"/>
              <w:keepNext/>
              <w:rPr>
                <w:lang w:val="en-US"/>
              </w:rPr>
            </w:pPr>
            <w:r>
              <w:t>Maximum</w:t>
            </w:r>
            <w:r w:rsidRPr="005A5B23">
              <w:t xml:space="preserve"> 20 weeks </w:t>
            </w:r>
            <w:r w:rsidRPr="005A5B23">
              <w:rPr>
                <w:lang w:val="en-US"/>
              </w:rPr>
              <w:t>(10 x 2-weekly doses)</w:t>
            </w:r>
            <w:r>
              <w:rPr>
                <w:lang w:val="en-US"/>
              </w:rPr>
              <w:t>.</w:t>
            </w:r>
          </w:p>
          <w:p w14:paraId="7C273825" w14:textId="77777777" w:rsidR="00140C47" w:rsidRPr="005A5B23" w:rsidRDefault="00140C47" w:rsidP="0089485D">
            <w:pPr>
              <w:pStyle w:val="Tabletext"/>
              <w:keepNext/>
            </w:pPr>
            <w:r>
              <w:t xml:space="preserve">Total: </w:t>
            </w:r>
            <w:r w:rsidRPr="005A5B23">
              <w:t xml:space="preserve">24 weeks </w:t>
            </w:r>
            <w:r>
              <w:t xml:space="preserve">including initial treatment </w:t>
            </w:r>
          </w:p>
        </w:tc>
        <w:tc>
          <w:tcPr>
            <w:tcW w:w="1291" w:type="pct"/>
            <w:vAlign w:val="center"/>
          </w:tcPr>
          <w:p w14:paraId="07A1DA6E" w14:textId="77777777" w:rsidR="00140C47" w:rsidRPr="005A5B23" w:rsidRDefault="00140C47" w:rsidP="0089485D">
            <w:pPr>
              <w:pStyle w:val="Tabletext"/>
              <w:keepNext/>
            </w:pPr>
            <w:r>
              <w:t xml:space="preserve">Maximum </w:t>
            </w:r>
            <w:r w:rsidRPr="005A5B23">
              <w:t xml:space="preserve">24 weeks </w:t>
            </w:r>
            <w:r w:rsidRPr="005A5B23">
              <w:rPr>
                <w:lang w:val="en-US"/>
              </w:rPr>
              <w:t>(3 x 8-weekly doses)</w:t>
            </w:r>
            <w:r>
              <w:rPr>
                <w:lang w:val="en-US"/>
              </w:rPr>
              <w:t>;</w:t>
            </w:r>
            <w:r w:rsidRPr="005A5B23">
              <w:br/>
            </w:r>
            <w:r>
              <w:t xml:space="preserve">Total: </w:t>
            </w:r>
            <w:r w:rsidRPr="005A5B23">
              <w:t>26 weeks total</w:t>
            </w:r>
            <w:r>
              <w:t xml:space="preserve"> including initial treatment; or</w:t>
            </w:r>
          </w:p>
          <w:p w14:paraId="67457285" w14:textId="2D5ADEFB" w:rsidR="00140C47" w:rsidRPr="0089485D" w:rsidRDefault="00140C47" w:rsidP="0089485D">
            <w:pPr>
              <w:pStyle w:val="Tabletext"/>
              <w:keepNext/>
              <w:rPr>
                <w:vertAlign w:val="superscript"/>
              </w:rPr>
            </w:pPr>
            <w:r>
              <w:t>Maximum</w:t>
            </w:r>
            <w:r w:rsidR="001D38BE">
              <w:t xml:space="preserve"> combined</w:t>
            </w:r>
            <w:r>
              <w:t xml:space="preserve"> total of</w:t>
            </w:r>
            <w:r w:rsidRPr="005A5B23">
              <w:t xml:space="preserve"> 32 weeks if switching from eculizumab</w:t>
            </w:r>
            <w:r>
              <w:t xml:space="preserve"> </w:t>
            </w:r>
            <w:r>
              <w:rPr>
                <w:vertAlign w:val="superscript"/>
              </w:rPr>
              <w:t>a</w:t>
            </w:r>
          </w:p>
        </w:tc>
      </w:tr>
      <w:tr w:rsidR="00140C47" w:rsidRPr="005A5B23" w14:paraId="44499594" w14:textId="77777777" w:rsidTr="0089485D">
        <w:tc>
          <w:tcPr>
            <w:tcW w:w="1019" w:type="pct"/>
            <w:vAlign w:val="center"/>
          </w:tcPr>
          <w:p w14:paraId="3D840CE2" w14:textId="77777777" w:rsidR="00140C47" w:rsidRPr="005A5B23" w:rsidRDefault="00140C47" w:rsidP="0089485D">
            <w:pPr>
              <w:pStyle w:val="Tabletext"/>
              <w:keepNext/>
            </w:pPr>
            <w:r w:rsidRPr="005A5B23">
              <w:t xml:space="preserve">Extended initial treatment </w:t>
            </w:r>
          </w:p>
        </w:tc>
        <w:tc>
          <w:tcPr>
            <w:tcW w:w="1315" w:type="pct"/>
          </w:tcPr>
          <w:p w14:paraId="0DEF1119" w14:textId="77777777" w:rsidR="00140C47" w:rsidRPr="005A5B23" w:rsidDel="006377D8" w:rsidRDefault="00140C47" w:rsidP="0089485D">
            <w:pPr>
              <w:pStyle w:val="Tabletext"/>
              <w:keepNext/>
            </w:pPr>
            <w:r>
              <w:t>Patients must demonstrate a response to access this treatment phase</w:t>
            </w:r>
          </w:p>
        </w:tc>
        <w:tc>
          <w:tcPr>
            <w:tcW w:w="1375" w:type="pct"/>
            <w:vAlign w:val="center"/>
          </w:tcPr>
          <w:p w14:paraId="276F9B24" w14:textId="77777777" w:rsidR="00140C47" w:rsidRDefault="00140C47" w:rsidP="0089485D">
            <w:pPr>
              <w:pStyle w:val="Tabletext"/>
              <w:keepNext/>
            </w:pPr>
            <w:r>
              <w:t>Maximum</w:t>
            </w:r>
            <w:r w:rsidRPr="005A5B23">
              <w:t xml:space="preserve"> 56 weeks</w:t>
            </w:r>
          </w:p>
          <w:p w14:paraId="7F9F6A3F" w14:textId="77777777" w:rsidR="00140C47" w:rsidRPr="005A5B23" w:rsidRDefault="00140C47" w:rsidP="0089485D">
            <w:pPr>
              <w:pStyle w:val="Tabletext"/>
              <w:keepNext/>
            </w:pPr>
          </w:p>
        </w:tc>
        <w:tc>
          <w:tcPr>
            <w:tcW w:w="1291" w:type="pct"/>
            <w:vMerge w:val="restart"/>
            <w:vAlign w:val="center"/>
          </w:tcPr>
          <w:p w14:paraId="21BBFF9B" w14:textId="7580122D" w:rsidR="00140C47" w:rsidRPr="005A5B23" w:rsidRDefault="00140C47" w:rsidP="0089485D">
            <w:pPr>
              <w:pStyle w:val="Tabletext"/>
              <w:keepNext/>
            </w:pPr>
            <w:r w:rsidRPr="005A5B23">
              <w:t>82</w:t>
            </w:r>
            <w:r>
              <w:t xml:space="preserve"> </w:t>
            </w:r>
            <w:r>
              <w:rPr>
                <w:vertAlign w:val="superscript"/>
              </w:rPr>
              <w:t>b</w:t>
            </w:r>
            <w:r w:rsidRPr="005A5B23">
              <w:t xml:space="preserve"> weeks in total, including any eculizumab treatment</w:t>
            </w:r>
            <w:r w:rsidRPr="005A5B23">
              <w:br/>
              <w:t>(</w:t>
            </w:r>
            <w:r w:rsidR="00833A39">
              <w:t>s</w:t>
            </w:r>
            <w:r w:rsidRPr="005A5B23">
              <w:t xml:space="preserve">ubmission proposed merging </w:t>
            </w:r>
            <w:r>
              <w:t>extended initial and continuing treatment phases</w:t>
            </w:r>
            <w:r w:rsidRPr="005A5B23">
              <w:t>)</w:t>
            </w:r>
          </w:p>
        </w:tc>
      </w:tr>
      <w:tr w:rsidR="00140C47" w:rsidRPr="005A5B23" w14:paraId="26F9551A" w14:textId="77777777" w:rsidTr="0089485D">
        <w:tc>
          <w:tcPr>
            <w:tcW w:w="1019" w:type="pct"/>
            <w:vAlign w:val="center"/>
          </w:tcPr>
          <w:p w14:paraId="55FC386A" w14:textId="77777777" w:rsidR="00140C47" w:rsidRPr="005A5B23" w:rsidRDefault="00140C47" w:rsidP="0089485D">
            <w:pPr>
              <w:pStyle w:val="Tabletext"/>
              <w:keepNext/>
            </w:pPr>
            <w:r w:rsidRPr="005A5B23">
              <w:t xml:space="preserve">Continuing treatment </w:t>
            </w:r>
          </w:p>
        </w:tc>
        <w:tc>
          <w:tcPr>
            <w:tcW w:w="1315" w:type="pct"/>
          </w:tcPr>
          <w:p w14:paraId="480D18B1" w14:textId="77777777" w:rsidR="00140C47" w:rsidRPr="005A5B23" w:rsidDel="006377D8" w:rsidRDefault="00140C47" w:rsidP="0089485D">
            <w:pPr>
              <w:pStyle w:val="Tabletext"/>
              <w:keepNext/>
            </w:pPr>
          </w:p>
        </w:tc>
        <w:tc>
          <w:tcPr>
            <w:tcW w:w="1375" w:type="pct"/>
            <w:vAlign w:val="center"/>
          </w:tcPr>
          <w:p w14:paraId="39792481" w14:textId="77777777" w:rsidR="00140C47" w:rsidRPr="005A5B23" w:rsidRDefault="00140C47" w:rsidP="0089485D">
            <w:pPr>
              <w:pStyle w:val="Tabletext"/>
              <w:keepNext/>
            </w:pPr>
            <w:r>
              <w:t>Maximum</w:t>
            </w:r>
            <w:r w:rsidRPr="005A5B23">
              <w:t xml:space="preserve"> 24 weeks </w:t>
            </w:r>
          </w:p>
        </w:tc>
        <w:tc>
          <w:tcPr>
            <w:tcW w:w="1291" w:type="pct"/>
            <w:vMerge/>
            <w:vAlign w:val="center"/>
          </w:tcPr>
          <w:p w14:paraId="777A3968" w14:textId="77777777" w:rsidR="00140C47" w:rsidRPr="005A5B23" w:rsidRDefault="00140C47" w:rsidP="0089485D">
            <w:pPr>
              <w:pStyle w:val="Tabletext"/>
              <w:keepNext/>
            </w:pPr>
          </w:p>
        </w:tc>
      </w:tr>
      <w:tr w:rsidR="00140C47" w:rsidRPr="005A5B23" w14:paraId="33AE72E9" w14:textId="77777777" w:rsidTr="0089485D">
        <w:tc>
          <w:tcPr>
            <w:tcW w:w="1019" w:type="pct"/>
            <w:vAlign w:val="center"/>
          </w:tcPr>
          <w:p w14:paraId="464285E9" w14:textId="77777777" w:rsidR="00140C47" w:rsidRPr="0089485D" w:rsidRDefault="00140C47" w:rsidP="0089485D">
            <w:pPr>
              <w:pStyle w:val="Tabletext"/>
              <w:keepNext/>
              <w:rPr>
                <w:b/>
                <w:bCs/>
              </w:rPr>
            </w:pPr>
            <w:r w:rsidRPr="0089485D">
              <w:rPr>
                <w:b/>
                <w:bCs/>
              </w:rPr>
              <w:t xml:space="preserve">Total </w:t>
            </w:r>
            <w:r>
              <w:rPr>
                <w:b/>
                <w:bCs/>
              </w:rPr>
              <w:t xml:space="preserve">duration </w:t>
            </w:r>
            <w:r w:rsidRPr="0089485D">
              <w:rPr>
                <w:b/>
                <w:bCs/>
              </w:rPr>
              <w:t>of first 4 phases</w:t>
            </w:r>
          </w:p>
        </w:tc>
        <w:tc>
          <w:tcPr>
            <w:tcW w:w="1315" w:type="pct"/>
          </w:tcPr>
          <w:p w14:paraId="01180FB8" w14:textId="77777777" w:rsidR="00140C47" w:rsidRDefault="00140C47" w:rsidP="0089485D">
            <w:pPr>
              <w:pStyle w:val="Tabletext"/>
              <w:keepNext/>
            </w:pPr>
          </w:p>
        </w:tc>
        <w:tc>
          <w:tcPr>
            <w:tcW w:w="1375" w:type="pct"/>
            <w:vAlign w:val="center"/>
          </w:tcPr>
          <w:p w14:paraId="131FB1AE" w14:textId="77777777" w:rsidR="00140C47" w:rsidRPr="005A5B23" w:rsidDel="006377D8" w:rsidRDefault="00140C47" w:rsidP="0089485D">
            <w:pPr>
              <w:pStyle w:val="Tabletext"/>
              <w:keepNext/>
            </w:pPr>
            <w:r>
              <w:t>Maximum 104 weeks</w:t>
            </w:r>
          </w:p>
        </w:tc>
        <w:tc>
          <w:tcPr>
            <w:tcW w:w="1291" w:type="pct"/>
            <w:vAlign w:val="center"/>
          </w:tcPr>
          <w:p w14:paraId="41F01DA7" w14:textId="77777777" w:rsidR="00140C47" w:rsidRPr="005A5B23" w:rsidRDefault="00140C47" w:rsidP="0089485D">
            <w:pPr>
              <w:pStyle w:val="Tabletext"/>
              <w:keepNext/>
            </w:pPr>
            <w:r>
              <w:t>Maximum 106 weeks (or maximum 116 weeks if switched from eculizumab)</w:t>
            </w:r>
          </w:p>
        </w:tc>
      </w:tr>
      <w:tr w:rsidR="00140C47" w:rsidRPr="005A5B23" w14:paraId="051D52CE" w14:textId="77777777" w:rsidTr="0089485D">
        <w:tc>
          <w:tcPr>
            <w:tcW w:w="1019" w:type="pct"/>
            <w:vAlign w:val="center"/>
          </w:tcPr>
          <w:p w14:paraId="467B31B5" w14:textId="77777777" w:rsidR="00140C47" w:rsidRPr="005A5B23" w:rsidRDefault="00140C47" w:rsidP="0089485D">
            <w:pPr>
              <w:pStyle w:val="Tabletext"/>
              <w:keepNext/>
            </w:pPr>
            <w:r w:rsidRPr="005A5B23">
              <w:t>Extended continuing treatment</w:t>
            </w:r>
            <w:r>
              <w:t xml:space="preserve"> </w:t>
            </w:r>
          </w:p>
        </w:tc>
        <w:tc>
          <w:tcPr>
            <w:tcW w:w="1315" w:type="pct"/>
          </w:tcPr>
          <w:p w14:paraId="7F2EB727" w14:textId="77777777" w:rsidR="00140C47" w:rsidRPr="005A5B23" w:rsidDel="006377D8" w:rsidRDefault="00140C47" w:rsidP="0089485D">
            <w:pPr>
              <w:pStyle w:val="Tabletext"/>
              <w:keepNext/>
            </w:pPr>
            <w:r>
              <w:t>Patients must be high risk to access this treatment phase which allows ongoing treatment.</w:t>
            </w:r>
          </w:p>
        </w:tc>
        <w:tc>
          <w:tcPr>
            <w:tcW w:w="1375" w:type="pct"/>
            <w:vAlign w:val="center"/>
          </w:tcPr>
          <w:p w14:paraId="3E356188" w14:textId="77777777" w:rsidR="00140C47" w:rsidRPr="005A5B23" w:rsidRDefault="00140C47" w:rsidP="0089485D">
            <w:pPr>
              <w:pStyle w:val="Tabletext"/>
              <w:keepNext/>
            </w:pPr>
            <w:r>
              <w:t xml:space="preserve"> 24 weeks per script, on-going</w:t>
            </w:r>
          </w:p>
        </w:tc>
        <w:tc>
          <w:tcPr>
            <w:tcW w:w="1291" w:type="pct"/>
            <w:vAlign w:val="center"/>
          </w:tcPr>
          <w:p w14:paraId="20EB7CBE" w14:textId="77777777" w:rsidR="00140C47" w:rsidRPr="0089485D" w:rsidRDefault="00140C47" w:rsidP="0089485D">
            <w:pPr>
              <w:pStyle w:val="Tabletext"/>
              <w:keepNext/>
              <w:rPr>
                <w:vertAlign w:val="superscript"/>
              </w:rPr>
            </w:pPr>
            <w:r w:rsidRPr="005A5B23">
              <w:t>26 weeks</w:t>
            </w:r>
            <w:r>
              <w:t xml:space="preserve"> </w:t>
            </w:r>
            <w:r>
              <w:rPr>
                <w:vertAlign w:val="superscript"/>
              </w:rPr>
              <w:t>c</w:t>
            </w:r>
          </w:p>
        </w:tc>
      </w:tr>
      <w:tr w:rsidR="00140C47" w:rsidRPr="005A5B23" w14:paraId="3A1CFFAB" w14:textId="77777777" w:rsidTr="0089485D">
        <w:tc>
          <w:tcPr>
            <w:tcW w:w="1019" w:type="pct"/>
            <w:vAlign w:val="center"/>
          </w:tcPr>
          <w:p w14:paraId="50FE4AC7" w14:textId="77777777" w:rsidR="00140C47" w:rsidRPr="005A5B23" w:rsidRDefault="00140C47" w:rsidP="0089485D">
            <w:pPr>
              <w:pStyle w:val="Tabletext"/>
              <w:keepNext/>
            </w:pPr>
            <w:r w:rsidRPr="005A5B23">
              <w:t>Recommencement of treatment</w:t>
            </w:r>
            <w:r>
              <w:t xml:space="preserve"> </w:t>
            </w:r>
          </w:p>
        </w:tc>
        <w:tc>
          <w:tcPr>
            <w:tcW w:w="1315" w:type="pct"/>
          </w:tcPr>
          <w:p w14:paraId="468798FF" w14:textId="77777777" w:rsidR="00140C47" w:rsidRPr="005A5B23" w:rsidDel="006377D8" w:rsidRDefault="00140C47" w:rsidP="0089485D">
            <w:pPr>
              <w:pStyle w:val="Tabletext"/>
              <w:keepNext/>
            </w:pPr>
            <w:r>
              <w:t>A</w:t>
            </w:r>
            <w:r w:rsidRPr="001E11F7">
              <w:t xml:space="preserve">llows recommencement in patients who previously discontinued </w:t>
            </w:r>
            <w:r>
              <w:t>a C5 inhibitor</w:t>
            </w:r>
            <w:r w:rsidRPr="001E11F7">
              <w:t xml:space="preserve"> but experience a relapse while off treatment.</w:t>
            </w:r>
          </w:p>
        </w:tc>
        <w:tc>
          <w:tcPr>
            <w:tcW w:w="1375" w:type="pct"/>
            <w:vAlign w:val="center"/>
          </w:tcPr>
          <w:p w14:paraId="5B054D45" w14:textId="77777777" w:rsidR="00140C47" w:rsidRPr="005A5B23" w:rsidRDefault="00140C47" w:rsidP="0089485D">
            <w:pPr>
              <w:pStyle w:val="Tabletext"/>
              <w:keepNext/>
            </w:pPr>
            <w:r>
              <w:t>Maximum</w:t>
            </w:r>
            <w:r w:rsidRPr="005A5B23">
              <w:t xml:space="preserve"> 24 weeks </w:t>
            </w:r>
          </w:p>
        </w:tc>
        <w:tc>
          <w:tcPr>
            <w:tcW w:w="1291" w:type="pct"/>
            <w:vAlign w:val="center"/>
          </w:tcPr>
          <w:p w14:paraId="757239B6" w14:textId="77777777" w:rsidR="00140C47" w:rsidRPr="0089485D" w:rsidRDefault="00140C47" w:rsidP="0089485D">
            <w:pPr>
              <w:pStyle w:val="Tabletext"/>
              <w:keepNext/>
              <w:rPr>
                <w:vertAlign w:val="superscript"/>
              </w:rPr>
            </w:pPr>
            <w:r w:rsidRPr="005A5B23">
              <w:t xml:space="preserve">26 weeks </w:t>
            </w:r>
            <w:r>
              <w:rPr>
                <w:vertAlign w:val="superscript"/>
              </w:rPr>
              <w:t>c</w:t>
            </w:r>
          </w:p>
        </w:tc>
      </w:tr>
      <w:tr w:rsidR="00140C47" w:rsidRPr="005A5B23" w14:paraId="044BB7BC" w14:textId="77777777" w:rsidTr="0089485D">
        <w:tc>
          <w:tcPr>
            <w:tcW w:w="1019" w:type="pct"/>
            <w:vAlign w:val="center"/>
          </w:tcPr>
          <w:p w14:paraId="0589030A" w14:textId="77777777" w:rsidR="00140C47" w:rsidRPr="005A5B23" w:rsidRDefault="00140C47" w:rsidP="0089485D">
            <w:pPr>
              <w:pStyle w:val="Tabletext"/>
              <w:keepNext/>
            </w:pPr>
            <w:r w:rsidRPr="005A5B23">
              <w:t>Continuing recommencement of treatment</w:t>
            </w:r>
          </w:p>
        </w:tc>
        <w:tc>
          <w:tcPr>
            <w:tcW w:w="1315" w:type="pct"/>
          </w:tcPr>
          <w:p w14:paraId="744647C8" w14:textId="77777777" w:rsidR="00140C47" w:rsidRPr="005A5B23" w:rsidDel="006377D8" w:rsidRDefault="00140C47" w:rsidP="0089485D">
            <w:pPr>
              <w:pStyle w:val="Tabletext"/>
              <w:keepNext/>
            </w:pPr>
            <w:r>
              <w:t>Allows on-going access for above patients (</w:t>
            </w:r>
            <w:proofErr w:type="gramStart"/>
            <w:r>
              <w:t>i.e.</w:t>
            </w:r>
            <w:proofErr w:type="gramEnd"/>
            <w:r>
              <w:t xml:space="preserve"> who relapsed off treatment)</w:t>
            </w:r>
          </w:p>
        </w:tc>
        <w:tc>
          <w:tcPr>
            <w:tcW w:w="1375" w:type="pct"/>
            <w:vAlign w:val="center"/>
          </w:tcPr>
          <w:p w14:paraId="473CC9DA" w14:textId="77777777" w:rsidR="00140C47" w:rsidRPr="005A5B23" w:rsidRDefault="00140C47" w:rsidP="0089485D">
            <w:pPr>
              <w:pStyle w:val="Tabletext"/>
              <w:keepNext/>
            </w:pPr>
            <w:r>
              <w:t xml:space="preserve"> 24 weeks per script, on-going</w:t>
            </w:r>
          </w:p>
        </w:tc>
        <w:tc>
          <w:tcPr>
            <w:tcW w:w="1291" w:type="pct"/>
            <w:vAlign w:val="center"/>
          </w:tcPr>
          <w:p w14:paraId="02189654" w14:textId="77777777" w:rsidR="00140C47" w:rsidRPr="0089485D" w:rsidRDefault="00140C47" w:rsidP="0089485D">
            <w:pPr>
              <w:pStyle w:val="Tabletext"/>
              <w:keepNext/>
              <w:rPr>
                <w:vertAlign w:val="superscript"/>
              </w:rPr>
            </w:pPr>
            <w:r w:rsidRPr="005A5B23">
              <w:t>26 weeks</w:t>
            </w:r>
            <w:r>
              <w:t xml:space="preserve"> </w:t>
            </w:r>
            <w:r>
              <w:rPr>
                <w:vertAlign w:val="superscript"/>
              </w:rPr>
              <w:t>c</w:t>
            </w:r>
          </w:p>
        </w:tc>
      </w:tr>
    </w:tbl>
    <w:p w14:paraId="67D46902" w14:textId="4D463704" w:rsidR="00140C47" w:rsidRPr="00D64D6F" w:rsidRDefault="00140C47" w:rsidP="00140C47">
      <w:pPr>
        <w:pStyle w:val="TableFooter"/>
        <w:rPr>
          <w:lang w:val="en-US"/>
        </w:rPr>
      </w:pPr>
      <w:r>
        <w:rPr>
          <w:lang w:val="en-US"/>
        </w:rPr>
        <w:t xml:space="preserve">Source: </w:t>
      </w:r>
      <w:r w:rsidR="00422573">
        <w:rPr>
          <w:lang w:val="en-US"/>
        </w:rPr>
        <w:t>c</w:t>
      </w:r>
      <w:r>
        <w:rPr>
          <w:lang w:val="en-US"/>
        </w:rPr>
        <w:t>onstructed during the evaluation based on Figure 6, p31 of the submission and the proposed restrictions presented in Table 16-</w:t>
      </w:r>
      <w:r w:rsidRPr="00D64D6F">
        <w:rPr>
          <w:lang w:val="en-US"/>
        </w:rPr>
        <w:t>19,</w:t>
      </w:r>
      <w:r w:rsidR="00422573">
        <w:rPr>
          <w:lang w:val="en-US"/>
        </w:rPr>
        <w:t xml:space="preserve"> </w:t>
      </w:r>
      <w:r w:rsidRPr="00D64D6F">
        <w:rPr>
          <w:lang w:val="en-US"/>
        </w:rPr>
        <w:t>pp40-43 of the submission</w:t>
      </w:r>
      <w:proofErr w:type="gramStart"/>
      <w:r w:rsidRPr="00D64D6F">
        <w:rPr>
          <w:lang w:val="en-US"/>
        </w:rPr>
        <w:t xml:space="preserve">.  </w:t>
      </w:r>
      <w:proofErr w:type="gramEnd"/>
    </w:p>
    <w:p w14:paraId="5ACD6E06" w14:textId="07FD4942" w:rsidR="00140C47" w:rsidRDefault="00140C47" w:rsidP="00140C47">
      <w:pPr>
        <w:pStyle w:val="TableFooter"/>
        <w:rPr>
          <w:lang w:val="en-US"/>
        </w:rPr>
      </w:pPr>
      <w:proofErr w:type="spellStart"/>
      <w:r w:rsidRPr="00D64D6F">
        <w:rPr>
          <w:vertAlign w:val="superscript"/>
          <w:lang w:val="en-US"/>
        </w:rPr>
        <w:t>a</w:t>
      </w:r>
      <w:proofErr w:type="spellEnd"/>
      <w:r w:rsidRPr="00D64D6F">
        <w:rPr>
          <w:lang w:val="en-US"/>
        </w:rPr>
        <w:t xml:space="preserve"> </w:t>
      </w:r>
      <w:proofErr w:type="gramStart"/>
      <w:r w:rsidRPr="00D64D6F">
        <w:rPr>
          <w:lang w:val="en-US"/>
        </w:rPr>
        <w:t>The</w:t>
      </w:r>
      <w:proofErr w:type="gramEnd"/>
      <w:r w:rsidRPr="00D64D6F">
        <w:rPr>
          <w:lang w:val="en-US"/>
        </w:rPr>
        <w:t xml:space="preserve"> submission appeared to request 32 weeks in order to allow patients to switch prior to 2</w:t>
      </w:r>
      <w:r w:rsidR="00FB0032">
        <w:rPr>
          <w:lang w:val="en-US"/>
        </w:rPr>
        <w:t>4</w:t>
      </w:r>
      <w:r w:rsidRPr="00D64D6F">
        <w:rPr>
          <w:lang w:val="en-US"/>
        </w:rPr>
        <w:t xml:space="preserve"> weeks of eculizumab, then have a loading dose and one maintenance dose (i.e. 10 weeks) of ravulizumab therapy to stabilize and allow the logistics of obtaining authority approvals. The submission proposed a specific switching restriction for the ‘Initial treatment – balance of supply’ phase, but during</w:t>
      </w:r>
      <w:r>
        <w:rPr>
          <w:lang w:val="en-US"/>
        </w:rPr>
        <w:t xml:space="preserve"> subsequent phases proposed an additional 2 weeks of ravulizumab therapy to enable patients to switch at any point (</w:t>
      </w:r>
      <w:proofErr w:type="gramStart"/>
      <w:r>
        <w:rPr>
          <w:lang w:val="en-US"/>
        </w:rPr>
        <w:t>i.e.</w:t>
      </w:r>
      <w:proofErr w:type="gramEnd"/>
      <w:r>
        <w:rPr>
          <w:lang w:val="en-US"/>
        </w:rPr>
        <w:t xml:space="preserve"> to accommodate a loading dose during any phase)</w:t>
      </w:r>
      <w:r w:rsidR="001D38BE">
        <w:rPr>
          <w:lang w:val="en-US"/>
        </w:rPr>
        <w:t>.</w:t>
      </w:r>
    </w:p>
    <w:p w14:paraId="1602B3D9" w14:textId="77777777" w:rsidR="00140C47" w:rsidRDefault="00140C47" w:rsidP="00140C47">
      <w:pPr>
        <w:pStyle w:val="TableFooter"/>
      </w:pPr>
      <w:r>
        <w:rPr>
          <w:vertAlign w:val="superscript"/>
        </w:rPr>
        <w:t>b</w:t>
      </w:r>
      <w:r>
        <w:t xml:space="preserve"> </w:t>
      </w:r>
      <w:proofErr w:type="gramStart"/>
      <w:r>
        <w:t>i.e.</w:t>
      </w:r>
      <w:proofErr w:type="gramEnd"/>
      <w:r>
        <w:t xml:space="preserve"> 10 x 8-weekly doses plus allowance for one loading dose if required for patients switching from eculizumab during this treatment phase.</w:t>
      </w:r>
    </w:p>
    <w:p w14:paraId="292EBFD7" w14:textId="565E6A4C" w:rsidR="00E72AE6" w:rsidRDefault="00140C47" w:rsidP="000B3185">
      <w:pPr>
        <w:pStyle w:val="TableFooter"/>
        <w:spacing w:after="120"/>
      </w:pPr>
      <w:r>
        <w:rPr>
          <w:vertAlign w:val="superscript"/>
        </w:rPr>
        <w:t>c</w:t>
      </w:r>
      <w:r>
        <w:t xml:space="preserve"> </w:t>
      </w:r>
      <w:proofErr w:type="gramStart"/>
      <w:r>
        <w:t>i.e.</w:t>
      </w:r>
      <w:proofErr w:type="gramEnd"/>
      <w:r>
        <w:t xml:space="preserve"> 3 x 8-weekly doses plus allowance for one loading dose if required for patients switching from eculizumab during this treatment phase.</w:t>
      </w:r>
    </w:p>
    <w:p w14:paraId="06D539F0" w14:textId="5E03C69E" w:rsidR="00E72AE6" w:rsidRPr="00C30E16" w:rsidRDefault="00E72AE6" w:rsidP="000B3185">
      <w:pPr>
        <w:pStyle w:val="3-BodyText"/>
      </w:pPr>
      <w:r>
        <w:t xml:space="preserve">In March 2018, </w:t>
      </w:r>
      <w:r w:rsidR="00A54E16">
        <w:t xml:space="preserve">the PBAC </w:t>
      </w:r>
      <w:r w:rsidR="00833A39">
        <w:t xml:space="preserve">had </w:t>
      </w:r>
      <w:r w:rsidR="00A54E16">
        <w:t xml:space="preserve">recalled </w:t>
      </w:r>
      <w:r w:rsidR="00356D41">
        <w:t xml:space="preserve">its December 2015 consideration of eculizumab, in which it recommended increasing the duration of treatment from 12 months to 24 months. It was noted in December 2015 that </w:t>
      </w:r>
      <w:r w:rsidR="00356D41" w:rsidRPr="00E013EC">
        <w:t xml:space="preserve">the evidence provided by the sponsor in 2014 showed that the vast majority of the benefit occurs in the first 6 months of eculizumab treatment, with some continuing improvement in the </w:t>
      </w:r>
      <w:proofErr w:type="gramStart"/>
      <w:r w:rsidR="00356D41" w:rsidRPr="00E013EC">
        <w:t>6 to 12 month</w:t>
      </w:r>
      <w:proofErr w:type="gramEnd"/>
      <w:r w:rsidR="00356D41" w:rsidRPr="00E013EC">
        <w:t xml:space="preserve"> period. The </w:t>
      </w:r>
      <w:r w:rsidR="008D4156">
        <w:t>2</w:t>
      </w:r>
      <w:r w:rsidR="00D512F5">
        <w:t>-</w:t>
      </w:r>
      <w:r w:rsidR="00356D41" w:rsidRPr="00E013EC">
        <w:t>year follow-</w:t>
      </w:r>
      <w:r w:rsidR="00356D41" w:rsidRPr="006B6120">
        <w:t xml:space="preserve">up data available </w:t>
      </w:r>
      <w:r w:rsidR="00AB1B19">
        <w:t>in 2014</w:t>
      </w:r>
      <w:r w:rsidR="00356D41" w:rsidRPr="006B6120">
        <w:t xml:space="preserve"> showed that there was no consistent improvement across all parameters in the </w:t>
      </w:r>
      <w:proofErr w:type="gramStart"/>
      <w:r w:rsidR="00356D41" w:rsidRPr="006B6120">
        <w:t>12 to 24 month</w:t>
      </w:r>
      <w:proofErr w:type="gramEnd"/>
      <w:r w:rsidR="00356D41" w:rsidRPr="006B6120">
        <w:t xml:space="preserve"> period</w:t>
      </w:r>
      <w:r w:rsidR="00356D41">
        <w:t xml:space="preserve">. </w:t>
      </w:r>
      <w:r w:rsidR="00356D41" w:rsidRPr="006B6120">
        <w:t xml:space="preserve">Given that additional evidence was becoming available and had not been considered at the time the restrictions were specified, the PBAC recognised that the entry and continuation criteria warranted review. The </w:t>
      </w:r>
      <w:r w:rsidR="004A392A">
        <w:t xml:space="preserve">2015 </w:t>
      </w:r>
      <w:r w:rsidR="00356D41" w:rsidRPr="006B6120">
        <w:t>PBAC recommend</w:t>
      </w:r>
      <w:r w:rsidR="00753CC1">
        <w:t>ation</w:t>
      </w:r>
      <w:r w:rsidR="00356D41" w:rsidRPr="006B6120">
        <w:t xml:space="preserve"> that the </w:t>
      </w:r>
      <w:r w:rsidR="00356D41" w:rsidRPr="006B6120">
        <w:lastRenderedPageBreak/>
        <w:t>PBS-subsidy arrangements be extended for a further 12-months period, to 24-months</w:t>
      </w:r>
      <w:r w:rsidR="00936DFC">
        <w:t xml:space="preserve"> </w:t>
      </w:r>
      <w:r w:rsidR="00753CC1">
        <w:t xml:space="preserve">was </w:t>
      </w:r>
      <w:r w:rsidR="00356D41" w:rsidRPr="006B6120">
        <w:t>to enable this review to occur</w:t>
      </w:r>
      <w:r w:rsidR="00356D41">
        <w:t xml:space="preserve"> </w:t>
      </w:r>
      <w:r w:rsidRPr="00C30E16">
        <w:t>(</w:t>
      </w:r>
      <w:r w:rsidR="00052328">
        <w:t>p</w:t>
      </w:r>
      <w:r w:rsidR="0046301E" w:rsidRPr="00C30E16">
        <w:t>ara</w:t>
      </w:r>
      <w:r w:rsidR="00052328">
        <w:t>graph</w:t>
      </w:r>
      <w:r w:rsidR="0046301E" w:rsidRPr="00C30E16">
        <w:t xml:space="preserve"> 3.14, Eculizumab, </w:t>
      </w:r>
      <w:r w:rsidR="005506F9">
        <w:t>Public Summary Document (</w:t>
      </w:r>
      <w:r w:rsidR="00356D41" w:rsidRPr="00C30E16">
        <w:t>PSD</w:t>
      </w:r>
      <w:r w:rsidR="005506F9">
        <w:t>)</w:t>
      </w:r>
      <w:r w:rsidR="00F04B5F" w:rsidRPr="00C30E16">
        <w:t>,</w:t>
      </w:r>
      <w:r w:rsidR="00356D41" w:rsidRPr="00C30E16">
        <w:t xml:space="preserve"> March 2018). </w:t>
      </w:r>
    </w:p>
    <w:p w14:paraId="0ADB908B" w14:textId="0AA27351" w:rsidR="00E72AE6" w:rsidRPr="00031291" w:rsidRDefault="00E72AE6" w:rsidP="00B306AF">
      <w:pPr>
        <w:pStyle w:val="3-BodyText"/>
      </w:pPr>
      <w:bookmarkStart w:id="16" w:name="_Ref123735879"/>
      <w:r w:rsidRPr="00031291">
        <w:t>T</w:t>
      </w:r>
      <w:r w:rsidR="008C7809" w:rsidRPr="00031291">
        <w:t>o attempt to address this, t</w:t>
      </w:r>
      <w:r w:rsidRPr="00031291">
        <w:t xml:space="preserve">he submission provided an overview of outcomes from the prospective </w:t>
      </w:r>
      <w:r w:rsidR="00C52FC7" w:rsidRPr="00031291">
        <w:t xml:space="preserve">registrational clinical studies of eculizumab; this is summarised in </w:t>
      </w:r>
      <w:r w:rsidR="004A392A" w:rsidRPr="00031291">
        <w:fldChar w:fldCharType="begin" w:fldLock="1"/>
      </w:r>
      <w:r w:rsidR="004A392A" w:rsidRPr="00031291">
        <w:instrText xml:space="preserve"> REF _Ref129875826 \h </w:instrText>
      </w:r>
      <w:r w:rsidR="004E5A2A" w:rsidRPr="00031291">
        <w:instrText xml:space="preserve"> \* MERGEFORMAT </w:instrText>
      </w:r>
      <w:r w:rsidR="004A392A" w:rsidRPr="00031291">
        <w:fldChar w:fldCharType="separate"/>
      </w:r>
      <w:r w:rsidR="00916EDA">
        <w:t xml:space="preserve">Table </w:t>
      </w:r>
      <w:r w:rsidR="00916EDA">
        <w:rPr>
          <w:noProof/>
        </w:rPr>
        <w:t>6</w:t>
      </w:r>
      <w:r w:rsidR="004A392A" w:rsidRPr="00031291">
        <w:fldChar w:fldCharType="end"/>
      </w:r>
      <w:r w:rsidR="0075124D" w:rsidRPr="00031291">
        <w:t>.</w:t>
      </w:r>
      <w:bookmarkEnd w:id="16"/>
    </w:p>
    <w:p w14:paraId="0F4BB57A" w14:textId="40792A39" w:rsidR="00200943" w:rsidRDefault="00E72AE6" w:rsidP="00B306AF">
      <w:pPr>
        <w:pStyle w:val="3-BodyText"/>
      </w:pPr>
      <w:r w:rsidRPr="007B3577">
        <w:t>In the proposed restrictions for ravulizumab, the duration of initial treatment is shorter than the current duration for eculizumab.</w:t>
      </w:r>
      <w:r w:rsidR="007B3577" w:rsidRPr="007B3577">
        <w:t xml:space="preserve"> The submission stated that</w:t>
      </w:r>
      <w:r w:rsidR="004B7256">
        <w:t>, ‘</w:t>
      </w:r>
      <w:r w:rsidR="00F76615">
        <w:t>[r]</w:t>
      </w:r>
      <w:r w:rsidR="007B3577" w:rsidRPr="007B3577">
        <w:t xml:space="preserve">esults from the ADAMTS-13 assay are typically available within 24 hours in current practice </w:t>
      </w:r>
      <w:r w:rsidR="00F76615" w:rsidRPr="001F235F">
        <w:rPr>
          <w:lang w:val="en-US"/>
        </w:rPr>
        <w:t>(particularly in public metropolitan centres; there may be delays in regional or private settings). While this result is also contingent on sampling taking place prior to administration of plasma therapy (otherwise</w:t>
      </w:r>
      <w:r w:rsidR="00F76615" w:rsidRPr="00B2292E">
        <w:t xml:space="preserve"> </w:t>
      </w:r>
      <w:r w:rsidR="00F76615" w:rsidRPr="001F235F">
        <w:rPr>
          <w:lang w:val="en-US"/>
        </w:rPr>
        <w:t xml:space="preserve">measurement of ADAMTS-13 activity will </w:t>
      </w:r>
      <w:proofErr w:type="gramStart"/>
      <w:r w:rsidR="00F76615" w:rsidRPr="001F235F">
        <w:rPr>
          <w:lang w:val="en-US"/>
        </w:rPr>
        <w:t>be delayed</w:t>
      </w:r>
      <w:proofErr w:type="gramEnd"/>
      <w:r w:rsidR="00F76615" w:rsidRPr="001F235F">
        <w:rPr>
          <w:lang w:val="en-US"/>
        </w:rPr>
        <w:t xml:space="preserve"> by 1-2 weeks following the last plasma therapy), obtaining a plasma sample prior to onset of empiric therapy is now considered standard practice. Therefore, a </w:t>
      </w:r>
      <w:r w:rsidR="008D4156" w:rsidRPr="001F235F">
        <w:rPr>
          <w:lang w:val="en-US"/>
        </w:rPr>
        <w:t>2</w:t>
      </w:r>
      <w:r w:rsidR="00F76615" w:rsidRPr="001F235F">
        <w:rPr>
          <w:lang w:val="en-US"/>
        </w:rPr>
        <w:t xml:space="preserve">-week initial treatment duration with ravulizumab, which corresponds to the duration of the single loading dose, prior to accessing balance of supply treatment </w:t>
      </w:r>
      <w:proofErr w:type="gramStart"/>
      <w:r w:rsidR="00F76615" w:rsidRPr="001F235F">
        <w:rPr>
          <w:lang w:val="en-US"/>
        </w:rPr>
        <w:t>is considered</w:t>
      </w:r>
      <w:proofErr w:type="gramEnd"/>
      <w:r w:rsidR="00F76615" w:rsidRPr="001F235F">
        <w:rPr>
          <w:lang w:val="en-US"/>
        </w:rPr>
        <w:t xml:space="preserve"> sufficient to attain an ADAMTS-13 result (compared with </w:t>
      </w:r>
      <w:r w:rsidR="008D4156" w:rsidRPr="001F235F">
        <w:rPr>
          <w:lang w:val="en-US"/>
        </w:rPr>
        <w:t xml:space="preserve">4 </w:t>
      </w:r>
      <w:r w:rsidR="00F76615" w:rsidRPr="001F235F">
        <w:rPr>
          <w:lang w:val="en-US"/>
        </w:rPr>
        <w:t>weeks in the eculizumab restriction)</w:t>
      </w:r>
      <w:r w:rsidR="008D4156">
        <w:t>’</w:t>
      </w:r>
      <w:r w:rsidR="00F76615">
        <w:t>.</w:t>
      </w:r>
      <w:r w:rsidR="007B3577">
        <w:t xml:space="preserve"> </w:t>
      </w:r>
      <w:r w:rsidR="00200943" w:rsidRPr="001F235F">
        <w:rPr>
          <w:iCs/>
        </w:rPr>
        <w:t xml:space="preserve">The ESC advised </w:t>
      </w:r>
      <w:r w:rsidR="004B7256" w:rsidRPr="001F235F">
        <w:rPr>
          <w:iCs/>
        </w:rPr>
        <w:t xml:space="preserve">that the </w:t>
      </w:r>
      <w:r w:rsidR="00200943" w:rsidRPr="001F235F">
        <w:rPr>
          <w:iCs/>
        </w:rPr>
        <w:t xml:space="preserve">ADAMTS-13 assay is </w:t>
      </w:r>
      <w:r w:rsidR="004B7256" w:rsidRPr="001F235F">
        <w:rPr>
          <w:iCs/>
        </w:rPr>
        <w:t xml:space="preserve">desirable but </w:t>
      </w:r>
      <w:r w:rsidR="00200943" w:rsidRPr="001F235F">
        <w:rPr>
          <w:iCs/>
        </w:rPr>
        <w:t xml:space="preserve">not essential to diagnose aHUS. A low (0-5) PLASMIC score is also associated with a high probability of aHUS when administered to patients with a </w:t>
      </w:r>
      <w:r w:rsidR="008D4156" w:rsidRPr="001F235F">
        <w:rPr>
          <w:iCs/>
        </w:rPr>
        <w:t>TMA</w:t>
      </w:r>
      <w:r w:rsidR="00200943" w:rsidRPr="001F235F">
        <w:rPr>
          <w:iCs/>
        </w:rPr>
        <w:t xml:space="preserve"> and renal impairment.</w:t>
      </w:r>
      <w:r w:rsidR="00200943">
        <w:t xml:space="preserve"> </w:t>
      </w:r>
      <w:r w:rsidR="001F235F">
        <w:t xml:space="preserve">The pre-PBAC response stated that the PLASMIC scoring system has been shown to predict the likelihood of ADAMTS13 </w:t>
      </w:r>
      <w:proofErr w:type="gramStart"/>
      <w:r w:rsidR="001F235F">
        <w:t>activity, and</w:t>
      </w:r>
      <w:proofErr w:type="gramEnd"/>
      <w:r w:rsidR="001F235F">
        <w:t xml:space="preserve"> may be a useful tool for guiding treatment decisions while awaiting ADAMTS13 activity. However, it stated that </w:t>
      </w:r>
      <w:r w:rsidR="001F235F" w:rsidRPr="001F235F">
        <w:t xml:space="preserve">current consensus is that </w:t>
      </w:r>
      <w:r w:rsidR="001F235F">
        <w:t xml:space="preserve">the PLASMIC score </w:t>
      </w:r>
      <w:r w:rsidR="001F235F" w:rsidRPr="001F235F">
        <w:t>‘...cannot be used to definitively confirm or exclude the diagnosis of TTP’</w:t>
      </w:r>
      <w:r w:rsidR="001F235F" w:rsidRPr="001F235F">
        <w:rPr>
          <w:i/>
          <w:iCs/>
        </w:rPr>
        <w:t xml:space="preserve"> </w:t>
      </w:r>
      <w:r w:rsidR="001F235F" w:rsidRPr="001F235F">
        <w:t>(George 2022)</w:t>
      </w:r>
      <w:r w:rsidR="001F235F">
        <w:t xml:space="preserve">. Moreover, it suggested that </w:t>
      </w:r>
      <w:r w:rsidR="001F235F" w:rsidRPr="001F235F">
        <w:t xml:space="preserve">the PLASMIC scoring system is not currently </w:t>
      </w:r>
      <w:r w:rsidR="001F235F">
        <w:t>routinely used in the diagnosis of</w:t>
      </w:r>
      <w:r w:rsidR="001F235F" w:rsidRPr="001F235F">
        <w:t xml:space="preserve"> aHUS</w:t>
      </w:r>
      <w:r w:rsidR="001F235F">
        <w:t xml:space="preserve"> in Australia.</w:t>
      </w:r>
    </w:p>
    <w:p w14:paraId="2191C94D" w14:textId="257A5443" w:rsidR="00735885" w:rsidRDefault="00200943" w:rsidP="00B306AF">
      <w:pPr>
        <w:pStyle w:val="3-BodyText"/>
      </w:pPr>
      <w:r w:rsidRPr="003A48D2">
        <w:rPr>
          <w:iCs/>
        </w:rPr>
        <w:t>The secretariat suggested that</w:t>
      </w:r>
      <w:r>
        <w:t xml:space="preserve"> s</w:t>
      </w:r>
      <w:r w:rsidR="00E72AE6" w:rsidRPr="00D64D6F">
        <w:t xml:space="preserve">hould ravulizumab be listed, the durations of </w:t>
      </w:r>
      <w:r w:rsidR="00F55954" w:rsidRPr="00D64D6F">
        <w:t xml:space="preserve">initial </w:t>
      </w:r>
      <w:r w:rsidR="00E72AE6" w:rsidRPr="00D64D6F">
        <w:t>treatment under each restriction should align</w:t>
      </w:r>
      <w:r w:rsidR="00F55954" w:rsidRPr="00D64D6F">
        <w:t xml:space="preserve"> with the shortest feasible duration</w:t>
      </w:r>
      <w:r w:rsidR="00E72AE6" w:rsidRPr="00D64D6F">
        <w:t xml:space="preserve">. </w:t>
      </w:r>
      <w:r w:rsidR="00F97BB9" w:rsidRPr="003A48D2">
        <w:rPr>
          <w:iCs/>
        </w:rPr>
        <w:t xml:space="preserve">The </w:t>
      </w:r>
      <w:r w:rsidR="004B7256">
        <w:rPr>
          <w:iCs/>
        </w:rPr>
        <w:t>P</w:t>
      </w:r>
      <w:r w:rsidR="00F97BB9" w:rsidRPr="003A48D2">
        <w:rPr>
          <w:iCs/>
        </w:rPr>
        <w:t>re-</w:t>
      </w:r>
      <w:r w:rsidR="004B7256">
        <w:rPr>
          <w:iCs/>
        </w:rPr>
        <w:t>S</w:t>
      </w:r>
      <w:r w:rsidR="00F97BB9" w:rsidRPr="003A48D2">
        <w:rPr>
          <w:iCs/>
        </w:rPr>
        <w:t>ub-</w:t>
      </w:r>
      <w:r w:rsidR="004B7256">
        <w:rPr>
          <w:iCs/>
        </w:rPr>
        <w:t>C</w:t>
      </w:r>
      <w:r w:rsidR="00F97BB9" w:rsidRPr="003A48D2">
        <w:rPr>
          <w:iCs/>
        </w:rPr>
        <w:t xml:space="preserve">ommittee </w:t>
      </w:r>
      <w:r w:rsidR="004B7256">
        <w:rPr>
          <w:iCs/>
        </w:rPr>
        <w:t>R</w:t>
      </w:r>
      <w:r w:rsidR="00F97BB9" w:rsidRPr="003A48D2">
        <w:rPr>
          <w:iCs/>
        </w:rPr>
        <w:t xml:space="preserve">esponse (PSCR) clarified the intent of the </w:t>
      </w:r>
      <w:r w:rsidR="008D4156">
        <w:rPr>
          <w:iCs/>
        </w:rPr>
        <w:t>2</w:t>
      </w:r>
      <w:r w:rsidR="00F97BB9" w:rsidRPr="003A48D2">
        <w:rPr>
          <w:iCs/>
        </w:rPr>
        <w:t xml:space="preserve">-week initial ravulizumab treatment phase (compared with </w:t>
      </w:r>
      <w:r w:rsidR="008D4156">
        <w:rPr>
          <w:iCs/>
        </w:rPr>
        <w:t>4</w:t>
      </w:r>
      <w:r w:rsidR="008D4156" w:rsidRPr="003A48D2">
        <w:rPr>
          <w:iCs/>
        </w:rPr>
        <w:t xml:space="preserve"> </w:t>
      </w:r>
      <w:r w:rsidR="00F97BB9" w:rsidRPr="003A48D2">
        <w:rPr>
          <w:iCs/>
        </w:rPr>
        <w:t>weeks currently in place for the eculizumab restriction) was to align with the loading dose duration of each respective treatment, as specified in the TGA</w:t>
      </w:r>
      <w:r w:rsidR="008D4156">
        <w:rPr>
          <w:iCs/>
        </w:rPr>
        <w:t>-</w:t>
      </w:r>
      <w:r w:rsidR="00F97BB9" w:rsidRPr="003A48D2">
        <w:rPr>
          <w:iCs/>
        </w:rPr>
        <w:t>approved induction phase</w:t>
      </w:r>
      <w:r w:rsidR="009B2C01" w:rsidRPr="003A48D2">
        <w:rPr>
          <w:iCs/>
        </w:rPr>
        <w:t>s</w:t>
      </w:r>
      <w:r w:rsidR="00F97BB9" w:rsidRPr="003A48D2">
        <w:rPr>
          <w:iCs/>
        </w:rPr>
        <w:t xml:space="preserve">. Therefore, the PSCR considered it appropriate that the eculizumab restriction for initial treatment be maintained at </w:t>
      </w:r>
      <w:r w:rsidR="008D4156">
        <w:rPr>
          <w:iCs/>
        </w:rPr>
        <w:t xml:space="preserve">4 </w:t>
      </w:r>
      <w:r w:rsidR="00F97BB9" w:rsidRPr="003A48D2">
        <w:rPr>
          <w:iCs/>
        </w:rPr>
        <w:t>weeks.</w:t>
      </w:r>
    </w:p>
    <w:p w14:paraId="559E700D" w14:textId="7B3E46F9" w:rsidR="00200943" w:rsidRDefault="00645FC9" w:rsidP="00B306AF">
      <w:pPr>
        <w:pStyle w:val="3-BodyText"/>
        <w:rPr>
          <w:iCs/>
        </w:rPr>
      </w:pPr>
      <w:r>
        <w:t xml:space="preserve">The PBS does not subsidise drugs that are administered to admitted inpatients in a public hospital, with eculizumab being the only current exception. Given eculizumab is an anomaly, the following administrative note </w:t>
      </w:r>
      <w:r w:rsidR="0063291A">
        <w:t xml:space="preserve">is required for </w:t>
      </w:r>
      <w:r>
        <w:t>the ravu</w:t>
      </w:r>
      <w:r w:rsidR="000E1E11">
        <w:t xml:space="preserve">lizumab </w:t>
      </w:r>
      <w:r>
        <w:t>restriction</w:t>
      </w:r>
      <w:r w:rsidR="0063291A">
        <w:t xml:space="preserve"> to be consistent with PBS policy</w:t>
      </w:r>
      <w:r w:rsidR="008D4156">
        <w:t>,</w:t>
      </w:r>
      <w:r>
        <w:t xml:space="preserve"> </w:t>
      </w:r>
      <w:r w:rsidR="008D4156">
        <w:t>‘</w:t>
      </w:r>
      <w:r w:rsidR="00C748A3">
        <w:t xml:space="preserve">This drug </w:t>
      </w:r>
      <w:r>
        <w:t>is not PBS-subsidised if it is administered to an in-patient in a public hospital setting.</w:t>
      </w:r>
      <w:r w:rsidR="008D4156">
        <w:t>’</w:t>
      </w:r>
      <w:r w:rsidR="00735885">
        <w:t xml:space="preserve"> </w:t>
      </w:r>
      <w:r w:rsidR="009B2C01" w:rsidRPr="003A48D2">
        <w:rPr>
          <w:iCs/>
        </w:rPr>
        <w:t>The ESC advised that a</w:t>
      </w:r>
      <w:r w:rsidR="00735885" w:rsidRPr="003A48D2">
        <w:rPr>
          <w:iCs/>
        </w:rPr>
        <w:t xml:space="preserve">ll </w:t>
      </w:r>
      <w:r w:rsidR="009B2C01" w:rsidRPr="003A48D2">
        <w:rPr>
          <w:iCs/>
        </w:rPr>
        <w:t xml:space="preserve">new </w:t>
      </w:r>
      <w:r w:rsidR="00735885" w:rsidRPr="003A48D2">
        <w:rPr>
          <w:iCs/>
        </w:rPr>
        <w:t xml:space="preserve">patients </w:t>
      </w:r>
      <w:r w:rsidR="009B2C01" w:rsidRPr="003A48D2">
        <w:rPr>
          <w:iCs/>
        </w:rPr>
        <w:t xml:space="preserve">initiating C5 inhibitor therapy for treatment of aHUS </w:t>
      </w:r>
      <w:r w:rsidR="00735885" w:rsidRPr="003A48D2">
        <w:rPr>
          <w:iCs/>
        </w:rPr>
        <w:t>would be expected to be inpatients in a public hospital</w:t>
      </w:r>
      <w:r w:rsidR="0032658E" w:rsidRPr="003A48D2">
        <w:rPr>
          <w:iCs/>
        </w:rPr>
        <w:t xml:space="preserve">, with patients transferred from regional centres as </w:t>
      </w:r>
      <w:r w:rsidR="0032658E" w:rsidRPr="003A48D2">
        <w:rPr>
          <w:iCs/>
        </w:rPr>
        <w:lastRenderedPageBreak/>
        <w:t xml:space="preserve">required. </w:t>
      </w:r>
      <w:r w:rsidR="004B7256">
        <w:rPr>
          <w:iCs/>
        </w:rPr>
        <w:t>The ESC</w:t>
      </w:r>
      <w:r w:rsidR="0032658E" w:rsidRPr="003A48D2">
        <w:rPr>
          <w:iCs/>
        </w:rPr>
        <w:t xml:space="preserve"> </w:t>
      </w:r>
      <w:r w:rsidR="00A17F50" w:rsidRPr="003A48D2">
        <w:rPr>
          <w:iCs/>
        </w:rPr>
        <w:t>expected</w:t>
      </w:r>
      <w:r w:rsidR="0032658E" w:rsidRPr="003A48D2">
        <w:rPr>
          <w:iCs/>
        </w:rPr>
        <w:t xml:space="preserve"> that a substantial number of patients would remain admitted public hospital inpatients when commencing the initial treatment balance of supply restriction, administered at </w:t>
      </w:r>
      <w:r w:rsidR="008D4156">
        <w:rPr>
          <w:iCs/>
        </w:rPr>
        <w:t>2</w:t>
      </w:r>
      <w:r w:rsidR="008D4156" w:rsidRPr="003A48D2">
        <w:rPr>
          <w:iCs/>
        </w:rPr>
        <w:t xml:space="preserve"> </w:t>
      </w:r>
      <w:r w:rsidR="0032658E" w:rsidRPr="003A48D2">
        <w:rPr>
          <w:iCs/>
        </w:rPr>
        <w:t xml:space="preserve">weeks. </w:t>
      </w:r>
    </w:p>
    <w:p w14:paraId="6D8058D8" w14:textId="3450F765" w:rsidR="002C085B" w:rsidRPr="003A48D2" w:rsidRDefault="3875A9D3" w:rsidP="00B306AF">
      <w:pPr>
        <w:pStyle w:val="3-BodyText"/>
      </w:pPr>
      <w:r>
        <w:t xml:space="preserve">The pre-PBAC response acknowledged that eculizumab subsidy arrangements were an exceptional case and noted that the submission offered to </w:t>
      </w:r>
      <w:proofErr w:type="gramStart"/>
      <w:r w:rsidR="00C47128" w:rsidRPr="009B3E29">
        <w:rPr>
          <w:color w:val="000000"/>
          <w:w w:val="24"/>
          <w:shd w:val="solid" w:color="000000" w:fill="000000"/>
          <w:fitText w:val="80" w:id="-1236585980"/>
          <w14:textFill>
            <w14:solidFill>
              <w14:srgbClr w14:val="000000">
                <w14:alpha w14:val="100000"/>
              </w14:srgbClr>
            </w14:solidFill>
          </w14:textFill>
        </w:rPr>
        <w:t xml:space="preserve">|  </w:t>
      </w:r>
      <w:r w:rsidR="00C47128" w:rsidRPr="009B3E29">
        <w:rPr>
          <w:color w:val="000000"/>
          <w:spacing w:val="1"/>
          <w:w w:val="24"/>
          <w:shd w:val="solid" w:color="000000" w:fill="000000"/>
          <w:fitText w:val="80" w:id="-1236585980"/>
          <w14:textFill>
            <w14:solidFill>
              <w14:srgbClr w14:val="000000">
                <w14:alpha w14:val="100000"/>
              </w14:srgbClr>
            </w14:solidFill>
          </w14:textFill>
        </w:rPr>
        <w:t>|</w:t>
      </w:r>
      <w:proofErr w:type="gramEnd"/>
      <w:r>
        <w:t xml:space="preserve"> The sponsor noted that it was open to working with the Department to achieve this intent.</w:t>
      </w:r>
    </w:p>
    <w:p w14:paraId="50DF3000" w14:textId="64EF0E92" w:rsidR="00CC35EA" w:rsidRDefault="0028761A" w:rsidP="00B306AF">
      <w:pPr>
        <w:pStyle w:val="3-BodyText"/>
      </w:pPr>
      <w:r w:rsidRPr="00780BC9">
        <w:t>The submission requested a Special Pricing Arrangement for the listing of ravulizumab for aHUS</w:t>
      </w:r>
      <w:r w:rsidR="005D0DE9">
        <w:t xml:space="preserve"> and </w:t>
      </w:r>
      <w:r w:rsidR="005D0DE9" w:rsidRPr="00780BC9">
        <w:t>a Risk Sharing Arrangement, with a combined expenditure cap for eculizumab</w:t>
      </w:r>
      <w:r w:rsidR="005D0DE9">
        <w:t xml:space="preserve"> and ravulizumab. </w:t>
      </w:r>
      <w:r w:rsidR="00304606" w:rsidRPr="00780BC9">
        <w:t xml:space="preserve">The published price for aHUS </w:t>
      </w:r>
      <w:r w:rsidR="005D0DE9">
        <w:t>wa</w:t>
      </w:r>
      <w:r w:rsidR="00304606" w:rsidRPr="00780BC9">
        <w:t>s proposed to be the same as the published price for PNH.</w:t>
      </w:r>
    </w:p>
    <w:p w14:paraId="686ECA24" w14:textId="5EDE8621" w:rsidR="00ED4B7C" w:rsidRDefault="005D0DE9" w:rsidP="00B306AF">
      <w:pPr>
        <w:pStyle w:val="3-BodyText"/>
      </w:pPr>
      <w:r w:rsidRPr="00D64D6F">
        <w:t xml:space="preserve">The effective </w:t>
      </w:r>
      <w:r w:rsidR="0013046E" w:rsidRPr="00D64D6F">
        <w:t xml:space="preserve">ex-manufacturer </w:t>
      </w:r>
      <w:r w:rsidRPr="00D64D6F">
        <w:t>p</w:t>
      </w:r>
      <w:r w:rsidR="0013046E" w:rsidRPr="00D64D6F">
        <w:t>r</w:t>
      </w:r>
      <w:r w:rsidRPr="00D64D6F">
        <w:t xml:space="preserve">ice </w:t>
      </w:r>
      <w:r w:rsidR="0013046E" w:rsidRPr="00D64D6F">
        <w:t>for ravulizumab for PNH is currently $</w:t>
      </w:r>
      <w:r w:rsidR="00C47128" w:rsidRPr="009B3E29">
        <w:rPr>
          <w:color w:val="000000"/>
          <w:w w:val="55"/>
          <w:shd w:val="solid" w:color="000000" w:fill="000000"/>
          <w:fitText w:val="796" w:id="-1236585979"/>
          <w14:textFill>
            <w14:solidFill>
              <w14:srgbClr w14:val="000000">
                <w14:alpha w14:val="100000"/>
              </w14:srgbClr>
            </w14:solidFill>
          </w14:textFill>
        </w:rPr>
        <w:t>|||||</w:t>
      </w:r>
      <w:proofErr w:type="gramStart"/>
      <w:r w:rsidR="00C47128" w:rsidRPr="009B3E29">
        <w:rPr>
          <w:color w:val="000000"/>
          <w:w w:val="55"/>
          <w:shd w:val="solid" w:color="000000" w:fill="000000"/>
          <w:fitText w:val="796" w:id="-1236585979"/>
          <w14:textFill>
            <w14:solidFill>
              <w14:srgbClr w14:val="000000">
                <w14:alpha w14:val="100000"/>
              </w14:srgbClr>
            </w14:solidFill>
          </w14:textFill>
        </w:rPr>
        <w:t>|  |</w:t>
      </w:r>
      <w:proofErr w:type="gramEnd"/>
      <w:r w:rsidR="00C47128" w:rsidRPr="009B3E29">
        <w:rPr>
          <w:color w:val="000000"/>
          <w:w w:val="55"/>
          <w:shd w:val="solid" w:color="000000" w:fill="000000"/>
          <w:fitText w:val="796" w:id="-1236585979"/>
          <w14:textFill>
            <w14:solidFill>
              <w14:srgbClr w14:val="000000">
                <w14:alpha w14:val="100000"/>
              </w14:srgbClr>
            </w14:solidFill>
          </w14:textFill>
        </w:rPr>
        <w:t>||||</w:t>
      </w:r>
      <w:r w:rsidR="00C47128" w:rsidRPr="009B3E29">
        <w:rPr>
          <w:color w:val="000000"/>
          <w:spacing w:val="8"/>
          <w:w w:val="55"/>
          <w:shd w:val="solid" w:color="000000" w:fill="000000"/>
          <w:fitText w:val="796" w:id="-1236585979"/>
          <w14:textFill>
            <w14:solidFill>
              <w14:srgbClr w14:val="000000">
                <w14:alpha w14:val="100000"/>
              </w14:srgbClr>
            </w14:solidFill>
          </w14:textFill>
        </w:rPr>
        <w:t>|</w:t>
      </w:r>
      <w:r w:rsidR="0013046E" w:rsidRPr="00D64D6F">
        <w:t xml:space="preserve"> for the 300</w:t>
      </w:r>
      <w:r w:rsidR="00422573">
        <w:t> </w:t>
      </w:r>
      <w:r w:rsidR="0013046E" w:rsidRPr="00D64D6F">
        <w:t>mg vial and $</w:t>
      </w:r>
      <w:r w:rsidR="00C47128" w:rsidRPr="009B3E29">
        <w:rPr>
          <w:color w:val="000000"/>
          <w:w w:val="24"/>
          <w:shd w:val="solid" w:color="000000" w:fill="000000"/>
          <w:fitText w:val="80" w:id="-1236585978"/>
          <w14:textFill>
            <w14:solidFill>
              <w14:srgbClr w14:val="000000">
                <w14:alpha w14:val="100000"/>
              </w14:srgbClr>
            </w14:solidFill>
          </w14:textFill>
        </w:rPr>
        <w:t xml:space="preserve">|  </w:t>
      </w:r>
      <w:r w:rsidR="00C47128" w:rsidRPr="009B3E29">
        <w:rPr>
          <w:color w:val="000000"/>
          <w:spacing w:val="1"/>
          <w:w w:val="24"/>
          <w:shd w:val="solid" w:color="000000" w:fill="000000"/>
          <w:fitText w:val="80" w:id="-1236585978"/>
          <w14:textFill>
            <w14:solidFill>
              <w14:srgbClr w14:val="000000">
                <w14:alpha w14:val="100000"/>
              </w14:srgbClr>
            </w14:solidFill>
          </w14:textFill>
        </w:rPr>
        <w:t>|</w:t>
      </w:r>
      <w:r w:rsidR="0013046E" w:rsidRPr="00D64D6F">
        <w:t xml:space="preserve"> for the 1100</w:t>
      </w:r>
      <w:r w:rsidR="00422573">
        <w:t> </w:t>
      </w:r>
      <w:r w:rsidR="0013046E" w:rsidRPr="00D64D6F">
        <w:t>mg vial. The effective prices proposed for aHUS were $</w:t>
      </w:r>
      <w:proofErr w:type="gramStart"/>
      <w:r w:rsidR="00C47128" w:rsidRPr="009B3E29">
        <w:rPr>
          <w:color w:val="000000"/>
          <w:w w:val="21"/>
          <w:shd w:val="solid" w:color="000000" w:fill="000000"/>
          <w:fitText w:val="71" w:id="-1236585977"/>
          <w14:textFill>
            <w14:solidFill>
              <w14:srgbClr w14:val="000000">
                <w14:alpha w14:val="100000"/>
              </w14:srgbClr>
            </w14:solidFill>
          </w14:textFill>
        </w:rPr>
        <w:t xml:space="preserve">|  </w:t>
      </w:r>
      <w:r w:rsidR="00C47128" w:rsidRPr="009B3E29">
        <w:rPr>
          <w:color w:val="000000"/>
          <w:spacing w:val="1"/>
          <w:w w:val="21"/>
          <w:shd w:val="solid" w:color="000000" w:fill="000000"/>
          <w:fitText w:val="71" w:id="-1236585977"/>
          <w14:textFill>
            <w14:solidFill>
              <w14:srgbClr w14:val="000000">
                <w14:alpha w14:val="100000"/>
              </w14:srgbClr>
            </w14:solidFill>
          </w14:textFill>
        </w:rPr>
        <w:t>|</w:t>
      </w:r>
      <w:proofErr w:type="gramEnd"/>
      <w:r w:rsidR="0013046E" w:rsidRPr="00D64D6F">
        <w:t xml:space="preserve"> and $</w:t>
      </w:r>
      <w:r w:rsidR="00C47128" w:rsidRPr="009B3E29">
        <w:rPr>
          <w:color w:val="000000"/>
          <w:w w:val="21"/>
          <w:shd w:val="solid" w:color="000000" w:fill="000000"/>
          <w:fitText w:val="72" w:id="-1236585976"/>
          <w14:textFill>
            <w14:solidFill>
              <w14:srgbClr w14:val="000000">
                <w14:alpha w14:val="100000"/>
              </w14:srgbClr>
            </w14:solidFill>
          </w14:textFill>
        </w:rPr>
        <w:t xml:space="preserve">|  </w:t>
      </w:r>
      <w:r w:rsidR="00C47128" w:rsidRPr="009B3E29">
        <w:rPr>
          <w:color w:val="000000"/>
          <w:spacing w:val="2"/>
          <w:w w:val="21"/>
          <w:shd w:val="solid" w:color="000000" w:fill="000000"/>
          <w:fitText w:val="72" w:id="-1236585976"/>
          <w14:textFill>
            <w14:solidFill>
              <w14:srgbClr w14:val="000000">
                <w14:alpha w14:val="100000"/>
              </w14:srgbClr>
            </w14:solidFill>
          </w14:textFill>
        </w:rPr>
        <w:t>|</w:t>
      </w:r>
      <w:r w:rsidR="0013046E" w:rsidRPr="00D64D6F">
        <w:t xml:space="preserve"> respectively. </w:t>
      </w:r>
    </w:p>
    <w:p w14:paraId="59853205" w14:textId="77777777" w:rsidR="003A48D2" w:rsidRPr="00BE7518" w:rsidRDefault="003A48D2" w:rsidP="00B306AF">
      <w:pPr>
        <w:pStyle w:val="3-BodyText"/>
        <w:numPr>
          <w:ilvl w:val="0"/>
          <w:numId w:val="0"/>
        </w:numPr>
        <w:ind w:left="720"/>
        <w:rPr>
          <w:i/>
          <w:iCs/>
        </w:rPr>
      </w:pPr>
      <w:r w:rsidRPr="00BE7518">
        <w:rPr>
          <w:i/>
          <w:iCs/>
        </w:rPr>
        <w:t>For more detail on PBAC’s view, see section 7 PBAC outcome.</w:t>
      </w:r>
    </w:p>
    <w:p w14:paraId="7075B85C" w14:textId="62A47B7B" w:rsidR="00B50DB8" w:rsidRPr="00407F2D" w:rsidDel="00195452" w:rsidRDefault="00203181" w:rsidP="00B306AF">
      <w:pPr>
        <w:pStyle w:val="2-SectionHeading"/>
      </w:pPr>
      <w:bookmarkStart w:id="17" w:name="_Toc124929657"/>
      <w:r w:rsidDel="00195452">
        <w:t xml:space="preserve">Population and </w:t>
      </w:r>
      <w:r w:rsidR="008E0D3C" w:rsidDel="00195452">
        <w:t>d</w:t>
      </w:r>
      <w:r w:rsidDel="00195452">
        <w:t>isease</w:t>
      </w:r>
      <w:bookmarkEnd w:id="17"/>
    </w:p>
    <w:p w14:paraId="568FA01A" w14:textId="01EC0D6B" w:rsidR="00304606" w:rsidRPr="00A518F3" w:rsidRDefault="00304606" w:rsidP="00B306AF">
      <w:pPr>
        <w:pStyle w:val="3-BodyText"/>
      </w:pPr>
      <w:r>
        <w:t xml:space="preserve">The submission stated that </w:t>
      </w:r>
      <w:r w:rsidRPr="00062EB2">
        <w:t>aHUS is an ultra-rare and life-threatening disease in which patients are continuously susceptible to unpredictable and progressive episodes of TMA due to uncontrolled activation of the alternative complement pathway</w:t>
      </w:r>
      <w:r>
        <w:t xml:space="preserve">. </w:t>
      </w:r>
      <w:r w:rsidRPr="00062EB2">
        <w:t xml:space="preserve">The condition affects both </w:t>
      </w:r>
      <w:r w:rsidR="00E830F5">
        <w:t>children</w:t>
      </w:r>
      <w:r w:rsidRPr="00062EB2">
        <w:t xml:space="preserve"> and adults and can develop at any age.</w:t>
      </w:r>
      <w:r>
        <w:t xml:space="preserve"> The submission cited</w:t>
      </w:r>
      <w:r w:rsidRPr="00062EB2">
        <w:t xml:space="preserve"> </w:t>
      </w:r>
      <w:r>
        <w:t xml:space="preserve">a </w:t>
      </w:r>
      <w:r w:rsidRPr="00062EB2">
        <w:t>systematic review of epidemiological studies in aHUS (Yan 2020)</w:t>
      </w:r>
      <w:r>
        <w:t xml:space="preserve"> that </w:t>
      </w:r>
      <w:r w:rsidRPr="00062EB2">
        <w:t xml:space="preserve">found prevalence estimates of aHUS ranging from 2.2 to 9.4 per million population </w:t>
      </w:r>
      <w:r w:rsidR="00E830F5">
        <w:t>among</w:t>
      </w:r>
      <w:r w:rsidRPr="00062EB2">
        <w:t xml:space="preserve"> persons aged 20 years or younger</w:t>
      </w:r>
      <w:r w:rsidR="00E830F5">
        <w:t>, and</w:t>
      </w:r>
      <w:r w:rsidRPr="00062EB2">
        <w:t xml:space="preserve"> 4.9 per million population</w:t>
      </w:r>
      <w:r w:rsidR="00E830F5">
        <w:t xml:space="preserve"> for all age groups</w:t>
      </w:r>
      <w:r w:rsidRPr="00062EB2">
        <w:t>. Annual incidence estimates ranged from 0.26 to 0.75 per million population in those aged 20 years or younger</w:t>
      </w:r>
      <w:r w:rsidR="00E830F5">
        <w:t xml:space="preserve">, and </w:t>
      </w:r>
      <w:r w:rsidRPr="00062EB2">
        <w:t>from 0.23 to 1.9 per million population</w:t>
      </w:r>
      <w:r w:rsidR="00E830F5">
        <w:t xml:space="preserve"> for all age groups</w:t>
      </w:r>
      <w:r>
        <w:t>.</w:t>
      </w:r>
      <w:r w:rsidRPr="00062EB2">
        <w:t xml:space="preserve"> </w:t>
      </w:r>
    </w:p>
    <w:p w14:paraId="4F85217F" w14:textId="5EDCC670" w:rsidR="00304606" w:rsidRDefault="00304606" w:rsidP="00B306AF">
      <w:pPr>
        <w:pStyle w:val="3-BodyText"/>
      </w:pPr>
      <w:r w:rsidRPr="00C42A2D">
        <w:t>Studies which included Australian/New Zealand cohorts reported an incidence of aHUS in paediatric patients of 0.44 per million annually and a prevalence of aHUS among adults of 2.4 per million, although each estimate was based on only one study.</w:t>
      </w:r>
      <w:r>
        <w:t xml:space="preserve"> </w:t>
      </w:r>
    </w:p>
    <w:p w14:paraId="4162EC03" w14:textId="55DA1A22" w:rsidR="00304606" w:rsidRDefault="00304606" w:rsidP="00B306AF">
      <w:pPr>
        <w:pStyle w:val="3-BodyText"/>
      </w:pPr>
      <w:r>
        <w:t>The submission also stated that as there are no markers that distinguish aHUS from other causes of TMA, a treatment strategy for aHUS depends upon clinical presentation and a presumed diagnosis based upon exclusion of other causes of TM</w:t>
      </w:r>
      <w:r w:rsidR="00E830F5">
        <w:t>A</w:t>
      </w:r>
      <w:r>
        <w:t>. Evidence of a genetic abnormality is not required or recommended for diagnosis although genetic testing may ultimately confirm a diagnosis of aHUS and guide prognosis.</w:t>
      </w:r>
      <w:r w:rsidR="00E830F5">
        <w:t xml:space="preserve"> One effect of this is that the number of patients who are treated for aHUS could rise or fall in the future, depending on the state of medical knowledge and clinical practice. </w:t>
      </w:r>
    </w:p>
    <w:p w14:paraId="20B5CAA4" w14:textId="3935AF8A" w:rsidR="00780BC9" w:rsidRPr="00D64D6F" w:rsidRDefault="00AE3BD3" w:rsidP="00B306AF">
      <w:pPr>
        <w:pStyle w:val="3-BodyText"/>
      </w:pPr>
      <w:r w:rsidRPr="00D64D6F">
        <w:t xml:space="preserve">While DUSC reviews have found that changes </w:t>
      </w:r>
      <w:r w:rsidR="00D216C8" w:rsidRPr="00D64D6F">
        <w:t xml:space="preserve">made </w:t>
      </w:r>
      <w:r w:rsidRPr="00D64D6F">
        <w:t xml:space="preserve">to the eculizumab restriction in 2016 may have led to decreases in the length of treatment (paragraph </w:t>
      </w:r>
      <w:r w:rsidRPr="00D64D6F">
        <w:fldChar w:fldCharType="begin" w:fldLock="1"/>
      </w:r>
      <w:r w:rsidRPr="00D64D6F">
        <w:instrText xml:space="preserve"> REF _Ref123735662 \r \h </w:instrText>
      </w:r>
      <w:r w:rsidR="00D64D6F">
        <w:instrText xml:space="preserve"> \* MERGEFORMAT </w:instrText>
      </w:r>
      <w:r w:rsidRPr="00D64D6F">
        <w:fldChar w:fldCharType="separate"/>
      </w:r>
      <w:r w:rsidR="00916EDA">
        <w:t>2.4</w:t>
      </w:r>
      <w:r w:rsidRPr="00D64D6F">
        <w:fldChar w:fldCharType="end"/>
      </w:r>
      <w:r w:rsidRPr="00D64D6F">
        <w:t>), f</w:t>
      </w:r>
      <w:r w:rsidR="00780BC9" w:rsidRPr="00D64D6F">
        <w:t>uture changes in the duration of treatment are difficult to predict.</w:t>
      </w:r>
      <w:r w:rsidR="0092725A" w:rsidRPr="00D64D6F">
        <w:t xml:space="preserve"> Patients without </w:t>
      </w:r>
      <w:r w:rsidR="0092725A" w:rsidRPr="00D64D6F">
        <w:lastRenderedPageBreak/>
        <w:t>pathogenic mutations in complement genes appear to have a lower risk of relapse when treatment is stopped, while those with mutations have a higher risk, although not all mutations have the same relapse risk.</w:t>
      </w:r>
      <w:r w:rsidR="00780BC9" w:rsidRPr="00D64D6F">
        <w:t xml:space="preserve"> Greater </w:t>
      </w:r>
      <w:r w:rsidR="0092725A" w:rsidRPr="00D64D6F">
        <w:t>understanding of</w:t>
      </w:r>
      <w:r w:rsidR="00780BC9" w:rsidRPr="00D64D6F">
        <w:t xml:space="preserve"> pathogenic mutations in complement gene</w:t>
      </w:r>
      <w:r w:rsidR="00F76615" w:rsidRPr="00D64D6F">
        <w:t>s</w:t>
      </w:r>
      <w:r w:rsidR="0092725A" w:rsidRPr="00D64D6F">
        <w:t>, and more widespread testing for mutations,</w:t>
      </w:r>
      <w:r w:rsidR="00780BC9" w:rsidRPr="00D64D6F">
        <w:t xml:space="preserve"> may affect treatment duration</w:t>
      </w:r>
      <w:r w:rsidR="0092725A" w:rsidRPr="00D64D6F">
        <w:t xml:space="preserve">. </w:t>
      </w:r>
      <w:r w:rsidR="00780BC9" w:rsidRPr="00D64D6F">
        <w:t>Because most of the pathogenic mutations associated with aHUS have a dominant pattern of inheritance</w:t>
      </w:r>
      <w:r w:rsidR="006B145D" w:rsidRPr="00D64D6F">
        <w:t>,</w:t>
      </w:r>
      <w:r w:rsidR="00780BC9" w:rsidRPr="00D64D6F">
        <w:t xml:space="preserve"> a family history of renal disease consistent with aHUS is an indication for continued treatment, and greater awareness of aHUS increases the likelihood that in the future a positive family history will be recognised.</w:t>
      </w:r>
    </w:p>
    <w:p w14:paraId="71B85FD1" w14:textId="50E57194" w:rsidR="003A48D2" w:rsidRPr="003A48D2" w:rsidRDefault="00BD2D6B" w:rsidP="00B306AF">
      <w:pPr>
        <w:pStyle w:val="3-BodyText"/>
        <w:rPr>
          <w:iCs/>
        </w:rPr>
      </w:pPr>
      <w:r w:rsidRPr="00D64D6F">
        <w:t xml:space="preserve">The assumption of the submission is that most patients who are now on long-term treatment with eculizumab will switch to ravulizumab because of a preference for </w:t>
      </w:r>
      <w:r w:rsidR="004A0296" w:rsidRPr="00D64D6F">
        <w:t>a</w:t>
      </w:r>
      <w:r w:rsidRPr="00D64D6F">
        <w:t xml:space="preserve"> greater dosing interval. This</w:t>
      </w:r>
      <w:r w:rsidR="004A0296" w:rsidRPr="00D64D6F">
        <w:t xml:space="preserve"> preference</w:t>
      </w:r>
      <w:r w:rsidRPr="00D64D6F">
        <w:t xml:space="preserve"> may also affect </w:t>
      </w:r>
      <w:r w:rsidR="004A0296" w:rsidRPr="00D64D6F">
        <w:t>the choice between a trial of stopping treatment versus continued treatment at any given level of relapse risk.</w:t>
      </w:r>
    </w:p>
    <w:p w14:paraId="08B4F75E" w14:textId="34B1BA78" w:rsidR="00BD2D6B" w:rsidRPr="00BE7518" w:rsidRDefault="003A48D2" w:rsidP="00B306AF">
      <w:pPr>
        <w:pStyle w:val="3-BodyText"/>
        <w:numPr>
          <w:ilvl w:val="0"/>
          <w:numId w:val="0"/>
        </w:numPr>
        <w:ind w:left="720"/>
        <w:rPr>
          <w:i/>
          <w:iCs/>
        </w:rPr>
      </w:pPr>
      <w:r w:rsidRPr="00BE7518">
        <w:rPr>
          <w:i/>
          <w:iCs/>
        </w:rPr>
        <w:t>For more detail on PBAC’s view, see section 7 PBAC outcome.</w:t>
      </w:r>
    </w:p>
    <w:p w14:paraId="51E5AE96" w14:textId="6D2AB169" w:rsidR="00B50DB8" w:rsidRPr="00407F2D" w:rsidRDefault="00B50DB8" w:rsidP="004E18E9">
      <w:pPr>
        <w:pStyle w:val="2-SectionHeading"/>
      </w:pPr>
      <w:bookmarkStart w:id="18" w:name="_Toc124929658"/>
      <w:r w:rsidRPr="00407F2D">
        <w:t>Comparator</w:t>
      </w:r>
      <w:bookmarkEnd w:id="18"/>
    </w:p>
    <w:p w14:paraId="47D9B48A" w14:textId="4F327B61" w:rsidR="002C2775" w:rsidRPr="00DF17F2" w:rsidRDefault="00ED5BD4" w:rsidP="00B306AF">
      <w:pPr>
        <w:pStyle w:val="3-BodyText"/>
      </w:pPr>
      <w:r w:rsidRPr="00ED5BD4">
        <w:rPr>
          <w:lang w:val="en-US"/>
        </w:rPr>
        <w:t xml:space="preserve">The submission nominated </w:t>
      </w:r>
      <w:r w:rsidR="00304606">
        <w:rPr>
          <w:lang w:val="en-US"/>
        </w:rPr>
        <w:t>eculizumab</w:t>
      </w:r>
      <w:r w:rsidRPr="00ED5BD4">
        <w:rPr>
          <w:lang w:val="en-US"/>
        </w:rPr>
        <w:t xml:space="preserve"> as the comparator. </w:t>
      </w:r>
      <w:r w:rsidR="00DD6554">
        <w:rPr>
          <w:lang w:val="en-US"/>
        </w:rPr>
        <w:t xml:space="preserve">The submission stated that ravulizumab has substituted </w:t>
      </w:r>
      <w:proofErr w:type="gramStart"/>
      <w:r w:rsidR="00D91138">
        <w:rPr>
          <w:lang w:val="en-US"/>
        </w:rPr>
        <w:t>4</w:t>
      </w:r>
      <w:proofErr w:type="gramEnd"/>
      <w:r w:rsidR="00D91138">
        <w:rPr>
          <w:lang w:val="en-US"/>
        </w:rPr>
        <w:t xml:space="preserve"> </w:t>
      </w:r>
      <w:r w:rsidR="00DD6554">
        <w:rPr>
          <w:lang w:val="en-US"/>
        </w:rPr>
        <w:t xml:space="preserve">amino acids in the eculizumab heavy chain, resulting in a molecule targeting the same C5 epitope, but with a four-fold longer mean </w:t>
      </w:r>
      <w:r w:rsidR="00035900">
        <w:rPr>
          <w:lang w:val="en-US"/>
        </w:rPr>
        <w:t>elimination</w:t>
      </w:r>
      <w:r w:rsidR="00DD6554">
        <w:rPr>
          <w:lang w:val="en-US"/>
        </w:rPr>
        <w:t xml:space="preserve"> half</w:t>
      </w:r>
      <w:r w:rsidR="00F26092">
        <w:rPr>
          <w:lang w:val="en-US"/>
        </w:rPr>
        <w:t>-</w:t>
      </w:r>
      <w:r w:rsidR="00DD6554">
        <w:rPr>
          <w:lang w:val="en-US"/>
        </w:rPr>
        <w:t xml:space="preserve">life. </w:t>
      </w:r>
    </w:p>
    <w:p w14:paraId="524B7EB8" w14:textId="4723D63C" w:rsidR="00DF17F2" w:rsidRPr="006E531E" w:rsidRDefault="00DD6554" w:rsidP="00B306AF">
      <w:pPr>
        <w:pStyle w:val="3-BodyText"/>
      </w:pPr>
      <w:r>
        <w:t>With respect to near market comparators, the submission noted that the</w:t>
      </w:r>
      <w:r w:rsidR="00F26092">
        <w:t>re</w:t>
      </w:r>
      <w:r>
        <w:t xml:space="preserve"> </w:t>
      </w:r>
      <w:r w:rsidR="00035900">
        <w:t xml:space="preserve">may be biosimilars of eculizumab under </w:t>
      </w:r>
      <w:r w:rsidR="006D69BB">
        <w:t>development</w:t>
      </w:r>
      <w:r w:rsidR="00F26092">
        <w:t>;</w:t>
      </w:r>
      <w:r w:rsidR="00035900">
        <w:t xml:space="preserve"> it was not known whether they will be marketed in Australia. In addition, the submission stated that method of treatment patents for </w:t>
      </w:r>
      <w:r w:rsidR="006D69BB">
        <w:t>eculizumab do</w:t>
      </w:r>
      <w:r w:rsidR="00035900">
        <w:t xml:space="preserve"> not expire until </w:t>
      </w:r>
      <w:proofErr w:type="gramStart"/>
      <w:r w:rsidR="00C47128" w:rsidRPr="009B3E29">
        <w:rPr>
          <w:color w:val="000000"/>
          <w:w w:val="21"/>
          <w:shd w:val="solid" w:color="000000" w:fill="000000"/>
          <w:fitText w:val="71" w:id="-1236585975"/>
          <w14:textFill>
            <w14:solidFill>
              <w14:srgbClr w14:val="000000">
                <w14:alpha w14:val="100000"/>
              </w14:srgbClr>
            </w14:solidFill>
          </w14:textFill>
        </w:rPr>
        <w:t xml:space="preserve">|  </w:t>
      </w:r>
      <w:r w:rsidR="00C47128" w:rsidRPr="009B3E29">
        <w:rPr>
          <w:color w:val="000000"/>
          <w:spacing w:val="1"/>
          <w:w w:val="21"/>
          <w:shd w:val="solid" w:color="000000" w:fill="000000"/>
          <w:fitText w:val="71" w:id="-1236585975"/>
          <w14:textFill>
            <w14:solidFill>
              <w14:srgbClr w14:val="000000">
                <w14:alpha w14:val="100000"/>
              </w14:srgbClr>
            </w14:solidFill>
          </w14:textFill>
        </w:rPr>
        <w:t>|</w:t>
      </w:r>
      <w:proofErr w:type="gramEnd"/>
      <w:r w:rsidR="00035900">
        <w:t>.</w:t>
      </w:r>
    </w:p>
    <w:p w14:paraId="08747C2A" w14:textId="7246B30B" w:rsidR="00D41F02" w:rsidRDefault="006E531E" w:rsidP="00B306AF">
      <w:pPr>
        <w:pStyle w:val="3-BodyText"/>
        <w:rPr>
          <w:lang w:val="en-US"/>
        </w:rPr>
      </w:pPr>
      <w:r>
        <w:rPr>
          <w:lang w:val="en-US"/>
        </w:rPr>
        <w:t xml:space="preserve">The recommended doses for ravulizumab and eculizumab </w:t>
      </w:r>
      <w:proofErr w:type="gramStart"/>
      <w:r>
        <w:rPr>
          <w:lang w:val="en-US"/>
        </w:rPr>
        <w:t>are shown</w:t>
      </w:r>
      <w:proofErr w:type="gramEnd"/>
      <w:r>
        <w:rPr>
          <w:lang w:val="en-US"/>
        </w:rPr>
        <w:t xml:space="preserve"> in detail</w:t>
      </w:r>
      <w:r w:rsidR="0046301E">
        <w:rPr>
          <w:lang w:val="en-US"/>
        </w:rPr>
        <w:t xml:space="preserve"> in</w:t>
      </w:r>
      <w:r>
        <w:rPr>
          <w:lang w:val="en-US"/>
        </w:rPr>
        <w:t xml:space="preserve"> </w:t>
      </w:r>
      <w:r w:rsidR="0046301E">
        <w:rPr>
          <w:lang w:val="en-US"/>
        </w:rPr>
        <w:fldChar w:fldCharType="begin" w:fldLock="1"/>
      </w:r>
      <w:r w:rsidR="0046301E">
        <w:rPr>
          <w:lang w:val="en-US"/>
        </w:rPr>
        <w:instrText xml:space="preserve"> REF _Ref124327573 \h </w:instrText>
      </w:r>
      <w:r w:rsidR="0046301E">
        <w:rPr>
          <w:lang w:val="en-US"/>
        </w:rPr>
      </w:r>
      <w:r w:rsidR="0046301E">
        <w:rPr>
          <w:lang w:val="en-US"/>
        </w:rPr>
        <w:fldChar w:fldCharType="separate"/>
      </w:r>
      <w:r w:rsidR="00916EDA">
        <w:t xml:space="preserve">Table </w:t>
      </w:r>
      <w:r w:rsidR="00916EDA">
        <w:rPr>
          <w:noProof/>
        </w:rPr>
        <w:t>1</w:t>
      </w:r>
      <w:r w:rsidR="0046301E">
        <w:rPr>
          <w:lang w:val="en-US"/>
        </w:rPr>
        <w:fldChar w:fldCharType="end"/>
      </w:r>
      <w:r w:rsidR="00F04B5F">
        <w:rPr>
          <w:lang w:val="en-US"/>
        </w:rPr>
        <w:t xml:space="preserve">, </w:t>
      </w:r>
      <w:r>
        <w:rPr>
          <w:lang w:val="en-US"/>
        </w:rPr>
        <w:t xml:space="preserve">as the dosage is key to the comparison of treatments. </w:t>
      </w:r>
    </w:p>
    <w:p w14:paraId="0DF3DF27" w14:textId="77777777" w:rsidR="003A48D2" w:rsidRPr="00BE7518" w:rsidRDefault="003A48D2" w:rsidP="00B306AF">
      <w:pPr>
        <w:pStyle w:val="3-BodyText"/>
        <w:numPr>
          <w:ilvl w:val="0"/>
          <w:numId w:val="0"/>
        </w:numPr>
        <w:ind w:left="720"/>
        <w:rPr>
          <w:i/>
          <w:iCs/>
        </w:rPr>
      </w:pPr>
      <w:r w:rsidRPr="00BE7518">
        <w:rPr>
          <w:i/>
          <w:iCs/>
        </w:rPr>
        <w:t>For more detail on PBAC’s view, see section 7 PBAC outcome.</w:t>
      </w:r>
    </w:p>
    <w:p w14:paraId="7F9C27C8" w14:textId="77777777" w:rsidR="00223D5A" w:rsidRPr="00407F2D" w:rsidRDefault="00223D5A" w:rsidP="00223D5A">
      <w:pPr>
        <w:pStyle w:val="2-SectionHeading"/>
        <w:numPr>
          <w:ilvl w:val="0"/>
          <w:numId w:val="1"/>
        </w:numPr>
      </w:pPr>
      <w:bookmarkStart w:id="19" w:name="_Toc124929659"/>
      <w:bookmarkStart w:id="20" w:name="_Toc22897640"/>
      <w:r>
        <w:t>C</w:t>
      </w:r>
      <w:r w:rsidRPr="00407F2D">
        <w:t>onsideration of the evidence</w:t>
      </w:r>
      <w:bookmarkEnd w:id="19"/>
    </w:p>
    <w:p w14:paraId="3C1E08B2" w14:textId="77777777" w:rsidR="003A48D2" w:rsidRPr="006E1229" w:rsidRDefault="003A48D2" w:rsidP="003E5508">
      <w:pPr>
        <w:pStyle w:val="4-SubsectionHeading"/>
      </w:pPr>
      <w:bookmarkStart w:id="21" w:name="_Hlk76375935"/>
      <w:bookmarkStart w:id="22" w:name="_Toc124929660"/>
      <w:r w:rsidRPr="006E1229">
        <w:t>Sponsor hearing</w:t>
      </w:r>
    </w:p>
    <w:p w14:paraId="5BB394B7" w14:textId="77777777" w:rsidR="001F235F" w:rsidRDefault="00A4556B" w:rsidP="00A4556B">
      <w:pPr>
        <w:widowControl w:val="0"/>
        <w:numPr>
          <w:ilvl w:val="1"/>
          <w:numId w:val="1"/>
        </w:numPr>
        <w:spacing w:after="120"/>
        <w:ind w:left="720"/>
        <w:rPr>
          <w:rFonts w:asciiTheme="minorHAnsi" w:hAnsiTheme="minorHAnsi" w:cs="Arial"/>
          <w:bCs/>
          <w:snapToGrid w:val="0"/>
        </w:rPr>
      </w:pPr>
      <w:bookmarkStart w:id="23" w:name="_Hlk76382586"/>
      <w:r w:rsidRPr="00836F75">
        <w:rPr>
          <w:rFonts w:asciiTheme="minorHAnsi" w:hAnsiTheme="minorHAnsi" w:cs="Arial"/>
          <w:bCs/>
          <w:snapToGrid w:val="0"/>
        </w:rPr>
        <w:t>The sponsor requested a hearing for this item. The clinician</w:t>
      </w:r>
      <w:r>
        <w:rPr>
          <w:rFonts w:asciiTheme="minorHAnsi" w:hAnsiTheme="minorHAnsi" w:cs="Arial"/>
          <w:bCs/>
          <w:snapToGrid w:val="0"/>
        </w:rPr>
        <w:t>s</w:t>
      </w:r>
      <w:r w:rsidRPr="00836F75">
        <w:rPr>
          <w:rFonts w:asciiTheme="minorHAnsi" w:hAnsiTheme="minorHAnsi" w:cs="Arial"/>
          <w:bCs/>
          <w:snapToGrid w:val="0"/>
        </w:rPr>
        <w:t xml:space="preserve"> </w:t>
      </w:r>
      <w:r>
        <w:rPr>
          <w:rFonts w:asciiTheme="minorHAnsi" w:hAnsiTheme="minorHAnsi" w:cs="Arial"/>
          <w:bCs/>
          <w:snapToGrid w:val="0"/>
        </w:rPr>
        <w:t xml:space="preserve">outlined: the importance of rapid initiation of therapy; the significant impact of eculizumab treatment </w:t>
      </w:r>
      <w:r w:rsidR="004B7256">
        <w:rPr>
          <w:rFonts w:asciiTheme="minorHAnsi" w:hAnsiTheme="minorHAnsi" w:cs="Arial"/>
          <w:bCs/>
          <w:snapToGrid w:val="0"/>
        </w:rPr>
        <w:t xml:space="preserve">on survival outcomes </w:t>
      </w:r>
      <w:r>
        <w:rPr>
          <w:rFonts w:asciiTheme="minorHAnsi" w:hAnsiTheme="minorHAnsi" w:cs="Arial"/>
          <w:bCs/>
          <w:snapToGrid w:val="0"/>
        </w:rPr>
        <w:t>compared with historically available agents</w:t>
      </w:r>
      <w:r w:rsidR="004B7256">
        <w:rPr>
          <w:rFonts w:asciiTheme="minorHAnsi" w:hAnsiTheme="minorHAnsi" w:cs="Arial"/>
          <w:bCs/>
          <w:snapToGrid w:val="0"/>
        </w:rPr>
        <w:t xml:space="preserve"> and</w:t>
      </w:r>
      <w:r>
        <w:rPr>
          <w:rFonts w:asciiTheme="minorHAnsi" w:hAnsiTheme="minorHAnsi" w:cs="Arial"/>
          <w:bCs/>
          <w:snapToGrid w:val="0"/>
        </w:rPr>
        <w:t xml:space="preserve"> the biological plausibility of similar efficacy between eculizumab and ravulizumab</w:t>
      </w:r>
      <w:r w:rsidR="004B7256">
        <w:rPr>
          <w:rFonts w:asciiTheme="minorHAnsi" w:hAnsiTheme="minorHAnsi" w:cs="Arial"/>
          <w:bCs/>
          <w:snapToGrid w:val="0"/>
        </w:rPr>
        <w:t>. One clinician, with expertise using ravulizumab in the treatment of PNH, considered it unlikely that</w:t>
      </w:r>
      <w:r>
        <w:rPr>
          <w:rFonts w:asciiTheme="minorHAnsi" w:hAnsiTheme="minorHAnsi" w:cs="Arial"/>
          <w:bCs/>
          <w:snapToGrid w:val="0"/>
        </w:rPr>
        <w:t xml:space="preserve"> ravulizumab</w:t>
      </w:r>
      <w:r w:rsidR="004B7256">
        <w:rPr>
          <w:rFonts w:asciiTheme="minorHAnsi" w:hAnsiTheme="minorHAnsi" w:cs="Arial"/>
          <w:bCs/>
          <w:snapToGrid w:val="0"/>
        </w:rPr>
        <w:t xml:space="preserve"> would be </w:t>
      </w:r>
      <w:proofErr w:type="gramStart"/>
      <w:r w:rsidR="004B7256">
        <w:rPr>
          <w:rFonts w:asciiTheme="minorHAnsi" w:hAnsiTheme="minorHAnsi" w:cs="Arial"/>
          <w:bCs/>
          <w:snapToGrid w:val="0"/>
        </w:rPr>
        <w:t>up</w:t>
      </w:r>
      <w:r w:rsidR="000A051B">
        <w:rPr>
          <w:rFonts w:asciiTheme="minorHAnsi" w:hAnsiTheme="minorHAnsi" w:cs="Arial"/>
          <w:bCs/>
          <w:snapToGrid w:val="0"/>
        </w:rPr>
        <w:t>-</w:t>
      </w:r>
      <w:r w:rsidR="004B7256">
        <w:rPr>
          <w:rFonts w:asciiTheme="minorHAnsi" w:hAnsiTheme="minorHAnsi" w:cs="Arial"/>
          <w:bCs/>
          <w:snapToGrid w:val="0"/>
        </w:rPr>
        <w:t>dosed</w:t>
      </w:r>
      <w:proofErr w:type="gramEnd"/>
      <w:r>
        <w:rPr>
          <w:rFonts w:asciiTheme="minorHAnsi" w:hAnsiTheme="minorHAnsi" w:cs="Arial"/>
          <w:bCs/>
          <w:snapToGrid w:val="0"/>
        </w:rPr>
        <w:t xml:space="preserve"> in</w:t>
      </w:r>
      <w:r w:rsidR="004B7256">
        <w:rPr>
          <w:rFonts w:asciiTheme="minorHAnsi" w:hAnsiTheme="minorHAnsi" w:cs="Arial"/>
          <w:bCs/>
          <w:snapToGrid w:val="0"/>
        </w:rPr>
        <w:t xml:space="preserve"> aHUS</w:t>
      </w:r>
      <w:r>
        <w:rPr>
          <w:rFonts w:asciiTheme="minorHAnsi" w:hAnsiTheme="minorHAnsi" w:cs="Arial"/>
          <w:bCs/>
          <w:snapToGrid w:val="0"/>
        </w:rPr>
        <w:t xml:space="preserve"> patients with borderline weight. </w:t>
      </w:r>
    </w:p>
    <w:p w14:paraId="1EC9B2A0" w14:textId="5551B1D2" w:rsidR="00A4556B" w:rsidRDefault="000A051B" w:rsidP="03D84ED7">
      <w:pPr>
        <w:widowControl w:val="0"/>
        <w:numPr>
          <w:ilvl w:val="1"/>
          <w:numId w:val="1"/>
        </w:numPr>
        <w:spacing w:after="120"/>
        <w:ind w:left="720"/>
        <w:rPr>
          <w:rFonts w:asciiTheme="minorHAnsi" w:hAnsiTheme="minorHAnsi" w:cs="Arial"/>
          <w:snapToGrid w:val="0"/>
        </w:rPr>
      </w:pPr>
      <w:bookmarkStart w:id="24" w:name="_Ref131158287"/>
      <w:r w:rsidRPr="03D84ED7">
        <w:rPr>
          <w:rFonts w:asciiTheme="minorHAnsi" w:hAnsiTheme="minorHAnsi" w:cs="Arial"/>
          <w:snapToGrid w:val="0"/>
        </w:rPr>
        <w:t xml:space="preserve">The PBAC asked follow-up questions regarding </w:t>
      </w:r>
      <w:r w:rsidRPr="03D84ED7">
        <w:rPr>
          <w:rFonts w:asciiTheme="minorHAnsi" w:hAnsiTheme="minorHAnsi" w:cstheme="minorBidi"/>
          <w:snapToGrid w:val="0"/>
        </w:rPr>
        <w:t xml:space="preserve">whether </w:t>
      </w:r>
      <w:r w:rsidRPr="03D84ED7">
        <w:rPr>
          <w:rFonts w:asciiTheme="minorHAnsi" w:hAnsiTheme="minorHAnsi" w:cstheme="minorBidi"/>
          <w:color w:val="000000"/>
        </w:rPr>
        <w:t xml:space="preserve">there had been any indication that there is breakthrough disease in patients with aHUS when treated with ravulizumab, particularly at weeks 6 – 8 prior to the next infusion, and what </w:t>
      </w:r>
      <w:r w:rsidRPr="03D84ED7">
        <w:rPr>
          <w:rFonts w:asciiTheme="minorHAnsi" w:hAnsiTheme="minorHAnsi" w:cstheme="minorBidi"/>
          <w:color w:val="000000"/>
        </w:rPr>
        <w:lastRenderedPageBreak/>
        <w:t xml:space="preserve">percentage of patients were returning to use with eculizumab. The sponsor was not aware of any cases of breakthrough disease in practice, nor was any reported in the clinical studies 311 and 321. Based on real world experience from the UK there have been </w:t>
      </w:r>
      <w:r w:rsidR="002D7520">
        <w:rPr>
          <w:rFonts w:asciiTheme="minorHAnsi" w:hAnsiTheme="minorHAnsi" w:cstheme="minorBidi"/>
          <w:color w:val="000000"/>
        </w:rPr>
        <w:t>&lt;500</w:t>
      </w:r>
      <w:r w:rsidRPr="03D84ED7">
        <w:rPr>
          <w:rFonts w:asciiTheme="minorHAnsi" w:hAnsiTheme="minorHAnsi" w:cstheme="minorBidi"/>
          <w:color w:val="000000"/>
        </w:rPr>
        <w:t xml:space="preserve"> out of </w:t>
      </w:r>
      <w:r w:rsidR="002D7520">
        <w:rPr>
          <w:rFonts w:asciiTheme="minorHAnsi" w:hAnsiTheme="minorHAnsi" w:cstheme="minorBidi"/>
          <w:color w:val="000000"/>
        </w:rPr>
        <w:t>&lt;500</w:t>
      </w:r>
      <w:r w:rsidRPr="03D84ED7">
        <w:rPr>
          <w:rFonts w:asciiTheme="minorHAnsi" w:hAnsiTheme="minorHAnsi" w:cstheme="minorBidi"/>
          <w:color w:val="000000"/>
        </w:rPr>
        <w:t xml:space="preserve"> patients switched back to eculizumab in aHUS, all unrelated to breakthrough disease.</w:t>
      </w:r>
      <w:bookmarkEnd w:id="24"/>
    </w:p>
    <w:bookmarkEnd w:id="23"/>
    <w:p w14:paraId="0083FEC7" w14:textId="77777777" w:rsidR="003A48D2" w:rsidRPr="006E1229" w:rsidRDefault="003A48D2" w:rsidP="003E5508">
      <w:pPr>
        <w:pStyle w:val="4-SubsectionHeading"/>
      </w:pPr>
      <w:r w:rsidRPr="006E1229">
        <w:t>Consumer comments</w:t>
      </w:r>
    </w:p>
    <w:p w14:paraId="3AD07D52" w14:textId="373203F8" w:rsidR="00161181" w:rsidRDefault="00161181" w:rsidP="00161181">
      <w:pPr>
        <w:widowControl w:val="0"/>
        <w:numPr>
          <w:ilvl w:val="1"/>
          <w:numId w:val="1"/>
        </w:numPr>
        <w:spacing w:after="120"/>
        <w:ind w:left="720"/>
        <w:rPr>
          <w:rFonts w:asciiTheme="minorHAnsi" w:hAnsiTheme="minorHAnsi" w:cs="Arial"/>
          <w:bCs/>
          <w:snapToGrid w:val="0"/>
        </w:rPr>
      </w:pPr>
      <w:bookmarkStart w:id="25" w:name="_Hlk76382618"/>
      <w:r w:rsidRPr="00836F75">
        <w:rPr>
          <w:rFonts w:asciiTheme="minorHAnsi" w:hAnsiTheme="minorHAnsi" w:cs="Arial"/>
          <w:bCs/>
          <w:snapToGrid w:val="0"/>
        </w:rPr>
        <w:t>The PBAC noted and welcomed the input from individuals (</w:t>
      </w:r>
      <w:r>
        <w:rPr>
          <w:rFonts w:asciiTheme="minorHAnsi" w:hAnsiTheme="minorHAnsi" w:cs="Arial"/>
          <w:bCs/>
          <w:snapToGrid w:val="0"/>
        </w:rPr>
        <w:t>1</w:t>
      </w:r>
      <w:r w:rsidRPr="00836F75">
        <w:rPr>
          <w:rFonts w:asciiTheme="minorHAnsi" w:hAnsiTheme="minorHAnsi" w:cs="Arial"/>
          <w:bCs/>
          <w:snapToGrid w:val="0"/>
        </w:rPr>
        <w:t>4), health care professionals (</w:t>
      </w:r>
      <w:r>
        <w:rPr>
          <w:rFonts w:asciiTheme="minorHAnsi" w:hAnsiTheme="minorHAnsi" w:cs="Arial"/>
          <w:bCs/>
          <w:snapToGrid w:val="0"/>
        </w:rPr>
        <w:t>3</w:t>
      </w:r>
      <w:r w:rsidRPr="00836F75">
        <w:rPr>
          <w:rFonts w:asciiTheme="minorHAnsi" w:hAnsiTheme="minorHAnsi" w:cs="Arial"/>
          <w:bCs/>
          <w:snapToGrid w:val="0"/>
        </w:rPr>
        <w:t>) and organisations (</w:t>
      </w:r>
      <w:r>
        <w:rPr>
          <w:rFonts w:asciiTheme="minorHAnsi" w:hAnsiTheme="minorHAnsi" w:cs="Arial"/>
          <w:bCs/>
          <w:snapToGrid w:val="0"/>
        </w:rPr>
        <w:t>2</w:t>
      </w:r>
      <w:r w:rsidRPr="00836F75">
        <w:rPr>
          <w:rFonts w:asciiTheme="minorHAnsi" w:hAnsiTheme="minorHAnsi" w:cs="Arial"/>
          <w:bCs/>
          <w:snapToGrid w:val="0"/>
        </w:rPr>
        <w:t xml:space="preserve">) via the Consumer Comments facility on the PBS website. </w:t>
      </w:r>
      <w:r>
        <w:rPr>
          <w:rFonts w:asciiTheme="minorHAnsi" w:hAnsiTheme="minorHAnsi" w:cs="Arial"/>
          <w:bCs/>
          <w:snapToGrid w:val="0"/>
        </w:rPr>
        <w:t xml:space="preserve">The comments described how ravulizumab and eculizumab were expected to provide similar levels of disease control, with known and manageable adverse events. It was suggested that patients should be allowed to switch treatments so long as they are responding to treatment. The comments particularly focused on the quality-of-life benefits associated with ravulizumab’s increased treatment duration compared with eculizumab. By decreasing reliance on frequent hospital visits, ravulizumab treatment was expected to reduce missed days of school and work, improve finances, increase the ability to travel for longer periods of time. Having fewer infusions was also expected to improve access for other patients in </w:t>
      </w:r>
      <w:proofErr w:type="gramStart"/>
      <w:r>
        <w:rPr>
          <w:rFonts w:asciiTheme="minorHAnsi" w:hAnsiTheme="minorHAnsi" w:cs="Arial"/>
          <w:bCs/>
          <w:snapToGrid w:val="0"/>
        </w:rPr>
        <w:t>hospital, and</w:t>
      </w:r>
      <w:proofErr w:type="gramEnd"/>
      <w:r>
        <w:rPr>
          <w:rFonts w:asciiTheme="minorHAnsi" w:hAnsiTheme="minorHAnsi" w:cs="Arial"/>
          <w:bCs/>
          <w:snapToGrid w:val="0"/>
        </w:rPr>
        <w:t xml:space="preserve"> assist those patients with needle phobias and/or poor venous access. </w:t>
      </w:r>
    </w:p>
    <w:p w14:paraId="6B64946B" w14:textId="77777777" w:rsidR="00161181" w:rsidRDefault="00161181" w:rsidP="00161181">
      <w:pPr>
        <w:widowControl w:val="0"/>
        <w:numPr>
          <w:ilvl w:val="1"/>
          <w:numId w:val="1"/>
        </w:numPr>
        <w:spacing w:after="120"/>
        <w:ind w:left="720"/>
        <w:rPr>
          <w:rFonts w:asciiTheme="minorHAnsi" w:hAnsiTheme="minorHAnsi" w:cs="Arial"/>
          <w:bCs/>
          <w:snapToGrid w:val="0"/>
        </w:rPr>
      </w:pPr>
      <w:r>
        <w:rPr>
          <w:rFonts w:asciiTheme="minorHAnsi" w:hAnsiTheme="minorHAnsi" w:cs="Arial"/>
          <w:bCs/>
          <w:snapToGrid w:val="0"/>
        </w:rPr>
        <w:t xml:space="preserve">The PBAC also noted input received from the Monash Medical Centre Transplant Unit, which emphasised the benefits of ravulizumab to patients in terms of decreasing reliance on hospital visits, particularly in the post-acute phase. </w:t>
      </w:r>
    </w:p>
    <w:p w14:paraId="0C9EC0B7" w14:textId="77777777" w:rsidR="00161181" w:rsidRDefault="00161181" w:rsidP="00161181">
      <w:pPr>
        <w:widowControl w:val="0"/>
        <w:numPr>
          <w:ilvl w:val="1"/>
          <w:numId w:val="1"/>
        </w:numPr>
        <w:spacing w:after="120"/>
        <w:ind w:left="720"/>
        <w:rPr>
          <w:rFonts w:asciiTheme="minorHAnsi" w:hAnsiTheme="minorHAnsi" w:cs="Arial"/>
          <w:bCs/>
          <w:snapToGrid w:val="0"/>
        </w:rPr>
      </w:pPr>
      <w:r>
        <w:rPr>
          <w:rFonts w:asciiTheme="minorHAnsi" w:hAnsiTheme="minorHAnsi" w:cs="Arial"/>
          <w:bCs/>
          <w:snapToGrid w:val="0"/>
        </w:rPr>
        <w:t xml:space="preserve">The PBAC also noted input </w:t>
      </w:r>
      <w:r w:rsidRPr="00504974">
        <w:rPr>
          <w:rFonts w:asciiTheme="minorHAnsi" w:hAnsiTheme="minorHAnsi" w:cs="Arial"/>
          <w:bCs/>
          <w:snapToGrid w:val="0"/>
        </w:rPr>
        <w:t>received from aHUS alliance Global Action, including A report on the comparative experiences and expectations of the impact on aHUS patients following a transition from eculizumab to ravulizumab for the treatment of aHUS (a</w:t>
      </w:r>
      <w:r>
        <w:rPr>
          <w:rFonts w:asciiTheme="minorHAnsi" w:hAnsiTheme="minorHAnsi" w:cs="Arial"/>
          <w:bCs/>
          <w:snapToGrid w:val="0"/>
        </w:rPr>
        <w:t xml:space="preserve"> report based on 19 online interviews with patients and carers in the USA and UK undertaken in 2020)</w:t>
      </w:r>
      <w:r>
        <w:rPr>
          <w:rFonts w:asciiTheme="minorHAnsi" w:hAnsiTheme="minorHAnsi" w:cs="Arial"/>
          <w:bCs/>
          <w:i/>
          <w:iCs/>
          <w:snapToGrid w:val="0"/>
        </w:rPr>
        <w:t xml:space="preserve">. </w:t>
      </w:r>
      <w:r>
        <w:rPr>
          <w:rFonts w:asciiTheme="minorHAnsi" w:hAnsiTheme="minorHAnsi" w:cs="Arial"/>
          <w:bCs/>
          <w:snapToGrid w:val="0"/>
        </w:rPr>
        <w:t>The organisation observed the following advantages with ravulizumab treatment:</w:t>
      </w:r>
    </w:p>
    <w:p w14:paraId="4153D910" w14:textId="77777777" w:rsidR="00161181" w:rsidRPr="0005718F" w:rsidRDefault="00161181" w:rsidP="00677F6D">
      <w:pPr>
        <w:pStyle w:val="ListParagraph"/>
        <w:numPr>
          <w:ilvl w:val="0"/>
          <w:numId w:val="7"/>
        </w:numPr>
        <w:ind w:left="1080"/>
        <w:rPr>
          <w:lang w:eastAsia="en-GB"/>
        </w:rPr>
      </w:pPr>
      <w:r>
        <w:rPr>
          <w:lang w:eastAsia="en-GB"/>
        </w:rPr>
        <w:t>‘</w:t>
      </w:r>
      <w:r w:rsidRPr="0005718F">
        <w:rPr>
          <w:lang w:eastAsia="en-GB"/>
        </w:rPr>
        <w:t xml:space="preserve">75% reduction in infusions per year, saving time and any expense of attending treatments for patients and </w:t>
      </w:r>
      <w:proofErr w:type="gramStart"/>
      <w:r w:rsidRPr="0005718F">
        <w:rPr>
          <w:lang w:eastAsia="en-GB"/>
        </w:rPr>
        <w:t>carers</w:t>
      </w:r>
      <w:proofErr w:type="gramEnd"/>
    </w:p>
    <w:p w14:paraId="48BB1793" w14:textId="1F3FEAB4" w:rsidR="00161181" w:rsidRPr="0005718F" w:rsidRDefault="00161181" w:rsidP="00677F6D">
      <w:pPr>
        <w:pStyle w:val="ListParagraph"/>
        <w:numPr>
          <w:ilvl w:val="0"/>
          <w:numId w:val="7"/>
        </w:numPr>
        <w:ind w:left="1080"/>
        <w:rPr>
          <w:lang w:eastAsia="en-GB"/>
        </w:rPr>
      </w:pPr>
      <w:r w:rsidRPr="0005718F">
        <w:rPr>
          <w:lang w:eastAsia="en-GB"/>
        </w:rPr>
        <w:t>less damage to patients</w:t>
      </w:r>
      <w:r w:rsidR="001A5812">
        <w:rPr>
          <w:lang w:eastAsia="en-GB"/>
        </w:rPr>
        <w:t>’</w:t>
      </w:r>
      <w:r w:rsidRPr="0005718F">
        <w:rPr>
          <w:lang w:eastAsia="en-GB"/>
        </w:rPr>
        <w:t xml:space="preserve"> veins from fewer infusions and reduced anxiety from needling problems</w:t>
      </w:r>
    </w:p>
    <w:p w14:paraId="4C84374C" w14:textId="77777777" w:rsidR="00161181" w:rsidRPr="0005718F" w:rsidRDefault="00161181" w:rsidP="00677F6D">
      <w:pPr>
        <w:pStyle w:val="ListParagraph"/>
        <w:numPr>
          <w:ilvl w:val="0"/>
          <w:numId w:val="7"/>
        </w:numPr>
        <w:ind w:left="1080"/>
        <w:rPr>
          <w:lang w:eastAsia="en-GB"/>
        </w:rPr>
      </w:pPr>
      <w:r w:rsidRPr="0005718F">
        <w:rPr>
          <w:lang w:eastAsia="en-GB"/>
        </w:rPr>
        <w:t xml:space="preserve">opportunity to remove permanent lines and </w:t>
      </w:r>
      <w:proofErr w:type="gramStart"/>
      <w:r w:rsidRPr="0005718F">
        <w:rPr>
          <w:lang w:eastAsia="en-GB"/>
        </w:rPr>
        <w:t>ports</w:t>
      </w:r>
      <w:proofErr w:type="gramEnd"/>
    </w:p>
    <w:p w14:paraId="074A30BC" w14:textId="77777777" w:rsidR="00161181" w:rsidRPr="0005718F" w:rsidRDefault="00161181" w:rsidP="00677F6D">
      <w:pPr>
        <w:pStyle w:val="ListParagraph"/>
        <w:numPr>
          <w:ilvl w:val="0"/>
          <w:numId w:val="7"/>
        </w:numPr>
        <w:ind w:left="1080"/>
        <w:rPr>
          <w:lang w:eastAsia="en-GB"/>
        </w:rPr>
      </w:pPr>
      <w:r w:rsidRPr="0005718F">
        <w:rPr>
          <w:lang w:eastAsia="en-GB"/>
        </w:rPr>
        <w:t>less pre</w:t>
      </w:r>
      <w:r>
        <w:rPr>
          <w:lang w:eastAsia="en-GB"/>
        </w:rPr>
        <w:t>-</w:t>
      </w:r>
      <w:r w:rsidRPr="0005718F">
        <w:rPr>
          <w:lang w:eastAsia="en-GB"/>
        </w:rPr>
        <w:t>infusion anxiety about potential delayed treatment</w:t>
      </w:r>
    </w:p>
    <w:p w14:paraId="443C52C5" w14:textId="77777777" w:rsidR="00161181" w:rsidRPr="0005718F" w:rsidRDefault="00161181" w:rsidP="00677F6D">
      <w:pPr>
        <w:pStyle w:val="ListParagraph"/>
        <w:numPr>
          <w:ilvl w:val="0"/>
          <w:numId w:val="7"/>
        </w:numPr>
        <w:ind w:left="1080"/>
        <w:rPr>
          <w:lang w:eastAsia="en-GB"/>
        </w:rPr>
      </w:pPr>
      <w:r w:rsidRPr="0005718F">
        <w:rPr>
          <w:lang w:eastAsia="en-GB"/>
        </w:rPr>
        <w:t xml:space="preserve">fewer infusion related side effect incidence </w:t>
      </w:r>
      <w:proofErr w:type="gramStart"/>
      <w:r w:rsidRPr="0005718F">
        <w:rPr>
          <w:lang w:eastAsia="en-GB"/>
        </w:rPr>
        <w:t>e.g.</w:t>
      </w:r>
      <w:proofErr w:type="gramEnd"/>
      <w:r w:rsidRPr="0005718F">
        <w:rPr>
          <w:lang w:eastAsia="en-GB"/>
        </w:rPr>
        <w:t xml:space="preserve"> headaches and tiredness</w:t>
      </w:r>
    </w:p>
    <w:p w14:paraId="59402B6D" w14:textId="77777777" w:rsidR="00161181" w:rsidRPr="0005718F" w:rsidRDefault="00161181" w:rsidP="00677F6D">
      <w:pPr>
        <w:pStyle w:val="ListParagraph"/>
        <w:numPr>
          <w:ilvl w:val="0"/>
          <w:numId w:val="7"/>
        </w:numPr>
        <w:ind w:left="1080"/>
        <w:rPr>
          <w:lang w:eastAsia="en-GB"/>
        </w:rPr>
      </w:pPr>
      <w:r w:rsidRPr="0005718F">
        <w:rPr>
          <w:lang w:eastAsia="en-GB"/>
        </w:rPr>
        <w:t xml:space="preserve">greater ability to travel between infusions particularly overseas for employment as well as leisure </w:t>
      </w:r>
      <w:proofErr w:type="gramStart"/>
      <w:r w:rsidRPr="0005718F">
        <w:rPr>
          <w:lang w:eastAsia="en-GB"/>
        </w:rPr>
        <w:t>purposes</w:t>
      </w:r>
      <w:proofErr w:type="gramEnd"/>
    </w:p>
    <w:p w14:paraId="0DCEE8F7" w14:textId="77777777" w:rsidR="00161181" w:rsidRPr="0005718F" w:rsidRDefault="00161181" w:rsidP="00677F6D">
      <w:pPr>
        <w:pStyle w:val="ListParagraph"/>
        <w:numPr>
          <w:ilvl w:val="0"/>
          <w:numId w:val="7"/>
        </w:numPr>
        <w:ind w:left="1080"/>
        <w:rPr>
          <w:lang w:eastAsia="en-GB"/>
        </w:rPr>
      </w:pPr>
      <w:r w:rsidRPr="0005718F">
        <w:rPr>
          <w:lang w:eastAsia="en-GB"/>
        </w:rPr>
        <w:t xml:space="preserve">increased educational attainment and employment and career prospects due to less disruption from having to attend infusion </w:t>
      </w:r>
      <w:proofErr w:type="gramStart"/>
      <w:r w:rsidRPr="0005718F">
        <w:rPr>
          <w:lang w:eastAsia="en-GB"/>
        </w:rPr>
        <w:t>treatment</w:t>
      </w:r>
      <w:proofErr w:type="gramEnd"/>
    </w:p>
    <w:p w14:paraId="55CC0294" w14:textId="77777777" w:rsidR="00161181" w:rsidRPr="0005718F" w:rsidRDefault="00161181" w:rsidP="00677F6D">
      <w:pPr>
        <w:pStyle w:val="ListParagraph"/>
        <w:numPr>
          <w:ilvl w:val="0"/>
          <w:numId w:val="7"/>
        </w:numPr>
        <w:ind w:left="1080"/>
        <w:rPr>
          <w:lang w:eastAsia="en-GB"/>
        </w:rPr>
      </w:pPr>
      <w:r w:rsidRPr="0005718F">
        <w:rPr>
          <w:lang w:eastAsia="en-GB"/>
        </w:rPr>
        <w:lastRenderedPageBreak/>
        <w:t xml:space="preserve">less time spent on home delivery and storage of equipment for home </w:t>
      </w:r>
      <w:proofErr w:type="gramStart"/>
      <w:r w:rsidRPr="0005718F">
        <w:rPr>
          <w:lang w:eastAsia="en-GB"/>
        </w:rPr>
        <w:t>infusions</w:t>
      </w:r>
      <w:proofErr w:type="gramEnd"/>
    </w:p>
    <w:p w14:paraId="40D6485B" w14:textId="560572BF" w:rsidR="0086277C" w:rsidRPr="0086277C" w:rsidRDefault="00161181" w:rsidP="00677F6D">
      <w:pPr>
        <w:pStyle w:val="ListParagraph"/>
        <w:numPr>
          <w:ilvl w:val="0"/>
          <w:numId w:val="7"/>
        </w:numPr>
        <w:ind w:left="1080"/>
        <w:rPr>
          <w:lang w:eastAsia="en-GB"/>
        </w:rPr>
      </w:pPr>
      <w:r w:rsidRPr="0086277C">
        <w:rPr>
          <w:lang w:eastAsia="en-GB"/>
        </w:rPr>
        <w:t>ravulizumab offers a substantial treatment cost reduction</w:t>
      </w:r>
      <w:r>
        <w:rPr>
          <w:lang w:eastAsia="en-GB"/>
        </w:rPr>
        <w:t>.</w:t>
      </w:r>
      <w:r w:rsidR="002C085B">
        <w:rPr>
          <w:lang w:eastAsia="en-GB"/>
        </w:rPr>
        <w:t>’</w:t>
      </w:r>
    </w:p>
    <w:bookmarkEnd w:id="21"/>
    <w:bookmarkEnd w:id="25"/>
    <w:p w14:paraId="609C0765" w14:textId="3F7B806A" w:rsidR="00B60939" w:rsidRPr="003A48D2" w:rsidRDefault="00B60939" w:rsidP="003A48D2">
      <w:pPr>
        <w:pStyle w:val="4-SubsectionHeading"/>
      </w:pPr>
      <w:r w:rsidRPr="003A48D2">
        <w:t xml:space="preserve">Clinical </w:t>
      </w:r>
      <w:r w:rsidR="00D5243B" w:rsidRPr="003A48D2">
        <w:t>studie</w:t>
      </w:r>
      <w:bookmarkEnd w:id="20"/>
      <w:r w:rsidR="00F6112C" w:rsidRPr="003A48D2">
        <w:t>s</w:t>
      </w:r>
      <w:bookmarkEnd w:id="22"/>
    </w:p>
    <w:p w14:paraId="5872EBB0" w14:textId="60EA9672" w:rsidR="00383A22" w:rsidRPr="00224B88" w:rsidRDefault="00383A22" w:rsidP="00B306AF">
      <w:pPr>
        <w:pStyle w:val="3-BodyText"/>
      </w:pPr>
      <w:r>
        <w:t xml:space="preserve">The submission was based on </w:t>
      </w:r>
      <w:r w:rsidR="00480807">
        <w:t xml:space="preserve">2 </w:t>
      </w:r>
      <w:r>
        <w:t xml:space="preserve">single arm studies of ravulizumab </w:t>
      </w:r>
      <w:r w:rsidR="002A3AF9">
        <w:t xml:space="preserve">(studies 311 and 312) </w:t>
      </w:r>
      <w:r>
        <w:t xml:space="preserve">and </w:t>
      </w:r>
      <w:r w:rsidR="00480807">
        <w:t xml:space="preserve">3 </w:t>
      </w:r>
      <w:r>
        <w:t>single arm studies of eculizumab</w:t>
      </w:r>
      <w:r w:rsidR="002A3AF9">
        <w:t xml:space="preserve"> (studies C08-002, </w:t>
      </w:r>
      <w:r w:rsidR="002A3AF9" w:rsidRPr="002A3AF9">
        <w:t>C10-00</w:t>
      </w:r>
      <w:r w:rsidR="002A3AF9">
        <w:t>3, C10-004)</w:t>
      </w:r>
      <w:r>
        <w:t xml:space="preserve">. No head-to-head trials were available. </w:t>
      </w:r>
      <w:r w:rsidR="00400B63">
        <w:t>T</w:t>
      </w:r>
      <w:r>
        <w:t xml:space="preserve">he submission </w:t>
      </w:r>
      <w:r w:rsidR="00400B63">
        <w:t xml:space="preserve">provided published </w:t>
      </w:r>
      <w:r>
        <w:t xml:space="preserve">pooled analyses of the ravulizumab and eculizumab studies </w:t>
      </w:r>
      <w:r w:rsidR="00400B63">
        <w:t xml:space="preserve">but did not use them. The </w:t>
      </w:r>
      <w:r w:rsidR="00803DF9">
        <w:t>comparative effectiveness</w:t>
      </w:r>
      <w:r w:rsidR="00400B63">
        <w:t xml:space="preserve"> was based on</w:t>
      </w:r>
      <w:r>
        <w:t xml:space="preserve"> a</w:t>
      </w:r>
      <w:r w:rsidR="004C44CA">
        <w:t>n</w:t>
      </w:r>
      <w:r>
        <w:t xml:space="preserve"> </w:t>
      </w:r>
      <w:r w:rsidR="00803DF9">
        <w:t xml:space="preserve">unanchored </w:t>
      </w:r>
      <w:r w:rsidR="00400B63">
        <w:t>adjusted</w:t>
      </w:r>
      <w:r>
        <w:t xml:space="preserve"> indirect treatment comparison of the </w:t>
      </w:r>
      <w:r w:rsidR="00B50EEE">
        <w:t>two</w:t>
      </w:r>
      <w:r>
        <w:t xml:space="preserve"> drugs.</w:t>
      </w:r>
    </w:p>
    <w:p w14:paraId="2B59ABAC" w14:textId="35F2529E" w:rsidR="00862502" w:rsidRPr="00B50DB8" w:rsidRDefault="00A73134" w:rsidP="00B306AF">
      <w:pPr>
        <w:pStyle w:val="3-BodyText"/>
      </w:pPr>
      <w:r>
        <w:rPr>
          <w:snapToGrid/>
          <w:lang w:val="en-US"/>
        </w:rPr>
        <w:t xml:space="preserve">Details of the </w:t>
      </w:r>
      <w:r w:rsidR="00D5243B">
        <w:rPr>
          <w:snapToGrid/>
          <w:lang w:val="en-US"/>
        </w:rPr>
        <w:t>studies</w:t>
      </w:r>
      <w:r>
        <w:rPr>
          <w:snapToGrid/>
          <w:lang w:val="en-US"/>
        </w:rPr>
        <w:t xml:space="preserve"> presented in the submission </w:t>
      </w:r>
      <w:proofErr w:type="gramStart"/>
      <w:r>
        <w:rPr>
          <w:snapToGrid/>
          <w:lang w:val="en-US"/>
        </w:rPr>
        <w:t>are provided</w:t>
      </w:r>
      <w:proofErr w:type="gramEnd"/>
      <w:r>
        <w:rPr>
          <w:snapToGrid/>
          <w:lang w:val="en-US"/>
        </w:rPr>
        <w:t xml:space="preserve"> in </w:t>
      </w:r>
      <w:r w:rsidR="0046301E">
        <w:rPr>
          <w:snapToGrid/>
          <w:lang w:val="en-US"/>
        </w:rPr>
        <w:fldChar w:fldCharType="begin" w:fldLock="1"/>
      </w:r>
      <w:r w:rsidR="0046301E">
        <w:rPr>
          <w:snapToGrid/>
          <w:lang w:val="en-US"/>
        </w:rPr>
        <w:instrText xml:space="preserve"> REF _Ref124327986 \h </w:instrText>
      </w:r>
      <w:r w:rsidR="0046301E">
        <w:rPr>
          <w:snapToGrid/>
          <w:lang w:val="en-US"/>
        </w:rPr>
      </w:r>
      <w:r w:rsidR="0046301E">
        <w:rPr>
          <w:snapToGrid/>
          <w:lang w:val="en-US"/>
        </w:rPr>
        <w:fldChar w:fldCharType="separate"/>
      </w:r>
      <w:r w:rsidR="00916EDA">
        <w:t xml:space="preserve">Table </w:t>
      </w:r>
      <w:r w:rsidR="00916EDA">
        <w:rPr>
          <w:noProof/>
        </w:rPr>
        <w:t>4</w:t>
      </w:r>
      <w:r w:rsidR="0046301E">
        <w:rPr>
          <w:snapToGrid/>
          <w:lang w:val="en-US"/>
        </w:rPr>
        <w:fldChar w:fldCharType="end"/>
      </w:r>
      <w:r w:rsidR="0046301E">
        <w:rPr>
          <w:snapToGrid/>
          <w:lang w:val="en-US"/>
        </w:rPr>
        <w:t>.</w:t>
      </w:r>
    </w:p>
    <w:p w14:paraId="7DE3A286" w14:textId="3772C219" w:rsidR="008E0D3C" w:rsidRDefault="0046301E" w:rsidP="0046301E">
      <w:pPr>
        <w:pStyle w:val="Caption"/>
        <w:rPr>
          <w:rStyle w:val="CommentReference"/>
          <w:b/>
          <w:szCs w:val="24"/>
        </w:rPr>
      </w:pPr>
      <w:bookmarkStart w:id="26" w:name="_Ref124327986"/>
      <w:r>
        <w:lastRenderedPageBreak/>
        <w:t xml:space="preserve">Table </w:t>
      </w:r>
      <w:r>
        <w:fldChar w:fldCharType="begin" w:fldLock="1"/>
      </w:r>
      <w:r>
        <w:instrText>SEQ Table \* ARABIC</w:instrText>
      </w:r>
      <w:r>
        <w:fldChar w:fldCharType="separate"/>
      </w:r>
      <w:r w:rsidR="00916EDA">
        <w:rPr>
          <w:noProof/>
        </w:rPr>
        <w:t>4</w:t>
      </w:r>
      <w:r>
        <w:fldChar w:fldCharType="end"/>
      </w:r>
      <w:bookmarkEnd w:id="26"/>
      <w:r>
        <w:t xml:space="preserve">: </w:t>
      </w:r>
      <w:r w:rsidR="008A2CE0">
        <w:rPr>
          <w:rStyle w:val="CommentReference"/>
          <w:b/>
          <w:szCs w:val="24"/>
        </w:rPr>
        <w:t>S</w:t>
      </w:r>
      <w:r w:rsidR="00D5243B" w:rsidRPr="002E4F02">
        <w:rPr>
          <w:rStyle w:val="CommentReference"/>
          <w:b/>
          <w:szCs w:val="24"/>
        </w:rPr>
        <w:t>tudies</w:t>
      </w:r>
      <w:r w:rsidR="008E0D3C" w:rsidRPr="002E4F02">
        <w:rPr>
          <w:rStyle w:val="CommentReference"/>
          <w:b/>
          <w:szCs w:val="24"/>
        </w:rPr>
        <w:t xml:space="preserve"> and associated reports presented in the </w:t>
      </w:r>
      <w:proofErr w:type="gramStart"/>
      <w:r w:rsidR="008E0D3C" w:rsidRPr="002E4F02">
        <w:rPr>
          <w:rStyle w:val="CommentReference"/>
          <w:b/>
          <w:szCs w:val="24"/>
        </w:rPr>
        <w:t>submiss</w:t>
      </w:r>
      <w:r w:rsidR="00E6233F">
        <w:rPr>
          <w:rStyle w:val="CommentReference"/>
          <w:b/>
          <w:szCs w:val="24"/>
        </w:rPr>
        <w:t>ion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E6233F" w:rsidRPr="00B41614" w14:paraId="1DDBBCCA" w14:textId="77777777" w:rsidTr="0095761B">
        <w:trPr>
          <w:cantSplit/>
        </w:trPr>
        <w:tc>
          <w:tcPr>
            <w:tcW w:w="796" w:type="pct"/>
            <w:vAlign w:val="center"/>
          </w:tcPr>
          <w:p w14:paraId="186DD494" w14:textId="77777777" w:rsidR="00E6233F" w:rsidRPr="00B41614" w:rsidRDefault="00E6233F" w:rsidP="00517812">
            <w:pPr>
              <w:pStyle w:val="In-tableHeading"/>
              <w:keepLines/>
            </w:pPr>
            <w:r w:rsidRPr="00B41614">
              <w:t>Trial ID</w:t>
            </w:r>
          </w:p>
        </w:tc>
        <w:tc>
          <w:tcPr>
            <w:tcW w:w="3027" w:type="pct"/>
            <w:vAlign w:val="center"/>
          </w:tcPr>
          <w:p w14:paraId="4880E0F8" w14:textId="77777777" w:rsidR="00E6233F" w:rsidRPr="00B41614" w:rsidRDefault="00E6233F" w:rsidP="00517812">
            <w:pPr>
              <w:pStyle w:val="In-tableHeading"/>
              <w:keepLines/>
            </w:pPr>
            <w:r w:rsidRPr="00B41614">
              <w:t>Protocol title/ Publication title</w:t>
            </w:r>
          </w:p>
        </w:tc>
        <w:tc>
          <w:tcPr>
            <w:tcW w:w="1177" w:type="pct"/>
            <w:vAlign w:val="center"/>
          </w:tcPr>
          <w:p w14:paraId="13437492" w14:textId="77777777" w:rsidR="00E6233F" w:rsidRPr="00B41614" w:rsidRDefault="00E6233F" w:rsidP="00517812">
            <w:pPr>
              <w:pStyle w:val="In-tableHeading"/>
              <w:keepLines/>
            </w:pPr>
            <w:r w:rsidRPr="00B41614">
              <w:t>Publication citation</w:t>
            </w:r>
          </w:p>
        </w:tc>
      </w:tr>
      <w:tr w:rsidR="00E6233F" w:rsidRPr="00B41614" w14:paraId="4ABB7448" w14:textId="77777777" w:rsidTr="0095761B">
        <w:trPr>
          <w:cantSplit/>
        </w:trPr>
        <w:tc>
          <w:tcPr>
            <w:tcW w:w="5000" w:type="pct"/>
            <w:gridSpan w:val="3"/>
            <w:vAlign w:val="center"/>
          </w:tcPr>
          <w:p w14:paraId="11E64A42" w14:textId="77777777" w:rsidR="00E6233F" w:rsidRPr="00B41614" w:rsidRDefault="00E6233F" w:rsidP="00517812">
            <w:pPr>
              <w:pStyle w:val="In-tableHeading"/>
              <w:keepLines/>
            </w:pPr>
            <w:r>
              <w:t>Ravulizumab</w:t>
            </w:r>
          </w:p>
        </w:tc>
      </w:tr>
      <w:tr w:rsidR="00E6233F" w:rsidRPr="00CB38A8" w14:paraId="106615F2" w14:textId="77777777" w:rsidTr="0095761B">
        <w:trPr>
          <w:cantSplit/>
        </w:trPr>
        <w:tc>
          <w:tcPr>
            <w:tcW w:w="796" w:type="pct"/>
            <w:tcBorders>
              <w:bottom w:val="nil"/>
            </w:tcBorders>
            <w:vAlign w:val="center"/>
          </w:tcPr>
          <w:p w14:paraId="1468D1BD" w14:textId="77777777" w:rsidR="00E6233F" w:rsidRPr="00CB38A8" w:rsidRDefault="00E6233F" w:rsidP="00517812">
            <w:pPr>
              <w:pStyle w:val="TableText0"/>
              <w:keepLines/>
            </w:pPr>
          </w:p>
        </w:tc>
        <w:tc>
          <w:tcPr>
            <w:tcW w:w="3027" w:type="pct"/>
            <w:tcBorders>
              <w:bottom w:val="nil"/>
            </w:tcBorders>
            <w:vAlign w:val="center"/>
          </w:tcPr>
          <w:p w14:paraId="14430280" w14:textId="77777777" w:rsidR="00E6233F" w:rsidRPr="00AB6248" w:rsidRDefault="00E6233F" w:rsidP="00517812">
            <w:pPr>
              <w:pStyle w:val="TableText0"/>
              <w:keepLines/>
              <w:rPr>
                <w:szCs w:val="18"/>
              </w:rPr>
            </w:pPr>
            <w:r w:rsidRPr="001C530D">
              <w:rPr>
                <w:szCs w:val="18"/>
              </w:rPr>
              <w:t xml:space="preserve">Single Arm Study of ALXN1210 in Complement Inhibitor Treatment-naïve Adult and Adolescent Patients </w:t>
            </w:r>
            <w:proofErr w:type="gramStart"/>
            <w:r w:rsidRPr="001C530D">
              <w:rPr>
                <w:szCs w:val="18"/>
              </w:rPr>
              <w:t>With</w:t>
            </w:r>
            <w:proofErr w:type="gramEnd"/>
            <w:r w:rsidRPr="001C530D">
              <w:rPr>
                <w:szCs w:val="18"/>
              </w:rPr>
              <w:t xml:space="preserve"> Atypical Hemolytic Uremic Syndrome (aHUS)</w:t>
            </w:r>
          </w:p>
        </w:tc>
        <w:tc>
          <w:tcPr>
            <w:tcW w:w="1177" w:type="pct"/>
            <w:tcBorders>
              <w:bottom w:val="nil"/>
            </w:tcBorders>
            <w:vAlign w:val="center"/>
          </w:tcPr>
          <w:p w14:paraId="69C39CDF" w14:textId="1BF41317" w:rsidR="00E6233F" w:rsidRPr="00CB38A8" w:rsidRDefault="00411B7D" w:rsidP="00517812">
            <w:pPr>
              <w:pStyle w:val="TableText0"/>
              <w:keepLines/>
            </w:pPr>
            <w:r>
              <w:t>February 2020</w:t>
            </w:r>
          </w:p>
        </w:tc>
      </w:tr>
      <w:tr w:rsidR="00E6233F" w:rsidRPr="00CB38A8" w14:paraId="50B61654" w14:textId="77777777" w:rsidTr="0095761B">
        <w:trPr>
          <w:trHeight w:val="403"/>
        </w:trPr>
        <w:tc>
          <w:tcPr>
            <w:tcW w:w="796" w:type="pct"/>
            <w:tcBorders>
              <w:top w:val="nil"/>
              <w:bottom w:val="nil"/>
            </w:tcBorders>
            <w:vAlign w:val="center"/>
          </w:tcPr>
          <w:p w14:paraId="37648CDA" w14:textId="3FC301D6" w:rsidR="00E6233F" w:rsidRPr="00CB38A8" w:rsidRDefault="00411B7D" w:rsidP="00517812">
            <w:pPr>
              <w:pStyle w:val="TableText0"/>
              <w:keepLines/>
            </w:pPr>
            <w:r>
              <w:t xml:space="preserve">Study </w:t>
            </w:r>
            <w:r w:rsidR="00E6233F" w:rsidRPr="001C530D">
              <w:t>311 NCT02949128</w:t>
            </w:r>
          </w:p>
        </w:tc>
        <w:tc>
          <w:tcPr>
            <w:tcW w:w="3027" w:type="pct"/>
            <w:tcBorders>
              <w:top w:val="nil"/>
              <w:bottom w:val="nil"/>
            </w:tcBorders>
            <w:vAlign w:val="center"/>
          </w:tcPr>
          <w:p w14:paraId="277C59EB" w14:textId="77777777" w:rsidR="00E6233F" w:rsidRPr="00E34A35" w:rsidRDefault="00E6233F" w:rsidP="00517812">
            <w:pPr>
              <w:pStyle w:val="TableText0"/>
              <w:keepLines/>
              <w:rPr>
                <w:szCs w:val="18"/>
              </w:rPr>
            </w:pPr>
            <w:r w:rsidRPr="000D3321">
              <w:rPr>
                <w:lang w:val="en-US"/>
              </w:rPr>
              <w:t xml:space="preserve">Rondeau, E., </w:t>
            </w:r>
            <w:proofErr w:type="gramStart"/>
            <w:r w:rsidRPr="000D3321">
              <w:rPr>
                <w:lang w:val="en-US"/>
              </w:rPr>
              <w:t xml:space="preserve">et al.  </w:t>
            </w:r>
            <w:proofErr w:type="gramEnd"/>
            <w:r w:rsidRPr="000D3321">
              <w:rPr>
                <w:lang w:val="en-US"/>
              </w:rPr>
              <w:t>The long-acting C5 inhibitor, Ravulizumab, is effective and safe in adult patients with atypical hemolytic uremic syndrome naïve to complement inhibitor treatment.</w:t>
            </w:r>
          </w:p>
        </w:tc>
        <w:tc>
          <w:tcPr>
            <w:tcW w:w="1177" w:type="pct"/>
            <w:tcBorders>
              <w:top w:val="nil"/>
              <w:bottom w:val="nil"/>
            </w:tcBorders>
            <w:vAlign w:val="center"/>
          </w:tcPr>
          <w:p w14:paraId="6892543A" w14:textId="77777777" w:rsidR="00E6233F" w:rsidRPr="00E34A35" w:rsidRDefault="00E6233F" w:rsidP="00517812">
            <w:pPr>
              <w:pStyle w:val="TableText0"/>
              <w:keepLines/>
              <w:rPr>
                <w:szCs w:val="18"/>
              </w:rPr>
            </w:pPr>
            <w:r w:rsidRPr="000D3321">
              <w:rPr>
                <w:lang w:val="en-US"/>
              </w:rPr>
              <w:t>Kidney International</w:t>
            </w:r>
            <w:r>
              <w:rPr>
                <w:lang w:val="en-US"/>
              </w:rPr>
              <w:t xml:space="preserve"> 2020;</w:t>
            </w:r>
            <w:r w:rsidRPr="000D3321">
              <w:rPr>
                <w:lang w:val="en-US"/>
              </w:rPr>
              <w:t xml:space="preserve"> 97(6): 1287-1296.</w:t>
            </w:r>
          </w:p>
        </w:tc>
      </w:tr>
      <w:tr w:rsidR="00411B7D" w:rsidRPr="00CB38A8" w14:paraId="41AFF4D4" w14:textId="77777777" w:rsidTr="0095761B">
        <w:tc>
          <w:tcPr>
            <w:tcW w:w="796" w:type="pct"/>
            <w:tcBorders>
              <w:top w:val="nil"/>
              <w:bottom w:val="nil"/>
            </w:tcBorders>
            <w:vAlign w:val="center"/>
          </w:tcPr>
          <w:p w14:paraId="556FDB6D" w14:textId="77777777" w:rsidR="00411B7D" w:rsidRPr="00CB38A8" w:rsidRDefault="00411B7D" w:rsidP="00517812">
            <w:pPr>
              <w:pStyle w:val="TableText0"/>
              <w:keepLines/>
            </w:pPr>
          </w:p>
        </w:tc>
        <w:tc>
          <w:tcPr>
            <w:tcW w:w="3027" w:type="pct"/>
            <w:tcBorders>
              <w:top w:val="nil"/>
              <w:bottom w:val="nil"/>
            </w:tcBorders>
            <w:vAlign w:val="center"/>
          </w:tcPr>
          <w:p w14:paraId="3F41C3E8" w14:textId="325E467F" w:rsidR="00411B7D" w:rsidRPr="00411B7D" w:rsidRDefault="00411B7D" w:rsidP="00517812">
            <w:pPr>
              <w:pStyle w:val="TableText0"/>
              <w:keepLines/>
              <w:rPr>
                <w:szCs w:val="18"/>
                <w:lang w:val="en-US"/>
              </w:rPr>
            </w:pPr>
            <w:r w:rsidRPr="00F3488C">
              <w:rPr>
                <w:lang w:val="en-US"/>
              </w:rPr>
              <w:t>Barbour, T., et al. Long-Term Efficacy and Safety of the Long-Acting Complement C5 Inhibitor Ravulizumab for the Treatment of Atypical Hemolytic Uremic Syndrome in Adults.</w:t>
            </w:r>
          </w:p>
        </w:tc>
        <w:tc>
          <w:tcPr>
            <w:tcW w:w="1177" w:type="pct"/>
            <w:tcBorders>
              <w:top w:val="nil"/>
              <w:bottom w:val="nil"/>
            </w:tcBorders>
            <w:vAlign w:val="center"/>
          </w:tcPr>
          <w:p w14:paraId="590576EB" w14:textId="38463251" w:rsidR="00411B7D" w:rsidRPr="00F3488C" w:rsidRDefault="00411B7D" w:rsidP="00517812">
            <w:pPr>
              <w:pStyle w:val="TableText0"/>
              <w:keepLines/>
              <w:rPr>
                <w:lang w:val="en-US"/>
              </w:rPr>
            </w:pPr>
            <w:r w:rsidRPr="00F3488C">
              <w:rPr>
                <w:lang w:val="en-US"/>
              </w:rPr>
              <w:t xml:space="preserve">Kidney International Reports </w:t>
            </w:r>
            <w:r>
              <w:rPr>
                <w:lang w:val="en-US"/>
              </w:rPr>
              <w:t xml:space="preserve">2021; </w:t>
            </w:r>
            <w:r w:rsidRPr="00F3488C">
              <w:rPr>
                <w:lang w:val="en-US"/>
              </w:rPr>
              <w:t>6(6): 1603-1613.</w:t>
            </w:r>
          </w:p>
        </w:tc>
      </w:tr>
      <w:tr w:rsidR="00E6233F" w:rsidRPr="00CB38A8" w14:paraId="023A4640" w14:textId="77777777" w:rsidTr="0095761B">
        <w:tc>
          <w:tcPr>
            <w:tcW w:w="796" w:type="pct"/>
            <w:tcBorders>
              <w:top w:val="nil"/>
              <w:bottom w:val="nil"/>
            </w:tcBorders>
            <w:vAlign w:val="center"/>
          </w:tcPr>
          <w:p w14:paraId="74836583" w14:textId="77777777" w:rsidR="00E6233F" w:rsidRPr="00CB38A8" w:rsidRDefault="00E6233F" w:rsidP="00517812">
            <w:pPr>
              <w:pStyle w:val="TableText0"/>
              <w:keepLines/>
            </w:pPr>
          </w:p>
        </w:tc>
        <w:tc>
          <w:tcPr>
            <w:tcW w:w="3027" w:type="pct"/>
            <w:tcBorders>
              <w:top w:val="nil"/>
              <w:bottom w:val="nil"/>
            </w:tcBorders>
            <w:vAlign w:val="center"/>
          </w:tcPr>
          <w:p w14:paraId="21EF923A" w14:textId="77777777" w:rsidR="00E6233F" w:rsidRDefault="00E6233F" w:rsidP="00517812">
            <w:pPr>
              <w:pStyle w:val="TableText0"/>
              <w:keepLines/>
              <w:rPr>
                <w:szCs w:val="18"/>
                <w:lang w:val="en-US"/>
              </w:rPr>
            </w:pPr>
            <w:r w:rsidRPr="0D17218E">
              <w:rPr>
                <w:lang w:val="en-US"/>
              </w:rPr>
              <w:t>Gäckler, A., et al.</w:t>
            </w:r>
            <w:r>
              <w:rPr>
                <w:lang w:val="en-US"/>
              </w:rPr>
              <w:t xml:space="preserve"> </w:t>
            </w:r>
            <w:r w:rsidRPr="0D17218E">
              <w:rPr>
                <w:lang w:val="en-US"/>
              </w:rPr>
              <w:t>Efficacy and safety of the long-acting C5 inhibitor ravulizumab in patients with atypical hemolytic uremic syndrome triggered by pregnancy: a subgroup analysis.</w:t>
            </w:r>
          </w:p>
          <w:p w14:paraId="13C79E53" w14:textId="77777777" w:rsidR="00E6233F" w:rsidRPr="00AB6248" w:rsidRDefault="00E6233F" w:rsidP="00517812">
            <w:pPr>
              <w:pStyle w:val="TableText0"/>
              <w:keepLines/>
              <w:rPr>
                <w:szCs w:val="18"/>
                <w:lang w:val="en-US"/>
              </w:rPr>
            </w:pPr>
            <w:r>
              <w:rPr>
                <w:szCs w:val="18"/>
                <w:lang w:val="en-US"/>
              </w:rPr>
              <w:t xml:space="preserve">Plus </w:t>
            </w:r>
            <w:proofErr w:type="gramStart"/>
            <w:r>
              <w:rPr>
                <w:szCs w:val="18"/>
                <w:lang w:val="en-US"/>
              </w:rPr>
              <w:t>6</w:t>
            </w:r>
            <w:proofErr w:type="gramEnd"/>
            <w:r>
              <w:rPr>
                <w:szCs w:val="18"/>
                <w:lang w:val="en-US"/>
              </w:rPr>
              <w:t xml:space="preserve"> abstracts based on the same study</w:t>
            </w:r>
          </w:p>
        </w:tc>
        <w:tc>
          <w:tcPr>
            <w:tcW w:w="1177" w:type="pct"/>
            <w:tcBorders>
              <w:top w:val="nil"/>
              <w:bottom w:val="nil"/>
            </w:tcBorders>
            <w:vAlign w:val="center"/>
          </w:tcPr>
          <w:p w14:paraId="775B3CD9" w14:textId="0D146C76" w:rsidR="00E6233F" w:rsidRPr="00AB6248" w:rsidRDefault="00E6233F" w:rsidP="00517812">
            <w:pPr>
              <w:pStyle w:val="TableText0"/>
              <w:keepLines/>
              <w:rPr>
                <w:i/>
                <w:szCs w:val="18"/>
                <w:lang w:val="en-US"/>
              </w:rPr>
            </w:pPr>
            <w:r w:rsidRPr="0D17218E">
              <w:rPr>
                <w:lang w:val="en-US"/>
              </w:rPr>
              <w:t xml:space="preserve">BMC Nephrology </w:t>
            </w:r>
            <w:r>
              <w:rPr>
                <w:lang w:val="en-US"/>
              </w:rPr>
              <w:t xml:space="preserve">2021; </w:t>
            </w:r>
            <w:r w:rsidRPr="0D17218E">
              <w:rPr>
                <w:lang w:val="en-US"/>
              </w:rPr>
              <w:t>22(1).</w:t>
            </w:r>
          </w:p>
        </w:tc>
      </w:tr>
      <w:tr w:rsidR="00E6233F" w:rsidRPr="00CB38A8" w14:paraId="3270B969" w14:textId="77777777" w:rsidTr="0095761B">
        <w:tc>
          <w:tcPr>
            <w:tcW w:w="796" w:type="pct"/>
            <w:tcBorders>
              <w:bottom w:val="nil"/>
            </w:tcBorders>
            <w:vAlign w:val="center"/>
          </w:tcPr>
          <w:p w14:paraId="10A5AAA4" w14:textId="77777777" w:rsidR="00E6233F" w:rsidRPr="00CB38A8" w:rsidRDefault="00E6233F" w:rsidP="00517812">
            <w:pPr>
              <w:pStyle w:val="TableText0"/>
              <w:keepLines/>
            </w:pPr>
          </w:p>
        </w:tc>
        <w:tc>
          <w:tcPr>
            <w:tcW w:w="3027" w:type="pct"/>
            <w:tcBorders>
              <w:bottom w:val="nil"/>
            </w:tcBorders>
            <w:vAlign w:val="center"/>
          </w:tcPr>
          <w:p w14:paraId="3E90218F" w14:textId="77777777" w:rsidR="00E6233F" w:rsidRPr="00CB38A8" w:rsidRDefault="00E6233F" w:rsidP="00517812">
            <w:pPr>
              <w:pStyle w:val="TableText0"/>
              <w:keepLines/>
            </w:pPr>
            <w:r w:rsidRPr="0029048B">
              <w:t xml:space="preserve">A Phase 3, Open-label, Multicenter Study of ALXN1210 in Children and Adolescents </w:t>
            </w:r>
            <w:proofErr w:type="gramStart"/>
            <w:r w:rsidRPr="0029048B">
              <w:t>With</w:t>
            </w:r>
            <w:proofErr w:type="gramEnd"/>
            <w:r w:rsidRPr="0029048B">
              <w:t xml:space="preserve"> Atypical Hemolytic Uremic Syndrome (aHUS)</w:t>
            </w:r>
          </w:p>
        </w:tc>
        <w:tc>
          <w:tcPr>
            <w:tcW w:w="1177" w:type="pct"/>
            <w:tcBorders>
              <w:bottom w:val="nil"/>
            </w:tcBorders>
            <w:vAlign w:val="center"/>
          </w:tcPr>
          <w:p w14:paraId="3A643C79" w14:textId="2A28F6E9" w:rsidR="00E6233F" w:rsidRPr="004A2558" w:rsidRDefault="00411B7D" w:rsidP="00517812">
            <w:pPr>
              <w:pStyle w:val="TableText0"/>
              <w:keepLines/>
            </w:pPr>
            <w:r>
              <w:t>NR</w:t>
            </w:r>
          </w:p>
        </w:tc>
      </w:tr>
      <w:tr w:rsidR="00E6233F" w:rsidRPr="00CB38A8" w14:paraId="2E748ED4" w14:textId="77777777" w:rsidTr="0095761B">
        <w:tc>
          <w:tcPr>
            <w:tcW w:w="796" w:type="pct"/>
            <w:tcBorders>
              <w:top w:val="nil"/>
              <w:bottom w:val="nil"/>
            </w:tcBorders>
            <w:vAlign w:val="center"/>
          </w:tcPr>
          <w:p w14:paraId="2985C79D" w14:textId="77777777" w:rsidR="00E6233F" w:rsidRDefault="00E6233F" w:rsidP="00517812">
            <w:pPr>
              <w:pStyle w:val="PBACTabletext0"/>
              <w:widowControl w:val="0"/>
              <w:suppressLineNumbers w:val="0"/>
              <w:rPr>
                <w:lang w:val="en-US"/>
              </w:rPr>
            </w:pPr>
            <w:r>
              <w:rPr>
                <w:lang w:val="en-US"/>
              </w:rPr>
              <w:t>Study 312</w:t>
            </w:r>
          </w:p>
          <w:p w14:paraId="0C479D0B" w14:textId="77777777" w:rsidR="00E6233F" w:rsidRPr="00CB38A8" w:rsidRDefault="00E6233F" w:rsidP="00517812">
            <w:pPr>
              <w:pStyle w:val="TableText0"/>
              <w:keepLines/>
            </w:pPr>
            <w:r w:rsidRPr="00395A65">
              <w:rPr>
                <w:lang w:val="en-US"/>
              </w:rPr>
              <w:t>NCT03131219</w:t>
            </w:r>
          </w:p>
        </w:tc>
        <w:tc>
          <w:tcPr>
            <w:tcW w:w="3027" w:type="pct"/>
            <w:tcBorders>
              <w:top w:val="nil"/>
              <w:bottom w:val="nil"/>
            </w:tcBorders>
            <w:vAlign w:val="center"/>
          </w:tcPr>
          <w:p w14:paraId="32605BA8" w14:textId="77777777" w:rsidR="00E6233F" w:rsidRPr="00E34A35" w:rsidRDefault="00E6233F" w:rsidP="00517812">
            <w:pPr>
              <w:pStyle w:val="TableText0"/>
              <w:keepLines/>
              <w:rPr>
                <w:szCs w:val="18"/>
              </w:rPr>
            </w:pPr>
            <w:r w:rsidRPr="00F3488C">
              <w:rPr>
                <w:lang w:val="en-US"/>
              </w:rPr>
              <w:t>Ariceta, G., et al.</w:t>
            </w:r>
            <w:r>
              <w:rPr>
                <w:lang w:val="en-US"/>
              </w:rPr>
              <w:t xml:space="preserve"> </w:t>
            </w:r>
            <w:r w:rsidRPr="00F3488C">
              <w:rPr>
                <w:lang w:val="en-US"/>
              </w:rPr>
              <w:t>The long-acting C5 inhibitor, ravulizumab, is effective and safe in p</w:t>
            </w:r>
            <w:r>
              <w:rPr>
                <w:lang w:val="en-US"/>
              </w:rPr>
              <w:t>ediatric</w:t>
            </w:r>
            <w:r w:rsidRPr="00F3488C">
              <w:rPr>
                <w:lang w:val="en-US"/>
              </w:rPr>
              <w:t xml:space="preserve"> patients with atypical hemolytic uremic syndrome naïve to complement inhibitor treatment</w:t>
            </w:r>
            <w:r>
              <w:rPr>
                <w:lang w:val="en-US"/>
              </w:rPr>
              <w:t>.</w:t>
            </w:r>
          </w:p>
        </w:tc>
        <w:tc>
          <w:tcPr>
            <w:tcW w:w="1177" w:type="pct"/>
            <w:tcBorders>
              <w:top w:val="nil"/>
              <w:bottom w:val="nil"/>
            </w:tcBorders>
            <w:vAlign w:val="center"/>
          </w:tcPr>
          <w:p w14:paraId="35A8F966" w14:textId="77777777" w:rsidR="00E6233F" w:rsidRPr="00CB38A8" w:rsidRDefault="00E6233F" w:rsidP="00517812">
            <w:pPr>
              <w:pStyle w:val="TableText0"/>
              <w:keepLines/>
              <w:rPr>
                <w:i/>
              </w:rPr>
            </w:pPr>
            <w:r w:rsidRPr="00F3488C">
              <w:rPr>
                <w:lang w:val="en-US"/>
              </w:rPr>
              <w:t>Kidney International</w:t>
            </w:r>
            <w:r>
              <w:rPr>
                <w:lang w:val="en-US"/>
              </w:rPr>
              <w:t xml:space="preserve"> 2021;</w:t>
            </w:r>
            <w:r w:rsidRPr="00F3488C">
              <w:rPr>
                <w:lang w:val="en-US"/>
              </w:rPr>
              <w:t>100(1): 225-237.</w:t>
            </w:r>
          </w:p>
        </w:tc>
      </w:tr>
      <w:tr w:rsidR="00E6233F" w:rsidRPr="00CB38A8" w14:paraId="29CA1AEC" w14:textId="77777777" w:rsidTr="0095761B">
        <w:tc>
          <w:tcPr>
            <w:tcW w:w="796" w:type="pct"/>
            <w:tcBorders>
              <w:top w:val="nil"/>
              <w:bottom w:val="nil"/>
            </w:tcBorders>
            <w:vAlign w:val="center"/>
          </w:tcPr>
          <w:p w14:paraId="48982D83" w14:textId="77777777" w:rsidR="00E6233F" w:rsidRPr="00CB38A8" w:rsidRDefault="00E6233F" w:rsidP="00517812">
            <w:pPr>
              <w:pStyle w:val="TableText0"/>
              <w:keepLines/>
            </w:pPr>
          </w:p>
        </w:tc>
        <w:tc>
          <w:tcPr>
            <w:tcW w:w="3027" w:type="pct"/>
            <w:tcBorders>
              <w:top w:val="nil"/>
              <w:bottom w:val="nil"/>
            </w:tcBorders>
            <w:vAlign w:val="center"/>
          </w:tcPr>
          <w:p w14:paraId="1116D3E8" w14:textId="77777777" w:rsidR="00E6233F" w:rsidRDefault="00E6233F" w:rsidP="00517812">
            <w:pPr>
              <w:pStyle w:val="TableText0"/>
              <w:keepLines/>
              <w:rPr>
                <w:lang w:val="en-US"/>
              </w:rPr>
            </w:pPr>
            <w:r w:rsidRPr="000D3321">
              <w:rPr>
                <w:lang w:val="en-US"/>
              </w:rPr>
              <w:t>Tanaka, K., et al. The long-acting C5 inhibitor, ravulizumab, is efficacious and safe in p</w:t>
            </w:r>
            <w:r>
              <w:rPr>
                <w:lang w:val="en-US"/>
              </w:rPr>
              <w:t>ediatric</w:t>
            </w:r>
            <w:r w:rsidRPr="000D3321">
              <w:rPr>
                <w:lang w:val="en-US"/>
              </w:rPr>
              <w:t xml:space="preserve"> patients with atypical hemolytic uremic syndrome previously treated with eculizumab.</w:t>
            </w:r>
          </w:p>
          <w:p w14:paraId="3BBBA802" w14:textId="77777777" w:rsidR="00E6233F" w:rsidRPr="00804917" w:rsidRDefault="00E6233F" w:rsidP="00517812">
            <w:pPr>
              <w:pStyle w:val="TableText0"/>
              <w:keepLines/>
              <w:rPr>
                <w:szCs w:val="18"/>
              </w:rPr>
            </w:pPr>
            <w:r>
              <w:rPr>
                <w:szCs w:val="18"/>
              </w:rPr>
              <w:t>Plus 3 conference abstracts based on the same study</w:t>
            </w:r>
          </w:p>
        </w:tc>
        <w:tc>
          <w:tcPr>
            <w:tcW w:w="1177" w:type="pct"/>
            <w:tcBorders>
              <w:top w:val="nil"/>
              <w:bottom w:val="nil"/>
            </w:tcBorders>
            <w:vAlign w:val="center"/>
          </w:tcPr>
          <w:p w14:paraId="29292055" w14:textId="77777777" w:rsidR="00E6233F" w:rsidRPr="005C3BD2" w:rsidRDefault="00E6233F" w:rsidP="00517812">
            <w:pPr>
              <w:pStyle w:val="TableText0"/>
              <w:keepLines/>
            </w:pPr>
            <w:r w:rsidRPr="000D3321">
              <w:rPr>
                <w:lang w:val="en-US"/>
              </w:rPr>
              <w:t>P</w:t>
            </w:r>
            <w:r>
              <w:rPr>
                <w:lang w:val="en-US"/>
              </w:rPr>
              <w:t>ediatric</w:t>
            </w:r>
            <w:r w:rsidRPr="000D3321">
              <w:rPr>
                <w:lang w:val="en-US"/>
              </w:rPr>
              <w:t xml:space="preserve"> Nephrology </w:t>
            </w:r>
            <w:r>
              <w:rPr>
                <w:lang w:val="en-US"/>
              </w:rPr>
              <w:t xml:space="preserve">2021; </w:t>
            </w:r>
            <w:r w:rsidRPr="000D3321">
              <w:rPr>
                <w:lang w:val="en-US"/>
              </w:rPr>
              <w:t>36(4): 889-898</w:t>
            </w:r>
            <w:r w:rsidRPr="00E34A35">
              <w:rPr>
                <w:szCs w:val="18"/>
              </w:rPr>
              <w:t>.</w:t>
            </w:r>
          </w:p>
        </w:tc>
      </w:tr>
      <w:tr w:rsidR="00E6233F" w:rsidRPr="00CB38A8" w14:paraId="7256E504" w14:textId="77777777" w:rsidTr="0095761B">
        <w:tc>
          <w:tcPr>
            <w:tcW w:w="796" w:type="pct"/>
            <w:tcBorders>
              <w:bottom w:val="nil"/>
            </w:tcBorders>
            <w:vAlign w:val="center"/>
          </w:tcPr>
          <w:p w14:paraId="4977927F" w14:textId="77777777" w:rsidR="00E6233F" w:rsidRPr="00CB38A8" w:rsidRDefault="00E6233F" w:rsidP="00517812">
            <w:pPr>
              <w:pStyle w:val="TableText0"/>
              <w:keepLines/>
            </w:pPr>
            <w:r>
              <w:rPr>
                <w:lang w:val="en-US"/>
              </w:rPr>
              <w:t>Study 311 and 312 (pooled analysis)</w:t>
            </w:r>
          </w:p>
        </w:tc>
        <w:tc>
          <w:tcPr>
            <w:tcW w:w="3027" w:type="pct"/>
            <w:tcBorders>
              <w:bottom w:val="nil"/>
            </w:tcBorders>
            <w:vAlign w:val="center"/>
          </w:tcPr>
          <w:p w14:paraId="0B3BE5E9" w14:textId="77777777" w:rsidR="00E6233F" w:rsidRPr="00CB38A8" w:rsidRDefault="00E6233F" w:rsidP="00517812">
            <w:pPr>
              <w:pStyle w:val="TableText0"/>
              <w:keepLines/>
            </w:pPr>
            <w:r w:rsidRPr="0029048B">
              <w:t>Dixon, B. P., et al. Two-year efficacy and safety of ravulizumab in adults and children with atypical hemolytic uremic syndrome (Ahus): Analysis of two phase 3 studies.</w:t>
            </w:r>
          </w:p>
        </w:tc>
        <w:tc>
          <w:tcPr>
            <w:tcW w:w="1177" w:type="pct"/>
            <w:tcBorders>
              <w:bottom w:val="nil"/>
            </w:tcBorders>
            <w:vAlign w:val="center"/>
          </w:tcPr>
          <w:p w14:paraId="13EFD1F8" w14:textId="77777777" w:rsidR="00E6233F" w:rsidRPr="00CB38A8" w:rsidRDefault="00E6233F" w:rsidP="00517812">
            <w:pPr>
              <w:pStyle w:val="TableText0"/>
              <w:keepLines/>
            </w:pPr>
            <w:r w:rsidRPr="0029048B">
              <w:t xml:space="preserve">Blood </w:t>
            </w:r>
            <w:r>
              <w:t xml:space="preserve">2021; </w:t>
            </w:r>
            <w:r w:rsidRPr="0029048B">
              <w:t>38(SUPPL 1): 769.</w:t>
            </w:r>
          </w:p>
        </w:tc>
      </w:tr>
      <w:tr w:rsidR="00E6233F" w:rsidRPr="00CB38A8" w14:paraId="2EFB3E66" w14:textId="77777777" w:rsidTr="0095761B">
        <w:tc>
          <w:tcPr>
            <w:tcW w:w="5000" w:type="pct"/>
            <w:gridSpan w:val="3"/>
            <w:tcBorders>
              <w:top w:val="single" w:sz="4" w:space="0" w:color="auto"/>
              <w:bottom w:val="single" w:sz="4" w:space="0" w:color="auto"/>
            </w:tcBorders>
            <w:vAlign w:val="center"/>
          </w:tcPr>
          <w:p w14:paraId="0E034859" w14:textId="77777777" w:rsidR="00E6233F" w:rsidRPr="00D81FA9" w:rsidRDefault="00E6233F" w:rsidP="00517812">
            <w:pPr>
              <w:pStyle w:val="TableText0"/>
              <w:keepLines/>
              <w:rPr>
                <w:b/>
                <w:bCs w:val="0"/>
                <w:lang w:val="en-US"/>
              </w:rPr>
            </w:pPr>
            <w:r w:rsidRPr="00D81FA9">
              <w:rPr>
                <w:b/>
                <w:bCs w:val="0"/>
                <w:lang w:val="en-US"/>
              </w:rPr>
              <w:t>Eculizumab</w:t>
            </w:r>
          </w:p>
        </w:tc>
      </w:tr>
      <w:tr w:rsidR="00E6233F" w:rsidRPr="00CB38A8" w14:paraId="01A63A98" w14:textId="77777777" w:rsidTr="0095761B">
        <w:tc>
          <w:tcPr>
            <w:tcW w:w="796" w:type="pct"/>
            <w:tcBorders>
              <w:top w:val="single" w:sz="4" w:space="0" w:color="auto"/>
              <w:bottom w:val="single" w:sz="4" w:space="0" w:color="auto"/>
            </w:tcBorders>
            <w:vAlign w:val="center"/>
          </w:tcPr>
          <w:p w14:paraId="77958E24" w14:textId="77777777" w:rsidR="00E6233F" w:rsidRDefault="00E6233F" w:rsidP="00517812">
            <w:pPr>
              <w:pStyle w:val="TableText0"/>
              <w:keepLines/>
            </w:pPr>
          </w:p>
          <w:p w14:paraId="3F7AF908" w14:textId="77777777" w:rsidR="00E6233F" w:rsidRDefault="00E6233F" w:rsidP="00517812">
            <w:pPr>
              <w:pStyle w:val="TableText0"/>
              <w:keepLines/>
            </w:pPr>
            <w:r>
              <w:t>C08-002A/B</w:t>
            </w:r>
          </w:p>
          <w:p w14:paraId="6BB08EC8" w14:textId="77777777" w:rsidR="00E6233F" w:rsidRPr="00CB38A8" w:rsidRDefault="00E6233F" w:rsidP="00517812">
            <w:pPr>
              <w:pStyle w:val="TableText0"/>
              <w:keepLines/>
            </w:pPr>
            <w:r>
              <w:t>NCT00844545/ NCT00844844</w:t>
            </w:r>
          </w:p>
        </w:tc>
        <w:tc>
          <w:tcPr>
            <w:tcW w:w="3027" w:type="pct"/>
            <w:tcBorders>
              <w:top w:val="single" w:sz="4" w:space="0" w:color="auto"/>
              <w:bottom w:val="single" w:sz="4" w:space="0" w:color="auto"/>
            </w:tcBorders>
            <w:vAlign w:val="center"/>
          </w:tcPr>
          <w:p w14:paraId="6F62778E" w14:textId="77777777" w:rsidR="00E6233F" w:rsidRDefault="00E6233F" w:rsidP="00517812">
            <w:pPr>
              <w:pStyle w:val="TableText0"/>
              <w:keepLines/>
            </w:pPr>
            <w:r>
              <w:t>An open-label, multi-center controlled clinical trial of eculizumab in adult/adolescent patients with plasma therapy-resistant atypical Hemolytic-Uremic Syndrome (aHUS)</w:t>
            </w:r>
          </w:p>
          <w:p w14:paraId="78487FAF" w14:textId="77777777" w:rsidR="00E6233F" w:rsidRPr="000D3321" w:rsidRDefault="00E6233F" w:rsidP="00517812">
            <w:pPr>
              <w:pStyle w:val="TableText0"/>
              <w:keepLines/>
              <w:rPr>
                <w:lang w:val="en-US"/>
              </w:rPr>
            </w:pPr>
            <w:proofErr w:type="gramStart"/>
            <w:r>
              <w:rPr>
                <w:lang w:val="en-US"/>
              </w:rPr>
              <w:t>15</w:t>
            </w:r>
            <w:proofErr w:type="gramEnd"/>
            <w:r>
              <w:rPr>
                <w:lang w:val="en-US"/>
              </w:rPr>
              <w:t xml:space="preserve"> conference abstracts</w:t>
            </w:r>
          </w:p>
        </w:tc>
        <w:tc>
          <w:tcPr>
            <w:tcW w:w="1177" w:type="pct"/>
            <w:tcBorders>
              <w:top w:val="single" w:sz="4" w:space="0" w:color="auto"/>
              <w:bottom w:val="single" w:sz="4" w:space="0" w:color="auto"/>
            </w:tcBorders>
            <w:vAlign w:val="center"/>
          </w:tcPr>
          <w:p w14:paraId="105756B6" w14:textId="77777777" w:rsidR="00E6233F" w:rsidRPr="000D3321" w:rsidRDefault="00E6233F" w:rsidP="00517812">
            <w:pPr>
              <w:pStyle w:val="TableText0"/>
              <w:keepLines/>
              <w:rPr>
                <w:lang w:val="en-US"/>
              </w:rPr>
            </w:pPr>
            <w:r>
              <w:rPr>
                <w:lang w:val="en-US"/>
              </w:rPr>
              <w:t>Completed July 2015</w:t>
            </w:r>
          </w:p>
        </w:tc>
      </w:tr>
      <w:tr w:rsidR="00E6233F" w:rsidRPr="00CB38A8" w14:paraId="073D0E6F" w14:textId="77777777" w:rsidTr="0095761B">
        <w:tc>
          <w:tcPr>
            <w:tcW w:w="796" w:type="pct"/>
            <w:tcBorders>
              <w:top w:val="single" w:sz="4" w:space="0" w:color="auto"/>
              <w:bottom w:val="single" w:sz="4" w:space="0" w:color="auto"/>
            </w:tcBorders>
            <w:vAlign w:val="center"/>
          </w:tcPr>
          <w:p w14:paraId="7739A1A8" w14:textId="77777777" w:rsidR="00E6233F" w:rsidRDefault="00E6233F" w:rsidP="00517812">
            <w:pPr>
              <w:pStyle w:val="TableText0"/>
              <w:keepLines/>
            </w:pPr>
            <w:r>
              <w:t>C10-003</w:t>
            </w:r>
          </w:p>
          <w:p w14:paraId="78FBB013" w14:textId="77777777" w:rsidR="00E6233F" w:rsidRDefault="00E6233F" w:rsidP="00517812">
            <w:pPr>
              <w:pStyle w:val="TableText0"/>
              <w:keepLines/>
            </w:pPr>
            <w:r>
              <w:t>NCT01193348</w:t>
            </w:r>
          </w:p>
        </w:tc>
        <w:tc>
          <w:tcPr>
            <w:tcW w:w="3027" w:type="pct"/>
            <w:tcBorders>
              <w:top w:val="single" w:sz="4" w:space="0" w:color="auto"/>
              <w:bottom w:val="single" w:sz="4" w:space="0" w:color="auto"/>
            </w:tcBorders>
            <w:vAlign w:val="center"/>
          </w:tcPr>
          <w:p w14:paraId="6A9EC774" w14:textId="77777777" w:rsidR="00E6233F" w:rsidRDefault="00E6233F" w:rsidP="00517812">
            <w:pPr>
              <w:pStyle w:val="TableText0"/>
              <w:keepLines/>
            </w:pPr>
            <w:r>
              <w:t>An Open-Label, Multi-Center Clinical Trial of Eculizumab in Pediatric Patients with Atypical Hemolytic-Uremic Syndrome</w:t>
            </w:r>
          </w:p>
          <w:p w14:paraId="6856A566" w14:textId="77777777" w:rsidR="00E6233F" w:rsidRDefault="00E6233F" w:rsidP="00517812">
            <w:pPr>
              <w:pStyle w:val="TableText0"/>
              <w:keepLines/>
            </w:pPr>
            <w:r w:rsidRPr="00E32AA6">
              <w:t>Greenbaum, L. A., et al. Eculizumab is a safe and effective treatment in pediatric patients with atypical hemolytic uremic syndrome.</w:t>
            </w:r>
          </w:p>
          <w:p w14:paraId="235CC68F" w14:textId="77777777" w:rsidR="00E6233F" w:rsidRDefault="00E6233F" w:rsidP="00517812">
            <w:pPr>
              <w:pStyle w:val="TableText0"/>
              <w:keepLines/>
            </w:pPr>
            <w:r>
              <w:t>7 conference abstracts</w:t>
            </w:r>
          </w:p>
        </w:tc>
        <w:tc>
          <w:tcPr>
            <w:tcW w:w="1177" w:type="pct"/>
            <w:tcBorders>
              <w:top w:val="single" w:sz="4" w:space="0" w:color="auto"/>
              <w:bottom w:val="single" w:sz="4" w:space="0" w:color="auto"/>
            </w:tcBorders>
            <w:vAlign w:val="center"/>
          </w:tcPr>
          <w:p w14:paraId="393A28D4" w14:textId="77777777" w:rsidR="00E6233F" w:rsidRDefault="00E6233F" w:rsidP="00517812">
            <w:pPr>
              <w:pStyle w:val="TableText0"/>
              <w:keepLines/>
              <w:rPr>
                <w:lang w:val="en-US"/>
              </w:rPr>
            </w:pPr>
            <w:r>
              <w:rPr>
                <w:lang w:val="en-US"/>
              </w:rPr>
              <w:t>Completed April 2015</w:t>
            </w:r>
            <w:r w:rsidRPr="00E32AA6">
              <w:t xml:space="preserve"> Kidney International </w:t>
            </w:r>
            <w:r>
              <w:t xml:space="preserve">2016; </w:t>
            </w:r>
            <w:r w:rsidRPr="00E32AA6">
              <w:t>89(3): 701-711.</w:t>
            </w:r>
          </w:p>
        </w:tc>
      </w:tr>
      <w:tr w:rsidR="00E6233F" w:rsidRPr="00CB38A8" w14:paraId="0DBB4917" w14:textId="77777777" w:rsidTr="0095761B">
        <w:tc>
          <w:tcPr>
            <w:tcW w:w="796" w:type="pct"/>
            <w:tcBorders>
              <w:top w:val="single" w:sz="4" w:space="0" w:color="auto"/>
              <w:bottom w:val="single" w:sz="4" w:space="0" w:color="auto"/>
            </w:tcBorders>
            <w:vAlign w:val="center"/>
          </w:tcPr>
          <w:p w14:paraId="4C5F5B64" w14:textId="77777777" w:rsidR="00E6233F" w:rsidRDefault="00E6233F" w:rsidP="00517812">
            <w:pPr>
              <w:pStyle w:val="TableText0"/>
              <w:keepLines/>
            </w:pPr>
            <w:r>
              <w:t>C10-004</w:t>
            </w:r>
          </w:p>
          <w:p w14:paraId="0141E579" w14:textId="77777777" w:rsidR="00E6233F" w:rsidRDefault="00E6233F" w:rsidP="00517812">
            <w:pPr>
              <w:pStyle w:val="TableText0"/>
              <w:keepLines/>
            </w:pPr>
            <w:r>
              <w:t>NCT01194973</w:t>
            </w:r>
          </w:p>
        </w:tc>
        <w:tc>
          <w:tcPr>
            <w:tcW w:w="3027" w:type="pct"/>
            <w:tcBorders>
              <w:top w:val="single" w:sz="4" w:space="0" w:color="auto"/>
              <w:bottom w:val="single" w:sz="4" w:space="0" w:color="auto"/>
            </w:tcBorders>
            <w:vAlign w:val="center"/>
          </w:tcPr>
          <w:p w14:paraId="580CF3C6" w14:textId="77777777" w:rsidR="00E6233F" w:rsidRDefault="00E6233F" w:rsidP="00517812">
            <w:pPr>
              <w:pStyle w:val="TableText0"/>
              <w:keepLines/>
              <w:rPr>
                <w:lang w:val="en-US"/>
              </w:rPr>
            </w:pPr>
            <w:r w:rsidRPr="009671F2">
              <w:rPr>
                <w:lang w:val="en-US"/>
              </w:rPr>
              <w:t>An Open-Label, Multi-Center Clinical Trial of Eculizumab in Adult Patients with Atypical Hemolytic-Uremic</w:t>
            </w:r>
            <w:r>
              <w:rPr>
                <w:lang w:val="en-US"/>
              </w:rPr>
              <w:t xml:space="preserve"> </w:t>
            </w:r>
            <w:r w:rsidRPr="009671F2">
              <w:rPr>
                <w:lang w:val="en-US"/>
              </w:rPr>
              <w:t>Syndrome.</w:t>
            </w:r>
          </w:p>
          <w:p w14:paraId="03F0E234" w14:textId="77777777" w:rsidR="00E6233F" w:rsidRDefault="00E6233F" w:rsidP="00517812">
            <w:pPr>
              <w:pStyle w:val="TableText0"/>
              <w:keepLines/>
              <w:rPr>
                <w:lang w:val="en-US"/>
              </w:rPr>
            </w:pPr>
            <w:r w:rsidRPr="009671F2">
              <w:rPr>
                <w:lang w:val="en-US"/>
              </w:rPr>
              <w:t>Fakhouri, F., et al.</w:t>
            </w:r>
            <w:r>
              <w:rPr>
                <w:lang w:val="en-US"/>
              </w:rPr>
              <w:t xml:space="preserve"> </w:t>
            </w:r>
            <w:r w:rsidRPr="009671F2">
              <w:rPr>
                <w:lang w:val="en-US"/>
              </w:rPr>
              <w:t>Terminal Complement Inhibitor Eculizumab in Adult Patients with Atypical Hemolytic Uremic Syndrome: A Single-Arm, Open-Label Trial.</w:t>
            </w:r>
          </w:p>
          <w:p w14:paraId="096FDD7F" w14:textId="77777777" w:rsidR="00E6233F" w:rsidRDefault="00E6233F" w:rsidP="00517812">
            <w:pPr>
              <w:pStyle w:val="TableText0"/>
              <w:keepLines/>
            </w:pPr>
            <w:r>
              <w:t>5 conference abstracts</w:t>
            </w:r>
          </w:p>
        </w:tc>
        <w:tc>
          <w:tcPr>
            <w:tcW w:w="1177" w:type="pct"/>
            <w:tcBorders>
              <w:top w:val="single" w:sz="4" w:space="0" w:color="auto"/>
              <w:bottom w:val="single" w:sz="4" w:space="0" w:color="auto"/>
            </w:tcBorders>
            <w:vAlign w:val="center"/>
          </w:tcPr>
          <w:p w14:paraId="239106B6" w14:textId="77777777" w:rsidR="00E6233F" w:rsidRDefault="00E6233F" w:rsidP="00517812">
            <w:pPr>
              <w:pStyle w:val="TableText0"/>
              <w:keepLines/>
              <w:rPr>
                <w:lang w:val="en-US"/>
              </w:rPr>
            </w:pPr>
            <w:r>
              <w:t>Completed May 2017</w:t>
            </w:r>
            <w:r w:rsidRPr="009671F2">
              <w:rPr>
                <w:lang w:val="en-US"/>
              </w:rPr>
              <w:t xml:space="preserve"> American journal of kidney diseases </w:t>
            </w:r>
            <w:r>
              <w:rPr>
                <w:lang w:val="en-US"/>
              </w:rPr>
              <w:t xml:space="preserve">2016; </w:t>
            </w:r>
            <w:r w:rsidRPr="009671F2">
              <w:rPr>
                <w:lang w:val="en-US"/>
              </w:rPr>
              <w:t>68(1): 84-93.</w:t>
            </w:r>
          </w:p>
        </w:tc>
      </w:tr>
      <w:tr w:rsidR="00E6233F" w:rsidRPr="00CB38A8" w14:paraId="2EE174CF" w14:textId="77777777" w:rsidTr="0095761B">
        <w:tc>
          <w:tcPr>
            <w:tcW w:w="796" w:type="pct"/>
            <w:tcBorders>
              <w:top w:val="single" w:sz="4" w:space="0" w:color="auto"/>
              <w:bottom w:val="single" w:sz="4" w:space="0" w:color="auto"/>
            </w:tcBorders>
            <w:vAlign w:val="center"/>
          </w:tcPr>
          <w:p w14:paraId="31CFC11D" w14:textId="77777777" w:rsidR="00E6233F" w:rsidRDefault="00E6233F" w:rsidP="00517812">
            <w:pPr>
              <w:pStyle w:val="TableText0"/>
              <w:keepLines/>
            </w:pPr>
            <w:r w:rsidRPr="00822EA2">
              <w:t>Indirect comparison ravulizumab vs eculizumab</w:t>
            </w:r>
          </w:p>
        </w:tc>
        <w:tc>
          <w:tcPr>
            <w:tcW w:w="3027" w:type="pct"/>
            <w:tcBorders>
              <w:top w:val="single" w:sz="4" w:space="0" w:color="auto"/>
              <w:bottom w:val="single" w:sz="4" w:space="0" w:color="auto"/>
            </w:tcBorders>
            <w:vAlign w:val="center"/>
          </w:tcPr>
          <w:p w14:paraId="0A304616" w14:textId="316194F5" w:rsidR="00E6233F" w:rsidRPr="00822EA2" w:rsidRDefault="00E6233F" w:rsidP="00517812">
            <w:pPr>
              <w:pStyle w:val="TableText0"/>
              <w:keepLines/>
            </w:pPr>
            <w:r w:rsidRPr="00822EA2">
              <w:t>Tomazos, I., et al.</w:t>
            </w:r>
            <w:r>
              <w:t xml:space="preserve"> </w:t>
            </w:r>
            <w:r w:rsidRPr="00822EA2">
              <w:t>Comparative efficacy of ravulizumab and eculizumab in the treatment of atypical hemolytic uremic syndrome: An indirect comparison using clinical trial data</w:t>
            </w:r>
            <w:r>
              <w:t>.</w:t>
            </w:r>
          </w:p>
        </w:tc>
        <w:tc>
          <w:tcPr>
            <w:tcW w:w="1177" w:type="pct"/>
            <w:tcBorders>
              <w:top w:val="single" w:sz="4" w:space="0" w:color="auto"/>
              <w:bottom w:val="single" w:sz="4" w:space="0" w:color="auto"/>
            </w:tcBorders>
            <w:vAlign w:val="center"/>
          </w:tcPr>
          <w:p w14:paraId="78FD7795" w14:textId="1CF5CC91" w:rsidR="00E6233F" w:rsidRDefault="00E6233F" w:rsidP="00517812">
            <w:pPr>
              <w:pStyle w:val="TableText0"/>
              <w:keepLines/>
              <w:rPr>
                <w:lang w:val="en-US"/>
              </w:rPr>
            </w:pPr>
            <w:r w:rsidRPr="00822EA2">
              <w:t>Clinical Nephrology</w:t>
            </w:r>
            <w:r>
              <w:t xml:space="preserve"> </w:t>
            </w:r>
            <w:proofErr w:type="gramStart"/>
            <w:r>
              <w:t xml:space="preserve">2022; </w:t>
            </w:r>
            <w:r w:rsidRPr="00822EA2">
              <w:t xml:space="preserve"> 97</w:t>
            </w:r>
            <w:proofErr w:type="gramEnd"/>
            <w:r w:rsidRPr="00822EA2">
              <w:t>(5): 261-272.</w:t>
            </w:r>
          </w:p>
        </w:tc>
      </w:tr>
    </w:tbl>
    <w:p w14:paraId="2E053277" w14:textId="7F84E625" w:rsidR="00E6233F" w:rsidRPr="00E6233F" w:rsidRDefault="00E6233F" w:rsidP="00517812">
      <w:pPr>
        <w:pStyle w:val="FooterTableFigure"/>
        <w:keepNext/>
        <w:keepLines/>
      </w:pPr>
      <w:r>
        <w:t xml:space="preserve">Source: Table 26, pp 52-58 </w:t>
      </w:r>
      <w:r w:rsidRPr="00D13A3E">
        <w:t xml:space="preserve">of the </w:t>
      </w:r>
      <w:r>
        <w:t>submission.</w:t>
      </w:r>
    </w:p>
    <w:p w14:paraId="1DD06D7D" w14:textId="2F939D38" w:rsidR="007F1017" w:rsidRPr="006A1626" w:rsidRDefault="008F120A" w:rsidP="00B306AF">
      <w:pPr>
        <w:pStyle w:val="3-BodyText"/>
        <w:rPr>
          <w:color w:val="0066FF"/>
        </w:rPr>
      </w:pPr>
      <w:r w:rsidRPr="00EA072E">
        <w:rPr>
          <w:snapToGrid/>
          <w:lang w:val="en-US"/>
        </w:rPr>
        <w:t>The</w:t>
      </w:r>
      <w:r w:rsidRPr="00B50DB8">
        <w:t xml:space="preserve"> key features of the </w:t>
      </w:r>
      <w:r w:rsidR="00621ADA">
        <w:t>included evidence</w:t>
      </w:r>
      <w:r w:rsidRPr="00B50DB8">
        <w:t xml:space="preserve"> are summarised </w:t>
      </w:r>
      <w:r w:rsidRPr="0064255A">
        <w:rPr>
          <w:rFonts w:ascii="Calibri" w:hAnsi="Calibri" w:cs="Calibri"/>
        </w:rPr>
        <w:t>in</w:t>
      </w:r>
      <w:r w:rsidR="00517812" w:rsidRPr="0064255A">
        <w:rPr>
          <w:rFonts w:ascii="Calibri" w:hAnsi="Calibri" w:cs="Calibri"/>
        </w:rPr>
        <w:t xml:space="preserve"> </w:t>
      </w:r>
      <w:r w:rsidR="0046301E" w:rsidRPr="0064255A">
        <w:rPr>
          <w:rFonts w:ascii="Calibri" w:hAnsi="Calibri" w:cs="Calibri"/>
          <w:b/>
          <w:bCs/>
        </w:rPr>
        <w:fldChar w:fldCharType="begin" w:fldLock="1"/>
      </w:r>
      <w:r w:rsidR="0046301E" w:rsidRPr="0064255A">
        <w:rPr>
          <w:rFonts w:ascii="Calibri" w:hAnsi="Calibri" w:cs="Calibri"/>
          <w:b/>
          <w:bCs/>
        </w:rPr>
        <w:instrText xml:space="preserve"> REF _Ref104804098 \h </w:instrText>
      </w:r>
      <w:r w:rsidR="0064255A" w:rsidRPr="0064255A">
        <w:rPr>
          <w:rFonts w:ascii="Calibri" w:hAnsi="Calibri" w:cs="Calibri"/>
          <w:b/>
          <w:bCs/>
        </w:rPr>
        <w:instrText xml:space="preserve"> \* MERGEFORMAT </w:instrText>
      </w:r>
      <w:r w:rsidR="0046301E" w:rsidRPr="0064255A">
        <w:rPr>
          <w:rFonts w:ascii="Calibri" w:hAnsi="Calibri" w:cs="Calibri"/>
          <w:b/>
          <w:bCs/>
        </w:rPr>
      </w:r>
      <w:r w:rsidR="0046301E" w:rsidRPr="0064255A">
        <w:rPr>
          <w:rFonts w:ascii="Calibri" w:hAnsi="Calibri" w:cs="Calibri"/>
          <w:b/>
          <w:bCs/>
        </w:rPr>
        <w:fldChar w:fldCharType="separate"/>
      </w:r>
      <w:r w:rsidR="00916EDA" w:rsidRPr="00916EDA">
        <w:rPr>
          <w:rStyle w:val="CommentReference"/>
          <w:rFonts w:ascii="Calibri" w:hAnsi="Calibri" w:cs="Calibri"/>
          <w:b w:val="0"/>
          <w:bCs/>
          <w:sz w:val="24"/>
          <w:szCs w:val="24"/>
        </w:rPr>
        <w:t xml:space="preserve">Table </w:t>
      </w:r>
      <w:r w:rsidR="00916EDA" w:rsidRPr="00916EDA">
        <w:rPr>
          <w:rStyle w:val="CommentReference"/>
          <w:rFonts w:ascii="Calibri" w:hAnsi="Calibri" w:cs="Calibri"/>
          <w:b w:val="0"/>
          <w:bCs/>
          <w:noProof/>
          <w:sz w:val="24"/>
          <w:szCs w:val="24"/>
        </w:rPr>
        <w:t>5</w:t>
      </w:r>
      <w:r w:rsidR="0046301E" w:rsidRPr="0064255A">
        <w:rPr>
          <w:rFonts w:ascii="Calibri" w:hAnsi="Calibri" w:cs="Calibri"/>
          <w:b/>
          <w:bCs/>
        </w:rPr>
        <w:fldChar w:fldCharType="end"/>
      </w:r>
      <w:r w:rsidR="0046301E" w:rsidRPr="0064255A">
        <w:rPr>
          <w:rFonts w:ascii="Calibri" w:hAnsi="Calibri" w:cs="Calibri"/>
          <w:b/>
          <w:bCs/>
        </w:rPr>
        <w:t>.</w:t>
      </w:r>
    </w:p>
    <w:p w14:paraId="473143E3" w14:textId="44BB1620" w:rsidR="00585F2B" w:rsidRPr="00F43522" w:rsidRDefault="00585F2B" w:rsidP="00F43522">
      <w:pPr>
        <w:pStyle w:val="TableFigureHeading"/>
        <w:rPr>
          <w:rStyle w:val="CommentReference"/>
          <w:b/>
          <w:szCs w:val="24"/>
        </w:rPr>
      </w:pPr>
      <w:bookmarkStart w:id="27" w:name="_Ref104804098"/>
      <w:bookmarkStart w:id="28" w:name="_Ref123737386"/>
      <w:bookmarkStart w:id="29" w:name="_Toc22897641"/>
      <w:r w:rsidRPr="00F43522">
        <w:rPr>
          <w:rStyle w:val="CommentReference"/>
          <w:b/>
          <w:szCs w:val="24"/>
        </w:rPr>
        <w:lastRenderedPageBreak/>
        <w:t xml:space="preserve">Table </w:t>
      </w:r>
      <w:r w:rsidRPr="00F43522">
        <w:rPr>
          <w:rStyle w:val="CommentReference"/>
          <w:b/>
          <w:szCs w:val="24"/>
        </w:rPr>
        <w:fldChar w:fldCharType="begin" w:fldLock="1"/>
      </w:r>
      <w:r w:rsidRPr="00F43522">
        <w:rPr>
          <w:rStyle w:val="CommentReference"/>
          <w:b/>
          <w:szCs w:val="24"/>
        </w:rPr>
        <w:instrText xml:space="preserve"> SEQ Table \* ARABIC </w:instrText>
      </w:r>
      <w:r w:rsidRPr="00F43522">
        <w:rPr>
          <w:rStyle w:val="CommentReference"/>
          <w:b/>
          <w:szCs w:val="24"/>
        </w:rPr>
        <w:fldChar w:fldCharType="separate"/>
      </w:r>
      <w:r w:rsidR="00916EDA">
        <w:rPr>
          <w:rStyle w:val="CommentReference"/>
          <w:b/>
          <w:noProof/>
          <w:szCs w:val="24"/>
        </w:rPr>
        <w:t>5</w:t>
      </w:r>
      <w:r w:rsidRPr="00F43522">
        <w:rPr>
          <w:rStyle w:val="CommentReference"/>
          <w:b/>
          <w:szCs w:val="24"/>
        </w:rPr>
        <w:fldChar w:fldCharType="end"/>
      </w:r>
      <w:bookmarkEnd w:id="27"/>
      <w:bookmarkEnd w:id="28"/>
      <w:r w:rsidRPr="00F43522">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546"/>
        <w:gridCol w:w="1403"/>
        <w:gridCol w:w="997"/>
        <w:gridCol w:w="1535"/>
        <w:gridCol w:w="3407"/>
      </w:tblGrid>
      <w:tr w:rsidR="000F5847" w:rsidRPr="00B41614" w14:paraId="410E8B90" w14:textId="77777777" w:rsidTr="00480807">
        <w:trPr>
          <w:cantSplit/>
          <w:tblHeader/>
        </w:trPr>
        <w:tc>
          <w:tcPr>
            <w:tcW w:w="626" w:type="pct"/>
            <w:shd w:val="clear" w:color="auto" w:fill="auto"/>
            <w:vAlign w:val="center"/>
          </w:tcPr>
          <w:p w14:paraId="48063C7F" w14:textId="77777777" w:rsidR="00585F2B" w:rsidRPr="00B41614" w:rsidRDefault="00585F2B" w:rsidP="00585F2B">
            <w:pPr>
              <w:pStyle w:val="In-tableHeading"/>
            </w:pPr>
            <w:r w:rsidRPr="00B41614">
              <w:t>Trial</w:t>
            </w:r>
          </w:p>
        </w:tc>
        <w:tc>
          <w:tcPr>
            <w:tcW w:w="303" w:type="pct"/>
            <w:shd w:val="clear" w:color="auto" w:fill="auto"/>
            <w:vAlign w:val="center"/>
          </w:tcPr>
          <w:p w14:paraId="324BB698" w14:textId="77777777" w:rsidR="00585F2B" w:rsidRPr="00B41614" w:rsidRDefault="00585F2B" w:rsidP="00585F2B">
            <w:pPr>
              <w:pStyle w:val="In-tableHeading"/>
              <w:jc w:val="center"/>
            </w:pPr>
            <w:r w:rsidRPr="00B41614">
              <w:t>N</w:t>
            </w:r>
          </w:p>
        </w:tc>
        <w:tc>
          <w:tcPr>
            <w:tcW w:w="778" w:type="pct"/>
            <w:shd w:val="clear" w:color="auto" w:fill="auto"/>
            <w:vAlign w:val="center"/>
          </w:tcPr>
          <w:p w14:paraId="1DA8B29F" w14:textId="77777777" w:rsidR="00585F2B" w:rsidRPr="00B41614" w:rsidRDefault="00585F2B" w:rsidP="00585F2B">
            <w:pPr>
              <w:pStyle w:val="In-tableHeading"/>
              <w:jc w:val="center"/>
            </w:pPr>
            <w:r w:rsidRPr="00B41614">
              <w:t>Design/ duration</w:t>
            </w:r>
          </w:p>
        </w:tc>
        <w:tc>
          <w:tcPr>
            <w:tcW w:w="553" w:type="pct"/>
            <w:shd w:val="clear" w:color="auto" w:fill="auto"/>
            <w:vAlign w:val="center"/>
          </w:tcPr>
          <w:p w14:paraId="6BD94996" w14:textId="77777777" w:rsidR="00585F2B" w:rsidRPr="00B41614" w:rsidRDefault="00585F2B" w:rsidP="00585F2B">
            <w:pPr>
              <w:pStyle w:val="In-tableHeading"/>
              <w:jc w:val="center"/>
            </w:pPr>
            <w:r w:rsidRPr="00B41614">
              <w:t>Risk of bias</w:t>
            </w:r>
          </w:p>
        </w:tc>
        <w:tc>
          <w:tcPr>
            <w:tcW w:w="851" w:type="pct"/>
            <w:shd w:val="clear" w:color="auto" w:fill="auto"/>
            <w:vAlign w:val="center"/>
          </w:tcPr>
          <w:p w14:paraId="09E8F8CE" w14:textId="77777777" w:rsidR="00585F2B" w:rsidRPr="00B41614" w:rsidRDefault="00585F2B" w:rsidP="00585F2B">
            <w:pPr>
              <w:pStyle w:val="In-tableHeading"/>
              <w:jc w:val="center"/>
            </w:pPr>
            <w:r w:rsidRPr="00B41614">
              <w:t>Patient population</w:t>
            </w:r>
          </w:p>
        </w:tc>
        <w:tc>
          <w:tcPr>
            <w:tcW w:w="1889" w:type="pct"/>
            <w:shd w:val="clear" w:color="auto" w:fill="auto"/>
            <w:vAlign w:val="center"/>
          </w:tcPr>
          <w:p w14:paraId="499DAD4F" w14:textId="77777777" w:rsidR="00585F2B" w:rsidRPr="00B41614" w:rsidRDefault="00585F2B" w:rsidP="00585F2B">
            <w:pPr>
              <w:pStyle w:val="In-tableHeading"/>
              <w:jc w:val="center"/>
            </w:pPr>
            <w:r>
              <w:t xml:space="preserve">Primary </w:t>
            </w:r>
            <w:r w:rsidRPr="00B41614">
              <w:t>Outcome(s)</w:t>
            </w:r>
          </w:p>
        </w:tc>
      </w:tr>
      <w:tr w:rsidR="000F5847" w:rsidRPr="00B41614" w14:paraId="172C9747" w14:textId="77777777" w:rsidTr="000F5847">
        <w:trPr>
          <w:cantSplit/>
          <w:tblHeader/>
        </w:trPr>
        <w:tc>
          <w:tcPr>
            <w:tcW w:w="5000" w:type="pct"/>
            <w:gridSpan w:val="6"/>
            <w:shd w:val="clear" w:color="auto" w:fill="auto"/>
            <w:vAlign w:val="center"/>
          </w:tcPr>
          <w:p w14:paraId="660CE150" w14:textId="77777777" w:rsidR="00585F2B" w:rsidRPr="00B41614" w:rsidRDefault="00585F2B" w:rsidP="00585F2B">
            <w:pPr>
              <w:pStyle w:val="In-tableHeading"/>
            </w:pPr>
            <w:r>
              <w:t>Ravulizumab studies</w:t>
            </w:r>
          </w:p>
        </w:tc>
      </w:tr>
      <w:tr w:rsidR="000F5847" w:rsidRPr="00E2771E" w14:paraId="267DFE0C" w14:textId="77777777" w:rsidTr="00480807">
        <w:trPr>
          <w:cantSplit/>
        </w:trPr>
        <w:tc>
          <w:tcPr>
            <w:tcW w:w="626" w:type="pct"/>
            <w:shd w:val="clear" w:color="auto" w:fill="auto"/>
            <w:vAlign w:val="center"/>
          </w:tcPr>
          <w:p w14:paraId="24B430C6" w14:textId="77777777" w:rsidR="00585F2B" w:rsidRPr="00E2771E" w:rsidRDefault="00585F2B" w:rsidP="00585F2B">
            <w:pPr>
              <w:pStyle w:val="TableText0"/>
              <w:rPr>
                <w:lang w:val="en-US"/>
              </w:rPr>
            </w:pPr>
            <w:r>
              <w:rPr>
                <w:lang w:val="en-US"/>
              </w:rPr>
              <w:t>Study 311</w:t>
            </w:r>
          </w:p>
        </w:tc>
        <w:tc>
          <w:tcPr>
            <w:tcW w:w="303" w:type="pct"/>
            <w:shd w:val="clear" w:color="auto" w:fill="auto"/>
            <w:vAlign w:val="center"/>
          </w:tcPr>
          <w:p w14:paraId="2FBFD553" w14:textId="77777777" w:rsidR="00585F2B" w:rsidRPr="00E2771E" w:rsidRDefault="00585F2B" w:rsidP="00585F2B">
            <w:pPr>
              <w:pStyle w:val="TableText0"/>
              <w:jc w:val="center"/>
              <w:rPr>
                <w:lang w:val="en-US"/>
              </w:rPr>
            </w:pPr>
            <w:r>
              <w:rPr>
                <w:lang w:val="en-US"/>
              </w:rPr>
              <w:t>56</w:t>
            </w:r>
          </w:p>
        </w:tc>
        <w:tc>
          <w:tcPr>
            <w:tcW w:w="778" w:type="pct"/>
            <w:shd w:val="clear" w:color="auto" w:fill="auto"/>
            <w:vAlign w:val="center"/>
          </w:tcPr>
          <w:p w14:paraId="6D67B03C" w14:textId="65C33A9F" w:rsidR="00585F2B" w:rsidRPr="00E2771E" w:rsidRDefault="00585F2B" w:rsidP="00585F2B">
            <w:pPr>
              <w:pStyle w:val="TableText0"/>
              <w:rPr>
                <w:lang w:val="en-US"/>
              </w:rPr>
            </w:pPr>
            <w:r>
              <w:rPr>
                <w:lang w:val="en-US"/>
              </w:rPr>
              <w:t xml:space="preserve">Single arm, OL, </w:t>
            </w:r>
            <w:proofErr w:type="gramStart"/>
            <w:r>
              <w:rPr>
                <w:lang w:val="en-US"/>
              </w:rPr>
              <w:t>26</w:t>
            </w:r>
            <w:proofErr w:type="gramEnd"/>
            <w:r>
              <w:rPr>
                <w:lang w:val="en-US"/>
              </w:rPr>
              <w:t xml:space="preserve"> wk, followed by extension until product registration or 4.5 years</w:t>
            </w:r>
          </w:p>
        </w:tc>
        <w:tc>
          <w:tcPr>
            <w:tcW w:w="553" w:type="pct"/>
            <w:shd w:val="clear" w:color="auto" w:fill="auto"/>
            <w:vAlign w:val="center"/>
          </w:tcPr>
          <w:p w14:paraId="3DE0DAE5" w14:textId="77777777" w:rsidR="00585F2B" w:rsidRPr="00D64D6F" w:rsidRDefault="00585F2B" w:rsidP="00585F2B">
            <w:pPr>
              <w:pStyle w:val="TableText0"/>
              <w:jc w:val="center"/>
              <w:rPr>
                <w:iCs/>
                <w:lang w:val="en-US"/>
              </w:rPr>
            </w:pPr>
            <w:r w:rsidRPr="00D64D6F">
              <w:rPr>
                <w:iCs/>
                <w:lang w:val="en-US"/>
              </w:rPr>
              <w:t>High</w:t>
            </w:r>
          </w:p>
        </w:tc>
        <w:tc>
          <w:tcPr>
            <w:tcW w:w="851" w:type="pct"/>
            <w:shd w:val="clear" w:color="auto" w:fill="auto"/>
            <w:vAlign w:val="center"/>
          </w:tcPr>
          <w:p w14:paraId="763A48A6" w14:textId="0DACC05A" w:rsidR="00585F2B" w:rsidRPr="00E2771E" w:rsidRDefault="00585F2B" w:rsidP="00585F2B">
            <w:pPr>
              <w:pStyle w:val="TableText0"/>
              <w:jc w:val="center"/>
              <w:rPr>
                <w:lang w:val="en-US"/>
              </w:rPr>
            </w:pPr>
            <w:r>
              <w:rPr>
                <w:lang w:val="en-US"/>
              </w:rPr>
              <w:t xml:space="preserve"> </w:t>
            </w:r>
            <w:r>
              <w:rPr>
                <w:rFonts w:ascii="Symbol" w:eastAsia="Symbol" w:hAnsi="Symbol" w:cs="Symbol"/>
                <w:lang w:val="en-US"/>
              </w:rPr>
              <w:t>³</w:t>
            </w:r>
            <w:r>
              <w:rPr>
                <w:lang w:val="en-US"/>
              </w:rPr>
              <w:t xml:space="preserve">12 years with aHUS </w:t>
            </w:r>
            <w:r w:rsidRPr="003A48D2">
              <w:rPr>
                <w:lang w:val="en-US"/>
              </w:rPr>
              <w:t>and</w:t>
            </w:r>
            <w:r>
              <w:rPr>
                <w:lang w:val="en-US"/>
              </w:rPr>
              <w:t xml:space="preserve"> no previous eculizumab treatment</w:t>
            </w:r>
          </w:p>
        </w:tc>
        <w:tc>
          <w:tcPr>
            <w:tcW w:w="1889" w:type="pct"/>
            <w:shd w:val="clear" w:color="auto" w:fill="auto"/>
            <w:vAlign w:val="center"/>
          </w:tcPr>
          <w:p w14:paraId="3501F0C1" w14:textId="55266BA2" w:rsidR="00585F2B" w:rsidRPr="0035773A" w:rsidRDefault="00585F2B" w:rsidP="00702A1D">
            <w:pPr>
              <w:pStyle w:val="PBACTabletext0"/>
              <w:widowControl w:val="0"/>
              <w:rPr>
                <w:lang w:val="en-US"/>
              </w:rPr>
            </w:pPr>
            <w:r>
              <w:rPr>
                <w:lang w:val="en-US"/>
              </w:rPr>
              <w:t>P</w:t>
            </w:r>
            <w:r w:rsidRPr="00056C50">
              <w:rPr>
                <w:lang w:val="en-US"/>
              </w:rPr>
              <w:t>latelet count ≥150 × 10</w:t>
            </w:r>
            <w:r w:rsidRPr="003F79F4">
              <w:rPr>
                <w:vertAlign w:val="superscript"/>
                <w:lang w:val="en-US"/>
              </w:rPr>
              <w:t>9</w:t>
            </w:r>
            <w:r w:rsidRPr="00056C50">
              <w:rPr>
                <w:lang w:val="en-US"/>
              </w:rPr>
              <w:t xml:space="preserve">/L </w:t>
            </w:r>
            <w:r w:rsidRPr="003A48D2">
              <w:rPr>
                <w:lang w:val="en-US"/>
              </w:rPr>
              <w:t>and</w:t>
            </w:r>
            <w:r w:rsidRPr="00056C50">
              <w:rPr>
                <w:lang w:val="en-US"/>
              </w:rPr>
              <w:t xml:space="preserve"> LDH ≤246 U/L), </w:t>
            </w:r>
            <w:r w:rsidRPr="003A48D2">
              <w:rPr>
                <w:lang w:val="en-US"/>
              </w:rPr>
              <w:t>and</w:t>
            </w:r>
            <w:r w:rsidRPr="00056C50">
              <w:rPr>
                <w:lang w:val="en-US"/>
              </w:rPr>
              <w:t xml:space="preserve"> ≥25% improvement in serum creatinine from baseline</w:t>
            </w:r>
            <w:r w:rsidR="00702A1D">
              <w:rPr>
                <w:lang w:val="en-US"/>
              </w:rPr>
              <w:t xml:space="preserve"> </w:t>
            </w:r>
            <w:r w:rsidR="00702A1D" w:rsidRPr="00702A1D">
              <w:rPr>
                <w:lang w:val="en-US"/>
              </w:rPr>
              <w:t>at 2 separate assessments obtained</w:t>
            </w:r>
            <w:r w:rsidR="00702A1D">
              <w:rPr>
                <w:lang w:val="en-US"/>
              </w:rPr>
              <w:t xml:space="preserve"> </w:t>
            </w:r>
            <w:r w:rsidR="00702A1D" w:rsidRPr="00702A1D">
              <w:rPr>
                <w:lang w:val="en-US"/>
              </w:rPr>
              <w:t>at least 28 days apart, and any measurement in between</w:t>
            </w:r>
            <w:r w:rsidR="00702A1D">
              <w:rPr>
                <w:lang w:val="en-US"/>
              </w:rPr>
              <w:t>,</w:t>
            </w:r>
            <w:r>
              <w:rPr>
                <w:lang w:val="en-US"/>
              </w:rPr>
              <w:t xml:space="preserve"> at any time during initial 26 wk </w:t>
            </w:r>
          </w:p>
        </w:tc>
      </w:tr>
      <w:tr w:rsidR="000F5847" w:rsidRPr="00E2771E" w14:paraId="19C89A1F" w14:textId="77777777" w:rsidTr="00480807">
        <w:trPr>
          <w:cantSplit/>
        </w:trPr>
        <w:tc>
          <w:tcPr>
            <w:tcW w:w="626" w:type="pct"/>
            <w:shd w:val="clear" w:color="auto" w:fill="auto"/>
            <w:vAlign w:val="center"/>
          </w:tcPr>
          <w:p w14:paraId="4A87D558" w14:textId="77777777" w:rsidR="00585F2B" w:rsidRPr="00E2771E" w:rsidRDefault="00585F2B" w:rsidP="00585F2B">
            <w:pPr>
              <w:pStyle w:val="TableText0"/>
              <w:rPr>
                <w:lang w:val="en-US"/>
              </w:rPr>
            </w:pPr>
            <w:r>
              <w:rPr>
                <w:lang w:val="en-US"/>
              </w:rPr>
              <w:t>Study 312</w:t>
            </w:r>
          </w:p>
        </w:tc>
        <w:tc>
          <w:tcPr>
            <w:tcW w:w="303" w:type="pct"/>
            <w:shd w:val="clear" w:color="auto" w:fill="auto"/>
            <w:vAlign w:val="center"/>
          </w:tcPr>
          <w:p w14:paraId="581079A4" w14:textId="77777777" w:rsidR="00585F2B" w:rsidRPr="00E2771E" w:rsidRDefault="00585F2B" w:rsidP="00585F2B">
            <w:pPr>
              <w:pStyle w:val="TableText0"/>
              <w:jc w:val="center"/>
              <w:rPr>
                <w:lang w:val="en-US"/>
              </w:rPr>
            </w:pPr>
            <w:r>
              <w:rPr>
                <w:lang w:val="en-US"/>
              </w:rPr>
              <w:t>30</w:t>
            </w:r>
          </w:p>
        </w:tc>
        <w:tc>
          <w:tcPr>
            <w:tcW w:w="778" w:type="pct"/>
            <w:shd w:val="clear" w:color="auto" w:fill="auto"/>
            <w:vAlign w:val="center"/>
          </w:tcPr>
          <w:p w14:paraId="0B177F45" w14:textId="3DFC1B1D" w:rsidR="00585F2B" w:rsidRPr="00E2771E" w:rsidRDefault="00585F2B" w:rsidP="00585F2B">
            <w:pPr>
              <w:pStyle w:val="TableText0"/>
              <w:rPr>
                <w:lang w:val="en-US"/>
              </w:rPr>
            </w:pPr>
            <w:r>
              <w:rPr>
                <w:lang w:val="en-US"/>
              </w:rPr>
              <w:t xml:space="preserve">Single arm, OL, </w:t>
            </w:r>
            <w:proofErr w:type="gramStart"/>
            <w:r>
              <w:rPr>
                <w:lang w:val="en-US"/>
              </w:rPr>
              <w:t>26</w:t>
            </w:r>
            <w:proofErr w:type="gramEnd"/>
            <w:r>
              <w:rPr>
                <w:lang w:val="en-US"/>
              </w:rPr>
              <w:t xml:space="preserve"> wk, followed by extension until product registration or 4.5 years</w:t>
            </w:r>
          </w:p>
        </w:tc>
        <w:tc>
          <w:tcPr>
            <w:tcW w:w="553" w:type="pct"/>
            <w:shd w:val="clear" w:color="auto" w:fill="auto"/>
            <w:vAlign w:val="center"/>
          </w:tcPr>
          <w:p w14:paraId="1F7A22C1" w14:textId="77777777" w:rsidR="00585F2B" w:rsidRPr="00D64D6F" w:rsidRDefault="00585F2B" w:rsidP="00585F2B">
            <w:pPr>
              <w:pStyle w:val="TableText0"/>
              <w:jc w:val="center"/>
              <w:rPr>
                <w:iCs/>
                <w:lang w:val="en-US"/>
              </w:rPr>
            </w:pPr>
            <w:r w:rsidRPr="00D64D6F">
              <w:rPr>
                <w:iCs/>
                <w:lang w:val="en-US"/>
              </w:rPr>
              <w:t>High</w:t>
            </w:r>
          </w:p>
        </w:tc>
        <w:tc>
          <w:tcPr>
            <w:tcW w:w="851" w:type="pct"/>
            <w:shd w:val="clear" w:color="auto" w:fill="auto"/>
            <w:vAlign w:val="center"/>
          </w:tcPr>
          <w:p w14:paraId="2B9411CB" w14:textId="0BA90BA5" w:rsidR="00585F2B" w:rsidRPr="00E2771E" w:rsidRDefault="00585F2B" w:rsidP="00585F2B">
            <w:pPr>
              <w:pStyle w:val="TableText0"/>
              <w:jc w:val="center"/>
              <w:rPr>
                <w:lang w:val="en-US"/>
              </w:rPr>
            </w:pPr>
            <w:r>
              <w:rPr>
                <w:lang w:val="en-US"/>
              </w:rPr>
              <w:t>&lt;18 years with aHUS; previous eculizumab treatment permitted (10 patients)</w:t>
            </w:r>
          </w:p>
        </w:tc>
        <w:tc>
          <w:tcPr>
            <w:tcW w:w="1889" w:type="pct"/>
            <w:shd w:val="clear" w:color="auto" w:fill="auto"/>
            <w:vAlign w:val="center"/>
          </w:tcPr>
          <w:p w14:paraId="6A7B5DC1" w14:textId="7F842E67" w:rsidR="00585F2B" w:rsidRPr="00E2771E" w:rsidRDefault="00585F2B" w:rsidP="00702A1D">
            <w:pPr>
              <w:pStyle w:val="TableText0"/>
              <w:rPr>
                <w:lang w:val="en-US"/>
              </w:rPr>
            </w:pPr>
            <w:r>
              <w:rPr>
                <w:lang w:val="en-US"/>
              </w:rPr>
              <w:t>P</w:t>
            </w:r>
            <w:r w:rsidRPr="00056C50">
              <w:rPr>
                <w:lang w:val="en-US"/>
              </w:rPr>
              <w:t>latelet count ≥150 × 10</w:t>
            </w:r>
            <w:r w:rsidRPr="003F79F4">
              <w:rPr>
                <w:vertAlign w:val="superscript"/>
                <w:lang w:val="en-US"/>
              </w:rPr>
              <w:t>9</w:t>
            </w:r>
            <w:r w:rsidRPr="00056C50">
              <w:rPr>
                <w:lang w:val="en-US"/>
              </w:rPr>
              <w:t xml:space="preserve">/L </w:t>
            </w:r>
            <w:r w:rsidRPr="003A48D2">
              <w:rPr>
                <w:lang w:val="en-US"/>
              </w:rPr>
              <w:t>and</w:t>
            </w:r>
            <w:r w:rsidRPr="00056C50">
              <w:rPr>
                <w:lang w:val="en-US"/>
              </w:rPr>
              <w:t xml:space="preserve"> LDH ≤246 U/L), </w:t>
            </w:r>
            <w:r w:rsidRPr="003A48D2">
              <w:rPr>
                <w:lang w:val="en-US"/>
              </w:rPr>
              <w:t>and</w:t>
            </w:r>
            <w:r w:rsidRPr="00056C50">
              <w:rPr>
                <w:lang w:val="en-US"/>
              </w:rPr>
              <w:t xml:space="preserve"> ≥25% improvement in serum creatinine from baseline</w:t>
            </w:r>
            <w:r>
              <w:rPr>
                <w:lang w:val="en-US"/>
              </w:rPr>
              <w:t xml:space="preserve"> </w:t>
            </w:r>
            <w:r w:rsidR="00702A1D" w:rsidRPr="00702A1D">
              <w:rPr>
                <w:lang w:val="en-US"/>
              </w:rPr>
              <w:t>at 2 separate assessments obtained</w:t>
            </w:r>
            <w:r w:rsidR="00702A1D">
              <w:rPr>
                <w:lang w:val="en-US"/>
              </w:rPr>
              <w:t xml:space="preserve"> </w:t>
            </w:r>
            <w:r w:rsidR="00702A1D" w:rsidRPr="00702A1D">
              <w:rPr>
                <w:lang w:val="en-US"/>
              </w:rPr>
              <w:t xml:space="preserve">at least </w:t>
            </w:r>
            <w:r w:rsidR="00702A1D">
              <w:rPr>
                <w:lang w:val="en-US"/>
              </w:rPr>
              <w:t>2</w:t>
            </w:r>
            <w:r w:rsidR="00702A1D" w:rsidRPr="00702A1D">
              <w:rPr>
                <w:lang w:val="en-US"/>
              </w:rPr>
              <w:t>8 days apart, and any measurement in between</w:t>
            </w:r>
            <w:r w:rsidR="00702A1D">
              <w:rPr>
                <w:lang w:val="en-US"/>
              </w:rPr>
              <w:t xml:space="preserve">, </w:t>
            </w:r>
            <w:r>
              <w:rPr>
                <w:lang w:val="en-US"/>
              </w:rPr>
              <w:t>at any time during initial 26 wk</w:t>
            </w:r>
          </w:p>
        </w:tc>
      </w:tr>
      <w:tr w:rsidR="000F5847" w:rsidRPr="00E2771E" w14:paraId="6BA91498" w14:textId="77777777" w:rsidTr="000F5847">
        <w:trPr>
          <w:cantSplit/>
        </w:trPr>
        <w:tc>
          <w:tcPr>
            <w:tcW w:w="5000" w:type="pct"/>
            <w:gridSpan w:val="6"/>
            <w:shd w:val="clear" w:color="auto" w:fill="auto"/>
            <w:vAlign w:val="center"/>
          </w:tcPr>
          <w:p w14:paraId="38F6B5CC" w14:textId="77777777" w:rsidR="00585F2B" w:rsidRPr="00D64D6F" w:rsidRDefault="00585F2B" w:rsidP="00585F2B">
            <w:pPr>
              <w:pStyle w:val="TableText0"/>
              <w:rPr>
                <w:b/>
                <w:bCs w:val="0"/>
                <w:iCs/>
                <w:lang w:val="en-US"/>
              </w:rPr>
            </w:pPr>
            <w:r w:rsidRPr="00D64D6F">
              <w:rPr>
                <w:b/>
                <w:bCs w:val="0"/>
                <w:iCs/>
                <w:lang w:val="en-US"/>
              </w:rPr>
              <w:t>Eculizumab studies</w:t>
            </w:r>
          </w:p>
        </w:tc>
      </w:tr>
      <w:tr w:rsidR="000F5847" w:rsidRPr="00E2771E" w14:paraId="45B554FB" w14:textId="77777777" w:rsidTr="00480807">
        <w:trPr>
          <w:cantSplit/>
        </w:trPr>
        <w:tc>
          <w:tcPr>
            <w:tcW w:w="626" w:type="pct"/>
            <w:shd w:val="clear" w:color="auto" w:fill="auto"/>
            <w:vAlign w:val="center"/>
          </w:tcPr>
          <w:p w14:paraId="508801FB" w14:textId="77777777" w:rsidR="00585F2B" w:rsidRPr="00E2771E" w:rsidRDefault="00585F2B" w:rsidP="00585F2B">
            <w:pPr>
              <w:pStyle w:val="TableText0"/>
              <w:rPr>
                <w:lang w:val="en-US"/>
              </w:rPr>
            </w:pPr>
            <w:r w:rsidRPr="00B9786A">
              <w:rPr>
                <w:lang w:val="en-US"/>
              </w:rPr>
              <w:t>Study C10-004</w:t>
            </w:r>
          </w:p>
        </w:tc>
        <w:tc>
          <w:tcPr>
            <w:tcW w:w="303" w:type="pct"/>
            <w:shd w:val="clear" w:color="auto" w:fill="auto"/>
            <w:vAlign w:val="center"/>
          </w:tcPr>
          <w:p w14:paraId="0CC0D048" w14:textId="77777777" w:rsidR="00585F2B" w:rsidRPr="00E2771E" w:rsidRDefault="00585F2B" w:rsidP="00585F2B">
            <w:pPr>
              <w:pStyle w:val="TableText0"/>
              <w:jc w:val="center"/>
              <w:rPr>
                <w:lang w:val="en-US"/>
              </w:rPr>
            </w:pPr>
            <w:r>
              <w:rPr>
                <w:lang w:val="en-US"/>
              </w:rPr>
              <w:t>41</w:t>
            </w:r>
          </w:p>
        </w:tc>
        <w:tc>
          <w:tcPr>
            <w:tcW w:w="778" w:type="pct"/>
            <w:shd w:val="clear" w:color="auto" w:fill="auto"/>
            <w:vAlign w:val="center"/>
          </w:tcPr>
          <w:p w14:paraId="5C030251" w14:textId="305B5CFF" w:rsidR="00585F2B" w:rsidRPr="00E2771E" w:rsidRDefault="00585F2B" w:rsidP="00585F2B">
            <w:pPr>
              <w:pStyle w:val="TableText0"/>
              <w:rPr>
                <w:lang w:val="en-US"/>
              </w:rPr>
            </w:pPr>
            <w:r>
              <w:rPr>
                <w:lang w:val="en-US"/>
              </w:rPr>
              <w:t xml:space="preserve">Single arm, OL, </w:t>
            </w:r>
            <w:proofErr w:type="gramStart"/>
            <w:r w:rsidRPr="004D165F">
              <w:rPr>
                <w:lang w:val="en-US"/>
              </w:rPr>
              <w:t>26</w:t>
            </w:r>
            <w:proofErr w:type="gramEnd"/>
            <w:r w:rsidRPr="004D165F">
              <w:rPr>
                <w:lang w:val="en-US"/>
              </w:rPr>
              <w:t xml:space="preserve"> </w:t>
            </w:r>
            <w:r>
              <w:rPr>
                <w:lang w:val="en-US"/>
              </w:rPr>
              <w:t>w</w:t>
            </w:r>
            <w:r w:rsidRPr="004D165F">
              <w:rPr>
                <w:lang w:val="en-US"/>
              </w:rPr>
              <w:t xml:space="preserve">k followed by </w:t>
            </w:r>
            <w:r>
              <w:rPr>
                <w:lang w:val="en-US"/>
              </w:rPr>
              <w:t>e</w:t>
            </w:r>
            <w:r w:rsidRPr="004D165F">
              <w:rPr>
                <w:lang w:val="en-US"/>
              </w:rPr>
              <w:t>xtension</w:t>
            </w:r>
            <w:r>
              <w:rPr>
                <w:lang w:val="en-US"/>
              </w:rPr>
              <w:t xml:space="preserve"> </w:t>
            </w:r>
            <w:r w:rsidRPr="004D165F">
              <w:rPr>
                <w:lang w:val="en-US"/>
              </w:rPr>
              <w:t>until</w:t>
            </w:r>
            <w:r>
              <w:rPr>
                <w:lang w:val="en-US"/>
              </w:rPr>
              <w:t xml:space="preserve"> </w:t>
            </w:r>
            <w:r w:rsidRPr="004D165F">
              <w:rPr>
                <w:lang w:val="en-US"/>
              </w:rPr>
              <w:t>product regist</w:t>
            </w:r>
            <w:r>
              <w:rPr>
                <w:lang w:val="en-US"/>
              </w:rPr>
              <w:t>ration</w:t>
            </w:r>
            <w:r w:rsidRPr="004D165F">
              <w:rPr>
                <w:lang w:val="en-US"/>
              </w:rPr>
              <w:t xml:space="preserve"> or </w:t>
            </w:r>
            <w:r>
              <w:rPr>
                <w:lang w:val="en-US"/>
              </w:rPr>
              <w:t>2</w:t>
            </w:r>
            <w:r w:rsidRPr="004D165F">
              <w:rPr>
                <w:lang w:val="en-US"/>
              </w:rPr>
              <w:t xml:space="preserve"> years</w:t>
            </w:r>
          </w:p>
        </w:tc>
        <w:tc>
          <w:tcPr>
            <w:tcW w:w="553" w:type="pct"/>
            <w:shd w:val="clear" w:color="auto" w:fill="auto"/>
            <w:vAlign w:val="center"/>
          </w:tcPr>
          <w:p w14:paraId="7A7CC50C" w14:textId="77777777" w:rsidR="00585F2B" w:rsidRPr="00D64D6F" w:rsidRDefault="00585F2B" w:rsidP="00585F2B">
            <w:pPr>
              <w:pStyle w:val="TableText0"/>
              <w:jc w:val="center"/>
              <w:rPr>
                <w:iCs/>
                <w:lang w:val="en-US"/>
              </w:rPr>
            </w:pPr>
            <w:r w:rsidRPr="00D64D6F">
              <w:rPr>
                <w:iCs/>
                <w:lang w:val="en-US"/>
              </w:rPr>
              <w:t>High</w:t>
            </w:r>
          </w:p>
        </w:tc>
        <w:tc>
          <w:tcPr>
            <w:tcW w:w="851" w:type="pct"/>
            <w:shd w:val="clear" w:color="auto" w:fill="auto"/>
            <w:vAlign w:val="center"/>
          </w:tcPr>
          <w:p w14:paraId="1FA06595" w14:textId="3C0B5FEE" w:rsidR="00585F2B" w:rsidRPr="00E2771E" w:rsidRDefault="00585F2B" w:rsidP="00585F2B">
            <w:pPr>
              <w:pStyle w:val="TableText0"/>
              <w:jc w:val="center"/>
              <w:rPr>
                <w:lang w:val="en-US"/>
              </w:rPr>
            </w:pPr>
            <w:r>
              <w:rPr>
                <w:rFonts w:ascii="Symbol" w:eastAsia="Symbol" w:hAnsi="Symbol" w:cs="Symbol"/>
                <w:lang w:val="en-US"/>
              </w:rPr>
              <w:t>³</w:t>
            </w:r>
            <w:r>
              <w:rPr>
                <w:lang w:val="en-US"/>
              </w:rPr>
              <w:t>18 years with aHUS</w:t>
            </w:r>
          </w:p>
        </w:tc>
        <w:tc>
          <w:tcPr>
            <w:tcW w:w="1889" w:type="pct"/>
            <w:shd w:val="clear" w:color="auto" w:fill="auto"/>
            <w:vAlign w:val="center"/>
          </w:tcPr>
          <w:p w14:paraId="6765C14B" w14:textId="63A09CBA" w:rsidR="00585F2B" w:rsidRPr="00E2771E" w:rsidRDefault="00585F2B" w:rsidP="00702A1D">
            <w:pPr>
              <w:pStyle w:val="TableText0"/>
              <w:rPr>
                <w:lang w:val="en-US"/>
              </w:rPr>
            </w:pPr>
            <w:r>
              <w:rPr>
                <w:lang w:val="en-US"/>
              </w:rPr>
              <w:t>P</w:t>
            </w:r>
            <w:r w:rsidRPr="00056C50">
              <w:rPr>
                <w:lang w:val="en-US"/>
              </w:rPr>
              <w:t>latelet count ≥150 × 10</w:t>
            </w:r>
            <w:r w:rsidRPr="003F79F4">
              <w:rPr>
                <w:vertAlign w:val="superscript"/>
                <w:lang w:val="en-US"/>
              </w:rPr>
              <w:t>9</w:t>
            </w:r>
            <w:r w:rsidRPr="00056C50">
              <w:rPr>
                <w:lang w:val="en-US"/>
              </w:rPr>
              <w:t xml:space="preserve">/L </w:t>
            </w:r>
            <w:r w:rsidRPr="003A48D2">
              <w:rPr>
                <w:lang w:val="en-US"/>
              </w:rPr>
              <w:t>and</w:t>
            </w:r>
            <w:r w:rsidRPr="00056C50">
              <w:rPr>
                <w:lang w:val="en-US"/>
              </w:rPr>
              <w:t xml:space="preserve"> LDH ≤246 U/L), </w:t>
            </w:r>
            <w:r w:rsidRPr="003A48D2">
              <w:rPr>
                <w:lang w:val="en-US"/>
              </w:rPr>
              <w:t>and</w:t>
            </w:r>
            <w:r w:rsidRPr="00056C50">
              <w:rPr>
                <w:lang w:val="en-US"/>
              </w:rPr>
              <w:t xml:space="preserve"> ≥25% improvement in serum creatinine from baseline</w:t>
            </w:r>
            <w:r>
              <w:rPr>
                <w:lang w:val="en-US"/>
              </w:rPr>
              <w:t xml:space="preserve"> </w:t>
            </w:r>
            <w:r w:rsidR="00702A1D" w:rsidRPr="00702A1D">
              <w:rPr>
                <w:lang w:val="en-US"/>
              </w:rPr>
              <w:t>at 2 separate assessments obtained</w:t>
            </w:r>
            <w:r w:rsidR="00756265">
              <w:rPr>
                <w:lang w:val="en-US"/>
              </w:rPr>
              <w:t xml:space="preserve"> a</w:t>
            </w:r>
            <w:r w:rsidR="00702A1D" w:rsidRPr="00702A1D">
              <w:rPr>
                <w:lang w:val="en-US"/>
              </w:rPr>
              <w:t>t least 28 days apart, and any measurement in between</w:t>
            </w:r>
            <w:r w:rsidR="00702A1D">
              <w:rPr>
                <w:lang w:val="en-US"/>
              </w:rPr>
              <w:t xml:space="preserve">, </w:t>
            </w:r>
            <w:r>
              <w:rPr>
                <w:lang w:val="en-US"/>
              </w:rPr>
              <w:t>at any time during initial 26 wk</w:t>
            </w:r>
          </w:p>
        </w:tc>
      </w:tr>
      <w:tr w:rsidR="000F5847" w:rsidRPr="00E2771E" w14:paraId="35EE11B9" w14:textId="77777777" w:rsidTr="00480807">
        <w:trPr>
          <w:cantSplit/>
        </w:trPr>
        <w:tc>
          <w:tcPr>
            <w:tcW w:w="626" w:type="pct"/>
            <w:shd w:val="clear" w:color="auto" w:fill="auto"/>
            <w:vAlign w:val="center"/>
          </w:tcPr>
          <w:p w14:paraId="5889E8E4" w14:textId="77777777" w:rsidR="00585F2B" w:rsidRPr="00E2771E" w:rsidRDefault="00585F2B" w:rsidP="00585F2B">
            <w:pPr>
              <w:pStyle w:val="TableText0"/>
              <w:rPr>
                <w:lang w:val="en-US"/>
              </w:rPr>
            </w:pPr>
            <w:r w:rsidRPr="00B9786A">
              <w:rPr>
                <w:lang w:val="en-US"/>
              </w:rPr>
              <w:t>Study C08-002</w:t>
            </w:r>
          </w:p>
        </w:tc>
        <w:tc>
          <w:tcPr>
            <w:tcW w:w="303" w:type="pct"/>
            <w:shd w:val="clear" w:color="auto" w:fill="auto"/>
            <w:vAlign w:val="center"/>
          </w:tcPr>
          <w:p w14:paraId="3DB84626" w14:textId="77777777" w:rsidR="00585F2B" w:rsidRPr="00E2771E" w:rsidRDefault="00585F2B" w:rsidP="00585F2B">
            <w:pPr>
              <w:pStyle w:val="TableText0"/>
              <w:jc w:val="center"/>
              <w:rPr>
                <w:lang w:val="en-US"/>
              </w:rPr>
            </w:pPr>
            <w:r>
              <w:rPr>
                <w:lang w:val="en-US"/>
              </w:rPr>
              <w:t>17</w:t>
            </w:r>
          </w:p>
        </w:tc>
        <w:tc>
          <w:tcPr>
            <w:tcW w:w="778" w:type="pct"/>
            <w:shd w:val="clear" w:color="auto" w:fill="auto"/>
            <w:vAlign w:val="center"/>
          </w:tcPr>
          <w:p w14:paraId="6167F90B" w14:textId="38223699" w:rsidR="00585F2B" w:rsidRPr="00E2771E" w:rsidRDefault="00585F2B" w:rsidP="00585F2B">
            <w:pPr>
              <w:pStyle w:val="TableText0"/>
              <w:rPr>
                <w:lang w:val="en-US"/>
              </w:rPr>
            </w:pPr>
            <w:r>
              <w:rPr>
                <w:lang w:val="en-US"/>
              </w:rPr>
              <w:t xml:space="preserve">Single arm, OL, </w:t>
            </w:r>
            <w:proofErr w:type="gramStart"/>
            <w:r w:rsidRPr="004D165F">
              <w:rPr>
                <w:lang w:val="en-US"/>
              </w:rPr>
              <w:t>26</w:t>
            </w:r>
            <w:proofErr w:type="gramEnd"/>
            <w:r w:rsidRPr="004D165F">
              <w:rPr>
                <w:lang w:val="en-US"/>
              </w:rPr>
              <w:t xml:space="preserve"> </w:t>
            </w:r>
            <w:r>
              <w:rPr>
                <w:lang w:val="en-US"/>
              </w:rPr>
              <w:t>w</w:t>
            </w:r>
            <w:r w:rsidRPr="004D165F">
              <w:rPr>
                <w:lang w:val="en-US"/>
              </w:rPr>
              <w:t xml:space="preserve">k followed by </w:t>
            </w:r>
            <w:r>
              <w:rPr>
                <w:lang w:val="en-US"/>
              </w:rPr>
              <w:t>e</w:t>
            </w:r>
            <w:r w:rsidRPr="004D165F">
              <w:rPr>
                <w:lang w:val="en-US"/>
              </w:rPr>
              <w:t>xtension</w:t>
            </w:r>
            <w:r>
              <w:rPr>
                <w:lang w:val="en-US"/>
              </w:rPr>
              <w:t xml:space="preserve"> </w:t>
            </w:r>
            <w:r w:rsidRPr="004D165F">
              <w:rPr>
                <w:lang w:val="en-US"/>
              </w:rPr>
              <w:t>until</w:t>
            </w:r>
            <w:r>
              <w:rPr>
                <w:lang w:val="en-US"/>
              </w:rPr>
              <w:t xml:space="preserve"> </w:t>
            </w:r>
            <w:r w:rsidRPr="004D165F">
              <w:rPr>
                <w:lang w:val="en-US"/>
              </w:rPr>
              <w:t>product regist</w:t>
            </w:r>
            <w:r>
              <w:rPr>
                <w:lang w:val="en-US"/>
              </w:rPr>
              <w:t>ration</w:t>
            </w:r>
          </w:p>
        </w:tc>
        <w:tc>
          <w:tcPr>
            <w:tcW w:w="553" w:type="pct"/>
            <w:shd w:val="clear" w:color="auto" w:fill="auto"/>
            <w:vAlign w:val="center"/>
          </w:tcPr>
          <w:p w14:paraId="6CCA01A5" w14:textId="77777777" w:rsidR="00585F2B" w:rsidRPr="00D64D6F" w:rsidRDefault="00585F2B" w:rsidP="00585F2B">
            <w:pPr>
              <w:pStyle w:val="TableText0"/>
              <w:jc w:val="center"/>
              <w:rPr>
                <w:iCs/>
                <w:lang w:val="en-US"/>
              </w:rPr>
            </w:pPr>
            <w:r w:rsidRPr="00D64D6F">
              <w:rPr>
                <w:iCs/>
                <w:lang w:val="en-US"/>
              </w:rPr>
              <w:t>High</w:t>
            </w:r>
          </w:p>
        </w:tc>
        <w:tc>
          <w:tcPr>
            <w:tcW w:w="851" w:type="pct"/>
            <w:shd w:val="clear" w:color="auto" w:fill="auto"/>
            <w:vAlign w:val="center"/>
          </w:tcPr>
          <w:p w14:paraId="1CAE114D" w14:textId="13955551" w:rsidR="00585F2B" w:rsidRPr="00E2771E" w:rsidRDefault="00585F2B" w:rsidP="00585F2B">
            <w:pPr>
              <w:pStyle w:val="TableText0"/>
              <w:jc w:val="center"/>
              <w:rPr>
                <w:lang w:val="en-US"/>
              </w:rPr>
            </w:pPr>
            <w:r>
              <w:rPr>
                <w:lang w:val="en-US"/>
              </w:rPr>
              <w:t xml:space="preserve">&gt;12 years and aHUS resistant to plasma exchange or infusion  </w:t>
            </w:r>
          </w:p>
        </w:tc>
        <w:tc>
          <w:tcPr>
            <w:tcW w:w="1889" w:type="pct"/>
            <w:shd w:val="clear" w:color="auto" w:fill="auto"/>
            <w:vAlign w:val="center"/>
          </w:tcPr>
          <w:p w14:paraId="45C4A653" w14:textId="62F6ADB6" w:rsidR="00585F2B" w:rsidRDefault="00585F2B" w:rsidP="00585F2B">
            <w:pPr>
              <w:pStyle w:val="PBACTabletext0"/>
              <w:keepNext w:val="0"/>
              <w:keepLines w:val="0"/>
              <w:widowControl w:val="0"/>
              <w:suppressLineNumbers w:val="0"/>
              <w:rPr>
                <w:lang w:val="en-US"/>
              </w:rPr>
            </w:pPr>
            <w:r w:rsidRPr="7CF5C488">
              <w:rPr>
                <w:lang w:val="en-US"/>
              </w:rPr>
              <w:t>Platelet count change from baseline including proportion of patients w</w:t>
            </w:r>
            <w:r>
              <w:rPr>
                <w:lang w:val="en-US"/>
              </w:rPr>
              <w:t>ith</w:t>
            </w:r>
            <w:r w:rsidRPr="7CF5C488">
              <w:rPr>
                <w:lang w:val="en-US"/>
              </w:rPr>
              <w:t xml:space="preserve"> platelet</w:t>
            </w:r>
            <w:r>
              <w:rPr>
                <w:lang w:val="en-US"/>
              </w:rPr>
              <w:t xml:space="preserve">s </w:t>
            </w:r>
            <w:r w:rsidRPr="00360B73">
              <w:rPr>
                <w:lang w:val="en-US"/>
              </w:rPr>
              <w:t>≥150 x 10</w:t>
            </w:r>
            <w:r w:rsidRPr="003F79F4">
              <w:rPr>
                <w:vertAlign w:val="superscript"/>
                <w:lang w:val="en-US"/>
              </w:rPr>
              <w:t>9</w:t>
            </w:r>
            <w:r w:rsidRPr="00360B73">
              <w:rPr>
                <w:lang w:val="en-US"/>
              </w:rPr>
              <w:t>/</w:t>
            </w:r>
            <w:proofErr w:type="gramStart"/>
            <w:r w:rsidRPr="00360B73">
              <w:rPr>
                <w:lang w:val="en-US"/>
              </w:rPr>
              <w:t>L</w:t>
            </w:r>
            <w:proofErr w:type="gramEnd"/>
          </w:p>
          <w:p w14:paraId="20E4B5B1" w14:textId="77777777" w:rsidR="00BE13B7" w:rsidRDefault="00BE13B7" w:rsidP="00585F2B">
            <w:pPr>
              <w:pStyle w:val="PBACTabletext0"/>
              <w:keepNext w:val="0"/>
              <w:keepLines w:val="0"/>
              <w:widowControl w:val="0"/>
              <w:suppressLineNumbers w:val="0"/>
              <w:rPr>
                <w:lang w:val="en-US"/>
              </w:rPr>
            </w:pPr>
          </w:p>
          <w:p w14:paraId="5B2502EC" w14:textId="559011B6" w:rsidR="00585F2B" w:rsidRPr="00E2771E" w:rsidRDefault="00BE13B7" w:rsidP="00585F2B">
            <w:pPr>
              <w:pStyle w:val="PBACTabletext0"/>
              <w:keepNext w:val="0"/>
              <w:keepLines w:val="0"/>
              <w:widowControl w:val="0"/>
              <w:suppressLineNumbers w:val="0"/>
              <w:rPr>
                <w:lang w:val="en-US"/>
              </w:rPr>
            </w:pPr>
            <w:r w:rsidRPr="00022698">
              <w:rPr>
                <w:lang w:val="en-US"/>
              </w:rPr>
              <w:t>Secondary outcome:</w:t>
            </w:r>
            <w:r>
              <w:rPr>
                <w:b/>
                <w:bCs/>
                <w:lang w:val="en-US"/>
              </w:rPr>
              <w:t xml:space="preserve"> </w:t>
            </w:r>
            <w:r w:rsidR="00585F2B">
              <w:rPr>
                <w:lang w:val="en-US"/>
              </w:rPr>
              <w:t>P</w:t>
            </w:r>
            <w:r w:rsidR="00585F2B" w:rsidRPr="00360B73">
              <w:rPr>
                <w:lang w:val="en-US"/>
              </w:rPr>
              <w:t>latelet count</w:t>
            </w:r>
            <w:r w:rsidR="00585F2B">
              <w:rPr>
                <w:lang w:val="en-US"/>
              </w:rPr>
              <w:t xml:space="preserve"> </w:t>
            </w:r>
            <w:r w:rsidR="00585F2B" w:rsidRPr="00360B73">
              <w:rPr>
                <w:lang w:val="en-US"/>
              </w:rPr>
              <w:t>≥150 x 10</w:t>
            </w:r>
            <w:r w:rsidR="00585F2B" w:rsidRPr="003F79F4">
              <w:rPr>
                <w:vertAlign w:val="superscript"/>
                <w:lang w:val="en-US"/>
              </w:rPr>
              <w:t>9</w:t>
            </w:r>
            <w:r w:rsidR="00585F2B" w:rsidRPr="00360B73">
              <w:rPr>
                <w:lang w:val="en-US"/>
              </w:rPr>
              <w:t>/L</w:t>
            </w:r>
            <w:r w:rsidR="00585F2B">
              <w:rPr>
                <w:lang w:val="en-US"/>
              </w:rPr>
              <w:t xml:space="preserve"> </w:t>
            </w:r>
            <w:r w:rsidR="00585F2B" w:rsidRPr="003A48D2">
              <w:rPr>
                <w:lang w:val="en-US"/>
              </w:rPr>
              <w:t>and</w:t>
            </w:r>
            <w:r w:rsidR="00585F2B" w:rsidRPr="00360B73">
              <w:rPr>
                <w:lang w:val="en-US"/>
              </w:rPr>
              <w:t xml:space="preserve"> LDH </w:t>
            </w:r>
            <w:r w:rsidR="00585F2B">
              <w:rPr>
                <w:rFonts w:ascii="Symbol" w:eastAsia="Symbol" w:hAnsi="Symbol" w:cs="Symbol"/>
              </w:rPr>
              <w:t>£</w:t>
            </w:r>
            <w:r w:rsidR="00585F2B">
              <w:t>246 U/L</w:t>
            </w:r>
            <w:r w:rsidR="00585F2B" w:rsidRPr="00360B73">
              <w:rPr>
                <w:lang w:val="en-US"/>
              </w:rPr>
              <w:t xml:space="preserve"> for at least</w:t>
            </w:r>
            <w:r w:rsidR="00585F2B">
              <w:rPr>
                <w:lang w:val="en-US"/>
              </w:rPr>
              <w:t xml:space="preserve"> </w:t>
            </w:r>
            <w:r>
              <w:rPr>
                <w:lang w:val="en-US"/>
              </w:rPr>
              <w:t>2</w:t>
            </w:r>
            <w:r w:rsidRPr="00360B73">
              <w:rPr>
                <w:lang w:val="en-US"/>
              </w:rPr>
              <w:t xml:space="preserve"> </w:t>
            </w:r>
            <w:r w:rsidR="00585F2B" w:rsidRPr="00360B73">
              <w:rPr>
                <w:lang w:val="en-US"/>
              </w:rPr>
              <w:t xml:space="preserve">consecutive measurements </w:t>
            </w:r>
            <w:r w:rsidR="00585F2B">
              <w:rPr>
                <w:lang w:val="en-US"/>
              </w:rPr>
              <w:t xml:space="preserve">and </w:t>
            </w:r>
            <w:r w:rsidR="00585F2B" w:rsidRPr="00360B73">
              <w:rPr>
                <w:lang w:val="en-US"/>
              </w:rPr>
              <w:t>for at least 4 weeks</w:t>
            </w:r>
          </w:p>
        </w:tc>
      </w:tr>
      <w:tr w:rsidR="000F5847" w:rsidRPr="00E2771E" w14:paraId="3D183089" w14:textId="77777777" w:rsidTr="00480807">
        <w:trPr>
          <w:cantSplit/>
        </w:trPr>
        <w:tc>
          <w:tcPr>
            <w:tcW w:w="626" w:type="pct"/>
            <w:shd w:val="clear" w:color="auto" w:fill="auto"/>
            <w:vAlign w:val="center"/>
          </w:tcPr>
          <w:p w14:paraId="092AA59A" w14:textId="77777777" w:rsidR="00585F2B" w:rsidRPr="00E2771E" w:rsidRDefault="00585F2B" w:rsidP="00585F2B">
            <w:pPr>
              <w:pStyle w:val="TableText0"/>
              <w:rPr>
                <w:lang w:val="en-US"/>
              </w:rPr>
            </w:pPr>
            <w:r>
              <w:rPr>
                <w:lang w:val="en-US"/>
              </w:rPr>
              <w:t>Study C10-003</w:t>
            </w:r>
          </w:p>
        </w:tc>
        <w:tc>
          <w:tcPr>
            <w:tcW w:w="303" w:type="pct"/>
            <w:shd w:val="clear" w:color="auto" w:fill="auto"/>
            <w:vAlign w:val="center"/>
          </w:tcPr>
          <w:p w14:paraId="441FABAF" w14:textId="77777777" w:rsidR="00585F2B" w:rsidRPr="00E2771E" w:rsidRDefault="00585F2B" w:rsidP="00585F2B">
            <w:pPr>
              <w:pStyle w:val="TableText0"/>
              <w:jc w:val="center"/>
              <w:rPr>
                <w:lang w:val="en-US"/>
              </w:rPr>
            </w:pPr>
            <w:r>
              <w:rPr>
                <w:lang w:val="en-US"/>
              </w:rPr>
              <w:t>22</w:t>
            </w:r>
          </w:p>
        </w:tc>
        <w:tc>
          <w:tcPr>
            <w:tcW w:w="778" w:type="pct"/>
            <w:shd w:val="clear" w:color="auto" w:fill="auto"/>
            <w:vAlign w:val="center"/>
          </w:tcPr>
          <w:p w14:paraId="0E0A2EE5" w14:textId="5A804E95" w:rsidR="00585F2B" w:rsidRDefault="00585F2B" w:rsidP="00585F2B">
            <w:pPr>
              <w:pStyle w:val="TableText0"/>
              <w:rPr>
                <w:lang w:val="en-US"/>
              </w:rPr>
            </w:pPr>
            <w:r>
              <w:rPr>
                <w:lang w:val="en-US"/>
              </w:rPr>
              <w:t>Single arm, OL,</w:t>
            </w:r>
          </w:p>
          <w:p w14:paraId="37B5C442" w14:textId="2D19AED1" w:rsidR="00585F2B" w:rsidRPr="00E2771E" w:rsidRDefault="00585F2B" w:rsidP="00585F2B">
            <w:pPr>
              <w:pStyle w:val="TableText0"/>
              <w:rPr>
                <w:lang w:val="en-US"/>
              </w:rPr>
            </w:pPr>
            <w:r>
              <w:rPr>
                <w:lang w:val="en-US"/>
              </w:rPr>
              <w:t xml:space="preserve">Single arm, OL, </w:t>
            </w:r>
            <w:proofErr w:type="gramStart"/>
            <w:r w:rsidRPr="004D165F">
              <w:rPr>
                <w:lang w:val="en-US"/>
              </w:rPr>
              <w:t>26</w:t>
            </w:r>
            <w:proofErr w:type="gramEnd"/>
            <w:r w:rsidRPr="004D165F">
              <w:rPr>
                <w:lang w:val="en-US"/>
              </w:rPr>
              <w:t xml:space="preserve"> </w:t>
            </w:r>
            <w:r>
              <w:rPr>
                <w:lang w:val="en-US"/>
              </w:rPr>
              <w:t>w</w:t>
            </w:r>
            <w:r w:rsidRPr="004D165F">
              <w:rPr>
                <w:lang w:val="en-US"/>
              </w:rPr>
              <w:t xml:space="preserve">k followed by </w:t>
            </w:r>
            <w:r>
              <w:rPr>
                <w:lang w:val="en-US"/>
              </w:rPr>
              <w:t>e</w:t>
            </w:r>
            <w:r w:rsidRPr="004D165F">
              <w:rPr>
                <w:lang w:val="en-US"/>
              </w:rPr>
              <w:t>xtension</w:t>
            </w:r>
            <w:r>
              <w:rPr>
                <w:lang w:val="en-US"/>
              </w:rPr>
              <w:t xml:space="preserve"> </w:t>
            </w:r>
            <w:r w:rsidRPr="004D165F">
              <w:rPr>
                <w:lang w:val="en-US"/>
              </w:rPr>
              <w:t>until</w:t>
            </w:r>
            <w:r>
              <w:rPr>
                <w:lang w:val="en-US"/>
              </w:rPr>
              <w:t xml:space="preserve"> </w:t>
            </w:r>
            <w:r w:rsidRPr="004D165F">
              <w:rPr>
                <w:lang w:val="en-US"/>
              </w:rPr>
              <w:t>product regist</w:t>
            </w:r>
            <w:r>
              <w:rPr>
                <w:lang w:val="en-US"/>
              </w:rPr>
              <w:t>ration</w:t>
            </w:r>
            <w:r w:rsidRPr="004D165F">
              <w:rPr>
                <w:lang w:val="en-US"/>
              </w:rPr>
              <w:t xml:space="preserve"> or </w:t>
            </w:r>
            <w:r>
              <w:rPr>
                <w:lang w:val="en-US"/>
              </w:rPr>
              <w:t>2</w:t>
            </w:r>
            <w:r w:rsidRPr="004D165F">
              <w:rPr>
                <w:lang w:val="en-US"/>
              </w:rPr>
              <w:t xml:space="preserve"> years</w:t>
            </w:r>
          </w:p>
        </w:tc>
        <w:tc>
          <w:tcPr>
            <w:tcW w:w="553" w:type="pct"/>
            <w:shd w:val="clear" w:color="auto" w:fill="auto"/>
            <w:vAlign w:val="center"/>
          </w:tcPr>
          <w:p w14:paraId="5336F33D" w14:textId="77777777" w:rsidR="00585F2B" w:rsidRPr="00D64D6F" w:rsidRDefault="00585F2B" w:rsidP="00585F2B">
            <w:pPr>
              <w:pStyle w:val="TableText0"/>
              <w:jc w:val="center"/>
              <w:rPr>
                <w:iCs/>
                <w:lang w:val="en-US"/>
              </w:rPr>
            </w:pPr>
            <w:r w:rsidRPr="00D64D6F">
              <w:rPr>
                <w:iCs/>
                <w:lang w:val="en-US"/>
              </w:rPr>
              <w:t>High</w:t>
            </w:r>
          </w:p>
        </w:tc>
        <w:tc>
          <w:tcPr>
            <w:tcW w:w="851" w:type="pct"/>
            <w:shd w:val="clear" w:color="auto" w:fill="auto"/>
            <w:vAlign w:val="center"/>
          </w:tcPr>
          <w:p w14:paraId="7E1E4E23" w14:textId="4D544032" w:rsidR="00585F2B" w:rsidRPr="00E2771E" w:rsidRDefault="00585F2B" w:rsidP="00585F2B">
            <w:pPr>
              <w:pStyle w:val="TableText0"/>
              <w:jc w:val="center"/>
              <w:rPr>
                <w:lang w:val="en-US"/>
              </w:rPr>
            </w:pPr>
            <w:r>
              <w:rPr>
                <w:lang w:val="en-US"/>
              </w:rPr>
              <w:t>&lt;18 years with aHUS</w:t>
            </w:r>
          </w:p>
        </w:tc>
        <w:tc>
          <w:tcPr>
            <w:tcW w:w="1889" w:type="pct"/>
            <w:shd w:val="clear" w:color="auto" w:fill="auto"/>
            <w:vAlign w:val="center"/>
          </w:tcPr>
          <w:p w14:paraId="6BA892E4" w14:textId="4433E997" w:rsidR="00585F2B" w:rsidRPr="00E2771E" w:rsidRDefault="00585F2B" w:rsidP="00702A1D">
            <w:pPr>
              <w:pStyle w:val="TableText0"/>
              <w:rPr>
                <w:lang w:val="en-US"/>
              </w:rPr>
            </w:pPr>
            <w:r>
              <w:rPr>
                <w:lang w:val="en-US"/>
              </w:rPr>
              <w:t>P</w:t>
            </w:r>
            <w:r w:rsidRPr="00056C50">
              <w:rPr>
                <w:lang w:val="en-US"/>
              </w:rPr>
              <w:t>latelet count ≥150 × 10</w:t>
            </w:r>
            <w:r w:rsidRPr="003F79F4">
              <w:rPr>
                <w:vertAlign w:val="superscript"/>
                <w:lang w:val="en-US"/>
              </w:rPr>
              <w:t>9</w:t>
            </w:r>
            <w:r w:rsidRPr="00056C50">
              <w:rPr>
                <w:lang w:val="en-US"/>
              </w:rPr>
              <w:t xml:space="preserve">/L </w:t>
            </w:r>
            <w:r w:rsidRPr="003A48D2">
              <w:rPr>
                <w:lang w:val="en-US"/>
              </w:rPr>
              <w:t>and</w:t>
            </w:r>
            <w:r w:rsidRPr="00056C50">
              <w:rPr>
                <w:lang w:val="en-US"/>
              </w:rPr>
              <w:t xml:space="preserve"> LDH≤ 246 U/L), </w:t>
            </w:r>
            <w:r w:rsidRPr="003A48D2">
              <w:rPr>
                <w:lang w:val="en-US"/>
              </w:rPr>
              <w:t>and</w:t>
            </w:r>
            <w:r w:rsidRPr="00056C50">
              <w:rPr>
                <w:lang w:val="en-US"/>
              </w:rPr>
              <w:t xml:space="preserve"> ≥25% improvement in serum creatinine from baseline</w:t>
            </w:r>
            <w:r w:rsidR="00702A1D">
              <w:rPr>
                <w:lang w:val="en-US"/>
              </w:rPr>
              <w:t xml:space="preserve"> </w:t>
            </w:r>
            <w:r w:rsidR="00702A1D" w:rsidRPr="00702A1D">
              <w:rPr>
                <w:lang w:val="en-US"/>
              </w:rPr>
              <w:t>at 2 separate assessments obtained</w:t>
            </w:r>
            <w:r w:rsidR="00702A1D">
              <w:rPr>
                <w:lang w:val="en-US"/>
              </w:rPr>
              <w:t xml:space="preserve"> </w:t>
            </w:r>
            <w:r w:rsidR="00702A1D" w:rsidRPr="00702A1D">
              <w:rPr>
                <w:lang w:val="en-US"/>
              </w:rPr>
              <w:t>at least 28 days apart, and any measurement in between</w:t>
            </w:r>
            <w:r w:rsidR="00702A1D">
              <w:rPr>
                <w:lang w:val="en-US"/>
              </w:rPr>
              <w:t>,</w:t>
            </w:r>
            <w:r>
              <w:rPr>
                <w:lang w:val="en-US"/>
              </w:rPr>
              <w:t xml:space="preserve"> at any time during initial 26 wk</w:t>
            </w:r>
          </w:p>
        </w:tc>
      </w:tr>
      <w:tr w:rsidR="000F5847" w:rsidRPr="00E2771E" w14:paraId="689DF2DA" w14:textId="77777777" w:rsidTr="000F5847">
        <w:trPr>
          <w:cantSplit/>
        </w:trPr>
        <w:tc>
          <w:tcPr>
            <w:tcW w:w="5000" w:type="pct"/>
            <w:gridSpan w:val="6"/>
            <w:shd w:val="clear" w:color="auto" w:fill="auto"/>
            <w:vAlign w:val="center"/>
          </w:tcPr>
          <w:p w14:paraId="4414AF82" w14:textId="77777777" w:rsidR="00585F2B" w:rsidRPr="00D64D6F" w:rsidRDefault="00585F2B" w:rsidP="00585F2B">
            <w:pPr>
              <w:pStyle w:val="TableText0"/>
              <w:rPr>
                <w:b/>
                <w:bCs w:val="0"/>
                <w:iCs/>
                <w:lang w:val="en-US"/>
              </w:rPr>
            </w:pPr>
            <w:r w:rsidRPr="00D64D6F">
              <w:rPr>
                <w:b/>
                <w:bCs w:val="0"/>
                <w:iCs/>
                <w:lang w:val="en-US"/>
              </w:rPr>
              <w:t>Adjusted indirect treatment comparison</w:t>
            </w:r>
          </w:p>
        </w:tc>
      </w:tr>
      <w:tr w:rsidR="000F5847" w:rsidRPr="00E2771E" w14:paraId="23D87A8C" w14:textId="77777777" w:rsidTr="00480807">
        <w:trPr>
          <w:cantSplit/>
        </w:trPr>
        <w:tc>
          <w:tcPr>
            <w:tcW w:w="626" w:type="pct"/>
            <w:shd w:val="clear" w:color="auto" w:fill="auto"/>
            <w:vAlign w:val="center"/>
          </w:tcPr>
          <w:p w14:paraId="0E7A933A" w14:textId="1E2F7CDE" w:rsidR="00585F2B" w:rsidRPr="00E2771E" w:rsidRDefault="00400B63" w:rsidP="00585F2B">
            <w:pPr>
              <w:pStyle w:val="TableText0"/>
              <w:rPr>
                <w:lang w:val="en-US"/>
              </w:rPr>
            </w:pPr>
            <w:r w:rsidRPr="00822EA2">
              <w:t>Tomazos,</w:t>
            </w:r>
            <w:r w:rsidR="00480807">
              <w:t> </w:t>
            </w:r>
            <w:r>
              <w:t>I</w:t>
            </w:r>
            <w:r w:rsidR="00480807">
              <w:t>.</w:t>
            </w:r>
            <w:r>
              <w:t xml:space="preserve"> et al. </w:t>
            </w:r>
          </w:p>
        </w:tc>
        <w:tc>
          <w:tcPr>
            <w:tcW w:w="303" w:type="pct"/>
            <w:shd w:val="clear" w:color="auto" w:fill="auto"/>
            <w:vAlign w:val="center"/>
          </w:tcPr>
          <w:p w14:paraId="0F6EDF7B" w14:textId="77777777" w:rsidR="00585F2B" w:rsidRPr="00E2771E" w:rsidRDefault="00585F2B" w:rsidP="00585F2B">
            <w:pPr>
              <w:pStyle w:val="TableText0"/>
              <w:jc w:val="center"/>
              <w:rPr>
                <w:lang w:val="en-US"/>
              </w:rPr>
            </w:pPr>
          </w:p>
        </w:tc>
        <w:tc>
          <w:tcPr>
            <w:tcW w:w="778" w:type="pct"/>
            <w:shd w:val="clear" w:color="auto" w:fill="auto"/>
            <w:vAlign w:val="center"/>
          </w:tcPr>
          <w:p w14:paraId="2B802922" w14:textId="77777777" w:rsidR="00585F2B" w:rsidRPr="00E2771E" w:rsidRDefault="00585F2B" w:rsidP="00585F2B">
            <w:pPr>
              <w:pStyle w:val="TableText0"/>
              <w:jc w:val="center"/>
              <w:rPr>
                <w:lang w:val="en-US"/>
              </w:rPr>
            </w:pPr>
          </w:p>
        </w:tc>
        <w:tc>
          <w:tcPr>
            <w:tcW w:w="553" w:type="pct"/>
            <w:shd w:val="clear" w:color="auto" w:fill="auto"/>
            <w:vAlign w:val="center"/>
          </w:tcPr>
          <w:p w14:paraId="6EB6C0B6" w14:textId="154B662B" w:rsidR="00585F2B" w:rsidRPr="00D64D6F" w:rsidRDefault="00702A1D" w:rsidP="00585F2B">
            <w:pPr>
              <w:pStyle w:val="TableText0"/>
              <w:jc w:val="center"/>
              <w:rPr>
                <w:iCs/>
                <w:lang w:val="en-US"/>
              </w:rPr>
            </w:pPr>
            <w:r w:rsidRPr="00D64D6F">
              <w:rPr>
                <w:iCs/>
                <w:lang w:val="en-US"/>
              </w:rPr>
              <w:t>H</w:t>
            </w:r>
            <w:r w:rsidR="00400B63" w:rsidRPr="00D64D6F">
              <w:rPr>
                <w:iCs/>
                <w:lang w:val="en-US"/>
              </w:rPr>
              <w:t>igh</w:t>
            </w:r>
          </w:p>
        </w:tc>
        <w:tc>
          <w:tcPr>
            <w:tcW w:w="851" w:type="pct"/>
            <w:shd w:val="clear" w:color="auto" w:fill="auto"/>
            <w:vAlign w:val="center"/>
          </w:tcPr>
          <w:p w14:paraId="740BEB44" w14:textId="77777777" w:rsidR="00585F2B" w:rsidRPr="00E2771E" w:rsidRDefault="00585F2B" w:rsidP="00585F2B">
            <w:pPr>
              <w:pStyle w:val="TableText0"/>
              <w:jc w:val="center"/>
              <w:rPr>
                <w:lang w:val="en-US"/>
              </w:rPr>
            </w:pPr>
          </w:p>
        </w:tc>
        <w:tc>
          <w:tcPr>
            <w:tcW w:w="1889" w:type="pct"/>
            <w:shd w:val="clear" w:color="auto" w:fill="auto"/>
            <w:vAlign w:val="center"/>
          </w:tcPr>
          <w:p w14:paraId="084D984D" w14:textId="39306537" w:rsidR="00585F2B" w:rsidRPr="00E2771E" w:rsidRDefault="00B3457F" w:rsidP="00B3457F">
            <w:pPr>
              <w:pStyle w:val="TableText0"/>
              <w:rPr>
                <w:lang w:val="en-US"/>
              </w:rPr>
            </w:pPr>
            <w:r>
              <w:rPr>
                <w:lang w:val="en-US"/>
              </w:rPr>
              <w:t>Platelet count, LDH and change in serum creatinine at day 183 or if no day 183 data, closest date within 56 days before or after</w:t>
            </w:r>
            <w:proofErr w:type="gramStart"/>
            <w:r>
              <w:rPr>
                <w:lang w:val="en-US"/>
              </w:rPr>
              <w:t xml:space="preserve">.  </w:t>
            </w:r>
            <w:proofErr w:type="gramEnd"/>
          </w:p>
        </w:tc>
      </w:tr>
    </w:tbl>
    <w:p w14:paraId="42E205A8" w14:textId="607B2DE1" w:rsidR="00585F2B" w:rsidRDefault="00585F2B" w:rsidP="00585F2B">
      <w:pPr>
        <w:pStyle w:val="FooterTableFigure"/>
      </w:pPr>
      <w:r>
        <w:t xml:space="preserve">Source: Table 27, pp62-3 </w:t>
      </w:r>
      <w:r w:rsidRPr="00D13A3E">
        <w:t xml:space="preserve">of the </w:t>
      </w:r>
      <w:r>
        <w:t>submission</w:t>
      </w:r>
      <w:r w:rsidR="00B3457F">
        <w:t xml:space="preserve">; Tomazos, 2022, p263. </w:t>
      </w:r>
    </w:p>
    <w:p w14:paraId="73FFCBBB" w14:textId="0086F034" w:rsidR="00585F2B" w:rsidRPr="008C3AE1" w:rsidRDefault="00585F2B" w:rsidP="00585F2B">
      <w:pPr>
        <w:pStyle w:val="FooterTableFigure"/>
        <w:rPr>
          <w:sz w:val="20"/>
        </w:rPr>
      </w:pPr>
      <w:r w:rsidRPr="0072416F">
        <w:t>OL</w:t>
      </w:r>
      <w:r>
        <w:t xml:space="preserve"> </w:t>
      </w:r>
      <w:r w:rsidRPr="0072416F">
        <w:t>=</w:t>
      </w:r>
      <w:r>
        <w:t xml:space="preserve"> </w:t>
      </w:r>
      <w:r w:rsidRPr="0072416F">
        <w:t xml:space="preserve">open label; </w:t>
      </w:r>
      <w:r>
        <w:t>aHUS = atypical h</w:t>
      </w:r>
      <w:r w:rsidR="005D0A3F">
        <w:t>a</w:t>
      </w:r>
      <w:r>
        <w:t xml:space="preserve">emolytic </w:t>
      </w:r>
      <w:r w:rsidR="00E62657">
        <w:t>uraemic</w:t>
      </w:r>
      <w:r>
        <w:t xml:space="preserve"> syndrome; LDH = lactate dehydrogenase</w:t>
      </w:r>
    </w:p>
    <w:p w14:paraId="7417FFD8" w14:textId="1B6F107E" w:rsidR="0046301E" w:rsidRPr="00D64D6F" w:rsidRDefault="0046301E" w:rsidP="00031291">
      <w:pPr>
        <w:pStyle w:val="3-BodyText"/>
        <w:rPr>
          <w:rFonts w:ascii="Arial Narrow" w:hAnsi="Arial Narrow"/>
          <w:b/>
          <w:sz w:val="20"/>
        </w:rPr>
      </w:pPr>
      <w:r>
        <w:t>The studies were assessed using the Cochrane risk of bias assessment for single arm studies and were assessed in the submission as being at high risk for selection, performance, detection, and lead time bias. As stated in the submission, the process of patient recruitment was not clearly defined across the studies</w:t>
      </w:r>
      <w:r w:rsidRPr="003A48D2">
        <w:rPr>
          <w:iCs/>
        </w:rPr>
        <w:t xml:space="preserve"> </w:t>
      </w:r>
      <w:r w:rsidRPr="00D64D6F">
        <w:t xml:space="preserve">and could not be determined from review of the CSRs during the evaluation. </w:t>
      </w:r>
      <w:proofErr w:type="gramStart"/>
      <w:r w:rsidRPr="00D64D6F">
        <w:t>In particular, although</w:t>
      </w:r>
      <w:proofErr w:type="gramEnd"/>
      <w:r w:rsidRPr="00D64D6F">
        <w:t xml:space="preserve"> it is known how many patients of those screened were excluded (16/74 in Study 311 and 1/25 in Study 312) it is not known how many patients with aHUS were not screened, and, therefore, how selected a group the patients in the studies were. For example, Study 311 recruited 178 centres in 16 countries, but enrolled 58 patients at 41 centres </w:t>
      </w:r>
      <w:r w:rsidRPr="00D64D6F">
        <w:lastRenderedPageBreak/>
        <w:t>in 14 countries (311 CSR, p20/157)</w:t>
      </w:r>
      <w:r w:rsidR="00293067" w:rsidRPr="00D64D6F">
        <w:t xml:space="preserve">. The global aHUS registry enrolled about 100 patients per year while the ravulizumab studies were recruiting, </w:t>
      </w:r>
      <w:r w:rsidRPr="00D64D6F">
        <w:t xml:space="preserve">so there may have been </w:t>
      </w:r>
      <w:proofErr w:type="gramStart"/>
      <w:r w:rsidRPr="00D64D6F">
        <w:t xml:space="preserve">a </w:t>
      </w:r>
      <w:r w:rsidR="00136D3D">
        <w:t xml:space="preserve">large </w:t>
      </w:r>
      <w:r w:rsidRPr="00D64D6F">
        <w:t>number of</w:t>
      </w:r>
      <w:proofErr w:type="gramEnd"/>
      <w:r w:rsidRPr="00D64D6F">
        <w:t xml:space="preserve"> patients with aHUS </w:t>
      </w:r>
      <w:r w:rsidR="00293067" w:rsidRPr="00D64D6F">
        <w:t xml:space="preserve">eligible for </w:t>
      </w:r>
      <w:r w:rsidR="002B605C" w:rsidRPr="00D64D6F">
        <w:t xml:space="preserve">but </w:t>
      </w:r>
      <w:r w:rsidRPr="00D64D6F">
        <w:t xml:space="preserve">not enrolled in the </w:t>
      </w:r>
      <w:r w:rsidR="00293067" w:rsidRPr="00D64D6F">
        <w:t xml:space="preserve">ravulizumab </w:t>
      </w:r>
      <w:r w:rsidRPr="00D64D6F">
        <w:t>stud</w:t>
      </w:r>
      <w:r w:rsidR="00293067" w:rsidRPr="00D64D6F">
        <w:t>ies</w:t>
      </w:r>
      <w:r w:rsidRPr="00D64D6F">
        <w:t>.</w:t>
      </w:r>
    </w:p>
    <w:p w14:paraId="57BF074A" w14:textId="43546EC8" w:rsidR="0046301E" w:rsidRPr="00D64D6F" w:rsidRDefault="0046301E" w:rsidP="00B306AF">
      <w:pPr>
        <w:pStyle w:val="3-BodyText"/>
      </w:pPr>
      <w:bookmarkStart w:id="30" w:name="_Ref124769080"/>
      <w:r>
        <w:rPr>
          <w:rStyle w:val="CommentReference"/>
          <w:rFonts w:asciiTheme="minorHAnsi" w:hAnsiTheme="minorHAnsi" w:cstheme="minorHAnsi"/>
          <w:b w:val="0"/>
          <w:sz w:val="24"/>
          <w:szCs w:val="24"/>
        </w:rPr>
        <w:t xml:space="preserve">In the ravulizumab studies, treatment was for an initial 26-week period then up to 4.5 years or until the product was registered in the country of the study. In the eculizumab studies, treatment was continued after the initial 26-week treatment period until the product was registered or up to a maximum of 2 years. The median exposure periods are </w:t>
      </w:r>
      <w:r w:rsidRPr="00814C95">
        <w:rPr>
          <w:rStyle w:val="CommentReference"/>
          <w:rFonts w:asciiTheme="minorHAnsi" w:hAnsiTheme="minorHAnsi" w:cstheme="minorHAnsi"/>
          <w:b w:val="0"/>
          <w:sz w:val="24"/>
          <w:szCs w:val="24"/>
        </w:rPr>
        <w:t xml:space="preserve">shown in </w:t>
      </w:r>
      <w:r w:rsidR="00224B88">
        <w:rPr>
          <w:rStyle w:val="CommentReference"/>
          <w:rFonts w:asciiTheme="minorHAnsi" w:hAnsiTheme="minorHAnsi" w:cstheme="minorHAnsi"/>
          <w:b w:val="0"/>
          <w:sz w:val="24"/>
          <w:szCs w:val="24"/>
        </w:rPr>
        <w:fldChar w:fldCharType="begin" w:fldLock="1"/>
      </w:r>
      <w:r w:rsidR="00224B88">
        <w:rPr>
          <w:rStyle w:val="CommentReference"/>
          <w:rFonts w:asciiTheme="minorHAnsi" w:hAnsiTheme="minorHAnsi" w:cstheme="minorHAnsi"/>
          <w:b w:val="0"/>
          <w:sz w:val="24"/>
          <w:szCs w:val="24"/>
        </w:rPr>
        <w:instrText xml:space="preserve"> REF _Ref124337812 \h </w:instrText>
      </w:r>
      <w:r w:rsidR="00224B88">
        <w:rPr>
          <w:rStyle w:val="CommentReference"/>
          <w:rFonts w:asciiTheme="minorHAnsi" w:hAnsiTheme="minorHAnsi" w:cstheme="minorHAnsi"/>
          <w:b w:val="0"/>
          <w:sz w:val="24"/>
          <w:szCs w:val="24"/>
        </w:rPr>
      </w:r>
      <w:r w:rsidR="00224B88">
        <w:rPr>
          <w:rStyle w:val="CommentReference"/>
          <w:rFonts w:asciiTheme="minorHAnsi" w:hAnsiTheme="minorHAnsi" w:cstheme="minorHAnsi"/>
          <w:b w:val="0"/>
          <w:sz w:val="24"/>
          <w:szCs w:val="24"/>
        </w:rPr>
        <w:fldChar w:fldCharType="separate"/>
      </w:r>
      <w:r w:rsidR="00916EDA">
        <w:t xml:space="preserve">Table </w:t>
      </w:r>
      <w:r w:rsidR="00916EDA">
        <w:rPr>
          <w:noProof/>
        </w:rPr>
        <w:t>9</w:t>
      </w:r>
      <w:r w:rsidR="00224B88">
        <w:rPr>
          <w:rStyle w:val="CommentReference"/>
          <w:rFonts w:asciiTheme="minorHAnsi" w:hAnsiTheme="minorHAnsi" w:cstheme="minorHAnsi"/>
          <w:b w:val="0"/>
          <w:sz w:val="24"/>
          <w:szCs w:val="24"/>
        </w:rPr>
        <w:fldChar w:fldCharType="end"/>
      </w:r>
      <w:r w:rsidRPr="00D64D6F">
        <w:rPr>
          <w:rStyle w:val="CommentReference"/>
          <w:rFonts w:asciiTheme="minorHAnsi" w:hAnsiTheme="minorHAnsi" w:cstheme="minorHAnsi"/>
          <w:b w:val="0"/>
          <w:sz w:val="24"/>
          <w:szCs w:val="24"/>
        </w:rPr>
        <w:t>. Although data for the number of infusions were provided, median dose was not provided.</w:t>
      </w:r>
      <w:bookmarkEnd w:id="30"/>
    </w:p>
    <w:p w14:paraId="2656EF91" w14:textId="0471FCC4" w:rsidR="0046301E" w:rsidRDefault="0040538C" w:rsidP="00B306AF">
      <w:pPr>
        <w:pStyle w:val="3-BodyText"/>
      </w:pPr>
      <w:r>
        <w:t>A</w:t>
      </w:r>
      <w:r w:rsidRPr="00CB38B0">
        <w:t xml:space="preserve">typical haemolytic </w:t>
      </w:r>
      <w:r>
        <w:t>uraemic</w:t>
      </w:r>
      <w:r w:rsidRPr="00CB38B0">
        <w:t xml:space="preserve"> syndrome</w:t>
      </w:r>
      <w:r w:rsidR="0046301E" w:rsidRPr="00D64D6F">
        <w:t xml:space="preserve"> is a rare disease, and therefore randomised trials are relatively difficult to conduct. However, the sponsor's aHUS registry has enrolled 1</w:t>
      </w:r>
      <w:r w:rsidR="006342FD">
        <w:t>,</w:t>
      </w:r>
      <w:r w:rsidR="0046301E" w:rsidRPr="00D64D6F">
        <w:t xml:space="preserve">205 adult patients over </w:t>
      </w:r>
      <w:r w:rsidR="006342FD">
        <w:t>9</w:t>
      </w:r>
      <w:r w:rsidR="006342FD" w:rsidRPr="00D64D6F">
        <w:t xml:space="preserve"> </w:t>
      </w:r>
      <w:r w:rsidR="0046301E" w:rsidRPr="00D64D6F">
        <w:t xml:space="preserve">years, mainly in North America and the European Union. </w:t>
      </w:r>
      <w:r w:rsidR="0046301E" w:rsidRPr="0040538C">
        <w:t>Between July 2019 and July 2021</w:t>
      </w:r>
      <w:r w:rsidR="002B605C" w:rsidRPr="0040538C">
        <w:t>,</w:t>
      </w:r>
      <w:r w:rsidR="0046301E" w:rsidRPr="0040538C">
        <w:t xml:space="preserve"> 75 patients were enrolled who were treated with eculizumab. The evidence presented </w:t>
      </w:r>
      <w:r w:rsidR="002B605C" w:rsidRPr="0040538C">
        <w:t xml:space="preserve">in the submission </w:t>
      </w:r>
      <w:r w:rsidR="0046301E" w:rsidRPr="0040538C">
        <w:t>was a group of case series that have differences between the c</w:t>
      </w:r>
      <w:r w:rsidR="0046301E" w:rsidRPr="00D64D6F">
        <w:t xml:space="preserve">ohorts due to the change in practice following the introduction of eculizumab as well as the high risk of bias given the open label single arm design. </w:t>
      </w:r>
      <w:r w:rsidR="006342FD">
        <w:t>C</w:t>
      </w:r>
      <w:r w:rsidR="0046301E" w:rsidRPr="00D64D6F">
        <w:t>onclusions based on comparisons between the data sets are likely to be uncertain.</w:t>
      </w:r>
    </w:p>
    <w:p w14:paraId="6B90949F" w14:textId="6F1B57F3" w:rsidR="00224B88" w:rsidRPr="00BD131A" w:rsidRDefault="00D84692" w:rsidP="000B3185">
      <w:pPr>
        <w:pStyle w:val="5-SubsectionSubheading"/>
      </w:pPr>
      <w:r>
        <w:t xml:space="preserve">Global </w:t>
      </w:r>
      <w:r w:rsidR="00224B88">
        <w:t>aHUS registry</w:t>
      </w:r>
    </w:p>
    <w:p w14:paraId="24A27E57" w14:textId="3AEFDF5B" w:rsidR="00224B88" w:rsidRPr="00D64D6F" w:rsidRDefault="00224B88" w:rsidP="00B306AF">
      <w:pPr>
        <w:pStyle w:val="3-BodyText"/>
      </w:pPr>
      <w:r>
        <w:t>T</w:t>
      </w:r>
      <w:r w:rsidRPr="00D64D6F">
        <w:t>he submission provided some data from a</w:t>
      </w:r>
      <w:r>
        <w:t>n Alexion-sponsored</w:t>
      </w:r>
      <w:r w:rsidRPr="00D64D6F">
        <w:t xml:space="preserve"> registry of aHUS patients, most but not all treated with eculizumab, to address PBAC’s previous concerns about the length of treatment. </w:t>
      </w:r>
      <w:r>
        <w:fldChar w:fldCharType="begin" w:fldLock="1"/>
      </w:r>
      <w:r>
        <w:instrText xml:space="preserve"> REF _Ref129875826 \h </w:instrText>
      </w:r>
      <w:r>
        <w:fldChar w:fldCharType="separate"/>
      </w:r>
      <w:r w:rsidR="00916EDA">
        <w:t xml:space="preserve">Table </w:t>
      </w:r>
      <w:r w:rsidR="00916EDA">
        <w:rPr>
          <w:noProof/>
        </w:rPr>
        <w:t>6</w:t>
      </w:r>
      <w:r>
        <w:fldChar w:fldCharType="end"/>
      </w:r>
      <w:r>
        <w:t xml:space="preserve"> </w:t>
      </w:r>
      <w:r w:rsidRPr="00CA1861">
        <w:t>shows</w:t>
      </w:r>
      <w:r w:rsidRPr="00D64D6F">
        <w:t xml:space="preserve"> data from th</w:t>
      </w:r>
      <w:r>
        <w:t>is</w:t>
      </w:r>
      <w:r w:rsidRPr="00D64D6F">
        <w:t xml:space="preserve"> global </w:t>
      </w:r>
      <w:proofErr w:type="gramStart"/>
      <w:r w:rsidRPr="00D64D6F">
        <w:t>aHUS</w:t>
      </w:r>
      <w:proofErr w:type="gramEnd"/>
      <w:r w:rsidRPr="00D64D6F">
        <w:t xml:space="preserve"> registry compared to </w:t>
      </w:r>
      <w:r w:rsidR="00896B6C">
        <w:t>a</w:t>
      </w:r>
      <w:r w:rsidRPr="00D64D6F">
        <w:t xml:space="preserve"> DUSC </w:t>
      </w:r>
      <w:r>
        <w:t>analysis</w:t>
      </w:r>
      <w:r w:rsidRPr="00D64D6F">
        <w:t xml:space="preserve"> of eculizumab-treated patients</w:t>
      </w:r>
      <w:r>
        <w:t xml:space="preserve">, including additional </w:t>
      </w:r>
      <w:r w:rsidRPr="00D64D6F">
        <w:t xml:space="preserve">data </w:t>
      </w:r>
      <w:r>
        <w:t>that was provided with the pre-PBAC response. This data has not been evaluated</w:t>
      </w:r>
      <w:r w:rsidRPr="00D64D6F">
        <w:t xml:space="preserve">. </w:t>
      </w:r>
    </w:p>
    <w:p w14:paraId="08D59CB6" w14:textId="1FF8CB2E" w:rsidR="00224B88" w:rsidRDefault="00224B88" w:rsidP="00B306AF">
      <w:pPr>
        <w:pStyle w:val="3-BodyText"/>
        <w:rPr>
          <w:lang w:val="en-US"/>
        </w:rPr>
      </w:pPr>
      <w:r w:rsidRPr="00D64D6F">
        <w:t>The global aHUS registry operates under protocol M11-001. T</w:t>
      </w:r>
      <w:r w:rsidRPr="00D64D6F">
        <w:rPr>
          <w:lang w:val="en-US"/>
        </w:rPr>
        <w:t xml:space="preserve">he protocol was amended on 16 January 2020 to include ravulizumab-treated patients, including those </w:t>
      </w:r>
      <w:r w:rsidRPr="00866FD2">
        <w:rPr>
          <w:lang w:val="en-US"/>
        </w:rPr>
        <w:t xml:space="preserve">participating in </w:t>
      </w:r>
      <w:r>
        <w:rPr>
          <w:lang w:val="en-US"/>
        </w:rPr>
        <w:t>‘</w:t>
      </w:r>
      <w:r w:rsidRPr="00866FD2">
        <w:rPr>
          <w:lang w:val="en-US"/>
        </w:rPr>
        <w:t xml:space="preserve">sponsored clinical </w:t>
      </w:r>
      <w:proofErr w:type="gramStart"/>
      <w:r w:rsidRPr="00866FD2">
        <w:rPr>
          <w:lang w:val="en-US"/>
        </w:rPr>
        <w:t>studies</w:t>
      </w:r>
      <w:r>
        <w:rPr>
          <w:lang w:val="en-US"/>
        </w:rPr>
        <w:t>’</w:t>
      </w:r>
      <w:proofErr w:type="gramEnd"/>
      <w:r w:rsidRPr="00866FD2">
        <w:rPr>
          <w:lang w:val="en-US"/>
        </w:rPr>
        <w:t>. Up to 11</w:t>
      </w:r>
      <w:r w:rsidRPr="00D64D6F">
        <w:rPr>
          <w:lang w:val="en-US"/>
        </w:rPr>
        <w:t xml:space="preserve"> April 2022, 41 ravulizumab-treated patients </w:t>
      </w:r>
      <w:proofErr w:type="gramStart"/>
      <w:r w:rsidRPr="00D64D6F">
        <w:rPr>
          <w:lang w:val="en-US"/>
        </w:rPr>
        <w:t>were enrolled</w:t>
      </w:r>
      <w:proofErr w:type="gramEnd"/>
      <w:r w:rsidRPr="00D64D6F">
        <w:rPr>
          <w:lang w:val="en-US"/>
        </w:rPr>
        <w:t>. Of these, 37 (90.2%) had switched from eculizumab</w:t>
      </w:r>
      <w:r>
        <w:rPr>
          <w:lang w:val="en-US"/>
        </w:rPr>
        <w:t>.</w:t>
      </w:r>
    </w:p>
    <w:p w14:paraId="05E9A213" w14:textId="4F5600A0" w:rsidR="00224B88" w:rsidRDefault="00224B88" w:rsidP="001376A6">
      <w:pPr>
        <w:pStyle w:val="Caption"/>
        <w:jc w:val="left"/>
      </w:pPr>
      <w:bookmarkStart w:id="31" w:name="_Ref129875826"/>
      <w:r>
        <w:lastRenderedPageBreak/>
        <w:t xml:space="preserve">Table </w:t>
      </w:r>
      <w:r>
        <w:fldChar w:fldCharType="begin" w:fldLock="1"/>
      </w:r>
      <w:r>
        <w:instrText>SEQ Table \* ARABIC</w:instrText>
      </w:r>
      <w:r>
        <w:fldChar w:fldCharType="separate"/>
      </w:r>
      <w:r w:rsidR="00916EDA">
        <w:rPr>
          <w:noProof/>
        </w:rPr>
        <w:t>6</w:t>
      </w:r>
      <w:r>
        <w:fldChar w:fldCharType="end"/>
      </w:r>
      <w:bookmarkEnd w:id="31"/>
      <w:r>
        <w:t xml:space="preserve">: </w:t>
      </w:r>
      <w:r w:rsidRPr="00CB7703">
        <w:t>Eculizumab-treated</w:t>
      </w:r>
      <w:r>
        <w:t xml:space="preserve"> </w:t>
      </w:r>
      <w:r w:rsidRPr="00CB7703">
        <w:t>patients</w:t>
      </w:r>
      <w:r w:rsidRPr="00ED55DC">
        <w:t xml:space="preserve"> in the </w:t>
      </w:r>
      <w:r>
        <w:t xml:space="preserve">global </w:t>
      </w:r>
      <w:r w:rsidRPr="00ED55DC">
        <w:t xml:space="preserve">registry </w:t>
      </w:r>
      <w:r>
        <w:t xml:space="preserve">and in data presented to DUSC </w:t>
      </w:r>
      <w:r w:rsidRPr="00ED55DC">
        <w:t>to 20</w:t>
      </w:r>
      <w:r>
        <w:t>20/</w:t>
      </w:r>
      <w:r w:rsidRPr="00ED55DC">
        <w:t>21</w:t>
      </w:r>
      <w:r w:rsidR="00E43163">
        <w:t>**</w:t>
      </w:r>
      <w:r w:rsidRPr="00ED55D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4"/>
        <w:gridCol w:w="1300"/>
        <w:gridCol w:w="1301"/>
        <w:gridCol w:w="1300"/>
        <w:gridCol w:w="1301"/>
        <w:gridCol w:w="1301"/>
      </w:tblGrid>
      <w:tr w:rsidR="00224B88" w:rsidRPr="00AC4F5B" w14:paraId="2D7C6B38" w14:textId="77777777" w:rsidTr="7863D01B">
        <w:trPr>
          <w:trHeight w:val="553"/>
          <w:tblHeader/>
        </w:trPr>
        <w:tc>
          <w:tcPr>
            <w:tcW w:w="2513" w:type="dxa"/>
          </w:tcPr>
          <w:p w14:paraId="6EFB6FF7" w14:textId="77777777" w:rsidR="00224B88" w:rsidRPr="00AC4F5B" w:rsidRDefault="00224B88" w:rsidP="001376A6">
            <w:pPr>
              <w:pStyle w:val="Default"/>
              <w:keepNext/>
              <w:keepLines/>
              <w:rPr>
                <w:rFonts w:ascii="Arial Narrow" w:hAnsi="Arial Narrow"/>
                <w:sz w:val="20"/>
                <w:szCs w:val="20"/>
              </w:rPr>
            </w:pPr>
          </w:p>
        </w:tc>
        <w:tc>
          <w:tcPr>
            <w:tcW w:w="1300" w:type="dxa"/>
          </w:tcPr>
          <w:p w14:paraId="3F03585B" w14:textId="77777777" w:rsidR="00224B88" w:rsidRPr="00AC4F5B" w:rsidRDefault="7863D01B" w:rsidP="001376A6">
            <w:pPr>
              <w:pStyle w:val="Default"/>
              <w:keepNext/>
              <w:keepLines/>
              <w:rPr>
                <w:rFonts w:ascii="Arial Narrow" w:hAnsi="Arial Narrow" w:cs="Arial"/>
                <w:sz w:val="20"/>
                <w:szCs w:val="20"/>
              </w:rPr>
            </w:pPr>
            <w:r w:rsidRPr="7863D01B">
              <w:rPr>
                <w:rFonts w:ascii="Arial Narrow" w:hAnsi="Arial Narrow" w:cs="Arial"/>
                <w:b/>
                <w:bCs/>
                <w:sz w:val="20"/>
                <w:szCs w:val="20"/>
              </w:rPr>
              <w:t xml:space="preserve">Adult patients in M11-001 aHUS registry N = 808 </w:t>
            </w:r>
            <w:r w:rsidRPr="7863D01B">
              <w:rPr>
                <w:rFonts w:ascii="Arial Narrow" w:hAnsi="Arial Narrow" w:cs="Arial"/>
                <w:sz w:val="20"/>
                <w:szCs w:val="20"/>
                <w:vertAlign w:val="superscript"/>
              </w:rPr>
              <w:t xml:space="preserve">a </w:t>
            </w:r>
          </w:p>
        </w:tc>
        <w:tc>
          <w:tcPr>
            <w:tcW w:w="1301" w:type="dxa"/>
          </w:tcPr>
          <w:p w14:paraId="7E617E2F" w14:textId="77777777" w:rsidR="00224B88" w:rsidRPr="00AC4F5B" w:rsidRDefault="00224B88" w:rsidP="001376A6">
            <w:pPr>
              <w:pStyle w:val="Default"/>
              <w:keepNext/>
              <w:keepLines/>
              <w:rPr>
                <w:rFonts w:ascii="Arial Narrow" w:hAnsi="Arial Narrow"/>
                <w:sz w:val="20"/>
                <w:szCs w:val="20"/>
              </w:rPr>
            </w:pPr>
            <w:r w:rsidRPr="00AC4F5B">
              <w:rPr>
                <w:rFonts w:ascii="Arial Narrow" w:hAnsi="Arial Narrow" w:cs="Arial"/>
                <w:b/>
                <w:bCs/>
                <w:sz w:val="20"/>
                <w:szCs w:val="20"/>
              </w:rPr>
              <w:t xml:space="preserve">Adult patients in M11-001 aHUS registry </w:t>
            </w:r>
          </w:p>
          <w:p w14:paraId="7D32DD30" w14:textId="77777777" w:rsidR="00224B88" w:rsidRPr="00AC4F5B" w:rsidRDefault="00224B88" w:rsidP="001376A6">
            <w:pPr>
              <w:pStyle w:val="Default"/>
              <w:keepNext/>
              <w:keepLines/>
              <w:rPr>
                <w:rFonts w:ascii="Arial Narrow" w:hAnsi="Arial Narrow" w:cs="Arial"/>
                <w:sz w:val="20"/>
                <w:szCs w:val="20"/>
              </w:rPr>
            </w:pPr>
            <w:r w:rsidRPr="00AC4F5B">
              <w:rPr>
                <w:rFonts w:ascii="Arial Narrow" w:hAnsi="Arial Narrow" w:cs="Arial"/>
                <w:b/>
                <w:bCs/>
                <w:sz w:val="20"/>
                <w:szCs w:val="20"/>
              </w:rPr>
              <w:t xml:space="preserve">N = 850 </w:t>
            </w:r>
            <w:r w:rsidRPr="00AC4F5B">
              <w:rPr>
                <w:rFonts w:ascii="Arial Narrow" w:hAnsi="Arial Narrow" w:cs="Arial"/>
                <w:sz w:val="20"/>
                <w:szCs w:val="20"/>
                <w:vertAlign w:val="superscript"/>
              </w:rPr>
              <w:t>b</w:t>
            </w:r>
            <w:r w:rsidRPr="00AC4F5B">
              <w:rPr>
                <w:rFonts w:ascii="Arial Narrow" w:hAnsi="Arial Narrow" w:cs="Arial"/>
                <w:b/>
                <w:bCs/>
                <w:sz w:val="20"/>
                <w:szCs w:val="20"/>
              </w:rPr>
              <w:t xml:space="preserve"> </w:t>
            </w:r>
          </w:p>
        </w:tc>
        <w:tc>
          <w:tcPr>
            <w:tcW w:w="1300" w:type="dxa"/>
          </w:tcPr>
          <w:p w14:paraId="235C6E0E" w14:textId="77777777" w:rsidR="00224B88" w:rsidRPr="00AC4F5B" w:rsidRDefault="00224B88" w:rsidP="001376A6">
            <w:pPr>
              <w:pStyle w:val="Default"/>
              <w:keepNext/>
              <w:keepLines/>
              <w:rPr>
                <w:rFonts w:ascii="Arial Narrow" w:hAnsi="Arial Narrow"/>
                <w:sz w:val="20"/>
                <w:szCs w:val="20"/>
              </w:rPr>
            </w:pPr>
            <w:r w:rsidRPr="00AC4F5B">
              <w:rPr>
                <w:rFonts w:ascii="Arial Narrow" w:hAnsi="Arial Narrow" w:cs="Arial"/>
                <w:b/>
                <w:bCs/>
                <w:sz w:val="20"/>
                <w:szCs w:val="20"/>
              </w:rPr>
              <w:t xml:space="preserve">Adult Australian patients in M11-001 aHUS registry </w:t>
            </w:r>
          </w:p>
          <w:p w14:paraId="2BF6CD0E" w14:textId="77777777" w:rsidR="00224B88" w:rsidRPr="00AC4F5B" w:rsidRDefault="00224B88" w:rsidP="001376A6">
            <w:pPr>
              <w:pStyle w:val="Default"/>
              <w:keepNext/>
              <w:keepLines/>
              <w:rPr>
                <w:rFonts w:ascii="Arial Narrow" w:hAnsi="Arial Narrow" w:cs="Arial"/>
                <w:sz w:val="20"/>
                <w:szCs w:val="20"/>
              </w:rPr>
            </w:pPr>
            <w:r w:rsidRPr="00AC4F5B">
              <w:rPr>
                <w:rFonts w:ascii="Arial Narrow" w:hAnsi="Arial Narrow" w:cs="Arial"/>
                <w:b/>
                <w:bCs/>
                <w:sz w:val="20"/>
                <w:szCs w:val="20"/>
              </w:rPr>
              <w:t xml:space="preserve">N = 78 </w:t>
            </w:r>
            <w:r w:rsidRPr="00AC4F5B">
              <w:rPr>
                <w:rFonts w:ascii="Arial Narrow" w:hAnsi="Arial Narrow" w:cs="Arial"/>
                <w:sz w:val="20"/>
                <w:szCs w:val="20"/>
                <w:vertAlign w:val="superscript"/>
              </w:rPr>
              <w:t xml:space="preserve">b </w:t>
            </w:r>
          </w:p>
        </w:tc>
        <w:tc>
          <w:tcPr>
            <w:tcW w:w="1301" w:type="dxa"/>
          </w:tcPr>
          <w:p w14:paraId="36254DE1" w14:textId="77777777" w:rsidR="00224B88" w:rsidRPr="00AC4F5B" w:rsidRDefault="00224B88" w:rsidP="001376A6">
            <w:pPr>
              <w:pStyle w:val="Default"/>
              <w:keepNext/>
              <w:keepLines/>
              <w:rPr>
                <w:rFonts w:ascii="Arial Narrow" w:hAnsi="Arial Narrow"/>
                <w:sz w:val="20"/>
                <w:szCs w:val="20"/>
              </w:rPr>
            </w:pPr>
            <w:r w:rsidRPr="00AC4F5B">
              <w:rPr>
                <w:rFonts w:ascii="Arial Narrow" w:hAnsi="Arial Narrow" w:cs="Arial"/>
                <w:b/>
                <w:bCs/>
                <w:sz w:val="20"/>
                <w:szCs w:val="20"/>
              </w:rPr>
              <w:t xml:space="preserve">Adult East Asian </w:t>
            </w:r>
            <w:r w:rsidRPr="00AC4F5B">
              <w:rPr>
                <w:rFonts w:ascii="Arial Narrow" w:hAnsi="Arial Narrow" w:cs="Arial"/>
                <w:b/>
                <w:bCs/>
                <w:sz w:val="13"/>
                <w:szCs w:val="13"/>
              </w:rPr>
              <w:t xml:space="preserve">d </w:t>
            </w:r>
            <w:r w:rsidRPr="00AC4F5B">
              <w:rPr>
                <w:rFonts w:ascii="Arial Narrow" w:hAnsi="Arial Narrow" w:cs="Arial"/>
                <w:b/>
                <w:bCs/>
                <w:sz w:val="20"/>
                <w:szCs w:val="20"/>
              </w:rPr>
              <w:t xml:space="preserve">patients in M11-001 aHUS registry </w:t>
            </w:r>
          </w:p>
          <w:p w14:paraId="502988A1" w14:textId="77777777" w:rsidR="00224B88" w:rsidRPr="00AC4F5B" w:rsidRDefault="00224B88" w:rsidP="001376A6">
            <w:pPr>
              <w:pStyle w:val="Default"/>
              <w:keepNext/>
              <w:keepLines/>
              <w:rPr>
                <w:rFonts w:ascii="Arial Narrow" w:hAnsi="Arial Narrow" w:cs="Arial"/>
                <w:sz w:val="20"/>
                <w:szCs w:val="20"/>
              </w:rPr>
            </w:pPr>
            <w:r w:rsidRPr="00AC4F5B">
              <w:rPr>
                <w:rFonts w:ascii="Arial Narrow" w:hAnsi="Arial Narrow" w:cs="Arial"/>
                <w:b/>
                <w:bCs/>
                <w:sz w:val="20"/>
                <w:szCs w:val="20"/>
              </w:rPr>
              <w:t xml:space="preserve">N = 22 </w:t>
            </w:r>
            <w:r w:rsidRPr="00AC4F5B">
              <w:rPr>
                <w:rFonts w:ascii="Arial Narrow" w:hAnsi="Arial Narrow" w:cs="Arial"/>
                <w:sz w:val="20"/>
                <w:szCs w:val="20"/>
                <w:vertAlign w:val="superscript"/>
              </w:rPr>
              <w:t>b</w:t>
            </w:r>
            <w:r w:rsidRPr="00AC4F5B">
              <w:rPr>
                <w:rFonts w:ascii="Arial Narrow" w:hAnsi="Arial Narrow" w:cs="Arial"/>
                <w:b/>
                <w:bCs/>
                <w:sz w:val="20"/>
                <w:szCs w:val="20"/>
              </w:rPr>
              <w:t xml:space="preserve"> </w:t>
            </w:r>
          </w:p>
        </w:tc>
        <w:tc>
          <w:tcPr>
            <w:tcW w:w="1301" w:type="dxa"/>
          </w:tcPr>
          <w:p w14:paraId="646B64CC" w14:textId="77777777" w:rsidR="00224B88" w:rsidRPr="00AC4F5B" w:rsidRDefault="00224B88" w:rsidP="001376A6">
            <w:pPr>
              <w:pStyle w:val="Default"/>
              <w:keepNext/>
              <w:keepLines/>
              <w:rPr>
                <w:rFonts w:ascii="Arial Narrow" w:hAnsi="Arial Narrow" w:cs="Arial"/>
                <w:sz w:val="20"/>
                <w:szCs w:val="20"/>
              </w:rPr>
            </w:pPr>
            <w:r w:rsidRPr="00AC4F5B">
              <w:rPr>
                <w:rFonts w:ascii="Arial Narrow" w:hAnsi="Arial Narrow" w:cs="Arial"/>
                <w:b/>
                <w:bCs/>
                <w:sz w:val="20"/>
                <w:szCs w:val="20"/>
              </w:rPr>
              <w:t xml:space="preserve">DUSC data </w:t>
            </w:r>
          </w:p>
          <w:p w14:paraId="0706DDEC" w14:textId="77777777" w:rsidR="00224B88" w:rsidRPr="00AC4F5B" w:rsidRDefault="7863D01B" w:rsidP="001376A6">
            <w:pPr>
              <w:pStyle w:val="Default"/>
              <w:keepNext/>
              <w:keepLines/>
              <w:rPr>
                <w:rFonts w:ascii="Arial Narrow" w:hAnsi="Arial Narrow" w:cs="Arial"/>
                <w:sz w:val="20"/>
                <w:szCs w:val="20"/>
              </w:rPr>
            </w:pPr>
            <w:r w:rsidRPr="7863D01B">
              <w:rPr>
                <w:rFonts w:ascii="Arial Narrow" w:hAnsi="Arial Narrow" w:cs="Arial"/>
                <w:b/>
                <w:bCs/>
                <w:sz w:val="20"/>
                <w:szCs w:val="20"/>
              </w:rPr>
              <w:t xml:space="preserve">N = 323 </w:t>
            </w:r>
            <w:r w:rsidRPr="7863D01B">
              <w:rPr>
                <w:rFonts w:ascii="Arial Narrow" w:hAnsi="Arial Narrow" w:cs="Arial"/>
                <w:sz w:val="20"/>
                <w:szCs w:val="20"/>
                <w:vertAlign w:val="superscript"/>
              </w:rPr>
              <w:t>e</w:t>
            </w:r>
            <w:r w:rsidRPr="7863D01B">
              <w:rPr>
                <w:rFonts w:ascii="Arial Narrow" w:hAnsi="Arial Narrow" w:cs="Arial"/>
                <w:b/>
                <w:bCs/>
                <w:sz w:val="20"/>
                <w:szCs w:val="20"/>
              </w:rPr>
              <w:t xml:space="preserve">  </w:t>
            </w:r>
          </w:p>
        </w:tc>
      </w:tr>
      <w:tr w:rsidR="00224B88" w:rsidRPr="00AC4F5B" w14:paraId="7E70A505" w14:textId="77777777" w:rsidTr="7863D01B">
        <w:trPr>
          <w:trHeight w:val="437"/>
        </w:trPr>
        <w:tc>
          <w:tcPr>
            <w:tcW w:w="2513" w:type="dxa"/>
          </w:tcPr>
          <w:p w14:paraId="192A1DEF" w14:textId="77777777" w:rsidR="00224B88" w:rsidRPr="00AC4F5B" w:rsidRDefault="00224B88" w:rsidP="001376A6">
            <w:pPr>
              <w:pStyle w:val="Default"/>
              <w:keepNext/>
              <w:keepLines/>
              <w:rPr>
                <w:rFonts w:ascii="Arial Narrow" w:hAnsi="Arial Narrow"/>
                <w:sz w:val="20"/>
                <w:szCs w:val="20"/>
              </w:rPr>
            </w:pPr>
            <w:r w:rsidRPr="00AC4F5B">
              <w:rPr>
                <w:rFonts w:ascii="Arial Narrow" w:hAnsi="Arial Narrow" w:cs="Arial"/>
                <w:sz w:val="20"/>
                <w:szCs w:val="20"/>
              </w:rPr>
              <w:t xml:space="preserve">Age at enrolment, years </w:t>
            </w:r>
          </w:p>
          <w:p w14:paraId="7FCB2473" w14:textId="77777777" w:rsidR="00224B88" w:rsidRPr="00AC4F5B" w:rsidRDefault="00224B88" w:rsidP="001376A6">
            <w:pPr>
              <w:pStyle w:val="Default"/>
              <w:keepNext/>
              <w:keepLines/>
              <w:jc w:val="right"/>
              <w:rPr>
                <w:rFonts w:ascii="Arial Narrow" w:hAnsi="Arial Narrow" w:cs="Arial"/>
                <w:sz w:val="20"/>
                <w:szCs w:val="20"/>
              </w:rPr>
            </w:pPr>
            <w:r w:rsidRPr="00AC4F5B">
              <w:rPr>
                <w:rFonts w:ascii="Arial Narrow" w:hAnsi="Arial Narrow" w:cs="Arial"/>
                <w:sz w:val="20"/>
                <w:szCs w:val="20"/>
              </w:rPr>
              <w:t>Mean (SD)</w:t>
            </w:r>
          </w:p>
          <w:p w14:paraId="2F424CAF" w14:textId="77777777" w:rsidR="00224B88" w:rsidRPr="00AC4F5B" w:rsidRDefault="00224B88" w:rsidP="001376A6">
            <w:pPr>
              <w:pStyle w:val="Default"/>
              <w:keepNext/>
              <w:keepLines/>
              <w:jc w:val="right"/>
              <w:rPr>
                <w:rFonts w:ascii="Arial Narrow" w:hAnsi="Arial Narrow" w:cs="Arial"/>
                <w:sz w:val="20"/>
                <w:szCs w:val="20"/>
              </w:rPr>
            </w:pPr>
            <w:r w:rsidRPr="00AC4F5B">
              <w:rPr>
                <w:rFonts w:ascii="Arial Narrow" w:hAnsi="Arial Narrow" w:cs="Arial"/>
                <w:sz w:val="20"/>
                <w:szCs w:val="20"/>
              </w:rPr>
              <w:t>Median (IQR)</w:t>
            </w:r>
          </w:p>
        </w:tc>
        <w:tc>
          <w:tcPr>
            <w:tcW w:w="1300" w:type="dxa"/>
          </w:tcPr>
          <w:p w14:paraId="1D84A7A0" w14:textId="77777777" w:rsidR="00224B88" w:rsidRDefault="00224B88" w:rsidP="001376A6">
            <w:pPr>
              <w:pStyle w:val="Default"/>
              <w:keepNext/>
              <w:keepLines/>
              <w:rPr>
                <w:rFonts w:ascii="Arial Narrow" w:hAnsi="Arial Narrow" w:cs="Arial"/>
                <w:sz w:val="20"/>
                <w:szCs w:val="20"/>
              </w:rPr>
            </w:pPr>
          </w:p>
          <w:p w14:paraId="051F54A2" w14:textId="77777777" w:rsidR="00224B88" w:rsidRPr="00AC4F5B" w:rsidRDefault="00224B88" w:rsidP="001376A6">
            <w:pPr>
              <w:pStyle w:val="Default"/>
              <w:keepNext/>
              <w:keepLines/>
              <w:rPr>
                <w:rFonts w:ascii="Arial Narrow" w:hAnsi="Arial Narrow" w:cs="Arial"/>
                <w:sz w:val="20"/>
                <w:szCs w:val="20"/>
              </w:rPr>
            </w:pPr>
            <w:r w:rsidRPr="00AC4F5B">
              <w:rPr>
                <w:rFonts w:ascii="Arial Narrow" w:hAnsi="Arial Narrow" w:cs="Arial"/>
                <w:sz w:val="20"/>
                <w:szCs w:val="20"/>
              </w:rPr>
              <w:t xml:space="preserve">42.0 (15.1) </w:t>
            </w:r>
          </w:p>
          <w:p w14:paraId="1DFE8479" w14:textId="77777777" w:rsidR="00224B88" w:rsidRPr="00AC4F5B" w:rsidRDefault="00224B88" w:rsidP="001376A6">
            <w:pPr>
              <w:pStyle w:val="Default"/>
              <w:keepNext/>
              <w:keepLines/>
              <w:rPr>
                <w:rFonts w:ascii="Arial Narrow" w:hAnsi="Arial Narrow" w:cs="Arial"/>
                <w:sz w:val="20"/>
                <w:szCs w:val="20"/>
              </w:rPr>
            </w:pPr>
            <w:r w:rsidRPr="00AC4F5B">
              <w:rPr>
                <w:rFonts w:ascii="Arial Narrow" w:hAnsi="Arial Narrow" w:cs="Arial"/>
                <w:sz w:val="20"/>
                <w:szCs w:val="20"/>
              </w:rPr>
              <w:t xml:space="preserve">39.4 (30.1, 52.6) </w:t>
            </w:r>
          </w:p>
        </w:tc>
        <w:tc>
          <w:tcPr>
            <w:tcW w:w="1301" w:type="dxa"/>
          </w:tcPr>
          <w:p w14:paraId="482CE395" w14:textId="77777777" w:rsidR="00224B88" w:rsidRDefault="00224B88" w:rsidP="001376A6">
            <w:pPr>
              <w:pStyle w:val="Default"/>
              <w:keepNext/>
              <w:keepLines/>
              <w:rPr>
                <w:rFonts w:ascii="Arial Narrow" w:hAnsi="Arial Narrow" w:cs="Arial"/>
                <w:sz w:val="20"/>
                <w:szCs w:val="20"/>
              </w:rPr>
            </w:pPr>
          </w:p>
          <w:p w14:paraId="7D23ABDC" w14:textId="77777777" w:rsidR="00224B88" w:rsidRPr="00AC4F5B" w:rsidRDefault="00224B88" w:rsidP="001376A6">
            <w:pPr>
              <w:pStyle w:val="Default"/>
              <w:keepNext/>
              <w:keepLines/>
              <w:rPr>
                <w:rFonts w:ascii="Arial Narrow" w:hAnsi="Arial Narrow" w:cs="Arial"/>
                <w:sz w:val="20"/>
                <w:szCs w:val="20"/>
              </w:rPr>
            </w:pPr>
            <w:r w:rsidRPr="00AC4F5B">
              <w:rPr>
                <w:rFonts w:ascii="Arial Narrow" w:hAnsi="Arial Narrow" w:cs="Arial"/>
                <w:sz w:val="20"/>
                <w:szCs w:val="20"/>
              </w:rPr>
              <w:t xml:space="preserve">42.21 (15.052) </w:t>
            </w:r>
          </w:p>
          <w:p w14:paraId="5C8503DE" w14:textId="77777777" w:rsidR="00224B88" w:rsidRPr="00AC4F5B" w:rsidRDefault="00224B88" w:rsidP="001376A6">
            <w:pPr>
              <w:pStyle w:val="Default"/>
              <w:keepNext/>
              <w:keepLines/>
              <w:rPr>
                <w:rFonts w:ascii="Arial Narrow" w:hAnsi="Arial Narrow" w:cs="Arial"/>
                <w:sz w:val="20"/>
                <w:szCs w:val="20"/>
              </w:rPr>
            </w:pPr>
            <w:r w:rsidRPr="00AC4F5B">
              <w:rPr>
                <w:rFonts w:ascii="Arial Narrow" w:hAnsi="Arial Narrow" w:cs="Arial"/>
                <w:sz w:val="20"/>
                <w:szCs w:val="20"/>
              </w:rPr>
              <w:t xml:space="preserve">39.57 (30.31, 53.08) </w:t>
            </w:r>
          </w:p>
        </w:tc>
        <w:tc>
          <w:tcPr>
            <w:tcW w:w="1300" w:type="dxa"/>
          </w:tcPr>
          <w:p w14:paraId="75F239AE" w14:textId="77777777" w:rsidR="00224B88" w:rsidRDefault="00224B88" w:rsidP="001376A6">
            <w:pPr>
              <w:pStyle w:val="Default"/>
              <w:keepNext/>
              <w:keepLines/>
              <w:rPr>
                <w:rFonts w:ascii="Arial Narrow" w:hAnsi="Arial Narrow" w:cs="Arial"/>
                <w:sz w:val="20"/>
                <w:szCs w:val="20"/>
              </w:rPr>
            </w:pPr>
          </w:p>
          <w:p w14:paraId="689BC6D6" w14:textId="77777777" w:rsidR="00224B88" w:rsidRPr="00AC4F5B" w:rsidRDefault="00224B88" w:rsidP="001376A6">
            <w:pPr>
              <w:pStyle w:val="Default"/>
              <w:keepNext/>
              <w:keepLines/>
              <w:rPr>
                <w:rFonts w:ascii="Arial Narrow" w:hAnsi="Arial Narrow" w:cs="Arial"/>
                <w:sz w:val="20"/>
                <w:szCs w:val="20"/>
              </w:rPr>
            </w:pPr>
            <w:r w:rsidRPr="00AC4F5B">
              <w:rPr>
                <w:rFonts w:ascii="Arial Narrow" w:hAnsi="Arial Narrow" w:cs="Arial"/>
                <w:sz w:val="20"/>
                <w:szCs w:val="20"/>
              </w:rPr>
              <w:t xml:space="preserve">45.04 (17.112) </w:t>
            </w:r>
          </w:p>
          <w:p w14:paraId="3B27FF0C" w14:textId="77777777" w:rsidR="00224B88" w:rsidRPr="00AC4F5B" w:rsidRDefault="00224B88" w:rsidP="001376A6">
            <w:pPr>
              <w:pStyle w:val="Default"/>
              <w:keepNext/>
              <w:keepLines/>
              <w:rPr>
                <w:rFonts w:ascii="Arial Narrow" w:hAnsi="Arial Narrow" w:cs="Arial"/>
                <w:sz w:val="20"/>
                <w:szCs w:val="20"/>
              </w:rPr>
            </w:pPr>
            <w:r w:rsidRPr="00AC4F5B">
              <w:rPr>
                <w:rFonts w:ascii="Arial Narrow" w:hAnsi="Arial Narrow" w:cs="Arial"/>
                <w:sz w:val="20"/>
                <w:szCs w:val="20"/>
              </w:rPr>
              <w:t xml:space="preserve">40.34 (31.29, 57.04) </w:t>
            </w:r>
          </w:p>
        </w:tc>
        <w:tc>
          <w:tcPr>
            <w:tcW w:w="1301" w:type="dxa"/>
          </w:tcPr>
          <w:p w14:paraId="08703A24" w14:textId="77777777" w:rsidR="00224B88" w:rsidRDefault="00224B88" w:rsidP="001376A6">
            <w:pPr>
              <w:pStyle w:val="Default"/>
              <w:keepNext/>
              <w:keepLines/>
              <w:rPr>
                <w:rFonts w:ascii="Arial Narrow" w:hAnsi="Arial Narrow" w:cs="Arial"/>
                <w:sz w:val="20"/>
                <w:szCs w:val="20"/>
              </w:rPr>
            </w:pPr>
          </w:p>
          <w:p w14:paraId="54733531" w14:textId="77777777" w:rsidR="00224B88" w:rsidRPr="00AC4F5B" w:rsidRDefault="00224B88" w:rsidP="001376A6">
            <w:pPr>
              <w:pStyle w:val="Default"/>
              <w:keepNext/>
              <w:keepLines/>
              <w:rPr>
                <w:rFonts w:ascii="Arial Narrow" w:hAnsi="Arial Narrow" w:cs="Arial"/>
                <w:sz w:val="20"/>
                <w:szCs w:val="20"/>
              </w:rPr>
            </w:pPr>
            <w:r w:rsidRPr="00AC4F5B">
              <w:rPr>
                <w:rFonts w:ascii="Arial Narrow" w:hAnsi="Arial Narrow" w:cs="Arial"/>
                <w:sz w:val="20"/>
                <w:szCs w:val="20"/>
              </w:rPr>
              <w:t xml:space="preserve">43.39 (16.673) </w:t>
            </w:r>
          </w:p>
          <w:p w14:paraId="62CC88E4" w14:textId="77777777" w:rsidR="00224B88" w:rsidRPr="00AC4F5B" w:rsidRDefault="00224B88" w:rsidP="001376A6">
            <w:pPr>
              <w:pStyle w:val="Default"/>
              <w:keepNext/>
              <w:keepLines/>
              <w:rPr>
                <w:rFonts w:ascii="Arial Narrow" w:hAnsi="Arial Narrow" w:cs="Arial"/>
                <w:sz w:val="20"/>
                <w:szCs w:val="20"/>
              </w:rPr>
            </w:pPr>
            <w:r w:rsidRPr="00AC4F5B">
              <w:rPr>
                <w:rFonts w:ascii="Arial Narrow" w:hAnsi="Arial Narrow" w:cs="Arial"/>
                <w:sz w:val="20"/>
                <w:szCs w:val="20"/>
              </w:rPr>
              <w:t xml:space="preserve">37.79 (30.31, 58.41) </w:t>
            </w:r>
          </w:p>
        </w:tc>
        <w:tc>
          <w:tcPr>
            <w:tcW w:w="1301" w:type="dxa"/>
          </w:tcPr>
          <w:p w14:paraId="5BAC88D7" w14:textId="77777777" w:rsidR="00224B88" w:rsidRDefault="00224B88" w:rsidP="001376A6">
            <w:pPr>
              <w:pStyle w:val="Default"/>
              <w:keepNext/>
              <w:keepLines/>
              <w:rPr>
                <w:rFonts w:ascii="Arial Narrow" w:hAnsi="Arial Narrow" w:cs="Arial"/>
                <w:sz w:val="20"/>
                <w:szCs w:val="20"/>
              </w:rPr>
            </w:pPr>
          </w:p>
          <w:p w14:paraId="050A7D2C" w14:textId="77777777" w:rsidR="00224B88" w:rsidRPr="00AC4F5B" w:rsidRDefault="00224B88" w:rsidP="001376A6">
            <w:pPr>
              <w:pStyle w:val="Default"/>
              <w:keepNext/>
              <w:keepLines/>
              <w:rPr>
                <w:rFonts w:ascii="Arial Narrow" w:hAnsi="Arial Narrow" w:cs="Arial"/>
                <w:sz w:val="20"/>
                <w:szCs w:val="20"/>
              </w:rPr>
            </w:pPr>
            <w:r w:rsidRPr="00AC4F5B">
              <w:rPr>
                <w:rFonts w:ascii="Arial Narrow" w:hAnsi="Arial Narrow" w:cs="Arial"/>
                <w:sz w:val="20"/>
                <w:szCs w:val="20"/>
              </w:rPr>
              <w:t xml:space="preserve">NR </w:t>
            </w:r>
          </w:p>
        </w:tc>
      </w:tr>
      <w:tr w:rsidR="00224B88" w:rsidRPr="00AC4F5B" w14:paraId="2988A8D2" w14:textId="77777777" w:rsidTr="7863D01B">
        <w:trPr>
          <w:trHeight w:val="93"/>
        </w:trPr>
        <w:tc>
          <w:tcPr>
            <w:tcW w:w="2513" w:type="dxa"/>
          </w:tcPr>
          <w:p w14:paraId="4277BF2E" w14:textId="77777777" w:rsidR="00224B88" w:rsidRPr="00AC4F5B" w:rsidRDefault="00224B88" w:rsidP="001376A6">
            <w:pPr>
              <w:pStyle w:val="Default"/>
              <w:keepNext/>
              <w:keepLines/>
              <w:rPr>
                <w:rFonts w:ascii="Arial Narrow" w:hAnsi="Arial Narrow" w:cs="Arial"/>
                <w:sz w:val="20"/>
                <w:szCs w:val="20"/>
              </w:rPr>
            </w:pPr>
            <w:r w:rsidRPr="00AC4F5B">
              <w:rPr>
                <w:rFonts w:ascii="Arial Narrow" w:hAnsi="Arial Narrow" w:cs="Arial"/>
                <w:sz w:val="20"/>
                <w:szCs w:val="20"/>
              </w:rPr>
              <w:t xml:space="preserve">Female, n (%) </w:t>
            </w:r>
          </w:p>
        </w:tc>
        <w:tc>
          <w:tcPr>
            <w:tcW w:w="1300" w:type="dxa"/>
          </w:tcPr>
          <w:p w14:paraId="06EE260D" w14:textId="77777777" w:rsidR="00224B88" w:rsidRPr="00AC4F5B" w:rsidRDefault="00224B88" w:rsidP="001376A6">
            <w:pPr>
              <w:pStyle w:val="Default"/>
              <w:keepNext/>
              <w:keepLines/>
              <w:rPr>
                <w:rFonts w:ascii="Arial Narrow" w:hAnsi="Arial Narrow" w:cs="Arial"/>
                <w:sz w:val="20"/>
                <w:szCs w:val="20"/>
              </w:rPr>
            </w:pPr>
            <w:r w:rsidRPr="00AC4F5B">
              <w:rPr>
                <w:rFonts w:ascii="Arial Narrow" w:hAnsi="Arial Narrow" w:cs="Arial"/>
                <w:sz w:val="20"/>
                <w:szCs w:val="20"/>
              </w:rPr>
              <w:t xml:space="preserve">524 (64.9%) </w:t>
            </w:r>
          </w:p>
        </w:tc>
        <w:tc>
          <w:tcPr>
            <w:tcW w:w="1301" w:type="dxa"/>
          </w:tcPr>
          <w:p w14:paraId="79366822" w14:textId="77777777" w:rsidR="00224B88" w:rsidRPr="00AC4F5B" w:rsidRDefault="00224B88" w:rsidP="001376A6">
            <w:pPr>
              <w:pStyle w:val="Default"/>
              <w:keepNext/>
              <w:keepLines/>
              <w:rPr>
                <w:rFonts w:ascii="Arial Narrow" w:hAnsi="Arial Narrow" w:cs="Arial"/>
                <w:sz w:val="20"/>
                <w:szCs w:val="20"/>
              </w:rPr>
            </w:pPr>
            <w:r w:rsidRPr="00AC4F5B">
              <w:rPr>
                <w:rFonts w:ascii="Arial Narrow" w:hAnsi="Arial Narrow" w:cs="Arial"/>
                <w:sz w:val="20"/>
                <w:szCs w:val="20"/>
              </w:rPr>
              <w:t xml:space="preserve">552 (64.9) </w:t>
            </w:r>
          </w:p>
        </w:tc>
        <w:tc>
          <w:tcPr>
            <w:tcW w:w="1300" w:type="dxa"/>
          </w:tcPr>
          <w:p w14:paraId="3745CF06" w14:textId="77777777" w:rsidR="00224B88" w:rsidRPr="00AC4F5B" w:rsidRDefault="00224B88" w:rsidP="001376A6">
            <w:pPr>
              <w:pStyle w:val="Default"/>
              <w:keepNext/>
              <w:keepLines/>
              <w:rPr>
                <w:rFonts w:ascii="Arial Narrow" w:hAnsi="Arial Narrow" w:cs="Arial"/>
                <w:sz w:val="20"/>
                <w:szCs w:val="20"/>
              </w:rPr>
            </w:pPr>
            <w:r w:rsidRPr="00AC4F5B">
              <w:rPr>
                <w:rFonts w:ascii="Arial Narrow" w:hAnsi="Arial Narrow" w:cs="Arial"/>
                <w:sz w:val="20"/>
                <w:szCs w:val="20"/>
              </w:rPr>
              <w:t xml:space="preserve">50 (64.1) </w:t>
            </w:r>
          </w:p>
        </w:tc>
        <w:tc>
          <w:tcPr>
            <w:tcW w:w="1301" w:type="dxa"/>
          </w:tcPr>
          <w:p w14:paraId="0C23D799" w14:textId="77777777" w:rsidR="00224B88" w:rsidRPr="00AC4F5B" w:rsidRDefault="00224B88" w:rsidP="001376A6">
            <w:pPr>
              <w:pStyle w:val="Default"/>
              <w:keepNext/>
              <w:keepLines/>
              <w:rPr>
                <w:rFonts w:ascii="Arial Narrow" w:hAnsi="Arial Narrow" w:cs="Arial"/>
                <w:sz w:val="20"/>
                <w:szCs w:val="20"/>
              </w:rPr>
            </w:pPr>
            <w:r w:rsidRPr="00AC4F5B">
              <w:rPr>
                <w:rFonts w:ascii="Arial Narrow" w:hAnsi="Arial Narrow" w:cs="Arial"/>
                <w:sz w:val="20"/>
                <w:szCs w:val="20"/>
              </w:rPr>
              <w:t xml:space="preserve">13 (59.1) </w:t>
            </w:r>
          </w:p>
        </w:tc>
        <w:tc>
          <w:tcPr>
            <w:tcW w:w="1301" w:type="dxa"/>
          </w:tcPr>
          <w:p w14:paraId="5612C7D2" w14:textId="77777777" w:rsidR="00224B88" w:rsidRPr="00AC4F5B" w:rsidRDefault="00224B88" w:rsidP="001376A6">
            <w:pPr>
              <w:pStyle w:val="Default"/>
              <w:keepNext/>
              <w:keepLines/>
              <w:rPr>
                <w:rFonts w:ascii="Arial Narrow" w:hAnsi="Arial Narrow" w:cs="Arial"/>
                <w:sz w:val="20"/>
                <w:szCs w:val="20"/>
              </w:rPr>
            </w:pPr>
            <w:r w:rsidRPr="00AC4F5B">
              <w:rPr>
                <w:rFonts w:ascii="Arial Narrow" w:hAnsi="Arial Narrow" w:cs="Arial"/>
                <w:sz w:val="20"/>
                <w:szCs w:val="20"/>
              </w:rPr>
              <w:t xml:space="preserve">NR </w:t>
            </w:r>
          </w:p>
        </w:tc>
      </w:tr>
      <w:tr w:rsidR="00224B88" w:rsidRPr="00AC4F5B" w14:paraId="44AA1579" w14:textId="77777777" w:rsidTr="7863D01B">
        <w:trPr>
          <w:trHeight w:val="1356"/>
        </w:trPr>
        <w:tc>
          <w:tcPr>
            <w:tcW w:w="2513" w:type="dxa"/>
          </w:tcPr>
          <w:p w14:paraId="7AC1387B" w14:textId="77777777" w:rsidR="00224B88" w:rsidRPr="00AC4F5B" w:rsidRDefault="00224B88" w:rsidP="00FD254E">
            <w:pPr>
              <w:pStyle w:val="Default"/>
              <w:rPr>
                <w:rFonts w:ascii="Arial Narrow" w:hAnsi="Arial Narrow"/>
                <w:sz w:val="20"/>
                <w:szCs w:val="20"/>
              </w:rPr>
            </w:pPr>
            <w:r w:rsidRPr="00AC4F5B">
              <w:rPr>
                <w:rFonts w:ascii="Arial Narrow" w:hAnsi="Arial Narrow" w:cs="Arial"/>
                <w:sz w:val="20"/>
                <w:szCs w:val="20"/>
              </w:rPr>
              <w:t xml:space="preserve">Year of first treatment </w:t>
            </w:r>
            <w:r w:rsidRPr="00AC4F5B">
              <w:rPr>
                <w:rFonts w:ascii="Arial Narrow" w:hAnsi="Arial Narrow" w:cs="Arial"/>
                <w:sz w:val="20"/>
                <w:szCs w:val="20"/>
                <w:vertAlign w:val="superscript"/>
              </w:rPr>
              <w:t>f</w:t>
            </w:r>
            <w:r w:rsidRPr="00AC4F5B">
              <w:rPr>
                <w:rFonts w:ascii="Arial Narrow" w:hAnsi="Arial Narrow" w:cs="Arial"/>
                <w:sz w:val="20"/>
                <w:szCs w:val="20"/>
              </w:rPr>
              <w:t xml:space="preserve">, n (%) </w:t>
            </w:r>
          </w:p>
          <w:p w14:paraId="61A0CFBA"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 xml:space="preserve">2012 </w:t>
            </w:r>
          </w:p>
          <w:p w14:paraId="714DF4F3"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 xml:space="preserve">2013 </w:t>
            </w:r>
          </w:p>
          <w:p w14:paraId="56BAFB12"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 xml:space="preserve">2014 </w:t>
            </w:r>
          </w:p>
          <w:p w14:paraId="5E3ED7D9"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 xml:space="preserve">2015 </w:t>
            </w:r>
          </w:p>
          <w:p w14:paraId="2BEB98C5" w14:textId="77777777" w:rsidR="00224B88"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 xml:space="preserve">2016 </w:t>
            </w:r>
          </w:p>
          <w:p w14:paraId="0850777D"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 xml:space="preserve">2017 </w:t>
            </w:r>
          </w:p>
          <w:p w14:paraId="1204B98D"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 xml:space="preserve">2018 </w:t>
            </w:r>
          </w:p>
          <w:p w14:paraId="5A4F001B"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 xml:space="preserve">2019 </w:t>
            </w:r>
          </w:p>
          <w:p w14:paraId="23C3FA41"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 xml:space="preserve">2020 </w:t>
            </w:r>
          </w:p>
          <w:p w14:paraId="30645F6A"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 xml:space="preserve">2021 </w:t>
            </w:r>
          </w:p>
          <w:p w14:paraId="15AD2A25"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2022</w:t>
            </w:r>
          </w:p>
        </w:tc>
        <w:tc>
          <w:tcPr>
            <w:tcW w:w="1300" w:type="dxa"/>
          </w:tcPr>
          <w:p w14:paraId="2F368F9B"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 </w:t>
            </w:r>
          </w:p>
        </w:tc>
        <w:tc>
          <w:tcPr>
            <w:tcW w:w="1301" w:type="dxa"/>
          </w:tcPr>
          <w:p w14:paraId="5B2FEFB2" w14:textId="77777777" w:rsidR="00224B88" w:rsidRDefault="00224B88" w:rsidP="00FD254E">
            <w:pPr>
              <w:pStyle w:val="Default"/>
              <w:rPr>
                <w:rFonts w:ascii="Arial Narrow" w:hAnsi="Arial Narrow" w:cs="Arial"/>
                <w:sz w:val="20"/>
                <w:szCs w:val="20"/>
              </w:rPr>
            </w:pPr>
          </w:p>
          <w:p w14:paraId="590B56F4"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81 (9.5) </w:t>
            </w:r>
          </w:p>
          <w:p w14:paraId="2313BFEF"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118 (13.9) </w:t>
            </w:r>
          </w:p>
          <w:p w14:paraId="47B6FFE0"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113 (13.3) </w:t>
            </w:r>
          </w:p>
          <w:p w14:paraId="52831C3A"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149 (17.5) </w:t>
            </w:r>
          </w:p>
          <w:p w14:paraId="0ADEAD79"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144 (16.9) </w:t>
            </w:r>
          </w:p>
          <w:p w14:paraId="1BB1AA9D"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74 (8.7) </w:t>
            </w:r>
          </w:p>
          <w:p w14:paraId="09EB1098"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29 (3.4) </w:t>
            </w:r>
          </w:p>
          <w:p w14:paraId="19E85C9B"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25 (2.9) </w:t>
            </w:r>
          </w:p>
          <w:p w14:paraId="0235616E"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22 (2.6) </w:t>
            </w:r>
          </w:p>
          <w:p w14:paraId="54E77880"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21 (2.5) </w:t>
            </w:r>
          </w:p>
          <w:p w14:paraId="4F06A18A"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9 (1.1) </w:t>
            </w:r>
          </w:p>
        </w:tc>
        <w:tc>
          <w:tcPr>
            <w:tcW w:w="1300" w:type="dxa"/>
          </w:tcPr>
          <w:p w14:paraId="4C701036" w14:textId="77777777" w:rsidR="00224B88" w:rsidRDefault="00224B88" w:rsidP="00FD254E">
            <w:pPr>
              <w:pStyle w:val="Default"/>
              <w:rPr>
                <w:rFonts w:ascii="Arial Narrow" w:hAnsi="Arial Narrow" w:cs="Arial"/>
                <w:sz w:val="20"/>
                <w:szCs w:val="20"/>
              </w:rPr>
            </w:pPr>
          </w:p>
          <w:p w14:paraId="022AC2BC"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5 (6.4) </w:t>
            </w:r>
          </w:p>
          <w:p w14:paraId="3D7D54FA"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3 (3.8) </w:t>
            </w:r>
          </w:p>
          <w:p w14:paraId="0C31DAE2"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10 (12.8) </w:t>
            </w:r>
          </w:p>
          <w:p w14:paraId="6FA6D555"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18 (23.1) </w:t>
            </w:r>
          </w:p>
          <w:p w14:paraId="6E5317C9"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16 (20.5) </w:t>
            </w:r>
          </w:p>
          <w:p w14:paraId="04C4683E"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7 (9.0) </w:t>
            </w:r>
          </w:p>
          <w:p w14:paraId="7DDFCD7D"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3 (3.8) </w:t>
            </w:r>
          </w:p>
          <w:p w14:paraId="0DDB32BE"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0 (0.0) </w:t>
            </w:r>
          </w:p>
          <w:p w14:paraId="2D366017"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3 (3.8) </w:t>
            </w:r>
          </w:p>
          <w:p w14:paraId="1A112D9F"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9 (11.5) </w:t>
            </w:r>
          </w:p>
          <w:p w14:paraId="200FE962"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2 (2.6) </w:t>
            </w:r>
          </w:p>
        </w:tc>
        <w:tc>
          <w:tcPr>
            <w:tcW w:w="1301" w:type="dxa"/>
          </w:tcPr>
          <w:p w14:paraId="1D79060F" w14:textId="77777777" w:rsidR="00224B88" w:rsidRDefault="00224B88" w:rsidP="00FD254E">
            <w:pPr>
              <w:pStyle w:val="Default"/>
              <w:rPr>
                <w:rFonts w:ascii="Arial Narrow" w:hAnsi="Arial Narrow" w:cs="Arial"/>
                <w:sz w:val="20"/>
                <w:szCs w:val="20"/>
              </w:rPr>
            </w:pPr>
          </w:p>
          <w:p w14:paraId="46EA1C6E"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0 (0.0) </w:t>
            </w:r>
          </w:p>
          <w:p w14:paraId="1E517D88"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0 (0.0) </w:t>
            </w:r>
          </w:p>
          <w:p w14:paraId="37498E84"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0 (0.0) </w:t>
            </w:r>
          </w:p>
          <w:p w14:paraId="1BED3C11"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0 (0.0) </w:t>
            </w:r>
          </w:p>
          <w:p w14:paraId="7726110B"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3 (13.6) </w:t>
            </w:r>
          </w:p>
          <w:p w14:paraId="0A68CE08"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6 (27.3) </w:t>
            </w:r>
          </w:p>
          <w:p w14:paraId="71B4C645"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2 (9.1) </w:t>
            </w:r>
          </w:p>
          <w:p w14:paraId="3F273C34"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2 (9.1) </w:t>
            </w:r>
          </w:p>
          <w:p w14:paraId="5F3D6989"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6 (27.3) </w:t>
            </w:r>
          </w:p>
          <w:p w14:paraId="52069405"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2 (9.1) </w:t>
            </w:r>
          </w:p>
          <w:p w14:paraId="61696931"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 (4.5) </w:t>
            </w:r>
          </w:p>
        </w:tc>
        <w:tc>
          <w:tcPr>
            <w:tcW w:w="1301" w:type="dxa"/>
          </w:tcPr>
          <w:p w14:paraId="23F573CA" w14:textId="77777777" w:rsidR="00224B88" w:rsidRDefault="00224B88" w:rsidP="00FD254E">
            <w:pPr>
              <w:pStyle w:val="Default"/>
              <w:rPr>
                <w:rFonts w:ascii="Arial Narrow" w:hAnsi="Arial Narrow" w:cs="Arial"/>
                <w:sz w:val="20"/>
                <w:szCs w:val="20"/>
              </w:rPr>
            </w:pPr>
          </w:p>
          <w:p w14:paraId="1A67D0F2" w14:textId="77777777" w:rsidR="00224B88" w:rsidRDefault="00224B88" w:rsidP="00FD254E">
            <w:pPr>
              <w:pStyle w:val="Default"/>
              <w:rPr>
                <w:rFonts w:ascii="Arial Narrow" w:hAnsi="Arial Narrow" w:cs="Arial"/>
                <w:sz w:val="20"/>
                <w:szCs w:val="20"/>
              </w:rPr>
            </w:pPr>
          </w:p>
          <w:p w14:paraId="1BC78F1C"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 </w:t>
            </w:r>
          </w:p>
          <w:p w14:paraId="51C9EBAE"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 </w:t>
            </w:r>
          </w:p>
          <w:p w14:paraId="4A634921" w14:textId="77777777" w:rsidR="00224B88" w:rsidRPr="00AC4F5B" w:rsidRDefault="00224B88" w:rsidP="00FD254E">
            <w:pPr>
              <w:pStyle w:val="Default"/>
              <w:rPr>
                <w:rFonts w:ascii="Arial Narrow" w:hAnsi="Arial Narrow"/>
                <w:sz w:val="20"/>
                <w:szCs w:val="20"/>
              </w:rPr>
            </w:pPr>
            <w:r w:rsidRPr="00AC4F5B">
              <w:rPr>
                <w:rFonts w:ascii="Arial Narrow" w:hAnsi="Arial Narrow" w:cs="Arial"/>
                <w:sz w:val="20"/>
                <w:szCs w:val="20"/>
              </w:rPr>
              <w:t xml:space="preserve">28 (8.7) </w:t>
            </w:r>
          </w:p>
          <w:p w14:paraId="5DF94570" w14:textId="77777777" w:rsidR="00224B88" w:rsidRPr="00AC4F5B" w:rsidRDefault="00224B88" w:rsidP="00FD254E">
            <w:pPr>
              <w:pStyle w:val="Default"/>
              <w:rPr>
                <w:rFonts w:ascii="Arial Narrow" w:hAnsi="Arial Narrow"/>
                <w:sz w:val="20"/>
                <w:szCs w:val="20"/>
              </w:rPr>
            </w:pPr>
            <w:r w:rsidRPr="00AC4F5B">
              <w:rPr>
                <w:rFonts w:ascii="Arial Narrow" w:hAnsi="Arial Narrow" w:cs="Arial"/>
                <w:sz w:val="20"/>
                <w:szCs w:val="20"/>
              </w:rPr>
              <w:t xml:space="preserve">48 (14.9) </w:t>
            </w:r>
          </w:p>
          <w:p w14:paraId="3EE9BA58" w14:textId="77777777" w:rsidR="00224B88" w:rsidRPr="00AC4F5B" w:rsidRDefault="00224B88" w:rsidP="00FD254E">
            <w:pPr>
              <w:pStyle w:val="Default"/>
              <w:rPr>
                <w:rFonts w:ascii="Arial Narrow" w:hAnsi="Arial Narrow"/>
                <w:sz w:val="20"/>
                <w:szCs w:val="20"/>
              </w:rPr>
            </w:pPr>
            <w:r w:rsidRPr="00AC4F5B">
              <w:rPr>
                <w:rFonts w:ascii="Arial Narrow" w:hAnsi="Arial Narrow" w:cs="Arial"/>
                <w:sz w:val="20"/>
                <w:szCs w:val="20"/>
              </w:rPr>
              <w:t xml:space="preserve">48 (14.9) </w:t>
            </w:r>
          </w:p>
          <w:p w14:paraId="279EA7F3" w14:textId="77777777" w:rsidR="00224B88" w:rsidRPr="00AC4F5B" w:rsidRDefault="00224B88" w:rsidP="00FD254E">
            <w:pPr>
              <w:pStyle w:val="Default"/>
              <w:rPr>
                <w:rFonts w:ascii="Arial Narrow" w:hAnsi="Arial Narrow"/>
                <w:sz w:val="20"/>
                <w:szCs w:val="20"/>
              </w:rPr>
            </w:pPr>
            <w:r w:rsidRPr="00AC4F5B">
              <w:rPr>
                <w:rFonts w:ascii="Arial Narrow" w:hAnsi="Arial Narrow" w:cs="Arial"/>
                <w:sz w:val="20"/>
                <w:szCs w:val="20"/>
              </w:rPr>
              <w:t xml:space="preserve">47 (14.6) </w:t>
            </w:r>
          </w:p>
          <w:p w14:paraId="0C9DD0EC" w14:textId="77777777" w:rsidR="00224B88" w:rsidRPr="00AC4F5B" w:rsidRDefault="00224B88" w:rsidP="00FD254E">
            <w:pPr>
              <w:pStyle w:val="Default"/>
              <w:rPr>
                <w:rFonts w:ascii="Arial Narrow" w:hAnsi="Arial Narrow"/>
                <w:sz w:val="20"/>
                <w:szCs w:val="20"/>
              </w:rPr>
            </w:pPr>
            <w:r w:rsidRPr="00AC4F5B">
              <w:rPr>
                <w:rFonts w:ascii="Arial Narrow" w:hAnsi="Arial Narrow" w:cs="Arial"/>
                <w:sz w:val="20"/>
                <w:szCs w:val="20"/>
              </w:rPr>
              <w:t xml:space="preserve">64 (19.8) </w:t>
            </w:r>
          </w:p>
          <w:p w14:paraId="1D64B7B1" w14:textId="77777777" w:rsidR="00224B88" w:rsidRPr="00AC4F5B" w:rsidRDefault="00224B88" w:rsidP="00FD254E">
            <w:pPr>
              <w:pStyle w:val="Default"/>
              <w:rPr>
                <w:rFonts w:ascii="Arial Narrow" w:hAnsi="Arial Narrow"/>
                <w:sz w:val="20"/>
                <w:szCs w:val="20"/>
              </w:rPr>
            </w:pPr>
            <w:r w:rsidRPr="00AC4F5B">
              <w:rPr>
                <w:rFonts w:ascii="Arial Narrow" w:hAnsi="Arial Narrow" w:cs="Arial"/>
                <w:sz w:val="20"/>
                <w:szCs w:val="20"/>
              </w:rPr>
              <w:t xml:space="preserve">56 (17.3) </w:t>
            </w:r>
          </w:p>
          <w:p w14:paraId="3BE7BF7E"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32 (9.9) </w:t>
            </w:r>
          </w:p>
        </w:tc>
      </w:tr>
      <w:tr w:rsidR="00224B88" w:rsidRPr="00AC4F5B" w14:paraId="67212958" w14:textId="77777777" w:rsidTr="7863D01B">
        <w:trPr>
          <w:trHeight w:val="1356"/>
        </w:trPr>
        <w:tc>
          <w:tcPr>
            <w:tcW w:w="2513" w:type="dxa"/>
          </w:tcPr>
          <w:p w14:paraId="4C068E7C" w14:textId="77777777" w:rsidR="00224B88" w:rsidRPr="00AC4F5B" w:rsidRDefault="00224B88" w:rsidP="00FD254E">
            <w:pPr>
              <w:pStyle w:val="Default"/>
              <w:rPr>
                <w:rFonts w:ascii="Arial Narrow" w:hAnsi="Arial Narrow"/>
                <w:sz w:val="20"/>
                <w:szCs w:val="20"/>
              </w:rPr>
            </w:pPr>
            <w:r w:rsidRPr="00AC4F5B">
              <w:rPr>
                <w:rFonts w:ascii="Arial Narrow" w:hAnsi="Arial Narrow" w:cs="Arial"/>
                <w:sz w:val="20"/>
                <w:szCs w:val="20"/>
              </w:rPr>
              <w:t xml:space="preserve">Year of registry enrolment </w:t>
            </w:r>
            <w:r w:rsidRPr="00AC4F5B">
              <w:rPr>
                <w:rFonts w:ascii="Arial Narrow" w:hAnsi="Arial Narrow" w:cs="Arial"/>
                <w:sz w:val="20"/>
                <w:szCs w:val="20"/>
                <w:vertAlign w:val="superscript"/>
              </w:rPr>
              <w:t>f</w:t>
            </w:r>
            <w:r w:rsidRPr="00AC4F5B">
              <w:rPr>
                <w:rFonts w:ascii="Arial Narrow" w:hAnsi="Arial Narrow" w:cs="Arial"/>
                <w:sz w:val="20"/>
                <w:szCs w:val="20"/>
              </w:rPr>
              <w:t xml:space="preserve">, n (%) </w:t>
            </w:r>
          </w:p>
          <w:p w14:paraId="3295087C"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 xml:space="preserve">2012 </w:t>
            </w:r>
          </w:p>
          <w:p w14:paraId="1A7343EF"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 xml:space="preserve">2013 </w:t>
            </w:r>
          </w:p>
          <w:p w14:paraId="5301D4DB"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 xml:space="preserve">2014 </w:t>
            </w:r>
          </w:p>
          <w:p w14:paraId="084FB5C5"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 xml:space="preserve">2015 </w:t>
            </w:r>
          </w:p>
          <w:p w14:paraId="74FD02BB" w14:textId="77777777" w:rsidR="00224B88"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 xml:space="preserve">2016 </w:t>
            </w:r>
          </w:p>
          <w:p w14:paraId="295EBAAB"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 xml:space="preserve">2017 </w:t>
            </w:r>
          </w:p>
          <w:p w14:paraId="322BF9FA"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 xml:space="preserve">2018 </w:t>
            </w:r>
          </w:p>
          <w:p w14:paraId="5C21CD13"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 xml:space="preserve">2019 </w:t>
            </w:r>
          </w:p>
          <w:p w14:paraId="17C54944"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 xml:space="preserve">2020 </w:t>
            </w:r>
          </w:p>
          <w:p w14:paraId="069876BF"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 xml:space="preserve">2021 </w:t>
            </w:r>
          </w:p>
          <w:p w14:paraId="221023FA"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2022</w:t>
            </w:r>
          </w:p>
        </w:tc>
        <w:tc>
          <w:tcPr>
            <w:tcW w:w="1300" w:type="dxa"/>
          </w:tcPr>
          <w:p w14:paraId="6040F633" w14:textId="77777777" w:rsidR="00224B88" w:rsidRDefault="00224B88" w:rsidP="00FD254E">
            <w:pPr>
              <w:pStyle w:val="Default"/>
              <w:rPr>
                <w:rFonts w:ascii="Arial Narrow" w:hAnsi="Arial Narrow" w:cs="Arial"/>
                <w:sz w:val="20"/>
                <w:szCs w:val="20"/>
              </w:rPr>
            </w:pPr>
          </w:p>
          <w:p w14:paraId="3731EE33" w14:textId="77777777" w:rsidR="00224B88" w:rsidRDefault="00224B88" w:rsidP="00FD254E">
            <w:pPr>
              <w:pStyle w:val="Default"/>
              <w:rPr>
                <w:rFonts w:ascii="Arial Narrow" w:hAnsi="Arial Narrow" w:cs="Arial"/>
                <w:sz w:val="20"/>
                <w:szCs w:val="20"/>
              </w:rPr>
            </w:pPr>
          </w:p>
          <w:p w14:paraId="118BF50B"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19 (2.4) </w:t>
            </w:r>
          </w:p>
          <w:p w14:paraId="41446AA8"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131 (16.2) </w:t>
            </w:r>
          </w:p>
          <w:p w14:paraId="78BC89B1"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108 (13.4) </w:t>
            </w:r>
          </w:p>
          <w:p w14:paraId="73FB4342"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158 (19.6) </w:t>
            </w:r>
          </w:p>
          <w:p w14:paraId="51114F0E" w14:textId="77777777" w:rsidR="00671578"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172 (21.3) </w:t>
            </w:r>
          </w:p>
          <w:p w14:paraId="095033D7" w14:textId="290C1F16" w:rsidR="00224B88" w:rsidRPr="00AC4F5B" w:rsidRDefault="00224B88" w:rsidP="00FD254E">
            <w:pPr>
              <w:pStyle w:val="Default"/>
              <w:rPr>
                <w:rFonts w:ascii="Arial Narrow" w:hAnsi="Arial Narrow"/>
                <w:sz w:val="20"/>
                <w:szCs w:val="20"/>
              </w:rPr>
            </w:pPr>
            <w:r w:rsidRPr="00AC4F5B">
              <w:rPr>
                <w:rFonts w:ascii="Arial Narrow" w:hAnsi="Arial Narrow" w:cs="Arial"/>
                <w:sz w:val="20"/>
                <w:szCs w:val="20"/>
              </w:rPr>
              <w:t xml:space="preserve">134 (16.6) </w:t>
            </w:r>
          </w:p>
          <w:p w14:paraId="64E17221"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11 (1.4) </w:t>
            </w:r>
          </w:p>
          <w:p w14:paraId="37E45094"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36 (4.5) </w:t>
            </w:r>
          </w:p>
          <w:p w14:paraId="4CF40985"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32 (4.0) </w:t>
            </w:r>
          </w:p>
          <w:p w14:paraId="491DFF4B"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7 (0.9)</w:t>
            </w:r>
          </w:p>
        </w:tc>
        <w:tc>
          <w:tcPr>
            <w:tcW w:w="1301" w:type="dxa"/>
          </w:tcPr>
          <w:p w14:paraId="1ED7C121"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 </w:t>
            </w:r>
          </w:p>
        </w:tc>
        <w:tc>
          <w:tcPr>
            <w:tcW w:w="1300" w:type="dxa"/>
          </w:tcPr>
          <w:p w14:paraId="5618E382" w14:textId="77777777" w:rsidR="00224B88" w:rsidRPr="00AC4F5B" w:rsidRDefault="00224B88" w:rsidP="00FD254E">
            <w:pPr>
              <w:pStyle w:val="Default"/>
              <w:rPr>
                <w:rFonts w:ascii="Arial Narrow" w:hAnsi="Arial Narrow" w:cs="Arial"/>
                <w:sz w:val="20"/>
                <w:szCs w:val="20"/>
              </w:rPr>
            </w:pPr>
          </w:p>
        </w:tc>
        <w:tc>
          <w:tcPr>
            <w:tcW w:w="1301" w:type="dxa"/>
          </w:tcPr>
          <w:p w14:paraId="13DCC7DF" w14:textId="77777777" w:rsidR="00224B88" w:rsidRPr="00AC4F5B" w:rsidRDefault="00224B88" w:rsidP="00FD254E">
            <w:pPr>
              <w:pStyle w:val="Default"/>
              <w:rPr>
                <w:rFonts w:ascii="Arial Narrow" w:hAnsi="Arial Narrow" w:cs="Arial"/>
                <w:sz w:val="20"/>
                <w:szCs w:val="20"/>
              </w:rPr>
            </w:pPr>
          </w:p>
        </w:tc>
        <w:tc>
          <w:tcPr>
            <w:tcW w:w="1301" w:type="dxa"/>
          </w:tcPr>
          <w:p w14:paraId="17EC8118" w14:textId="77777777" w:rsidR="00224B88" w:rsidRPr="00AC4F5B" w:rsidRDefault="00224B88" w:rsidP="00FD254E">
            <w:pPr>
              <w:pStyle w:val="Default"/>
              <w:rPr>
                <w:rFonts w:ascii="Arial Narrow" w:hAnsi="Arial Narrow" w:cs="Arial"/>
                <w:sz w:val="20"/>
                <w:szCs w:val="20"/>
              </w:rPr>
            </w:pPr>
          </w:p>
        </w:tc>
      </w:tr>
      <w:tr w:rsidR="00224B88" w:rsidRPr="00AC4F5B" w14:paraId="431F2DB9" w14:textId="77777777" w:rsidTr="7863D01B">
        <w:trPr>
          <w:trHeight w:val="93"/>
        </w:trPr>
        <w:tc>
          <w:tcPr>
            <w:tcW w:w="2513" w:type="dxa"/>
          </w:tcPr>
          <w:p w14:paraId="7E3BF493"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Family history of aHUS, n (%) </w:t>
            </w:r>
          </w:p>
        </w:tc>
        <w:tc>
          <w:tcPr>
            <w:tcW w:w="1300" w:type="dxa"/>
          </w:tcPr>
          <w:p w14:paraId="5D22A2E9"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86 (10.8%) </w:t>
            </w:r>
          </w:p>
        </w:tc>
        <w:tc>
          <w:tcPr>
            <w:tcW w:w="1301" w:type="dxa"/>
          </w:tcPr>
          <w:p w14:paraId="14D0BA0F"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89 (10.5%) </w:t>
            </w:r>
          </w:p>
        </w:tc>
        <w:tc>
          <w:tcPr>
            <w:tcW w:w="1300" w:type="dxa"/>
          </w:tcPr>
          <w:p w14:paraId="267E9D21"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9 (11.5%) </w:t>
            </w:r>
          </w:p>
        </w:tc>
        <w:tc>
          <w:tcPr>
            <w:tcW w:w="1301" w:type="dxa"/>
          </w:tcPr>
          <w:p w14:paraId="625EBFFF"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 (4.5) </w:t>
            </w:r>
          </w:p>
        </w:tc>
        <w:tc>
          <w:tcPr>
            <w:tcW w:w="1301" w:type="dxa"/>
          </w:tcPr>
          <w:p w14:paraId="67F87EA3"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NR </w:t>
            </w:r>
          </w:p>
        </w:tc>
      </w:tr>
      <w:tr w:rsidR="00224B88" w:rsidRPr="00AC4F5B" w14:paraId="7A7C7DEA" w14:textId="77777777" w:rsidTr="7863D01B">
        <w:trPr>
          <w:trHeight w:val="207"/>
        </w:trPr>
        <w:tc>
          <w:tcPr>
            <w:tcW w:w="2513" w:type="dxa"/>
          </w:tcPr>
          <w:p w14:paraId="1E29EB60" w14:textId="77777777" w:rsidR="00224B88" w:rsidRPr="00AC4F5B" w:rsidRDefault="00224B88" w:rsidP="00FD254E">
            <w:pPr>
              <w:pStyle w:val="Default"/>
              <w:rPr>
                <w:rFonts w:ascii="Arial Narrow" w:hAnsi="Arial Narrow"/>
                <w:sz w:val="20"/>
                <w:szCs w:val="20"/>
              </w:rPr>
            </w:pPr>
            <w:r w:rsidRPr="00AC4F5B">
              <w:rPr>
                <w:rFonts w:ascii="Arial Narrow" w:hAnsi="Arial Narrow" w:cs="Arial"/>
                <w:sz w:val="20"/>
                <w:szCs w:val="20"/>
              </w:rPr>
              <w:t xml:space="preserve">Median duration of follow-up, years (range) </w:t>
            </w:r>
          </w:p>
        </w:tc>
        <w:tc>
          <w:tcPr>
            <w:tcW w:w="1300" w:type="dxa"/>
          </w:tcPr>
          <w:p w14:paraId="49377B32" w14:textId="77777777" w:rsidR="00224B88" w:rsidRPr="00AC4F5B" w:rsidRDefault="00224B88" w:rsidP="00FD254E">
            <w:pPr>
              <w:pStyle w:val="Default"/>
              <w:rPr>
                <w:rFonts w:ascii="Arial Narrow" w:hAnsi="Arial Narrow"/>
                <w:sz w:val="20"/>
                <w:szCs w:val="20"/>
              </w:rPr>
            </w:pPr>
            <w:r w:rsidRPr="00AC4F5B">
              <w:rPr>
                <w:rFonts w:ascii="Arial Narrow" w:hAnsi="Arial Narrow" w:cs="Arial"/>
                <w:sz w:val="20"/>
                <w:szCs w:val="20"/>
              </w:rPr>
              <w:t xml:space="preserve">3.63 (0, 9) </w:t>
            </w:r>
          </w:p>
        </w:tc>
        <w:tc>
          <w:tcPr>
            <w:tcW w:w="1301" w:type="dxa"/>
          </w:tcPr>
          <w:p w14:paraId="707E0547"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3.91 (IQR: 1.83, 5.90) </w:t>
            </w:r>
          </w:p>
        </w:tc>
        <w:tc>
          <w:tcPr>
            <w:tcW w:w="1300" w:type="dxa"/>
          </w:tcPr>
          <w:p w14:paraId="2D9D6603"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2.90 (IQR: 0.50, 6.29) </w:t>
            </w:r>
          </w:p>
        </w:tc>
        <w:tc>
          <w:tcPr>
            <w:tcW w:w="1301" w:type="dxa"/>
          </w:tcPr>
          <w:p w14:paraId="0A5F4641"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2.03 (1.03, 4.43) </w:t>
            </w:r>
          </w:p>
        </w:tc>
        <w:tc>
          <w:tcPr>
            <w:tcW w:w="1301" w:type="dxa"/>
          </w:tcPr>
          <w:p w14:paraId="0416D1D5"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NR </w:t>
            </w:r>
          </w:p>
        </w:tc>
      </w:tr>
      <w:tr w:rsidR="00224B88" w:rsidRPr="00AC4F5B" w14:paraId="639056AC" w14:textId="77777777" w:rsidTr="7863D01B">
        <w:trPr>
          <w:trHeight w:val="322"/>
        </w:trPr>
        <w:tc>
          <w:tcPr>
            <w:tcW w:w="2513" w:type="dxa"/>
          </w:tcPr>
          <w:p w14:paraId="14F77A4A" w14:textId="77777777" w:rsidR="00224B88" w:rsidRPr="00AC4F5B" w:rsidRDefault="00224B88" w:rsidP="00FD254E">
            <w:pPr>
              <w:pStyle w:val="Default"/>
              <w:rPr>
                <w:rFonts w:ascii="Arial Narrow" w:hAnsi="Arial Narrow"/>
                <w:sz w:val="13"/>
                <w:szCs w:val="13"/>
              </w:rPr>
            </w:pPr>
            <w:r w:rsidRPr="00AC4F5B">
              <w:rPr>
                <w:rFonts w:ascii="Arial Narrow" w:hAnsi="Arial Narrow" w:cs="Arial"/>
                <w:sz w:val="20"/>
                <w:szCs w:val="20"/>
              </w:rPr>
              <w:t xml:space="preserve">Total time on treatment, years </w:t>
            </w:r>
            <w:r w:rsidRPr="00AC4F5B">
              <w:rPr>
                <w:rFonts w:ascii="Arial Narrow" w:hAnsi="Arial Narrow" w:cs="Arial"/>
                <w:sz w:val="20"/>
                <w:szCs w:val="20"/>
                <w:vertAlign w:val="superscript"/>
              </w:rPr>
              <w:t xml:space="preserve">c </w:t>
            </w:r>
          </w:p>
          <w:p w14:paraId="751B1B28"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Mean (SD) </w:t>
            </w:r>
          </w:p>
          <w:p w14:paraId="2BEDC92A"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Median (IQR) </w:t>
            </w:r>
          </w:p>
        </w:tc>
        <w:tc>
          <w:tcPr>
            <w:tcW w:w="1300" w:type="dxa"/>
          </w:tcPr>
          <w:p w14:paraId="5C4B1F02" w14:textId="77777777" w:rsidR="00224B88" w:rsidRDefault="00224B88" w:rsidP="00FD254E">
            <w:pPr>
              <w:pStyle w:val="Default"/>
              <w:rPr>
                <w:rFonts w:ascii="Arial Narrow" w:hAnsi="Arial Narrow" w:cs="Arial"/>
                <w:sz w:val="20"/>
                <w:szCs w:val="20"/>
              </w:rPr>
            </w:pPr>
          </w:p>
          <w:p w14:paraId="48F165E5"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3.37 (2.76) </w:t>
            </w:r>
          </w:p>
          <w:p w14:paraId="6FDED7AF"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2.78 (1.01, 5.32) </w:t>
            </w:r>
          </w:p>
        </w:tc>
        <w:tc>
          <w:tcPr>
            <w:tcW w:w="1301" w:type="dxa"/>
          </w:tcPr>
          <w:p w14:paraId="53053814" w14:textId="77777777" w:rsidR="00224B88" w:rsidRDefault="00224B88" w:rsidP="00FD254E">
            <w:pPr>
              <w:pStyle w:val="Default"/>
              <w:rPr>
                <w:rFonts w:ascii="Arial Narrow" w:hAnsi="Arial Narrow" w:cs="Arial"/>
                <w:sz w:val="20"/>
                <w:szCs w:val="20"/>
              </w:rPr>
            </w:pPr>
          </w:p>
          <w:p w14:paraId="0A453980"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3.58 (3.008) </w:t>
            </w:r>
          </w:p>
          <w:p w14:paraId="1CBB9C00"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2.87 (1.01, 5.61) </w:t>
            </w:r>
          </w:p>
        </w:tc>
        <w:tc>
          <w:tcPr>
            <w:tcW w:w="1300" w:type="dxa"/>
          </w:tcPr>
          <w:p w14:paraId="645C5DD3" w14:textId="77777777" w:rsidR="00224B88" w:rsidRDefault="00224B88" w:rsidP="00FD254E">
            <w:pPr>
              <w:pStyle w:val="Default"/>
              <w:rPr>
                <w:rFonts w:ascii="Arial Narrow" w:hAnsi="Arial Narrow" w:cs="Arial"/>
                <w:sz w:val="20"/>
                <w:szCs w:val="20"/>
              </w:rPr>
            </w:pPr>
          </w:p>
          <w:p w14:paraId="46885FD6"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2.51 (2.658) </w:t>
            </w:r>
          </w:p>
          <w:p w14:paraId="78D17C11"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1.40 (0.47, 3.67) </w:t>
            </w:r>
          </w:p>
        </w:tc>
        <w:tc>
          <w:tcPr>
            <w:tcW w:w="1301" w:type="dxa"/>
          </w:tcPr>
          <w:p w14:paraId="17918486" w14:textId="77777777" w:rsidR="00224B88" w:rsidRDefault="00224B88" w:rsidP="00FD254E">
            <w:pPr>
              <w:pStyle w:val="Default"/>
              <w:rPr>
                <w:rFonts w:ascii="Arial Narrow" w:hAnsi="Arial Narrow" w:cs="Arial"/>
                <w:sz w:val="20"/>
                <w:szCs w:val="20"/>
              </w:rPr>
            </w:pPr>
          </w:p>
          <w:p w14:paraId="4495D555"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2.63 (1.828) </w:t>
            </w:r>
          </w:p>
          <w:p w14:paraId="4325F0C0"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1.99 (1.03, 4.55) </w:t>
            </w:r>
          </w:p>
        </w:tc>
        <w:tc>
          <w:tcPr>
            <w:tcW w:w="1301" w:type="dxa"/>
          </w:tcPr>
          <w:p w14:paraId="2191CB8C" w14:textId="77777777" w:rsidR="00224B88" w:rsidRDefault="00224B88" w:rsidP="00FD254E">
            <w:pPr>
              <w:pStyle w:val="Default"/>
              <w:rPr>
                <w:rFonts w:ascii="Arial Narrow" w:hAnsi="Arial Narrow" w:cs="Arial"/>
                <w:sz w:val="20"/>
                <w:szCs w:val="20"/>
              </w:rPr>
            </w:pPr>
          </w:p>
          <w:p w14:paraId="713A6C82"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1.15 (NR) </w:t>
            </w:r>
          </w:p>
          <w:p w14:paraId="6961AF56" w14:textId="385A53FD"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0.</w:t>
            </w:r>
            <w:r w:rsidR="00273B6A">
              <w:rPr>
                <w:rFonts w:ascii="Arial Narrow" w:hAnsi="Arial Narrow" w:cs="Arial"/>
                <w:sz w:val="20"/>
                <w:szCs w:val="20"/>
              </w:rPr>
              <w:t>4</w:t>
            </w:r>
            <w:r w:rsidR="00273B6A" w:rsidRPr="00AC4F5B">
              <w:rPr>
                <w:rFonts w:ascii="Arial Narrow" w:hAnsi="Arial Narrow" w:cs="Arial"/>
                <w:sz w:val="20"/>
                <w:szCs w:val="20"/>
              </w:rPr>
              <w:t>2</w:t>
            </w:r>
            <w:r w:rsidR="00357E83">
              <w:rPr>
                <w:rFonts w:ascii="Arial Narrow" w:hAnsi="Arial Narrow" w:cs="Arial"/>
                <w:sz w:val="20"/>
                <w:szCs w:val="20"/>
              </w:rPr>
              <w:t>*</w:t>
            </w:r>
            <w:r w:rsidR="00273B6A" w:rsidRPr="00AC4F5B">
              <w:rPr>
                <w:rFonts w:ascii="Arial Narrow" w:hAnsi="Arial Narrow" w:cs="Arial"/>
                <w:sz w:val="20"/>
                <w:szCs w:val="20"/>
              </w:rPr>
              <w:t xml:space="preserve"> </w:t>
            </w:r>
            <w:r w:rsidRPr="00AC4F5B">
              <w:rPr>
                <w:rFonts w:ascii="Arial Narrow" w:hAnsi="Arial Narrow" w:cs="Arial"/>
                <w:sz w:val="20"/>
                <w:szCs w:val="20"/>
              </w:rPr>
              <w:t xml:space="preserve">(NR) </w:t>
            </w:r>
          </w:p>
        </w:tc>
      </w:tr>
      <w:tr w:rsidR="00224B88" w:rsidRPr="00AC4F5B" w14:paraId="4260AB5D" w14:textId="77777777" w:rsidTr="7863D01B">
        <w:trPr>
          <w:trHeight w:val="208"/>
        </w:trPr>
        <w:tc>
          <w:tcPr>
            <w:tcW w:w="2513" w:type="dxa"/>
          </w:tcPr>
          <w:p w14:paraId="3359FBEC"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Deaths, n (%) </w:t>
            </w:r>
          </w:p>
        </w:tc>
        <w:tc>
          <w:tcPr>
            <w:tcW w:w="1300" w:type="dxa"/>
          </w:tcPr>
          <w:p w14:paraId="1E2254BE"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76 (9.4%) </w:t>
            </w:r>
          </w:p>
        </w:tc>
        <w:tc>
          <w:tcPr>
            <w:tcW w:w="1301" w:type="dxa"/>
          </w:tcPr>
          <w:p w14:paraId="2619C5DB"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84 (9.9%) </w:t>
            </w:r>
          </w:p>
        </w:tc>
        <w:tc>
          <w:tcPr>
            <w:tcW w:w="1300" w:type="dxa"/>
          </w:tcPr>
          <w:p w14:paraId="45C82B50"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12 (15.4%) </w:t>
            </w:r>
          </w:p>
        </w:tc>
        <w:tc>
          <w:tcPr>
            <w:tcW w:w="1301" w:type="dxa"/>
          </w:tcPr>
          <w:p w14:paraId="2B328437"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5 (22.7%) </w:t>
            </w:r>
          </w:p>
        </w:tc>
        <w:tc>
          <w:tcPr>
            <w:tcW w:w="1301" w:type="dxa"/>
          </w:tcPr>
          <w:p w14:paraId="4C06F7E3" w14:textId="77777777" w:rsidR="00224B88" w:rsidRPr="00AC4F5B" w:rsidRDefault="00224B88" w:rsidP="00FD254E">
            <w:pPr>
              <w:pStyle w:val="Default"/>
              <w:rPr>
                <w:rFonts w:ascii="Arial Narrow" w:hAnsi="Arial Narrow"/>
                <w:sz w:val="20"/>
                <w:szCs w:val="20"/>
              </w:rPr>
            </w:pPr>
            <w:r w:rsidRPr="00AC4F5B">
              <w:rPr>
                <w:rFonts w:ascii="Arial Narrow" w:hAnsi="Arial Narrow" w:cs="Arial"/>
                <w:sz w:val="20"/>
                <w:szCs w:val="20"/>
              </w:rPr>
              <w:t>74/298 (24.8%)</w:t>
            </w:r>
          </w:p>
        </w:tc>
      </w:tr>
      <w:tr w:rsidR="00224B88" w:rsidRPr="00AC4F5B" w14:paraId="6D39ED79" w14:textId="77777777" w:rsidTr="7863D01B">
        <w:trPr>
          <w:trHeight w:val="207"/>
        </w:trPr>
        <w:tc>
          <w:tcPr>
            <w:tcW w:w="2513" w:type="dxa"/>
          </w:tcPr>
          <w:p w14:paraId="119AD7D8" w14:textId="77777777" w:rsidR="00224B88" w:rsidRPr="00AC4F5B" w:rsidRDefault="00224B88" w:rsidP="00FD254E">
            <w:pPr>
              <w:pStyle w:val="Default"/>
              <w:rPr>
                <w:rFonts w:ascii="Arial Narrow" w:hAnsi="Arial Narrow"/>
                <w:sz w:val="20"/>
                <w:szCs w:val="20"/>
              </w:rPr>
            </w:pPr>
            <w:r w:rsidRPr="00AC4F5B">
              <w:rPr>
                <w:rFonts w:ascii="Arial Narrow" w:hAnsi="Arial Narrow" w:cs="Arial"/>
                <w:sz w:val="20"/>
                <w:szCs w:val="20"/>
              </w:rPr>
              <w:t xml:space="preserve">Any discontinuation of eculizumab, n (%) </w:t>
            </w:r>
          </w:p>
        </w:tc>
        <w:tc>
          <w:tcPr>
            <w:tcW w:w="1300" w:type="dxa"/>
          </w:tcPr>
          <w:p w14:paraId="7C5730C3"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342 (42.3%) </w:t>
            </w:r>
            <w:r w:rsidRPr="00AC4F5B">
              <w:rPr>
                <w:rFonts w:ascii="Arial Narrow" w:hAnsi="Arial Narrow" w:cs="Arial"/>
                <w:sz w:val="20"/>
                <w:szCs w:val="20"/>
                <w:vertAlign w:val="superscript"/>
              </w:rPr>
              <w:t xml:space="preserve">c </w:t>
            </w:r>
          </w:p>
        </w:tc>
        <w:tc>
          <w:tcPr>
            <w:tcW w:w="1301" w:type="dxa"/>
          </w:tcPr>
          <w:p w14:paraId="37F6AAFE"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372 (43.8%) </w:t>
            </w:r>
          </w:p>
        </w:tc>
        <w:tc>
          <w:tcPr>
            <w:tcW w:w="1300" w:type="dxa"/>
          </w:tcPr>
          <w:p w14:paraId="0D0A9962"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46 (59.0%) </w:t>
            </w:r>
          </w:p>
        </w:tc>
        <w:tc>
          <w:tcPr>
            <w:tcW w:w="1301" w:type="dxa"/>
          </w:tcPr>
          <w:p w14:paraId="6AAB0689"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7 (31.8%) </w:t>
            </w:r>
          </w:p>
        </w:tc>
        <w:tc>
          <w:tcPr>
            <w:tcW w:w="1301" w:type="dxa"/>
          </w:tcPr>
          <w:p w14:paraId="3E26AFFA" w14:textId="77777777" w:rsidR="00224B88" w:rsidRPr="00AC4F5B" w:rsidRDefault="00224B88" w:rsidP="00FD254E">
            <w:pPr>
              <w:pStyle w:val="Default"/>
              <w:rPr>
                <w:rFonts w:ascii="Arial Narrow" w:hAnsi="Arial Narrow"/>
                <w:sz w:val="20"/>
                <w:szCs w:val="20"/>
              </w:rPr>
            </w:pPr>
            <w:r w:rsidRPr="00AC4F5B">
              <w:rPr>
                <w:rFonts w:ascii="Arial Narrow" w:hAnsi="Arial Narrow" w:cs="Arial"/>
                <w:sz w:val="20"/>
                <w:szCs w:val="20"/>
              </w:rPr>
              <w:t>236/323 (73.1%)</w:t>
            </w:r>
          </w:p>
        </w:tc>
      </w:tr>
      <w:tr w:rsidR="00224B88" w:rsidRPr="00AC4F5B" w14:paraId="32232AFE" w14:textId="77777777" w:rsidTr="7863D01B">
        <w:trPr>
          <w:trHeight w:val="208"/>
        </w:trPr>
        <w:tc>
          <w:tcPr>
            <w:tcW w:w="2513" w:type="dxa"/>
          </w:tcPr>
          <w:p w14:paraId="62582B1F" w14:textId="77777777" w:rsidR="00224B88" w:rsidRPr="00AC4F5B" w:rsidRDefault="00224B88" w:rsidP="00FD254E">
            <w:pPr>
              <w:pStyle w:val="Default"/>
              <w:rPr>
                <w:rFonts w:ascii="Arial Narrow" w:hAnsi="Arial Narrow"/>
                <w:sz w:val="20"/>
                <w:szCs w:val="20"/>
              </w:rPr>
            </w:pPr>
            <w:r w:rsidRPr="00AC4F5B">
              <w:rPr>
                <w:rFonts w:ascii="Arial Narrow" w:hAnsi="Arial Narrow" w:cs="Arial"/>
                <w:sz w:val="20"/>
                <w:szCs w:val="20"/>
              </w:rPr>
              <w:t xml:space="preserve">Any re-start of eculizumab after discontinuation, n (%) </w:t>
            </w:r>
          </w:p>
        </w:tc>
        <w:tc>
          <w:tcPr>
            <w:tcW w:w="1300" w:type="dxa"/>
          </w:tcPr>
          <w:p w14:paraId="6B7B4151"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57/342 (16.7%) </w:t>
            </w:r>
          </w:p>
        </w:tc>
        <w:tc>
          <w:tcPr>
            <w:tcW w:w="1301" w:type="dxa"/>
          </w:tcPr>
          <w:p w14:paraId="7285A055"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59/372 (15.9%) </w:t>
            </w:r>
          </w:p>
        </w:tc>
        <w:tc>
          <w:tcPr>
            <w:tcW w:w="1300" w:type="dxa"/>
          </w:tcPr>
          <w:p w14:paraId="0B64C9E7"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10/46 (21.7%) </w:t>
            </w:r>
          </w:p>
        </w:tc>
        <w:tc>
          <w:tcPr>
            <w:tcW w:w="1301" w:type="dxa"/>
          </w:tcPr>
          <w:p w14:paraId="34A2617C"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0 (0.0%) </w:t>
            </w:r>
          </w:p>
        </w:tc>
        <w:tc>
          <w:tcPr>
            <w:tcW w:w="1301" w:type="dxa"/>
          </w:tcPr>
          <w:p w14:paraId="54829F39"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NR </w:t>
            </w:r>
          </w:p>
        </w:tc>
      </w:tr>
      <w:tr w:rsidR="00224B88" w:rsidRPr="00AC4F5B" w14:paraId="5D5B9564" w14:textId="77777777" w:rsidTr="7863D01B">
        <w:trPr>
          <w:trHeight w:val="782"/>
        </w:trPr>
        <w:tc>
          <w:tcPr>
            <w:tcW w:w="2513" w:type="dxa"/>
          </w:tcPr>
          <w:p w14:paraId="0A353196"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Reason for discontinuation, n (%) </w:t>
            </w:r>
          </w:p>
          <w:p w14:paraId="35BBFCC4"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Lack of renal function</w:t>
            </w:r>
            <w:r>
              <w:rPr>
                <w:rFonts w:ascii="Arial Narrow" w:hAnsi="Arial Narrow" w:cs="Arial"/>
                <w:sz w:val="20"/>
                <w:szCs w:val="20"/>
              </w:rPr>
              <w:t xml:space="preserve"> </w:t>
            </w:r>
            <w:r w:rsidRPr="00AC4F5B">
              <w:rPr>
                <w:rFonts w:ascii="Arial Narrow" w:hAnsi="Arial Narrow" w:cs="Arial"/>
                <w:sz w:val="20"/>
                <w:szCs w:val="20"/>
              </w:rPr>
              <w:t>improvement</w:t>
            </w:r>
          </w:p>
          <w:p w14:paraId="07DCCAAA" w14:textId="77777777" w:rsidR="00224B88" w:rsidRPr="00AC4F5B" w:rsidRDefault="00224B88" w:rsidP="00FD254E">
            <w:pPr>
              <w:pStyle w:val="Default"/>
              <w:jc w:val="right"/>
              <w:rPr>
                <w:rFonts w:ascii="Arial Narrow" w:hAnsi="Arial Narrow"/>
                <w:sz w:val="20"/>
                <w:szCs w:val="20"/>
              </w:rPr>
            </w:pPr>
            <w:r w:rsidRPr="00AC4F5B">
              <w:rPr>
                <w:rFonts w:ascii="Arial Narrow" w:hAnsi="Arial Narrow" w:cs="Arial"/>
                <w:sz w:val="20"/>
                <w:szCs w:val="20"/>
              </w:rPr>
              <w:lastRenderedPageBreak/>
              <w:t>Lack of haematological improvement</w:t>
            </w:r>
          </w:p>
          <w:p w14:paraId="3C579EF8"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Adverse event</w:t>
            </w:r>
          </w:p>
          <w:p w14:paraId="087A6750"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Death</w:t>
            </w:r>
          </w:p>
          <w:p w14:paraId="5ADA2C05" w14:textId="77777777" w:rsidR="00224B88" w:rsidRPr="00AC4F5B" w:rsidRDefault="00224B88" w:rsidP="00FD254E">
            <w:pPr>
              <w:pStyle w:val="Default"/>
              <w:jc w:val="right"/>
              <w:rPr>
                <w:rFonts w:ascii="Arial Narrow" w:hAnsi="Arial Narrow" w:cs="Arial"/>
                <w:sz w:val="20"/>
                <w:szCs w:val="20"/>
              </w:rPr>
            </w:pPr>
            <w:r w:rsidRPr="00AC4F5B">
              <w:rPr>
                <w:rFonts w:ascii="Arial Narrow" w:hAnsi="Arial Narrow" w:cs="Arial"/>
                <w:sz w:val="20"/>
                <w:szCs w:val="20"/>
              </w:rPr>
              <w:t>Symptom stabilization</w:t>
            </w:r>
          </w:p>
        </w:tc>
        <w:tc>
          <w:tcPr>
            <w:tcW w:w="1300" w:type="dxa"/>
          </w:tcPr>
          <w:p w14:paraId="7ED7B259" w14:textId="77777777" w:rsidR="00224B88" w:rsidRDefault="00224B88" w:rsidP="00FD254E">
            <w:pPr>
              <w:pStyle w:val="Default"/>
              <w:rPr>
                <w:rFonts w:ascii="Arial Narrow" w:hAnsi="Arial Narrow" w:cs="Arial"/>
                <w:sz w:val="20"/>
                <w:szCs w:val="20"/>
              </w:rPr>
            </w:pPr>
          </w:p>
          <w:p w14:paraId="33E20E2C" w14:textId="77777777" w:rsidR="00224B88" w:rsidRDefault="00224B88" w:rsidP="00FD254E">
            <w:pPr>
              <w:pStyle w:val="Default"/>
              <w:rPr>
                <w:rFonts w:ascii="Arial Narrow" w:hAnsi="Arial Narrow" w:cs="Arial"/>
                <w:sz w:val="20"/>
                <w:szCs w:val="20"/>
              </w:rPr>
            </w:pPr>
          </w:p>
          <w:p w14:paraId="024681FC"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65/342 (19.0%) </w:t>
            </w:r>
          </w:p>
          <w:p w14:paraId="65F54569"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lastRenderedPageBreak/>
              <w:t xml:space="preserve">18/342 (5.3%) </w:t>
            </w:r>
          </w:p>
          <w:p w14:paraId="0D74B513" w14:textId="77777777" w:rsidR="00224B88" w:rsidRDefault="00224B88" w:rsidP="00FD254E">
            <w:pPr>
              <w:pStyle w:val="Default"/>
              <w:rPr>
                <w:rFonts w:ascii="Arial Narrow" w:hAnsi="Arial Narrow" w:cs="Arial"/>
                <w:sz w:val="20"/>
                <w:szCs w:val="20"/>
              </w:rPr>
            </w:pPr>
          </w:p>
          <w:p w14:paraId="515361E8"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25/342 (7.3%) </w:t>
            </w:r>
          </w:p>
          <w:p w14:paraId="06DFF07B"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10/342 (2.9%) </w:t>
            </w:r>
          </w:p>
          <w:p w14:paraId="58194113"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76/342 (22.2%) </w:t>
            </w:r>
          </w:p>
        </w:tc>
        <w:tc>
          <w:tcPr>
            <w:tcW w:w="1301" w:type="dxa"/>
          </w:tcPr>
          <w:p w14:paraId="5BE25E0D" w14:textId="77777777" w:rsidR="00224B88" w:rsidRDefault="00224B88" w:rsidP="00FD254E">
            <w:pPr>
              <w:pStyle w:val="Default"/>
              <w:rPr>
                <w:rFonts w:ascii="Arial Narrow" w:hAnsi="Arial Narrow" w:cs="Arial"/>
                <w:sz w:val="20"/>
                <w:szCs w:val="20"/>
              </w:rPr>
            </w:pPr>
          </w:p>
          <w:p w14:paraId="163F04FF" w14:textId="77777777" w:rsidR="00224B88" w:rsidRDefault="00224B88" w:rsidP="00FD254E">
            <w:pPr>
              <w:pStyle w:val="Default"/>
              <w:rPr>
                <w:rFonts w:ascii="Arial Narrow" w:hAnsi="Arial Narrow" w:cs="Arial"/>
                <w:sz w:val="20"/>
                <w:szCs w:val="20"/>
              </w:rPr>
            </w:pPr>
          </w:p>
          <w:p w14:paraId="0AAF702C"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69/372 (18.5%) </w:t>
            </w:r>
          </w:p>
          <w:p w14:paraId="076F110B"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lastRenderedPageBreak/>
              <w:t xml:space="preserve">21/372 (5.6%) </w:t>
            </w:r>
          </w:p>
          <w:p w14:paraId="4AED8A4B" w14:textId="77777777" w:rsidR="00224B88" w:rsidRDefault="00224B88" w:rsidP="00FD254E">
            <w:pPr>
              <w:pStyle w:val="Default"/>
              <w:rPr>
                <w:rFonts w:ascii="Arial Narrow" w:hAnsi="Arial Narrow" w:cs="Arial"/>
                <w:sz w:val="20"/>
                <w:szCs w:val="20"/>
              </w:rPr>
            </w:pPr>
          </w:p>
          <w:p w14:paraId="15DF3B09"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26/372 (7.0%) </w:t>
            </w:r>
          </w:p>
          <w:p w14:paraId="2FE88F4E"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10/372 (2.7%) </w:t>
            </w:r>
          </w:p>
          <w:p w14:paraId="07CE5E4F"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73/372 (19.6%) </w:t>
            </w:r>
          </w:p>
        </w:tc>
        <w:tc>
          <w:tcPr>
            <w:tcW w:w="1300" w:type="dxa"/>
          </w:tcPr>
          <w:p w14:paraId="1304AE4E" w14:textId="77777777" w:rsidR="00224B88" w:rsidRPr="00845C12" w:rsidRDefault="00224B88" w:rsidP="00FD254E">
            <w:pPr>
              <w:pStyle w:val="Default"/>
              <w:rPr>
                <w:rFonts w:ascii="Arial Narrow" w:hAnsi="Arial Narrow" w:cs="Arial"/>
                <w:sz w:val="20"/>
                <w:szCs w:val="20"/>
              </w:rPr>
            </w:pPr>
          </w:p>
          <w:p w14:paraId="359FA341" w14:textId="77777777" w:rsidR="00224B88" w:rsidRPr="00845C12" w:rsidRDefault="00224B88" w:rsidP="00FD254E">
            <w:pPr>
              <w:pStyle w:val="Default"/>
              <w:rPr>
                <w:rFonts w:ascii="Arial Narrow" w:hAnsi="Arial Narrow" w:cs="Arial"/>
                <w:sz w:val="20"/>
                <w:szCs w:val="20"/>
              </w:rPr>
            </w:pPr>
          </w:p>
          <w:p w14:paraId="4846C1F0" w14:textId="77777777" w:rsidR="00224B88" w:rsidRPr="00845C12" w:rsidRDefault="00224B88" w:rsidP="00FD254E">
            <w:pPr>
              <w:pStyle w:val="Default"/>
              <w:rPr>
                <w:rFonts w:ascii="Arial Narrow" w:hAnsi="Arial Narrow" w:cs="Arial"/>
                <w:sz w:val="20"/>
                <w:szCs w:val="20"/>
              </w:rPr>
            </w:pPr>
            <w:r w:rsidRPr="00845C12">
              <w:rPr>
                <w:rFonts w:ascii="Arial Narrow" w:hAnsi="Arial Narrow" w:cs="Arial"/>
                <w:sz w:val="20"/>
                <w:szCs w:val="20"/>
              </w:rPr>
              <w:t xml:space="preserve">2/46 (4.3%) </w:t>
            </w:r>
          </w:p>
          <w:p w14:paraId="0C8D7E60" w14:textId="77777777" w:rsidR="00671578" w:rsidRPr="00845C12" w:rsidRDefault="00671578" w:rsidP="00FD254E">
            <w:pPr>
              <w:pStyle w:val="Default"/>
              <w:rPr>
                <w:rFonts w:ascii="Arial Narrow" w:hAnsi="Arial Narrow" w:cs="Arial"/>
                <w:sz w:val="20"/>
                <w:szCs w:val="20"/>
              </w:rPr>
            </w:pPr>
          </w:p>
          <w:p w14:paraId="5D8AFF69" w14:textId="5A7318DB" w:rsidR="00224B88" w:rsidRPr="00845C12" w:rsidRDefault="00224B88" w:rsidP="00FD254E">
            <w:pPr>
              <w:pStyle w:val="Default"/>
              <w:rPr>
                <w:rFonts w:ascii="Arial Narrow" w:hAnsi="Arial Narrow" w:cs="Arial"/>
                <w:sz w:val="20"/>
                <w:szCs w:val="20"/>
              </w:rPr>
            </w:pPr>
            <w:r w:rsidRPr="00845C12">
              <w:rPr>
                <w:rFonts w:ascii="Arial Narrow" w:hAnsi="Arial Narrow" w:cs="Arial"/>
                <w:sz w:val="20"/>
                <w:szCs w:val="20"/>
              </w:rPr>
              <w:lastRenderedPageBreak/>
              <w:t xml:space="preserve">3/46 (6.5%) </w:t>
            </w:r>
          </w:p>
          <w:p w14:paraId="44FAB7B1" w14:textId="77777777" w:rsidR="00671578" w:rsidRPr="00845C12" w:rsidRDefault="00671578" w:rsidP="00FD254E">
            <w:pPr>
              <w:pStyle w:val="Default"/>
              <w:rPr>
                <w:rFonts w:ascii="Arial Narrow" w:hAnsi="Arial Narrow" w:cs="Arial"/>
                <w:sz w:val="20"/>
                <w:szCs w:val="20"/>
              </w:rPr>
            </w:pPr>
          </w:p>
          <w:p w14:paraId="38753636" w14:textId="35D845CE" w:rsidR="00224B88" w:rsidRPr="00845C12" w:rsidRDefault="00224B88" w:rsidP="00FD254E">
            <w:pPr>
              <w:pStyle w:val="Default"/>
              <w:rPr>
                <w:rFonts w:ascii="Arial Narrow" w:hAnsi="Arial Narrow" w:cs="Arial"/>
                <w:sz w:val="20"/>
                <w:szCs w:val="20"/>
              </w:rPr>
            </w:pPr>
            <w:r w:rsidRPr="00845C12">
              <w:rPr>
                <w:rFonts w:ascii="Arial Narrow" w:hAnsi="Arial Narrow" w:cs="Arial"/>
                <w:sz w:val="20"/>
                <w:szCs w:val="20"/>
              </w:rPr>
              <w:t xml:space="preserve">2/46 (4.3%) </w:t>
            </w:r>
          </w:p>
          <w:p w14:paraId="34C708C8" w14:textId="77777777" w:rsidR="00224B88" w:rsidRPr="00845C12" w:rsidRDefault="00224B88" w:rsidP="00FD254E">
            <w:pPr>
              <w:pStyle w:val="Default"/>
              <w:rPr>
                <w:rFonts w:ascii="Arial Narrow" w:hAnsi="Arial Narrow" w:cs="Arial"/>
                <w:sz w:val="20"/>
                <w:szCs w:val="20"/>
              </w:rPr>
            </w:pPr>
            <w:r w:rsidRPr="00845C12">
              <w:rPr>
                <w:rFonts w:ascii="Arial Narrow" w:hAnsi="Arial Narrow" w:cs="Arial"/>
                <w:sz w:val="20"/>
                <w:szCs w:val="20"/>
              </w:rPr>
              <w:t xml:space="preserve">1/46 (2.2%) </w:t>
            </w:r>
          </w:p>
          <w:p w14:paraId="52A8A105" w14:textId="77777777" w:rsidR="00224B88" w:rsidRPr="00845C12" w:rsidRDefault="00224B88" w:rsidP="00FD254E">
            <w:pPr>
              <w:pStyle w:val="Default"/>
              <w:rPr>
                <w:rFonts w:ascii="Arial Narrow" w:hAnsi="Arial Narrow" w:cs="Arial"/>
                <w:sz w:val="20"/>
                <w:szCs w:val="20"/>
              </w:rPr>
            </w:pPr>
            <w:r w:rsidRPr="00845C12">
              <w:rPr>
                <w:rFonts w:ascii="Arial Narrow" w:hAnsi="Arial Narrow" w:cs="Arial"/>
                <w:sz w:val="20"/>
                <w:szCs w:val="20"/>
              </w:rPr>
              <w:t xml:space="preserve">14/46 (30.4%) </w:t>
            </w:r>
          </w:p>
        </w:tc>
        <w:tc>
          <w:tcPr>
            <w:tcW w:w="1301" w:type="dxa"/>
          </w:tcPr>
          <w:p w14:paraId="2A3617C8" w14:textId="77777777" w:rsidR="00224B88" w:rsidRPr="00845C12" w:rsidRDefault="00224B88" w:rsidP="00FD254E">
            <w:pPr>
              <w:pStyle w:val="Default"/>
              <w:rPr>
                <w:rFonts w:ascii="Arial Narrow" w:hAnsi="Arial Narrow" w:cs="Arial"/>
                <w:sz w:val="20"/>
                <w:szCs w:val="20"/>
              </w:rPr>
            </w:pPr>
          </w:p>
          <w:p w14:paraId="783B1AC3" w14:textId="77777777" w:rsidR="00224B88" w:rsidRPr="00845C12" w:rsidRDefault="00224B88" w:rsidP="00FD254E">
            <w:pPr>
              <w:pStyle w:val="Default"/>
              <w:rPr>
                <w:rFonts w:ascii="Arial Narrow" w:hAnsi="Arial Narrow" w:cs="Arial"/>
                <w:sz w:val="20"/>
                <w:szCs w:val="20"/>
              </w:rPr>
            </w:pPr>
          </w:p>
          <w:p w14:paraId="0E7E9325" w14:textId="77777777" w:rsidR="00224B88" w:rsidRPr="00845C12" w:rsidRDefault="00224B88" w:rsidP="00FD254E">
            <w:pPr>
              <w:pStyle w:val="Default"/>
              <w:rPr>
                <w:rFonts w:ascii="Arial Narrow" w:hAnsi="Arial Narrow" w:cs="Arial"/>
                <w:sz w:val="20"/>
                <w:szCs w:val="20"/>
              </w:rPr>
            </w:pPr>
            <w:r w:rsidRPr="00845C12">
              <w:rPr>
                <w:rFonts w:ascii="Arial Narrow" w:hAnsi="Arial Narrow" w:cs="Arial"/>
                <w:sz w:val="20"/>
                <w:szCs w:val="20"/>
              </w:rPr>
              <w:t xml:space="preserve">1/7 (14.3%) </w:t>
            </w:r>
          </w:p>
          <w:p w14:paraId="1A40FB18" w14:textId="77777777" w:rsidR="00671578" w:rsidRPr="00845C12" w:rsidRDefault="00671578" w:rsidP="00FD254E">
            <w:pPr>
              <w:pStyle w:val="Default"/>
              <w:rPr>
                <w:rFonts w:ascii="Arial Narrow" w:hAnsi="Arial Narrow" w:cs="Arial"/>
                <w:sz w:val="20"/>
                <w:szCs w:val="20"/>
              </w:rPr>
            </w:pPr>
          </w:p>
          <w:p w14:paraId="28DF9FED" w14:textId="4790D4D0" w:rsidR="00224B88" w:rsidRPr="00845C12" w:rsidRDefault="00224B88" w:rsidP="00FD254E">
            <w:pPr>
              <w:pStyle w:val="Default"/>
              <w:rPr>
                <w:rFonts w:ascii="Arial Narrow" w:hAnsi="Arial Narrow" w:cs="Arial"/>
                <w:sz w:val="20"/>
                <w:szCs w:val="20"/>
              </w:rPr>
            </w:pPr>
            <w:r w:rsidRPr="00845C12">
              <w:rPr>
                <w:rFonts w:ascii="Arial Narrow" w:hAnsi="Arial Narrow" w:cs="Arial"/>
                <w:sz w:val="20"/>
                <w:szCs w:val="20"/>
              </w:rPr>
              <w:lastRenderedPageBreak/>
              <w:t xml:space="preserve">0 (0.0%) </w:t>
            </w:r>
          </w:p>
          <w:p w14:paraId="138CFE0E" w14:textId="77777777" w:rsidR="00671578" w:rsidRPr="00845C12" w:rsidRDefault="00671578" w:rsidP="00FD254E">
            <w:pPr>
              <w:pStyle w:val="Default"/>
              <w:rPr>
                <w:rFonts w:ascii="Arial Narrow" w:hAnsi="Arial Narrow" w:cs="Arial"/>
                <w:sz w:val="20"/>
                <w:szCs w:val="20"/>
              </w:rPr>
            </w:pPr>
          </w:p>
          <w:p w14:paraId="26070464" w14:textId="6B9A2511" w:rsidR="00224B88" w:rsidRPr="00845C12" w:rsidRDefault="00224B88" w:rsidP="00FD254E">
            <w:pPr>
              <w:pStyle w:val="Default"/>
              <w:rPr>
                <w:rFonts w:ascii="Arial Narrow" w:hAnsi="Arial Narrow" w:cs="Arial"/>
                <w:sz w:val="20"/>
                <w:szCs w:val="20"/>
              </w:rPr>
            </w:pPr>
            <w:r w:rsidRPr="00845C12">
              <w:rPr>
                <w:rFonts w:ascii="Arial Narrow" w:hAnsi="Arial Narrow" w:cs="Arial"/>
                <w:sz w:val="20"/>
                <w:szCs w:val="20"/>
              </w:rPr>
              <w:t xml:space="preserve">1/7 (14.3%) </w:t>
            </w:r>
          </w:p>
          <w:p w14:paraId="190300F9" w14:textId="77777777" w:rsidR="00224B88" w:rsidRPr="00845C12" w:rsidRDefault="00224B88" w:rsidP="00FD254E">
            <w:pPr>
              <w:pStyle w:val="Default"/>
              <w:rPr>
                <w:rFonts w:ascii="Arial Narrow" w:hAnsi="Arial Narrow" w:cs="Arial"/>
                <w:sz w:val="20"/>
                <w:szCs w:val="20"/>
              </w:rPr>
            </w:pPr>
            <w:r w:rsidRPr="00845C12">
              <w:rPr>
                <w:rFonts w:ascii="Arial Narrow" w:hAnsi="Arial Narrow" w:cs="Arial"/>
                <w:sz w:val="20"/>
                <w:szCs w:val="20"/>
              </w:rPr>
              <w:t xml:space="preserve">0 (0.0%) </w:t>
            </w:r>
          </w:p>
          <w:p w14:paraId="23490309" w14:textId="77777777" w:rsidR="00224B88" w:rsidRPr="00845C12" w:rsidRDefault="00224B88" w:rsidP="00FD254E">
            <w:pPr>
              <w:pStyle w:val="Default"/>
              <w:rPr>
                <w:rFonts w:ascii="Arial Narrow" w:hAnsi="Arial Narrow" w:cs="Arial"/>
                <w:sz w:val="20"/>
                <w:szCs w:val="20"/>
              </w:rPr>
            </w:pPr>
            <w:r w:rsidRPr="00845C12">
              <w:rPr>
                <w:rFonts w:ascii="Arial Narrow" w:hAnsi="Arial Narrow" w:cs="Arial"/>
                <w:sz w:val="20"/>
                <w:szCs w:val="20"/>
              </w:rPr>
              <w:t xml:space="preserve">0 (0.0%) </w:t>
            </w:r>
          </w:p>
        </w:tc>
        <w:tc>
          <w:tcPr>
            <w:tcW w:w="1301" w:type="dxa"/>
          </w:tcPr>
          <w:p w14:paraId="43063B0C" w14:textId="77777777" w:rsidR="00224B88" w:rsidRDefault="00224B88" w:rsidP="00FD254E">
            <w:pPr>
              <w:pStyle w:val="Default"/>
              <w:rPr>
                <w:rFonts w:ascii="Arial Narrow" w:hAnsi="Arial Narrow" w:cs="Arial"/>
                <w:sz w:val="20"/>
                <w:szCs w:val="20"/>
              </w:rPr>
            </w:pPr>
          </w:p>
          <w:p w14:paraId="61141FD6" w14:textId="77777777" w:rsidR="00224B88" w:rsidRDefault="00224B88" w:rsidP="00FD254E">
            <w:pPr>
              <w:pStyle w:val="Default"/>
              <w:rPr>
                <w:rFonts w:ascii="Arial Narrow" w:hAnsi="Arial Narrow" w:cs="Arial"/>
                <w:sz w:val="20"/>
                <w:szCs w:val="20"/>
              </w:rPr>
            </w:pPr>
          </w:p>
          <w:p w14:paraId="5C1644D5"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NR </w:t>
            </w:r>
          </w:p>
        </w:tc>
      </w:tr>
      <w:tr w:rsidR="00224B88" w:rsidRPr="00AC4F5B" w14:paraId="11972E4E" w14:textId="77777777" w:rsidTr="7863D01B">
        <w:trPr>
          <w:trHeight w:val="208"/>
        </w:trPr>
        <w:tc>
          <w:tcPr>
            <w:tcW w:w="2513" w:type="dxa"/>
          </w:tcPr>
          <w:p w14:paraId="1D7EFA64" w14:textId="77777777" w:rsidR="00224B88" w:rsidRPr="00AC4F5B" w:rsidRDefault="00224B88" w:rsidP="00FD254E">
            <w:pPr>
              <w:pStyle w:val="Default"/>
              <w:rPr>
                <w:rFonts w:ascii="Arial Narrow" w:hAnsi="Arial Narrow"/>
                <w:sz w:val="20"/>
                <w:szCs w:val="20"/>
              </w:rPr>
            </w:pPr>
            <w:r w:rsidRPr="00AC4F5B">
              <w:rPr>
                <w:rFonts w:ascii="Arial Narrow" w:hAnsi="Arial Narrow" w:cs="Arial"/>
                <w:sz w:val="20"/>
                <w:szCs w:val="20"/>
              </w:rPr>
              <w:t xml:space="preserve">Kidney transplant during follow-up, n (%) </w:t>
            </w:r>
          </w:p>
        </w:tc>
        <w:tc>
          <w:tcPr>
            <w:tcW w:w="1300" w:type="dxa"/>
          </w:tcPr>
          <w:p w14:paraId="2B5898BC"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97 (12.0%) </w:t>
            </w:r>
          </w:p>
        </w:tc>
        <w:tc>
          <w:tcPr>
            <w:tcW w:w="1301" w:type="dxa"/>
          </w:tcPr>
          <w:p w14:paraId="00E825F0"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110 (12.9%) </w:t>
            </w:r>
          </w:p>
        </w:tc>
        <w:tc>
          <w:tcPr>
            <w:tcW w:w="1300" w:type="dxa"/>
          </w:tcPr>
          <w:p w14:paraId="65042028"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7 (9.0%) </w:t>
            </w:r>
          </w:p>
        </w:tc>
        <w:tc>
          <w:tcPr>
            <w:tcW w:w="1301" w:type="dxa"/>
          </w:tcPr>
          <w:p w14:paraId="6A5292AB"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3 (13.6%) </w:t>
            </w:r>
          </w:p>
        </w:tc>
        <w:tc>
          <w:tcPr>
            <w:tcW w:w="1301" w:type="dxa"/>
          </w:tcPr>
          <w:p w14:paraId="7CD1A440"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NR </w:t>
            </w:r>
          </w:p>
        </w:tc>
      </w:tr>
      <w:tr w:rsidR="00224B88" w:rsidRPr="00AC4F5B" w14:paraId="3BB4C916" w14:textId="77777777" w:rsidTr="7863D01B">
        <w:trPr>
          <w:trHeight w:val="93"/>
        </w:trPr>
        <w:tc>
          <w:tcPr>
            <w:tcW w:w="2513" w:type="dxa"/>
          </w:tcPr>
          <w:p w14:paraId="6FD80DF8" w14:textId="77777777" w:rsidR="00224B88" w:rsidRPr="00AC4F5B" w:rsidRDefault="00224B88" w:rsidP="00FD254E">
            <w:pPr>
              <w:pStyle w:val="Default"/>
              <w:rPr>
                <w:rFonts w:ascii="Arial Narrow" w:hAnsi="Arial Narrow"/>
                <w:sz w:val="20"/>
                <w:szCs w:val="20"/>
              </w:rPr>
            </w:pPr>
            <w:r w:rsidRPr="00AC4F5B">
              <w:rPr>
                <w:rFonts w:ascii="Arial Narrow" w:hAnsi="Arial Narrow" w:cs="Arial"/>
                <w:sz w:val="20"/>
                <w:szCs w:val="20"/>
              </w:rPr>
              <w:t xml:space="preserve">Dialysis during follow-up, n (%) </w:t>
            </w:r>
          </w:p>
        </w:tc>
        <w:tc>
          <w:tcPr>
            <w:tcW w:w="1300" w:type="dxa"/>
          </w:tcPr>
          <w:p w14:paraId="4E9CE6AB"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183 (22.6%) </w:t>
            </w:r>
          </w:p>
        </w:tc>
        <w:tc>
          <w:tcPr>
            <w:tcW w:w="1301" w:type="dxa"/>
          </w:tcPr>
          <w:p w14:paraId="744A0675"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202 (23.8%) </w:t>
            </w:r>
          </w:p>
        </w:tc>
        <w:tc>
          <w:tcPr>
            <w:tcW w:w="1300" w:type="dxa"/>
          </w:tcPr>
          <w:p w14:paraId="56E6BCA0"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28 (35.9%) </w:t>
            </w:r>
          </w:p>
        </w:tc>
        <w:tc>
          <w:tcPr>
            <w:tcW w:w="1301" w:type="dxa"/>
          </w:tcPr>
          <w:p w14:paraId="6CDF255B"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7 (31.8%) </w:t>
            </w:r>
          </w:p>
        </w:tc>
        <w:tc>
          <w:tcPr>
            <w:tcW w:w="1301" w:type="dxa"/>
          </w:tcPr>
          <w:p w14:paraId="47A90F17"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NR </w:t>
            </w:r>
          </w:p>
        </w:tc>
      </w:tr>
      <w:tr w:rsidR="00224B88" w:rsidRPr="00AC4F5B" w14:paraId="55D9745B" w14:textId="77777777" w:rsidTr="7863D01B">
        <w:trPr>
          <w:trHeight w:val="93"/>
        </w:trPr>
        <w:tc>
          <w:tcPr>
            <w:tcW w:w="2513" w:type="dxa"/>
          </w:tcPr>
          <w:p w14:paraId="219321C4"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Meningococcal infection, n (%) </w:t>
            </w:r>
          </w:p>
        </w:tc>
        <w:tc>
          <w:tcPr>
            <w:tcW w:w="1300" w:type="dxa"/>
          </w:tcPr>
          <w:p w14:paraId="24832EB4"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3 (0.4%) </w:t>
            </w:r>
          </w:p>
        </w:tc>
        <w:tc>
          <w:tcPr>
            <w:tcW w:w="1301" w:type="dxa"/>
          </w:tcPr>
          <w:p w14:paraId="57A36257"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3 (0.4%) </w:t>
            </w:r>
          </w:p>
        </w:tc>
        <w:tc>
          <w:tcPr>
            <w:tcW w:w="1300" w:type="dxa"/>
          </w:tcPr>
          <w:p w14:paraId="3200913A"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0 (0.0%) </w:t>
            </w:r>
          </w:p>
        </w:tc>
        <w:tc>
          <w:tcPr>
            <w:tcW w:w="1301" w:type="dxa"/>
          </w:tcPr>
          <w:p w14:paraId="5AD02DF1"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0 (0.0%) </w:t>
            </w:r>
          </w:p>
        </w:tc>
        <w:tc>
          <w:tcPr>
            <w:tcW w:w="1301" w:type="dxa"/>
          </w:tcPr>
          <w:p w14:paraId="7F7F6883" w14:textId="77777777" w:rsidR="00224B88" w:rsidRPr="00AC4F5B" w:rsidRDefault="00224B88" w:rsidP="00FD254E">
            <w:pPr>
              <w:pStyle w:val="Default"/>
              <w:rPr>
                <w:rFonts w:ascii="Arial Narrow" w:hAnsi="Arial Narrow" w:cs="Arial"/>
                <w:sz w:val="20"/>
                <w:szCs w:val="20"/>
              </w:rPr>
            </w:pPr>
            <w:r w:rsidRPr="00AC4F5B">
              <w:rPr>
                <w:rFonts w:ascii="Arial Narrow" w:hAnsi="Arial Narrow" w:cs="Arial"/>
                <w:sz w:val="20"/>
                <w:szCs w:val="20"/>
              </w:rPr>
              <w:t xml:space="preserve">NR </w:t>
            </w:r>
          </w:p>
        </w:tc>
      </w:tr>
    </w:tbl>
    <w:p w14:paraId="1251B030" w14:textId="77777777" w:rsidR="00224B88" w:rsidRPr="00AC4F5B" w:rsidRDefault="00224B88" w:rsidP="00224B88">
      <w:pPr>
        <w:rPr>
          <w:rFonts w:ascii="Arial Narrow" w:hAnsi="Arial Narrow"/>
          <w:sz w:val="18"/>
          <w:szCs w:val="18"/>
        </w:rPr>
      </w:pPr>
      <w:r w:rsidRPr="00AC4F5B">
        <w:rPr>
          <w:rFonts w:ascii="Arial Narrow" w:hAnsi="Arial Narrow"/>
          <w:sz w:val="18"/>
          <w:szCs w:val="18"/>
        </w:rPr>
        <w:t>aHUS = atypical haemolytic uremic syndrome; DUSC = Drug Utilisation Sub-Committee of PBAC; IQR = inter-quartile range; NR = not reported; SD = standard deviation</w:t>
      </w:r>
    </w:p>
    <w:p w14:paraId="62E0CED8" w14:textId="2B9DF218" w:rsidR="00224B88" w:rsidRPr="00AC4F5B" w:rsidRDefault="00224B88" w:rsidP="00224B88">
      <w:pPr>
        <w:autoSpaceDE w:val="0"/>
        <w:autoSpaceDN w:val="0"/>
        <w:adjustRightInd w:val="0"/>
        <w:rPr>
          <w:rFonts w:ascii="Arial Narrow" w:hAnsi="Arial Narrow" w:cs="Arial"/>
          <w:color w:val="000000"/>
          <w:sz w:val="18"/>
          <w:szCs w:val="18"/>
        </w:rPr>
      </w:pPr>
      <w:r w:rsidRPr="00AC4F5B">
        <w:rPr>
          <w:rFonts w:ascii="Arial Narrow" w:hAnsi="Arial Narrow" w:cs="Arial"/>
          <w:color w:val="000000"/>
          <w:sz w:val="18"/>
          <w:szCs w:val="18"/>
        </w:rPr>
        <w:t xml:space="preserve">Source: </w:t>
      </w:r>
      <w:r>
        <w:rPr>
          <w:rFonts w:ascii="Arial Narrow" w:hAnsi="Arial Narrow" w:cs="Arial"/>
          <w:color w:val="000000"/>
          <w:sz w:val="18"/>
          <w:szCs w:val="18"/>
        </w:rPr>
        <w:t>pre-PBAC response, pp4-5 [</w:t>
      </w:r>
      <w:r w:rsidRPr="00AC4F5B">
        <w:rPr>
          <w:rFonts w:ascii="Arial Narrow" w:hAnsi="Arial Narrow" w:cs="Arial"/>
          <w:color w:val="000000"/>
          <w:sz w:val="18"/>
          <w:szCs w:val="18"/>
        </w:rPr>
        <w:t>aHUS Registry Biennial Interim Report, Attachment 8; M11-001 Australian cohort demographic analysis _30Aug2022, Attachment 8; DUSC analysis Item 7.4 “Eculizumab for aHUS utilisation update”</w:t>
      </w:r>
      <w:r w:rsidR="00373D23">
        <w:rPr>
          <w:rFonts w:ascii="Arial Narrow" w:hAnsi="Arial Narrow" w:cs="Arial"/>
          <w:color w:val="000000"/>
          <w:sz w:val="18"/>
          <w:szCs w:val="18"/>
        </w:rPr>
        <w:t xml:space="preserve"> (</w:t>
      </w:r>
      <w:r w:rsidR="00373D23" w:rsidRPr="00373D23">
        <w:rPr>
          <w:rFonts w:ascii="Arial Narrow" w:hAnsi="Arial Narrow" w:cs="Arial"/>
          <w:color w:val="000000"/>
          <w:sz w:val="18"/>
          <w:szCs w:val="18"/>
        </w:rPr>
        <w:t>https://www.pbs.gov.au/industry/listing/participants/public-release-docs/2020-10/Eculizumab-utilisation-update-prd-2020-10v3-redacted.PDF</w:t>
      </w:r>
      <w:r w:rsidR="00373D23">
        <w:rPr>
          <w:rFonts w:ascii="Arial Narrow" w:hAnsi="Arial Narrow" w:cs="Arial"/>
          <w:color w:val="000000"/>
          <w:sz w:val="18"/>
          <w:szCs w:val="18"/>
        </w:rPr>
        <w:t>)</w:t>
      </w:r>
      <w:r w:rsidRPr="00AC4F5B">
        <w:rPr>
          <w:rFonts w:ascii="Arial Narrow" w:hAnsi="Arial Narrow" w:cs="Arial"/>
          <w:color w:val="000000"/>
          <w:sz w:val="18"/>
          <w:szCs w:val="18"/>
        </w:rPr>
        <w:t>, October 2020; aHUS Registry data analysis performed for this response</w:t>
      </w:r>
      <w:r>
        <w:rPr>
          <w:rFonts w:ascii="Arial Narrow" w:hAnsi="Arial Narrow" w:cs="Arial"/>
          <w:color w:val="000000"/>
          <w:sz w:val="18"/>
          <w:szCs w:val="18"/>
        </w:rPr>
        <w:t>].</w:t>
      </w:r>
    </w:p>
    <w:p w14:paraId="656C1127" w14:textId="77777777" w:rsidR="00224B88" w:rsidRPr="00AC4F5B" w:rsidRDefault="00224B88" w:rsidP="00224B88">
      <w:pPr>
        <w:autoSpaceDE w:val="0"/>
        <w:autoSpaceDN w:val="0"/>
        <w:adjustRightInd w:val="0"/>
        <w:rPr>
          <w:rFonts w:ascii="Arial Narrow" w:hAnsi="Arial Narrow" w:cs="Arial"/>
          <w:color w:val="000000"/>
          <w:sz w:val="18"/>
          <w:szCs w:val="18"/>
        </w:rPr>
      </w:pPr>
      <w:r w:rsidRPr="00AC4F5B">
        <w:rPr>
          <w:rFonts w:ascii="Arial Narrow" w:hAnsi="Arial Narrow" w:cs="Arial"/>
          <w:color w:val="000000"/>
          <w:sz w:val="18"/>
          <w:szCs w:val="18"/>
        </w:rPr>
        <w:t xml:space="preserve">a Cut-off date of 5 July 2021 was used for the global </w:t>
      </w:r>
      <w:proofErr w:type="gramStart"/>
      <w:r w:rsidRPr="00AC4F5B">
        <w:rPr>
          <w:rFonts w:ascii="Arial Narrow" w:hAnsi="Arial Narrow" w:cs="Arial"/>
          <w:color w:val="000000"/>
          <w:sz w:val="18"/>
          <w:szCs w:val="18"/>
        </w:rPr>
        <w:t>aHUS</w:t>
      </w:r>
      <w:proofErr w:type="gramEnd"/>
      <w:r w:rsidRPr="00AC4F5B">
        <w:rPr>
          <w:rFonts w:ascii="Arial Narrow" w:hAnsi="Arial Narrow" w:cs="Arial"/>
          <w:color w:val="000000"/>
          <w:sz w:val="18"/>
          <w:szCs w:val="18"/>
        </w:rPr>
        <w:t xml:space="preserve"> registry biennial interim report (provided in Attachment 8 of the submission) </w:t>
      </w:r>
    </w:p>
    <w:p w14:paraId="7DDAF974" w14:textId="77777777" w:rsidR="00224B88" w:rsidRPr="00AC4F5B" w:rsidRDefault="00224B88" w:rsidP="00224B88">
      <w:pPr>
        <w:autoSpaceDE w:val="0"/>
        <w:autoSpaceDN w:val="0"/>
        <w:adjustRightInd w:val="0"/>
        <w:rPr>
          <w:rFonts w:ascii="Arial Narrow" w:hAnsi="Arial Narrow" w:cs="Arial"/>
          <w:color w:val="000000"/>
          <w:sz w:val="18"/>
          <w:szCs w:val="18"/>
        </w:rPr>
      </w:pPr>
      <w:r w:rsidRPr="00AC4F5B">
        <w:rPr>
          <w:rFonts w:ascii="Arial Narrow" w:hAnsi="Arial Narrow" w:cs="Arial"/>
          <w:color w:val="000000"/>
          <w:sz w:val="18"/>
          <w:szCs w:val="18"/>
        </w:rPr>
        <w:t xml:space="preserve">b Cut-off date of 1 August 2022 was used for the data extraction conducted for </w:t>
      </w:r>
      <w:r>
        <w:rPr>
          <w:rFonts w:ascii="Arial Narrow" w:hAnsi="Arial Narrow" w:cs="Arial"/>
          <w:color w:val="000000"/>
          <w:sz w:val="18"/>
          <w:szCs w:val="18"/>
        </w:rPr>
        <w:t>the pre-PBAC</w:t>
      </w:r>
      <w:r w:rsidRPr="00AC4F5B">
        <w:rPr>
          <w:rFonts w:ascii="Arial Narrow" w:hAnsi="Arial Narrow" w:cs="Arial"/>
          <w:color w:val="000000"/>
          <w:sz w:val="18"/>
          <w:szCs w:val="18"/>
        </w:rPr>
        <w:t xml:space="preserve"> response </w:t>
      </w:r>
    </w:p>
    <w:p w14:paraId="54A0D3BF" w14:textId="77777777" w:rsidR="00224B88" w:rsidRPr="00AC4F5B" w:rsidRDefault="00224B88" w:rsidP="00224B88">
      <w:pPr>
        <w:autoSpaceDE w:val="0"/>
        <w:autoSpaceDN w:val="0"/>
        <w:adjustRightInd w:val="0"/>
        <w:rPr>
          <w:rFonts w:ascii="Arial Narrow" w:hAnsi="Arial Narrow" w:cs="Arial"/>
          <w:color w:val="000000"/>
          <w:sz w:val="18"/>
          <w:szCs w:val="18"/>
        </w:rPr>
      </w:pPr>
      <w:r w:rsidRPr="00AC4F5B">
        <w:rPr>
          <w:rFonts w:ascii="Arial Narrow" w:hAnsi="Arial Narrow" w:cs="Arial"/>
          <w:color w:val="000000"/>
          <w:sz w:val="18"/>
          <w:szCs w:val="18"/>
        </w:rPr>
        <w:t xml:space="preserve">c </w:t>
      </w:r>
      <w:proofErr w:type="gramStart"/>
      <w:r w:rsidRPr="00AC4F5B">
        <w:rPr>
          <w:rFonts w:ascii="Arial Narrow" w:hAnsi="Arial Narrow" w:cs="Arial"/>
          <w:color w:val="000000"/>
          <w:sz w:val="18"/>
          <w:szCs w:val="18"/>
        </w:rPr>
        <w:t>For</w:t>
      </w:r>
      <w:proofErr w:type="gramEnd"/>
      <w:r w:rsidRPr="00AC4F5B">
        <w:rPr>
          <w:rFonts w:ascii="Arial Narrow" w:hAnsi="Arial Narrow" w:cs="Arial"/>
          <w:color w:val="000000"/>
          <w:sz w:val="18"/>
          <w:szCs w:val="18"/>
        </w:rPr>
        <w:t xml:space="preserve"> the registry data: If eculizumab treatment was restarted less than 6 weeks after the infusion stop date, the recent exposure was reset to 0. If eculizumab treatment was discontinued for less than 6 weeks and restarted, the time on-treatment was calculated based on the end date of infusion after the treatment restart (+ 3 weeks). </w:t>
      </w:r>
    </w:p>
    <w:p w14:paraId="38E822ED" w14:textId="77777777" w:rsidR="00224B88" w:rsidRPr="00AC4F5B" w:rsidRDefault="00224B88" w:rsidP="00224B88">
      <w:pPr>
        <w:autoSpaceDE w:val="0"/>
        <w:autoSpaceDN w:val="0"/>
        <w:adjustRightInd w:val="0"/>
        <w:rPr>
          <w:rFonts w:ascii="Arial Narrow" w:hAnsi="Arial Narrow" w:cs="Arial"/>
          <w:color w:val="000000"/>
          <w:sz w:val="18"/>
          <w:szCs w:val="18"/>
        </w:rPr>
      </w:pPr>
      <w:r w:rsidRPr="00AC4F5B">
        <w:rPr>
          <w:rFonts w:ascii="Arial Narrow" w:hAnsi="Arial Narrow" w:cs="Arial"/>
          <w:color w:val="000000"/>
          <w:sz w:val="18"/>
          <w:szCs w:val="18"/>
        </w:rPr>
        <w:t xml:space="preserve">d East Asian patients include patients enrolled from Japan, South Korea and Taiwan </w:t>
      </w:r>
    </w:p>
    <w:p w14:paraId="3C909E16" w14:textId="4EEDC31A" w:rsidR="00224B88" w:rsidRPr="00AC4F5B" w:rsidRDefault="00224B88" w:rsidP="00224B88">
      <w:pPr>
        <w:autoSpaceDE w:val="0"/>
        <w:autoSpaceDN w:val="0"/>
        <w:adjustRightInd w:val="0"/>
        <w:rPr>
          <w:rFonts w:ascii="Arial Narrow" w:hAnsi="Arial Narrow" w:cs="Arial"/>
          <w:color w:val="000000"/>
          <w:sz w:val="18"/>
          <w:szCs w:val="18"/>
        </w:rPr>
      </w:pPr>
      <w:r w:rsidRPr="00AC4F5B">
        <w:rPr>
          <w:rFonts w:ascii="Arial Narrow" w:hAnsi="Arial Narrow" w:cs="Arial"/>
          <w:color w:val="000000"/>
          <w:sz w:val="18"/>
          <w:szCs w:val="18"/>
        </w:rPr>
        <w:t xml:space="preserve">e The DUSC analysis </w:t>
      </w:r>
      <w:r w:rsidR="00273B6A">
        <w:rPr>
          <w:rFonts w:ascii="Arial Narrow" w:hAnsi="Arial Narrow" w:cs="Arial"/>
          <w:color w:val="000000"/>
          <w:sz w:val="18"/>
          <w:szCs w:val="18"/>
        </w:rPr>
        <w:t xml:space="preserve">(October 2020) </w:t>
      </w:r>
      <w:r w:rsidRPr="00AC4F5B">
        <w:rPr>
          <w:rFonts w:ascii="Arial Narrow" w:hAnsi="Arial Narrow" w:cs="Arial"/>
          <w:color w:val="000000"/>
          <w:sz w:val="18"/>
          <w:szCs w:val="18"/>
        </w:rPr>
        <w:t xml:space="preserve">reports date of death (DoD) data from listing in December 2014 to 20 March 2020 (N=298) and utilisation data since listing in December 2014 to the end of May 2020 (N=323). The full dataset comprises mostly adults 18 years and older (90.4%). </w:t>
      </w:r>
    </w:p>
    <w:p w14:paraId="130D907B" w14:textId="19586CA9" w:rsidR="00224B88" w:rsidRDefault="00224B88" w:rsidP="00224B88">
      <w:pPr>
        <w:rPr>
          <w:rFonts w:ascii="Arial Narrow" w:hAnsi="Arial Narrow" w:cs="Arial"/>
          <w:color w:val="000000"/>
          <w:sz w:val="18"/>
          <w:szCs w:val="18"/>
        </w:rPr>
      </w:pPr>
      <w:r w:rsidRPr="00AC4F5B">
        <w:rPr>
          <w:rFonts w:ascii="Arial Narrow" w:hAnsi="Arial Narrow" w:cs="Arial"/>
          <w:color w:val="000000"/>
          <w:sz w:val="18"/>
          <w:szCs w:val="18"/>
        </w:rPr>
        <w:t xml:space="preserve">f </w:t>
      </w:r>
      <w:proofErr w:type="gramStart"/>
      <w:r w:rsidRPr="00AC4F5B">
        <w:rPr>
          <w:rFonts w:ascii="Arial Narrow" w:hAnsi="Arial Narrow" w:cs="Arial"/>
          <w:color w:val="000000"/>
          <w:sz w:val="18"/>
          <w:szCs w:val="18"/>
        </w:rPr>
        <w:t>For</w:t>
      </w:r>
      <w:proofErr w:type="gramEnd"/>
      <w:r w:rsidRPr="00AC4F5B">
        <w:rPr>
          <w:rFonts w:ascii="Arial Narrow" w:hAnsi="Arial Narrow" w:cs="Arial"/>
          <w:color w:val="000000"/>
          <w:sz w:val="18"/>
          <w:szCs w:val="18"/>
        </w:rPr>
        <w:t xml:space="preserve"> the 5 July 2021 data cut there are 19 patients with registry enrolment in 2012 vs the latest output, where 81 patients had first treatment in 2012, the numbers differ as these are two different variables and have thus been presented separately.</w:t>
      </w:r>
    </w:p>
    <w:p w14:paraId="0A6C7409" w14:textId="6589DA1B" w:rsidR="00224B88" w:rsidRDefault="00373D23" w:rsidP="001376A6">
      <w:pPr>
        <w:rPr>
          <w:rFonts w:ascii="Arial Narrow" w:hAnsi="Arial Narrow" w:cs="Arial"/>
          <w:color w:val="000000"/>
          <w:sz w:val="18"/>
          <w:szCs w:val="18"/>
        </w:rPr>
      </w:pPr>
      <w:r>
        <w:rPr>
          <w:rFonts w:ascii="Arial Narrow" w:hAnsi="Arial Narrow" w:cs="Arial"/>
          <w:color w:val="000000"/>
          <w:sz w:val="18"/>
          <w:szCs w:val="18"/>
        </w:rPr>
        <w:t>* Corrected from 0.92 in the pre-PBAC response</w:t>
      </w:r>
    </w:p>
    <w:p w14:paraId="748119E5" w14:textId="1B3CECF8" w:rsidR="00E43163" w:rsidRPr="009B3E29" w:rsidRDefault="00E43163" w:rsidP="009B3E29">
      <w:pPr>
        <w:pStyle w:val="CommentText"/>
        <w:rPr>
          <w:rFonts w:ascii="Arial Narrow" w:hAnsi="Arial Narrow" w:cs="Calibri"/>
          <w:sz w:val="18"/>
          <w:szCs w:val="22"/>
        </w:rPr>
      </w:pPr>
      <w:r w:rsidRPr="00E43163">
        <w:rPr>
          <w:rFonts w:ascii="Arial Narrow" w:hAnsi="Arial Narrow" w:cs="Calibri"/>
          <w:i/>
          <w:iCs/>
          <w:color w:val="222222"/>
          <w:sz w:val="18"/>
          <w:szCs w:val="18"/>
          <w:shd w:val="clear" w:color="auto" w:fill="FFFFFF"/>
        </w:rPr>
        <w:t>** Note that the results presented in Table 6 are derived from ad-hoc analyses conducted specifically for the purposes of informing the PBAC consideration. These analyses were not part of the pre-specified statistical plan for Study M11-001. Interpretation of the results and their application should therefore be limited to seeking to understand the basis for the PBAC outcome and should not be used for any other purpose.</w:t>
      </w:r>
    </w:p>
    <w:p w14:paraId="4A4FE085" w14:textId="28B79A6B" w:rsidR="00B60939" w:rsidRPr="003A48D2" w:rsidRDefault="00B60939" w:rsidP="003A48D2">
      <w:pPr>
        <w:pStyle w:val="4-SubsectionHeading"/>
      </w:pPr>
      <w:bookmarkStart w:id="32" w:name="_Toc124929661"/>
      <w:r w:rsidRPr="003A48D2">
        <w:t>Comparative effectiveness</w:t>
      </w:r>
      <w:bookmarkEnd w:id="29"/>
      <w:bookmarkEnd w:id="32"/>
    </w:p>
    <w:p w14:paraId="313E139B" w14:textId="1062A900" w:rsidR="00B34FE2" w:rsidRDefault="008B0115" w:rsidP="00B306AF">
      <w:pPr>
        <w:pStyle w:val="3-BodyText"/>
      </w:pPr>
      <w:r w:rsidRPr="008B0115">
        <w:t xml:space="preserve">The results from the studies are </w:t>
      </w:r>
      <w:r w:rsidR="008A2CE0">
        <w:t>summarised in</w:t>
      </w:r>
      <w:r w:rsidR="008F535E">
        <w:t xml:space="preserve"> </w:t>
      </w:r>
      <w:r w:rsidR="008F535E">
        <w:fldChar w:fldCharType="begin" w:fldLock="1"/>
      </w:r>
      <w:r w:rsidR="008F535E">
        <w:instrText xml:space="preserve"> REF _Ref124328290 \h </w:instrText>
      </w:r>
      <w:r w:rsidR="008F535E">
        <w:fldChar w:fldCharType="separate"/>
      </w:r>
      <w:r w:rsidR="00916EDA" w:rsidRPr="000D046C">
        <w:t xml:space="preserve">Table </w:t>
      </w:r>
      <w:r w:rsidR="00916EDA">
        <w:rPr>
          <w:noProof/>
        </w:rPr>
        <w:t>7</w:t>
      </w:r>
      <w:r w:rsidR="008F535E">
        <w:fldChar w:fldCharType="end"/>
      </w:r>
      <w:r w:rsidR="008F535E">
        <w:t>.</w:t>
      </w:r>
    </w:p>
    <w:p w14:paraId="15921180" w14:textId="797275A7" w:rsidR="008F535E" w:rsidRPr="000D046C" w:rsidRDefault="008F535E" w:rsidP="008F535E">
      <w:pPr>
        <w:pStyle w:val="TableFigureHeading"/>
      </w:pPr>
      <w:bookmarkStart w:id="33" w:name="_Ref124328290"/>
      <w:r w:rsidRPr="000D046C">
        <w:lastRenderedPageBreak/>
        <w:t xml:space="preserve">Table </w:t>
      </w:r>
      <w:r>
        <w:fldChar w:fldCharType="begin" w:fldLock="1"/>
      </w:r>
      <w:r>
        <w:instrText>SEQ Table \* ARABIC</w:instrText>
      </w:r>
      <w:r>
        <w:fldChar w:fldCharType="separate"/>
      </w:r>
      <w:r w:rsidR="00916EDA">
        <w:rPr>
          <w:noProof/>
        </w:rPr>
        <w:t>7</w:t>
      </w:r>
      <w:r>
        <w:fldChar w:fldCharType="end"/>
      </w:r>
      <w:bookmarkEnd w:id="33"/>
      <w:r w:rsidRPr="000D046C">
        <w:t>:</w:t>
      </w:r>
      <w:r w:rsidRPr="000D046C">
        <w:rPr>
          <w:rStyle w:val="CommentReference"/>
          <w:b/>
          <w:szCs w:val="24"/>
        </w:rPr>
        <w:t xml:space="preserve"> </w:t>
      </w:r>
      <w:bookmarkStart w:id="34" w:name="_Ref126850400"/>
      <w:r w:rsidRPr="000D046C">
        <w:rPr>
          <w:rStyle w:val="CommentReference"/>
          <w:b/>
          <w:szCs w:val="24"/>
        </w:rPr>
        <w:t>Results of outcomes across the studies</w:t>
      </w:r>
      <w:bookmarkEnd w:id="34"/>
    </w:p>
    <w:tbl>
      <w:tblPr>
        <w:tblStyle w:val="TableGrid"/>
        <w:tblW w:w="0" w:type="auto"/>
        <w:tblCellMar>
          <w:left w:w="28" w:type="dxa"/>
          <w:right w:w="28" w:type="dxa"/>
        </w:tblCellMar>
        <w:tblLook w:val="04A0" w:firstRow="1" w:lastRow="0" w:firstColumn="1" w:lastColumn="0" w:noHBand="0" w:noVBand="1"/>
      </w:tblPr>
      <w:tblGrid>
        <w:gridCol w:w="2136"/>
        <w:gridCol w:w="1318"/>
        <w:gridCol w:w="2092"/>
        <w:gridCol w:w="1172"/>
        <w:gridCol w:w="1172"/>
        <w:gridCol w:w="1127"/>
      </w:tblGrid>
      <w:tr w:rsidR="008F535E" w14:paraId="57BDE3D1" w14:textId="77777777" w:rsidTr="009E6648">
        <w:tc>
          <w:tcPr>
            <w:tcW w:w="2136" w:type="dxa"/>
            <w:vMerge w:val="restart"/>
          </w:tcPr>
          <w:p w14:paraId="1FB6114D" w14:textId="77777777" w:rsidR="008F535E" w:rsidRDefault="008F535E" w:rsidP="009E6648">
            <w:pPr>
              <w:pStyle w:val="TableText0"/>
              <w:tabs>
                <w:tab w:val="left" w:pos="102"/>
              </w:tabs>
            </w:pPr>
          </w:p>
        </w:tc>
        <w:tc>
          <w:tcPr>
            <w:tcW w:w="3410" w:type="dxa"/>
            <w:gridSpan w:val="2"/>
          </w:tcPr>
          <w:p w14:paraId="26C27A7C" w14:textId="77777777" w:rsidR="008F535E" w:rsidRDefault="008F535E" w:rsidP="009E6648">
            <w:pPr>
              <w:pStyle w:val="In-tableHeading"/>
              <w:jc w:val="center"/>
            </w:pPr>
            <w:r>
              <w:t>Ravulizumab</w:t>
            </w:r>
          </w:p>
        </w:tc>
        <w:tc>
          <w:tcPr>
            <w:tcW w:w="3471" w:type="dxa"/>
            <w:gridSpan w:val="3"/>
          </w:tcPr>
          <w:p w14:paraId="0DE1B3C7" w14:textId="77777777" w:rsidR="008F535E" w:rsidRDefault="008F535E" w:rsidP="009E6648">
            <w:pPr>
              <w:pStyle w:val="In-tableHeading"/>
              <w:jc w:val="center"/>
            </w:pPr>
            <w:r>
              <w:t>Eculizumab</w:t>
            </w:r>
          </w:p>
        </w:tc>
      </w:tr>
      <w:tr w:rsidR="008F535E" w:rsidRPr="0048782F" w14:paraId="4A79FFAB" w14:textId="77777777" w:rsidTr="009E6648">
        <w:trPr>
          <w:trHeight w:val="469"/>
        </w:trPr>
        <w:tc>
          <w:tcPr>
            <w:tcW w:w="2136" w:type="dxa"/>
            <w:vMerge/>
          </w:tcPr>
          <w:p w14:paraId="5DB7333D" w14:textId="77777777" w:rsidR="008F535E" w:rsidRPr="0048782F" w:rsidRDefault="008F535E" w:rsidP="009E6648">
            <w:pPr>
              <w:pStyle w:val="TableText0"/>
              <w:tabs>
                <w:tab w:val="left" w:pos="102"/>
              </w:tabs>
              <w:rPr>
                <w:b/>
                <w:bCs w:val="0"/>
              </w:rPr>
            </w:pPr>
          </w:p>
        </w:tc>
        <w:tc>
          <w:tcPr>
            <w:tcW w:w="1318" w:type="dxa"/>
          </w:tcPr>
          <w:p w14:paraId="5835848C" w14:textId="77777777" w:rsidR="008F535E" w:rsidRPr="0048782F" w:rsidRDefault="008F535E" w:rsidP="009E6648">
            <w:pPr>
              <w:pStyle w:val="TableText0"/>
              <w:jc w:val="center"/>
              <w:rPr>
                <w:b/>
                <w:bCs w:val="0"/>
              </w:rPr>
            </w:pPr>
            <w:r w:rsidRPr="0048782F">
              <w:rPr>
                <w:b/>
                <w:bCs w:val="0"/>
              </w:rPr>
              <w:t>311</w:t>
            </w:r>
          </w:p>
        </w:tc>
        <w:tc>
          <w:tcPr>
            <w:tcW w:w="2092" w:type="dxa"/>
          </w:tcPr>
          <w:p w14:paraId="182AE373" w14:textId="77777777" w:rsidR="008F535E" w:rsidRPr="0048782F" w:rsidRDefault="008F535E" w:rsidP="009E6648">
            <w:pPr>
              <w:pStyle w:val="TableText0"/>
              <w:jc w:val="center"/>
              <w:rPr>
                <w:b/>
                <w:bCs w:val="0"/>
              </w:rPr>
            </w:pPr>
            <w:r w:rsidRPr="0048782F">
              <w:rPr>
                <w:b/>
                <w:bCs w:val="0"/>
              </w:rPr>
              <w:t>312</w:t>
            </w:r>
          </w:p>
          <w:p w14:paraId="40647E88" w14:textId="5366B3E9" w:rsidR="008F535E" w:rsidRPr="0048782F" w:rsidRDefault="008F535E" w:rsidP="009E6648">
            <w:pPr>
              <w:pStyle w:val="TableText0"/>
              <w:jc w:val="center"/>
              <w:rPr>
                <w:b/>
                <w:bCs w:val="0"/>
              </w:rPr>
            </w:pPr>
            <w:r w:rsidRPr="006342FD">
              <w:rPr>
                <w:b/>
                <w:bCs w:val="0"/>
                <w:szCs w:val="20"/>
              </w:rPr>
              <w:t>No previous eculizumab</w:t>
            </w:r>
            <w:r w:rsidRPr="006342FD">
              <w:rPr>
                <w:b/>
                <w:bCs w:val="0"/>
                <w:sz w:val="22"/>
                <w:szCs w:val="28"/>
                <w:vertAlign w:val="superscript"/>
              </w:rPr>
              <w:t>a</w:t>
            </w:r>
          </w:p>
        </w:tc>
        <w:tc>
          <w:tcPr>
            <w:tcW w:w="1172" w:type="dxa"/>
          </w:tcPr>
          <w:p w14:paraId="6A56F362" w14:textId="77777777" w:rsidR="008F535E" w:rsidRPr="0048782F" w:rsidRDefault="008F535E" w:rsidP="009E6648">
            <w:pPr>
              <w:pStyle w:val="TableText0"/>
              <w:jc w:val="center"/>
              <w:rPr>
                <w:b/>
                <w:bCs w:val="0"/>
              </w:rPr>
            </w:pPr>
            <w:r w:rsidRPr="0048782F">
              <w:rPr>
                <w:b/>
                <w:bCs w:val="0"/>
              </w:rPr>
              <w:t>C10-</w:t>
            </w:r>
            <w:r w:rsidRPr="006342FD">
              <w:rPr>
                <w:b/>
                <w:bCs w:val="0"/>
                <w:color w:val="000000" w:themeColor="text1"/>
              </w:rPr>
              <w:t>004</w:t>
            </w:r>
          </w:p>
        </w:tc>
        <w:tc>
          <w:tcPr>
            <w:tcW w:w="1172" w:type="dxa"/>
          </w:tcPr>
          <w:p w14:paraId="24C3D77C" w14:textId="77777777" w:rsidR="008F535E" w:rsidRPr="0048782F" w:rsidRDefault="008F535E" w:rsidP="009E6648">
            <w:pPr>
              <w:pStyle w:val="TableText0"/>
              <w:jc w:val="center"/>
              <w:rPr>
                <w:b/>
                <w:bCs w:val="0"/>
              </w:rPr>
            </w:pPr>
            <w:r w:rsidRPr="0048782F">
              <w:rPr>
                <w:b/>
                <w:bCs w:val="0"/>
              </w:rPr>
              <w:t>C08-002</w:t>
            </w:r>
          </w:p>
        </w:tc>
        <w:tc>
          <w:tcPr>
            <w:tcW w:w="1127" w:type="dxa"/>
          </w:tcPr>
          <w:p w14:paraId="082E8492" w14:textId="77777777" w:rsidR="008F535E" w:rsidRPr="0048782F" w:rsidRDefault="008F535E" w:rsidP="009E6648">
            <w:pPr>
              <w:pStyle w:val="TableText0"/>
              <w:jc w:val="center"/>
              <w:rPr>
                <w:b/>
                <w:bCs w:val="0"/>
              </w:rPr>
            </w:pPr>
            <w:r w:rsidRPr="0048782F">
              <w:rPr>
                <w:b/>
                <w:bCs w:val="0"/>
              </w:rPr>
              <w:t>C10-003</w:t>
            </w:r>
          </w:p>
        </w:tc>
      </w:tr>
      <w:tr w:rsidR="008F535E" w14:paraId="1743ED95" w14:textId="77777777" w:rsidTr="009E6648">
        <w:tc>
          <w:tcPr>
            <w:tcW w:w="2136" w:type="dxa"/>
          </w:tcPr>
          <w:p w14:paraId="580108DE" w14:textId="77777777" w:rsidR="008F535E" w:rsidRDefault="008F535E" w:rsidP="009E6648">
            <w:pPr>
              <w:pStyle w:val="TableText0"/>
              <w:tabs>
                <w:tab w:val="left" w:pos="102"/>
              </w:tabs>
            </w:pPr>
            <w:r>
              <w:t>N</w:t>
            </w:r>
          </w:p>
        </w:tc>
        <w:tc>
          <w:tcPr>
            <w:tcW w:w="1318" w:type="dxa"/>
          </w:tcPr>
          <w:p w14:paraId="3ABE06CA" w14:textId="77777777" w:rsidR="008F535E" w:rsidRDefault="008F535E" w:rsidP="009E6648">
            <w:pPr>
              <w:pStyle w:val="TableText0"/>
              <w:jc w:val="center"/>
            </w:pPr>
            <w:r>
              <w:t>56</w:t>
            </w:r>
          </w:p>
        </w:tc>
        <w:tc>
          <w:tcPr>
            <w:tcW w:w="2092" w:type="dxa"/>
          </w:tcPr>
          <w:p w14:paraId="27173A91" w14:textId="77777777" w:rsidR="008F535E" w:rsidRDefault="008F535E" w:rsidP="009E6648">
            <w:pPr>
              <w:pStyle w:val="TableText0"/>
              <w:jc w:val="center"/>
            </w:pPr>
            <w:r>
              <w:t>20</w:t>
            </w:r>
          </w:p>
        </w:tc>
        <w:tc>
          <w:tcPr>
            <w:tcW w:w="1172" w:type="dxa"/>
          </w:tcPr>
          <w:p w14:paraId="412E9595" w14:textId="77777777" w:rsidR="008F535E" w:rsidRDefault="008F535E" w:rsidP="009E6648">
            <w:pPr>
              <w:pStyle w:val="TableText0"/>
              <w:jc w:val="center"/>
            </w:pPr>
            <w:r>
              <w:t>41</w:t>
            </w:r>
          </w:p>
        </w:tc>
        <w:tc>
          <w:tcPr>
            <w:tcW w:w="1172" w:type="dxa"/>
          </w:tcPr>
          <w:p w14:paraId="332D44DB" w14:textId="77777777" w:rsidR="008F535E" w:rsidRDefault="008F535E" w:rsidP="009E6648">
            <w:pPr>
              <w:pStyle w:val="TableText0"/>
              <w:jc w:val="center"/>
            </w:pPr>
            <w:r>
              <w:t>17</w:t>
            </w:r>
          </w:p>
        </w:tc>
        <w:tc>
          <w:tcPr>
            <w:tcW w:w="1127" w:type="dxa"/>
          </w:tcPr>
          <w:p w14:paraId="6AB74339" w14:textId="77777777" w:rsidR="008F535E" w:rsidRDefault="008F535E" w:rsidP="009E6648">
            <w:pPr>
              <w:pStyle w:val="TableText0"/>
              <w:jc w:val="center"/>
            </w:pPr>
            <w:r>
              <w:t>22</w:t>
            </w:r>
          </w:p>
        </w:tc>
      </w:tr>
      <w:tr w:rsidR="008F535E" w14:paraId="2FB17112" w14:textId="77777777" w:rsidTr="009E6648">
        <w:tc>
          <w:tcPr>
            <w:tcW w:w="2136" w:type="dxa"/>
          </w:tcPr>
          <w:p w14:paraId="34EB3B12" w14:textId="77777777" w:rsidR="008F535E" w:rsidRPr="00F36412" w:rsidRDefault="008F535E" w:rsidP="009E6648">
            <w:pPr>
              <w:pStyle w:val="TableText0"/>
              <w:tabs>
                <w:tab w:val="left" w:pos="102"/>
              </w:tabs>
              <w:rPr>
                <w:vertAlign w:val="superscript"/>
              </w:rPr>
            </w:pPr>
            <w:r>
              <w:t>Complete response</w:t>
            </w:r>
            <w:r>
              <w:rPr>
                <w:vertAlign w:val="superscript"/>
              </w:rPr>
              <w:t>b</w:t>
            </w:r>
          </w:p>
          <w:p w14:paraId="3F45FC5A" w14:textId="77777777" w:rsidR="008F535E" w:rsidRPr="0048326C" w:rsidRDefault="008F535E" w:rsidP="009E6648">
            <w:pPr>
              <w:pStyle w:val="TableText0"/>
              <w:tabs>
                <w:tab w:val="left" w:pos="102"/>
              </w:tabs>
            </w:pPr>
            <w:r>
              <w:tab/>
            </w:r>
            <w:r w:rsidRPr="0048326C">
              <w:t xml:space="preserve">n, (%) </w:t>
            </w:r>
          </w:p>
          <w:p w14:paraId="7AEEE83A" w14:textId="77777777" w:rsidR="008F535E" w:rsidRPr="0048326C" w:rsidRDefault="008F535E" w:rsidP="009E6648">
            <w:pPr>
              <w:pStyle w:val="TableText0"/>
              <w:tabs>
                <w:tab w:val="left" w:pos="102"/>
              </w:tabs>
            </w:pPr>
            <w:r>
              <w:tab/>
            </w:r>
            <w:r w:rsidRPr="0048326C">
              <w:t>95%</w:t>
            </w:r>
            <w:r>
              <w:t xml:space="preserve"> </w:t>
            </w:r>
            <w:r w:rsidRPr="0048326C">
              <w:t>CI</w:t>
            </w:r>
          </w:p>
        </w:tc>
        <w:tc>
          <w:tcPr>
            <w:tcW w:w="1318" w:type="dxa"/>
          </w:tcPr>
          <w:p w14:paraId="3A4FE99D" w14:textId="77777777" w:rsidR="008F535E" w:rsidRDefault="008F535E" w:rsidP="009E6648">
            <w:pPr>
              <w:pStyle w:val="TableText0"/>
              <w:jc w:val="center"/>
            </w:pPr>
          </w:p>
          <w:p w14:paraId="26C1FF48" w14:textId="77777777" w:rsidR="008F535E" w:rsidRDefault="008F535E" w:rsidP="009E6648">
            <w:pPr>
              <w:pStyle w:val="TableText0"/>
              <w:jc w:val="center"/>
            </w:pPr>
            <w:r>
              <w:t>30 (53.6%)</w:t>
            </w:r>
          </w:p>
          <w:p w14:paraId="7B6B3F6D" w14:textId="77777777" w:rsidR="008F535E" w:rsidRDefault="008F535E" w:rsidP="009E6648">
            <w:pPr>
              <w:pStyle w:val="TableText0"/>
              <w:jc w:val="center"/>
            </w:pPr>
            <w:r>
              <w:t>39.6, 67.5</w:t>
            </w:r>
          </w:p>
        </w:tc>
        <w:tc>
          <w:tcPr>
            <w:tcW w:w="2092" w:type="dxa"/>
          </w:tcPr>
          <w:p w14:paraId="5C6D235E" w14:textId="77777777" w:rsidR="008F535E" w:rsidRDefault="008F535E" w:rsidP="009E6648">
            <w:pPr>
              <w:pStyle w:val="TableText0"/>
              <w:jc w:val="center"/>
            </w:pPr>
          </w:p>
          <w:p w14:paraId="61F2C734" w14:textId="77777777" w:rsidR="008F535E" w:rsidRDefault="008F535E" w:rsidP="009E6648">
            <w:pPr>
              <w:pStyle w:val="TableText0"/>
              <w:jc w:val="center"/>
            </w:pPr>
            <w:r>
              <w:t>15 (75.0%)</w:t>
            </w:r>
          </w:p>
          <w:p w14:paraId="39D111F9" w14:textId="77777777" w:rsidR="008F535E" w:rsidRDefault="008F535E" w:rsidP="009E6648">
            <w:pPr>
              <w:pStyle w:val="TableText0"/>
              <w:jc w:val="center"/>
            </w:pPr>
            <w:r>
              <w:t>50.9, 91.3</w:t>
            </w:r>
          </w:p>
        </w:tc>
        <w:tc>
          <w:tcPr>
            <w:tcW w:w="1172" w:type="dxa"/>
          </w:tcPr>
          <w:p w14:paraId="24AB4F81" w14:textId="77777777" w:rsidR="008F535E" w:rsidRDefault="008F535E" w:rsidP="009E6648">
            <w:pPr>
              <w:pStyle w:val="TableText0"/>
              <w:jc w:val="center"/>
            </w:pPr>
          </w:p>
          <w:p w14:paraId="5B15DDBB" w14:textId="77777777" w:rsidR="008F535E" w:rsidRDefault="008F535E" w:rsidP="009E6648">
            <w:pPr>
              <w:pStyle w:val="TableText0"/>
              <w:jc w:val="center"/>
            </w:pPr>
            <w:r>
              <w:t>23 (56.0%)</w:t>
            </w:r>
          </w:p>
          <w:p w14:paraId="70E82EEA" w14:textId="77777777" w:rsidR="008F535E" w:rsidRDefault="008F535E" w:rsidP="009E6648">
            <w:pPr>
              <w:pStyle w:val="TableText0"/>
              <w:jc w:val="center"/>
            </w:pPr>
            <w:r>
              <w:t>39.7, 71.5</w:t>
            </w:r>
          </w:p>
        </w:tc>
        <w:tc>
          <w:tcPr>
            <w:tcW w:w="1172" w:type="dxa"/>
          </w:tcPr>
          <w:p w14:paraId="165CBB00" w14:textId="77777777" w:rsidR="008F535E" w:rsidRDefault="008F535E" w:rsidP="009E6648">
            <w:pPr>
              <w:pStyle w:val="TableText0"/>
              <w:jc w:val="center"/>
            </w:pPr>
          </w:p>
          <w:p w14:paraId="7E7EA95E" w14:textId="77777777" w:rsidR="008F535E" w:rsidRDefault="008F535E" w:rsidP="009E6648">
            <w:pPr>
              <w:pStyle w:val="TableText0"/>
              <w:jc w:val="center"/>
            </w:pPr>
            <w:r>
              <w:t>11 (65.0%)</w:t>
            </w:r>
          </w:p>
          <w:p w14:paraId="5C346818" w14:textId="77777777" w:rsidR="008F535E" w:rsidRDefault="008F535E" w:rsidP="009E6648">
            <w:pPr>
              <w:pStyle w:val="TableText0"/>
              <w:jc w:val="center"/>
            </w:pPr>
            <w:r>
              <w:t>38.0, 86.0</w:t>
            </w:r>
          </w:p>
        </w:tc>
        <w:tc>
          <w:tcPr>
            <w:tcW w:w="1127" w:type="dxa"/>
          </w:tcPr>
          <w:p w14:paraId="618A3EC1" w14:textId="77777777" w:rsidR="008F535E" w:rsidRDefault="008F535E" w:rsidP="009E6648">
            <w:pPr>
              <w:pStyle w:val="TableText0"/>
              <w:jc w:val="center"/>
            </w:pPr>
          </w:p>
          <w:p w14:paraId="0F964A62" w14:textId="77777777" w:rsidR="008F535E" w:rsidRDefault="008F535E" w:rsidP="009E6648">
            <w:pPr>
              <w:pStyle w:val="TableText0"/>
              <w:jc w:val="center"/>
            </w:pPr>
            <w:r>
              <w:t>14 (64%)</w:t>
            </w:r>
          </w:p>
          <w:p w14:paraId="13B04408" w14:textId="77777777" w:rsidR="008F535E" w:rsidRDefault="008F535E" w:rsidP="009E6648">
            <w:pPr>
              <w:pStyle w:val="TableText0"/>
              <w:jc w:val="center"/>
            </w:pPr>
            <w:r>
              <w:t>40.7, 82.8</w:t>
            </w:r>
          </w:p>
        </w:tc>
      </w:tr>
      <w:tr w:rsidR="008F535E" w14:paraId="328E67EB" w14:textId="77777777" w:rsidTr="001376A6">
        <w:tc>
          <w:tcPr>
            <w:tcW w:w="2136" w:type="dxa"/>
          </w:tcPr>
          <w:p w14:paraId="544CC31B" w14:textId="77777777" w:rsidR="008F535E" w:rsidRDefault="008F535E" w:rsidP="009E6648">
            <w:pPr>
              <w:pStyle w:val="TableText0"/>
              <w:tabs>
                <w:tab w:val="left" w:pos="102"/>
              </w:tabs>
            </w:pPr>
            <w:r>
              <w:t>Complete TMA Response in East Asian patients, n (%)</w:t>
            </w:r>
          </w:p>
        </w:tc>
        <w:tc>
          <w:tcPr>
            <w:tcW w:w="1318" w:type="dxa"/>
            <w:vAlign w:val="center"/>
          </w:tcPr>
          <w:p w14:paraId="1FE5D23B" w14:textId="77777777" w:rsidR="008F535E" w:rsidRDefault="008F535E" w:rsidP="001376A6">
            <w:pPr>
              <w:pStyle w:val="TableText0"/>
              <w:jc w:val="center"/>
            </w:pPr>
            <w:r>
              <w:t>4/15 (26.7%)</w:t>
            </w:r>
          </w:p>
        </w:tc>
        <w:tc>
          <w:tcPr>
            <w:tcW w:w="2092" w:type="dxa"/>
            <w:vAlign w:val="center"/>
          </w:tcPr>
          <w:p w14:paraId="4EBED8BB" w14:textId="77777777" w:rsidR="008F535E" w:rsidRDefault="008F535E" w:rsidP="001376A6">
            <w:pPr>
              <w:pStyle w:val="TableText0"/>
              <w:jc w:val="center"/>
            </w:pPr>
            <w:r>
              <w:t>4/5 (80%)</w:t>
            </w:r>
          </w:p>
        </w:tc>
        <w:tc>
          <w:tcPr>
            <w:tcW w:w="1172" w:type="dxa"/>
            <w:vAlign w:val="center"/>
          </w:tcPr>
          <w:p w14:paraId="0A8D59B9" w14:textId="77777777" w:rsidR="008F535E" w:rsidRDefault="008F535E" w:rsidP="001376A6">
            <w:pPr>
              <w:pStyle w:val="TableText0"/>
              <w:jc w:val="center"/>
            </w:pPr>
            <w:r>
              <w:t>NR</w:t>
            </w:r>
          </w:p>
        </w:tc>
        <w:tc>
          <w:tcPr>
            <w:tcW w:w="1172" w:type="dxa"/>
            <w:vAlign w:val="center"/>
          </w:tcPr>
          <w:p w14:paraId="6BB7D53D" w14:textId="77777777" w:rsidR="008F535E" w:rsidRDefault="008F535E" w:rsidP="001376A6">
            <w:pPr>
              <w:pStyle w:val="TableText0"/>
              <w:jc w:val="center"/>
            </w:pPr>
            <w:r>
              <w:t>NR</w:t>
            </w:r>
          </w:p>
        </w:tc>
        <w:tc>
          <w:tcPr>
            <w:tcW w:w="1127" w:type="dxa"/>
            <w:vAlign w:val="center"/>
          </w:tcPr>
          <w:p w14:paraId="067C667F" w14:textId="77777777" w:rsidR="008F535E" w:rsidRDefault="008F535E" w:rsidP="001376A6">
            <w:pPr>
              <w:pStyle w:val="TableText0"/>
              <w:jc w:val="center"/>
            </w:pPr>
            <w:r>
              <w:t>NR</w:t>
            </w:r>
          </w:p>
        </w:tc>
      </w:tr>
      <w:tr w:rsidR="008F535E" w14:paraId="0E42703F" w14:textId="77777777" w:rsidTr="009E6648">
        <w:tc>
          <w:tcPr>
            <w:tcW w:w="2136" w:type="dxa"/>
          </w:tcPr>
          <w:p w14:paraId="342260D0" w14:textId="77777777" w:rsidR="008F535E" w:rsidRDefault="008F535E" w:rsidP="009E6648">
            <w:pPr>
              <w:pStyle w:val="TableText0"/>
              <w:tabs>
                <w:tab w:val="left" w:pos="102"/>
              </w:tabs>
            </w:pPr>
            <w:r>
              <w:t xml:space="preserve">Time to complete response, </w:t>
            </w:r>
            <w:proofErr w:type="gramStart"/>
            <w:r>
              <w:t>days</w:t>
            </w:r>
            <w:proofErr w:type="gramEnd"/>
            <w:r>
              <w:t xml:space="preserve"> </w:t>
            </w:r>
          </w:p>
          <w:p w14:paraId="25E8D4EB" w14:textId="77777777" w:rsidR="008F535E" w:rsidRDefault="008F535E" w:rsidP="009E6648">
            <w:pPr>
              <w:pStyle w:val="TableText0"/>
              <w:tabs>
                <w:tab w:val="left" w:pos="102"/>
              </w:tabs>
            </w:pPr>
            <w:r>
              <w:tab/>
              <w:t>median</w:t>
            </w:r>
          </w:p>
          <w:p w14:paraId="703D0E8A" w14:textId="77777777" w:rsidR="008F535E" w:rsidRPr="0048326C" w:rsidRDefault="008F535E" w:rsidP="009E6648">
            <w:pPr>
              <w:pStyle w:val="TableText0"/>
              <w:tabs>
                <w:tab w:val="left" w:pos="102"/>
              </w:tabs>
            </w:pPr>
            <w:r>
              <w:tab/>
              <w:t xml:space="preserve">95% CI </w:t>
            </w:r>
          </w:p>
        </w:tc>
        <w:tc>
          <w:tcPr>
            <w:tcW w:w="1318" w:type="dxa"/>
          </w:tcPr>
          <w:p w14:paraId="7163B5CC" w14:textId="77777777" w:rsidR="008F535E" w:rsidRDefault="008F535E" w:rsidP="009E6648">
            <w:pPr>
              <w:pStyle w:val="TableText0"/>
              <w:jc w:val="center"/>
            </w:pPr>
          </w:p>
          <w:p w14:paraId="19424215" w14:textId="77777777" w:rsidR="008F535E" w:rsidRDefault="008F535E" w:rsidP="009E6648">
            <w:pPr>
              <w:pStyle w:val="TableText0"/>
              <w:jc w:val="center"/>
            </w:pPr>
          </w:p>
          <w:p w14:paraId="1DEDD38E" w14:textId="77777777" w:rsidR="008F535E" w:rsidRDefault="008F535E" w:rsidP="009E6648">
            <w:pPr>
              <w:pStyle w:val="TableText0"/>
              <w:jc w:val="center"/>
            </w:pPr>
            <w:r>
              <w:t>86</w:t>
            </w:r>
          </w:p>
          <w:p w14:paraId="47D9C3B4" w14:textId="77777777" w:rsidR="008F535E" w:rsidRDefault="008F535E" w:rsidP="009E6648">
            <w:pPr>
              <w:pStyle w:val="TableText0"/>
              <w:jc w:val="center"/>
            </w:pPr>
            <w:r>
              <w:t>42, 401</w:t>
            </w:r>
          </w:p>
        </w:tc>
        <w:tc>
          <w:tcPr>
            <w:tcW w:w="2092" w:type="dxa"/>
          </w:tcPr>
          <w:p w14:paraId="0835B76C" w14:textId="77777777" w:rsidR="008F535E" w:rsidRDefault="008F535E" w:rsidP="009E6648">
            <w:pPr>
              <w:pStyle w:val="TableText0"/>
              <w:jc w:val="center"/>
            </w:pPr>
          </w:p>
          <w:p w14:paraId="0FCA5459" w14:textId="77777777" w:rsidR="008F535E" w:rsidRDefault="008F535E" w:rsidP="009E6648">
            <w:pPr>
              <w:pStyle w:val="TableText0"/>
              <w:jc w:val="center"/>
            </w:pPr>
          </w:p>
          <w:p w14:paraId="601290F4" w14:textId="77777777" w:rsidR="008F535E" w:rsidRDefault="008F535E" w:rsidP="009E6648">
            <w:pPr>
              <w:pStyle w:val="TableText0"/>
              <w:jc w:val="center"/>
            </w:pPr>
            <w:r>
              <w:t>30</w:t>
            </w:r>
          </w:p>
          <w:p w14:paraId="434FCA71" w14:textId="77777777" w:rsidR="008F535E" w:rsidRDefault="008F535E" w:rsidP="009E6648">
            <w:pPr>
              <w:pStyle w:val="TableText0"/>
              <w:jc w:val="center"/>
            </w:pPr>
            <w:r>
              <w:t>22, 88</w:t>
            </w:r>
          </w:p>
        </w:tc>
        <w:tc>
          <w:tcPr>
            <w:tcW w:w="1172" w:type="dxa"/>
          </w:tcPr>
          <w:p w14:paraId="671616CF" w14:textId="77777777" w:rsidR="008F535E" w:rsidRDefault="008F535E" w:rsidP="009E6648">
            <w:pPr>
              <w:pStyle w:val="TableText0"/>
              <w:jc w:val="center"/>
            </w:pPr>
          </w:p>
          <w:p w14:paraId="5575E129" w14:textId="77777777" w:rsidR="008F535E" w:rsidRDefault="008F535E" w:rsidP="009E6648">
            <w:pPr>
              <w:pStyle w:val="TableText0"/>
              <w:jc w:val="center"/>
            </w:pPr>
          </w:p>
          <w:p w14:paraId="264BB332" w14:textId="77777777" w:rsidR="008F535E" w:rsidRDefault="008F535E" w:rsidP="009E6648">
            <w:pPr>
              <w:pStyle w:val="TableText0"/>
              <w:jc w:val="center"/>
            </w:pPr>
            <w:r>
              <w:t>57</w:t>
            </w:r>
          </w:p>
          <w:p w14:paraId="41263BB6" w14:textId="77777777" w:rsidR="008F535E" w:rsidRDefault="008F535E" w:rsidP="009E6648">
            <w:pPr>
              <w:pStyle w:val="TableText0"/>
              <w:jc w:val="center"/>
            </w:pPr>
            <w:r>
              <w:t>2, 147</w:t>
            </w:r>
          </w:p>
        </w:tc>
        <w:tc>
          <w:tcPr>
            <w:tcW w:w="1172" w:type="dxa"/>
          </w:tcPr>
          <w:p w14:paraId="72CD97F2" w14:textId="77777777" w:rsidR="008F535E" w:rsidRDefault="008F535E" w:rsidP="009E6648">
            <w:pPr>
              <w:pStyle w:val="TableText0"/>
              <w:jc w:val="center"/>
            </w:pPr>
          </w:p>
          <w:p w14:paraId="544B0F28" w14:textId="77777777" w:rsidR="008F535E" w:rsidRDefault="008F535E" w:rsidP="009E6648">
            <w:pPr>
              <w:pStyle w:val="TableText0"/>
              <w:jc w:val="center"/>
            </w:pPr>
          </w:p>
          <w:p w14:paraId="5E914F44" w14:textId="77777777" w:rsidR="008F535E" w:rsidRDefault="008F535E" w:rsidP="009E6648">
            <w:pPr>
              <w:pStyle w:val="TableText0"/>
              <w:jc w:val="center"/>
            </w:pPr>
            <w:r>
              <w:t>NR</w:t>
            </w:r>
          </w:p>
        </w:tc>
        <w:tc>
          <w:tcPr>
            <w:tcW w:w="1127" w:type="dxa"/>
          </w:tcPr>
          <w:p w14:paraId="079AC676" w14:textId="77777777" w:rsidR="008F535E" w:rsidRDefault="008F535E" w:rsidP="009E6648">
            <w:pPr>
              <w:pStyle w:val="TableText0"/>
              <w:jc w:val="center"/>
            </w:pPr>
          </w:p>
          <w:p w14:paraId="57BC5FC7" w14:textId="77777777" w:rsidR="008F535E" w:rsidRDefault="008F535E" w:rsidP="009E6648">
            <w:pPr>
              <w:pStyle w:val="TableText0"/>
              <w:jc w:val="center"/>
            </w:pPr>
          </w:p>
          <w:p w14:paraId="70B336FF" w14:textId="77777777" w:rsidR="008F535E" w:rsidRDefault="008F535E" w:rsidP="009E6648">
            <w:pPr>
              <w:pStyle w:val="TableText0"/>
              <w:jc w:val="center"/>
            </w:pPr>
            <w:r>
              <w:t>64</w:t>
            </w:r>
          </w:p>
          <w:p w14:paraId="2651CF72" w14:textId="77777777" w:rsidR="008F535E" w:rsidRDefault="008F535E" w:rsidP="009E6648">
            <w:pPr>
              <w:pStyle w:val="TableText0"/>
              <w:jc w:val="center"/>
            </w:pPr>
            <w:r>
              <w:t>7, 260</w:t>
            </w:r>
          </w:p>
        </w:tc>
      </w:tr>
      <w:tr w:rsidR="008F535E" w14:paraId="48CEBD50" w14:textId="77777777" w:rsidTr="009E6648">
        <w:tc>
          <w:tcPr>
            <w:tcW w:w="2136" w:type="dxa"/>
          </w:tcPr>
          <w:p w14:paraId="51D57C6D" w14:textId="4B7EA6DA" w:rsidR="008F535E" w:rsidRDefault="008F535E" w:rsidP="009E6648">
            <w:pPr>
              <w:pStyle w:val="TableText0"/>
              <w:tabs>
                <w:tab w:val="left" w:pos="102"/>
              </w:tabs>
            </w:pPr>
            <w:r>
              <w:t xml:space="preserve">Platelet count </w:t>
            </w:r>
            <w:r>
              <w:rPr>
                <w:rFonts w:ascii="Symbol" w:eastAsia="Symbol" w:hAnsi="Symbol" w:cs="Symbol"/>
              </w:rPr>
              <w:t>³</w:t>
            </w:r>
            <w:r>
              <w:t>150 x 10</w:t>
            </w:r>
            <w:r w:rsidRPr="000856D1">
              <w:rPr>
                <w:vertAlign w:val="superscript"/>
              </w:rPr>
              <w:t>9</w:t>
            </w:r>
            <w:r>
              <w:t>/</w:t>
            </w:r>
            <w:proofErr w:type="gramStart"/>
            <w:r>
              <w:t>L</w:t>
            </w:r>
            <w:proofErr w:type="gramEnd"/>
          </w:p>
          <w:p w14:paraId="06133718" w14:textId="77777777" w:rsidR="008F535E" w:rsidRDefault="008F535E" w:rsidP="009E6648">
            <w:pPr>
              <w:pStyle w:val="TableText0"/>
              <w:tabs>
                <w:tab w:val="left" w:pos="102"/>
              </w:tabs>
            </w:pPr>
            <w:r>
              <w:tab/>
            </w:r>
            <w:proofErr w:type="gramStart"/>
            <w:r>
              <w:t>n,(</w:t>
            </w:r>
            <w:proofErr w:type="gramEnd"/>
            <w:r>
              <w:t>%)</w:t>
            </w:r>
            <w:r>
              <w:br/>
            </w:r>
            <w:r>
              <w:tab/>
              <w:t>95% CI</w:t>
            </w:r>
          </w:p>
        </w:tc>
        <w:tc>
          <w:tcPr>
            <w:tcW w:w="1318" w:type="dxa"/>
          </w:tcPr>
          <w:p w14:paraId="2A3550DD" w14:textId="77777777" w:rsidR="008F535E" w:rsidRDefault="008F535E" w:rsidP="009E6648">
            <w:pPr>
              <w:pStyle w:val="TableText0"/>
            </w:pPr>
          </w:p>
          <w:p w14:paraId="5A6BEA27" w14:textId="77777777" w:rsidR="008F535E" w:rsidRDefault="008F535E" w:rsidP="009E6648">
            <w:pPr>
              <w:pStyle w:val="TableText0"/>
              <w:jc w:val="center"/>
            </w:pPr>
            <w:r>
              <w:t>47 (83.9%)</w:t>
            </w:r>
          </w:p>
          <w:p w14:paraId="7902B906" w14:textId="77777777" w:rsidR="008F535E" w:rsidRDefault="008F535E" w:rsidP="009E6648">
            <w:pPr>
              <w:pStyle w:val="TableText0"/>
              <w:jc w:val="center"/>
            </w:pPr>
            <w:r>
              <w:t>73.4, 94.4</w:t>
            </w:r>
          </w:p>
        </w:tc>
        <w:tc>
          <w:tcPr>
            <w:tcW w:w="2092" w:type="dxa"/>
          </w:tcPr>
          <w:p w14:paraId="788119BB" w14:textId="77777777" w:rsidR="008F535E" w:rsidRDefault="008F535E" w:rsidP="009E6648">
            <w:pPr>
              <w:pStyle w:val="TableText0"/>
              <w:jc w:val="center"/>
            </w:pPr>
          </w:p>
          <w:p w14:paraId="0BC51332" w14:textId="77777777" w:rsidR="008F535E" w:rsidRDefault="008F535E" w:rsidP="009E6648">
            <w:pPr>
              <w:pStyle w:val="TableText0"/>
              <w:jc w:val="center"/>
            </w:pPr>
            <w:r>
              <w:t>19 (95%)</w:t>
            </w:r>
          </w:p>
          <w:p w14:paraId="227E2D2C" w14:textId="77777777" w:rsidR="008F535E" w:rsidRDefault="008F535E" w:rsidP="009E6648">
            <w:pPr>
              <w:pStyle w:val="TableText0"/>
              <w:jc w:val="center"/>
            </w:pPr>
            <w:r>
              <w:t>75.1, 99.9</w:t>
            </w:r>
          </w:p>
        </w:tc>
        <w:tc>
          <w:tcPr>
            <w:tcW w:w="1172" w:type="dxa"/>
          </w:tcPr>
          <w:p w14:paraId="5D97B9D0" w14:textId="77777777" w:rsidR="008F535E" w:rsidRDefault="008F535E" w:rsidP="009E6648">
            <w:pPr>
              <w:pStyle w:val="TableText0"/>
            </w:pPr>
          </w:p>
          <w:p w14:paraId="20C04FAF" w14:textId="77777777" w:rsidR="008F535E" w:rsidRDefault="008F535E" w:rsidP="009E6648">
            <w:pPr>
              <w:pStyle w:val="TableText0"/>
              <w:jc w:val="center"/>
            </w:pPr>
            <w:r>
              <w:t>40 (98%)</w:t>
            </w:r>
          </w:p>
          <w:p w14:paraId="0CBDAE5D" w14:textId="77777777" w:rsidR="008F535E" w:rsidRDefault="008F535E" w:rsidP="009E6648">
            <w:pPr>
              <w:pStyle w:val="TableText0"/>
              <w:jc w:val="center"/>
            </w:pPr>
            <w:r>
              <w:t>87.1, 99.9</w:t>
            </w:r>
          </w:p>
        </w:tc>
        <w:tc>
          <w:tcPr>
            <w:tcW w:w="1172" w:type="dxa"/>
          </w:tcPr>
          <w:p w14:paraId="63D6EBB1" w14:textId="77777777" w:rsidR="008F535E" w:rsidRDefault="008F535E" w:rsidP="009E6648">
            <w:pPr>
              <w:pStyle w:val="TableText0"/>
            </w:pPr>
          </w:p>
          <w:p w14:paraId="471CD133" w14:textId="77777777" w:rsidR="008F535E" w:rsidRDefault="008F535E" w:rsidP="009E6648">
            <w:pPr>
              <w:pStyle w:val="TableText0"/>
              <w:jc w:val="center"/>
            </w:pPr>
            <w:r>
              <w:t>14 (82%)</w:t>
            </w:r>
          </w:p>
          <w:p w14:paraId="37925A95" w14:textId="77777777" w:rsidR="008F535E" w:rsidRDefault="008F535E" w:rsidP="009E6648">
            <w:pPr>
              <w:pStyle w:val="TableText0"/>
              <w:jc w:val="center"/>
            </w:pPr>
            <w:r>
              <w:t>57, 96</w:t>
            </w:r>
          </w:p>
        </w:tc>
        <w:tc>
          <w:tcPr>
            <w:tcW w:w="1127" w:type="dxa"/>
          </w:tcPr>
          <w:p w14:paraId="04A9E3CB" w14:textId="77777777" w:rsidR="008F535E" w:rsidRDefault="008F535E" w:rsidP="009E6648">
            <w:pPr>
              <w:pStyle w:val="TableText0"/>
            </w:pPr>
          </w:p>
          <w:p w14:paraId="0494982D" w14:textId="77777777" w:rsidR="008F535E" w:rsidRDefault="008F535E" w:rsidP="009E6648">
            <w:pPr>
              <w:pStyle w:val="TableText0"/>
              <w:jc w:val="center"/>
            </w:pPr>
            <w:r>
              <w:t>21 (95%)</w:t>
            </w:r>
          </w:p>
          <w:p w14:paraId="539E9704" w14:textId="77777777" w:rsidR="008F535E" w:rsidRDefault="008F535E" w:rsidP="009E6648">
            <w:pPr>
              <w:pStyle w:val="TableText0"/>
              <w:jc w:val="center"/>
            </w:pPr>
            <w:r>
              <w:t>77.2, 99.5</w:t>
            </w:r>
          </w:p>
        </w:tc>
      </w:tr>
      <w:tr w:rsidR="008F535E" w14:paraId="01A65618" w14:textId="77777777" w:rsidTr="009E6648">
        <w:tc>
          <w:tcPr>
            <w:tcW w:w="2136" w:type="dxa"/>
          </w:tcPr>
          <w:p w14:paraId="552BD7FC" w14:textId="54D3E83D" w:rsidR="008F535E" w:rsidRDefault="008F535E" w:rsidP="009E6648">
            <w:pPr>
              <w:pStyle w:val="TableText0"/>
              <w:tabs>
                <w:tab w:val="left" w:pos="102"/>
              </w:tabs>
            </w:pPr>
            <w:r>
              <w:t xml:space="preserve">LDH </w:t>
            </w:r>
            <w:r>
              <w:rPr>
                <w:rFonts w:ascii="Symbol" w:eastAsia="Symbol" w:hAnsi="Symbol" w:cs="Symbol"/>
              </w:rPr>
              <w:t>£</w:t>
            </w:r>
            <w:r>
              <w:t>246 U/L</w:t>
            </w:r>
          </w:p>
          <w:p w14:paraId="0E09C1D5" w14:textId="77777777" w:rsidR="008F535E" w:rsidRDefault="008F535E" w:rsidP="009E6648">
            <w:pPr>
              <w:pStyle w:val="TableText0"/>
              <w:tabs>
                <w:tab w:val="left" w:pos="102"/>
              </w:tabs>
            </w:pPr>
            <w:r>
              <w:tab/>
              <w:t>n, (%)</w:t>
            </w:r>
          </w:p>
          <w:p w14:paraId="275DAF58" w14:textId="77777777" w:rsidR="008F535E" w:rsidRDefault="008F535E" w:rsidP="009E6648">
            <w:pPr>
              <w:pStyle w:val="TableText0"/>
              <w:tabs>
                <w:tab w:val="left" w:pos="102"/>
              </w:tabs>
            </w:pPr>
            <w:r>
              <w:tab/>
              <w:t>95% CI</w:t>
            </w:r>
          </w:p>
        </w:tc>
        <w:tc>
          <w:tcPr>
            <w:tcW w:w="1318" w:type="dxa"/>
          </w:tcPr>
          <w:p w14:paraId="501C87D4" w14:textId="77777777" w:rsidR="008F535E" w:rsidRDefault="008F535E" w:rsidP="009E6648">
            <w:pPr>
              <w:pStyle w:val="TableText0"/>
              <w:jc w:val="center"/>
            </w:pPr>
          </w:p>
          <w:p w14:paraId="7193A714" w14:textId="77777777" w:rsidR="008F535E" w:rsidRDefault="008F535E" w:rsidP="009E6648">
            <w:pPr>
              <w:pStyle w:val="TableText0"/>
              <w:jc w:val="center"/>
            </w:pPr>
            <w:r>
              <w:t>43 (76.8%)</w:t>
            </w:r>
          </w:p>
          <w:p w14:paraId="487DAD04" w14:textId="77777777" w:rsidR="008F535E" w:rsidRDefault="008F535E" w:rsidP="009E6648">
            <w:pPr>
              <w:pStyle w:val="TableText0"/>
              <w:jc w:val="center"/>
            </w:pPr>
            <w:r>
              <w:t>64.8, 88.7</w:t>
            </w:r>
          </w:p>
        </w:tc>
        <w:tc>
          <w:tcPr>
            <w:tcW w:w="2092" w:type="dxa"/>
          </w:tcPr>
          <w:p w14:paraId="18634AF2" w14:textId="77777777" w:rsidR="008F535E" w:rsidRDefault="008F535E" w:rsidP="009E6648">
            <w:pPr>
              <w:pStyle w:val="TableText0"/>
              <w:jc w:val="center"/>
            </w:pPr>
          </w:p>
          <w:p w14:paraId="343EED3F" w14:textId="77777777" w:rsidR="008F535E" w:rsidRDefault="008F535E" w:rsidP="009E6648">
            <w:pPr>
              <w:pStyle w:val="TableText0"/>
              <w:jc w:val="center"/>
            </w:pPr>
            <w:r>
              <w:t>18 (90%)</w:t>
            </w:r>
          </w:p>
          <w:p w14:paraId="6D2060BA" w14:textId="77777777" w:rsidR="008F535E" w:rsidRDefault="008F535E" w:rsidP="009E6648">
            <w:pPr>
              <w:pStyle w:val="TableText0"/>
              <w:jc w:val="center"/>
            </w:pPr>
            <w:r>
              <w:t>68.3, 98.8</w:t>
            </w:r>
          </w:p>
        </w:tc>
        <w:tc>
          <w:tcPr>
            <w:tcW w:w="1172" w:type="dxa"/>
          </w:tcPr>
          <w:p w14:paraId="0E2BAD6B" w14:textId="77777777" w:rsidR="008F535E" w:rsidRDefault="008F535E" w:rsidP="009E6648">
            <w:pPr>
              <w:pStyle w:val="TableText0"/>
              <w:jc w:val="center"/>
            </w:pPr>
          </w:p>
          <w:p w14:paraId="3CA8A070" w14:textId="77777777" w:rsidR="008F535E" w:rsidRDefault="008F535E" w:rsidP="009E6648">
            <w:pPr>
              <w:pStyle w:val="TableText0"/>
              <w:jc w:val="center"/>
            </w:pPr>
            <w:r>
              <w:t>37 (90%)</w:t>
            </w:r>
          </w:p>
          <w:p w14:paraId="2C1FB5DD" w14:textId="77777777" w:rsidR="008F535E" w:rsidRDefault="008F535E" w:rsidP="009E6648">
            <w:pPr>
              <w:pStyle w:val="TableText0"/>
              <w:jc w:val="center"/>
            </w:pPr>
            <w:r>
              <w:t>76.9, 97.3</w:t>
            </w:r>
          </w:p>
        </w:tc>
        <w:tc>
          <w:tcPr>
            <w:tcW w:w="1172" w:type="dxa"/>
          </w:tcPr>
          <w:p w14:paraId="5790BC92" w14:textId="77777777" w:rsidR="008F535E" w:rsidRDefault="008F535E" w:rsidP="009E6648">
            <w:pPr>
              <w:pStyle w:val="TableText0"/>
              <w:jc w:val="center"/>
            </w:pPr>
          </w:p>
          <w:p w14:paraId="669F0C59" w14:textId="77777777" w:rsidR="008F535E" w:rsidRDefault="008F535E" w:rsidP="009E6648">
            <w:pPr>
              <w:pStyle w:val="TableText0"/>
              <w:jc w:val="center"/>
            </w:pPr>
            <w:r>
              <w:t>14 (82%)</w:t>
            </w:r>
          </w:p>
          <w:p w14:paraId="7EA98DF7" w14:textId="77777777" w:rsidR="008F535E" w:rsidRDefault="008F535E" w:rsidP="009E6648">
            <w:pPr>
              <w:pStyle w:val="TableText0"/>
              <w:jc w:val="center"/>
            </w:pPr>
            <w:r>
              <w:t>57, 96</w:t>
            </w:r>
          </w:p>
        </w:tc>
        <w:tc>
          <w:tcPr>
            <w:tcW w:w="1127" w:type="dxa"/>
          </w:tcPr>
          <w:p w14:paraId="49B8428D" w14:textId="77777777" w:rsidR="008F535E" w:rsidRDefault="008F535E" w:rsidP="009E6648">
            <w:pPr>
              <w:pStyle w:val="TableText0"/>
              <w:jc w:val="center"/>
            </w:pPr>
          </w:p>
          <w:p w14:paraId="3CDE04F2" w14:textId="77777777" w:rsidR="008F535E" w:rsidRDefault="008F535E" w:rsidP="009E6648">
            <w:pPr>
              <w:pStyle w:val="TableText0"/>
              <w:jc w:val="center"/>
            </w:pPr>
            <w:r>
              <w:t>18 (82%)</w:t>
            </w:r>
          </w:p>
          <w:p w14:paraId="2C709D12" w14:textId="77777777" w:rsidR="008F535E" w:rsidRDefault="008F535E" w:rsidP="009E6648">
            <w:pPr>
              <w:pStyle w:val="TableText0"/>
              <w:jc w:val="center"/>
            </w:pPr>
            <w:r>
              <w:t>59.7, 94.8</w:t>
            </w:r>
          </w:p>
        </w:tc>
      </w:tr>
      <w:tr w:rsidR="008F535E" w14:paraId="20FBCE15" w14:textId="77777777" w:rsidTr="009E6648">
        <w:tc>
          <w:tcPr>
            <w:tcW w:w="2136" w:type="dxa"/>
          </w:tcPr>
          <w:p w14:paraId="6559EFE6" w14:textId="60814D57" w:rsidR="008F535E" w:rsidRDefault="008F535E" w:rsidP="009E6648">
            <w:pPr>
              <w:pStyle w:val="TableText0"/>
              <w:tabs>
                <w:tab w:val="left" w:pos="102"/>
              </w:tabs>
            </w:pPr>
            <w:r>
              <w:rPr>
                <w:rFonts w:ascii="Symbol" w:eastAsia="Symbol" w:hAnsi="Symbol" w:cs="Symbol"/>
              </w:rPr>
              <w:t>³</w:t>
            </w:r>
            <w:r>
              <w:t>25% improvement in sCr</w:t>
            </w:r>
          </w:p>
          <w:p w14:paraId="46552AFD" w14:textId="77777777" w:rsidR="008F535E" w:rsidRDefault="008F535E" w:rsidP="009E6648">
            <w:pPr>
              <w:pStyle w:val="TableText0"/>
              <w:tabs>
                <w:tab w:val="left" w:pos="102"/>
              </w:tabs>
            </w:pPr>
            <w:r>
              <w:tab/>
              <w:t>n, (%)</w:t>
            </w:r>
          </w:p>
          <w:p w14:paraId="4C5EFCFB" w14:textId="77777777" w:rsidR="008F535E" w:rsidRDefault="008F535E" w:rsidP="009E6648">
            <w:pPr>
              <w:pStyle w:val="TableText0"/>
              <w:tabs>
                <w:tab w:val="left" w:pos="102"/>
              </w:tabs>
            </w:pPr>
            <w:r>
              <w:tab/>
              <w:t>95% CI</w:t>
            </w:r>
          </w:p>
        </w:tc>
        <w:tc>
          <w:tcPr>
            <w:tcW w:w="1318" w:type="dxa"/>
          </w:tcPr>
          <w:p w14:paraId="731C178D" w14:textId="77777777" w:rsidR="008F535E" w:rsidRDefault="008F535E" w:rsidP="009E6648">
            <w:pPr>
              <w:pStyle w:val="TableText0"/>
            </w:pPr>
          </w:p>
          <w:p w14:paraId="17C06B6B" w14:textId="77777777" w:rsidR="008F535E" w:rsidRDefault="008F535E" w:rsidP="009E6648">
            <w:pPr>
              <w:pStyle w:val="TableText0"/>
              <w:jc w:val="center"/>
            </w:pPr>
            <w:r>
              <w:t>33 (58.9%)</w:t>
            </w:r>
          </w:p>
          <w:p w14:paraId="4BE5B0A0" w14:textId="77777777" w:rsidR="008F535E" w:rsidRDefault="008F535E" w:rsidP="009E6648">
            <w:pPr>
              <w:pStyle w:val="TableText0"/>
              <w:jc w:val="center"/>
            </w:pPr>
            <w:r>
              <w:t>45.2, 72.7</w:t>
            </w:r>
          </w:p>
        </w:tc>
        <w:tc>
          <w:tcPr>
            <w:tcW w:w="2092" w:type="dxa"/>
          </w:tcPr>
          <w:p w14:paraId="45B5D246" w14:textId="77777777" w:rsidR="008F535E" w:rsidRDefault="008F535E" w:rsidP="009E6648">
            <w:pPr>
              <w:pStyle w:val="TableText0"/>
            </w:pPr>
          </w:p>
          <w:p w14:paraId="6B50B3B3" w14:textId="77777777" w:rsidR="008F535E" w:rsidRDefault="008F535E" w:rsidP="009E6648">
            <w:pPr>
              <w:pStyle w:val="TableText0"/>
              <w:jc w:val="center"/>
            </w:pPr>
            <w:r>
              <w:t>16 (80%)</w:t>
            </w:r>
          </w:p>
          <w:p w14:paraId="120AC5ED" w14:textId="77777777" w:rsidR="008F535E" w:rsidRDefault="008F535E" w:rsidP="009E6648">
            <w:pPr>
              <w:pStyle w:val="TableText0"/>
              <w:jc w:val="center"/>
            </w:pPr>
            <w:r>
              <w:t>56.3, 94.3</w:t>
            </w:r>
          </w:p>
        </w:tc>
        <w:tc>
          <w:tcPr>
            <w:tcW w:w="1172" w:type="dxa"/>
          </w:tcPr>
          <w:p w14:paraId="4257DE27" w14:textId="77777777" w:rsidR="008F535E" w:rsidRDefault="008F535E" w:rsidP="009E6648">
            <w:pPr>
              <w:pStyle w:val="TableText0"/>
            </w:pPr>
          </w:p>
          <w:p w14:paraId="3FF25BD4" w14:textId="77777777" w:rsidR="008F535E" w:rsidRDefault="008F535E" w:rsidP="009E6648">
            <w:pPr>
              <w:pStyle w:val="TableText0"/>
              <w:jc w:val="center"/>
            </w:pPr>
            <w:r>
              <w:t>NR</w:t>
            </w:r>
          </w:p>
        </w:tc>
        <w:tc>
          <w:tcPr>
            <w:tcW w:w="1172" w:type="dxa"/>
          </w:tcPr>
          <w:p w14:paraId="4FB9AFCD" w14:textId="77777777" w:rsidR="008F535E" w:rsidRDefault="008F535E" w:rsidP="009E6648">
            <w:pPr>
              <w:pStyle w:val="TableText0"/>
            </w:pPr>
          </w:p>
          <w:p w14:paraId="219A38DF" w14:textId="77777777" w:rsidR="008F535E" w:rsidRDefault="008F535E" w:rsidP="009E6648">
            <w:pPr>
              <w:pStyle w:val="TableText0"/>
              <w:jc w:val="center"/>
            </w:pPr>
            <w:r>
              <w:t>11 (65%)</w:t>
            </w:r>
          </w:p>
          <w:p w14:paraId="34847DFB" w14:textId="77777777" w:rsidR="008F535E" w:rsidRDefault="008F535E" w:rsidP="009E6648">
            <w:pPr>
              <w:pStyle w:val="TableText0"/>
              <w:jc w:val="center"/>
            </w:pPr>
            <w:r>
              <w:t>38, 86</w:t>
            </w:r>
          </w:p>
        </w:tc>
        <w:tc>
          <w:tcPr>
            <w:tcW w:w="1127" w:type="dxa"/>
          </w:tcPr>
          <w:p w14:paraId="59E1DE26" w14:textId="77777777" w:rsidR="008F535E" w:rsidRDefault="008F535E" w:rsidP="009E6648">
            <w:pPr>
              <w:pStyle w:val="TableText0"/>
            </w:pPr>
          </w:p>
          <w:p w14:paraId="49143B16" w14:textId="77777777" w:rsidR="008F535E" w:rsidRDefault="008F535E" w:rsidP="009E6648">
            <w:pPr>
              <w:pStyle w:val="TableText0"/>
              <w:jc w:val="center"/>
            </w:pPr>
            <w:r>
              <w:t>16 (73%)</w:t>
            </w:r>
          </w:p>
          <w:p w14:paraId="282B8852" w14:textId="77777777" w:rsidR="008F535E" w:rsidRDefault="008F535E" w:rsidP="009E6648">
            <w:pPr>
              <w:pStyle w:val="TableText0"/>
              <w:jc w:val="center"/>
            </w:pPr>
            <w:r>
              <w:t>49.8, 89.3</w:t>
            </w:r>
          </w:p>
        </w:tc>
      </w:tr>
      <w:tr w:rsidR="008F535E" w14:paraId="08E44094" w14:textId="77777777" w:rsidTr="009E6648">
        <w:tc>
          <w:tcPr>
            <w:tcW w:w="2136" w:type="dxa"/>
          </w:tcPr>
          <w:p w14:paraId="50E9955F" w14:textId="77777777" w:rsidR="008F535E" w:rsidRDefault="008F535E" w:rsidP="009E6648">
            <w:pPr>
              <w:pStyle w:val="TableText0"/>
              <w:tabs>
                <w:tab w:val="left" w:pos="102"/>
              </w:tabs>
            </w:pPr>
            <w:r>
              <w:t>Dialysis at baseline</w:t>
            </w:r>
            <w:r>
              <w:rPr>
                <w:vertAlign w:val="superscript"/>
              </w:rPr>
              <w:t>c</w:t>
            </w:r>
            <w:r>
              <w:t>, n (%)</w:t>
            </w:r>
          </w:p>
        </w:tc>
        <w:tc>
          <w:tcPr>
            <w:tcW w:w="1318" w:type="dxa"/>
          </w:tcPr>
          <w:p w14:paraId="2C1439E6" w14:textId="77777777" w:rsidR="008F535E" w:rsidRDefault="008F535E" w:rsidP="009E6648">
            <w:pPr>
              <w:pStyle w:val="TableText0"/>
              <w:jc w:val="center"/>
            </w:pPr>
            <w:r>
              <w:t>29 (51.8%)</w:t>
            </w:r>
          </w:p>
        </w:tc>
        <w:tc>
          <w:tcPr>
            <w:tcW w:w="2092" w:type="dxa"/>
          </w:tcPr>
          <w:p w14:paraId="1EFE04F9" w14:textId="77777777" w:rsidR="008F535E" w:rsidRDefault="008F535E" w:rsidP="009E6648">
            <w:pPr>
              <w:pStyle w:val="TableText0"/>
              <w:jc w:val="center"/>
            </w:pPr>
            <w:r>
              <w:t>7 (35%)</w:t>
            </w:r>
          </w:p>
        </w:tc>
        <w:tc>
          <w:tcPr>
            <w:tcW w:w="1172" w:type="dxa"/>
          </w:tcPr>
          <w:p w14:paraId="121184D3" w14:textId="77777777" w:rsidR="008F535E" w:rsidRDefault="008F535E" w:rsidP="009E6648">
            <w:pPr>
              <w:pStyle w:val="TableText0"/>
              <w:jc w:val="center"/>
            </w:pPr>
            <w:r>
              <w:t>24 (58.5%)</w:t>
            </w:r>
          </w:p>
        </w:tc>
        <w:tc>
          <w:tcPr>
            <w:tcW w:w="1172" w:type="dxa"/>
          </w:tcPr>
          <w:p w14:paraId="45214741" w14:textId="77777777" w:rsidR="008F535E" w:rsidRDefault="008F535E" w:rsidP="009E6648">
            <w:pPr>
              <w:pStyle w:val="TableText0"/>
              <w:jc w:val="center"/>
            </w:pPr>
            <w:r>
              <w:t>5 (29.4%)</w:t>
            </w:r>
          </w:p>
        </w:tc>
        <w:tc>
          <w:tcPr>
            <w:tcW w:w="1127" w:type="dxa"/>
          </w:tcPr>
          <w:p w14:paraId="28B74FB9" w14:textId="77777777" w:rsidR="008F535E" w:rsidRDefault="008F535E" w:rsidP="009E6648">
            <w:pPr>
              <w:pStyle w:val="TableText0"/>
              <w:jc w:val="center"/>
            </w:pPr>
            <w:r>
              <w:t>11 (50.0%)</w:t>
            </w:r>
          </w:p>
        </w:tc>
      </w:tr>
      <w:tr w:rsidR="008F535E" w14:paraId="505AC33F" w14:textId="77777777" w:rsidTr="009E6648">
        <w:tc>
          <w:tcPr>
            <w:tcW w:w="2136" w:type="dxa"/>
          </w:tcPr>
          <w:p w14:paraId="39491549" w14:textId="77777777" w:rsidR="008F535E" w:rsidRDefault="008F535E" w:rsidP="009E6648">
            <w:pPr>
              <w:pStyle w:val="TableText0"/>
              <w:tabs>
                <w:tab w:val="left" w:pos="102"/>
              </w:tabs>
            </w:pPr>
            <w:r>
              <w:t>Dialysis discontinuation in patients on dialysis at study entry, n/N (%)</w:t>
            </w:r>
          </w:p>
        </w:tc>
        <w:tc>
          <w:tcPr>
            <w:tcW w:w="1318" w:type="dxa"/>
          </w:tcPr>
          <w:p w14:paraId="43C2752D" w14:textId="77777777" w:rsidR="008F535E" w:rsidRDefault="008F535E" w:rsidP="009E6648">
            <w:pPr>
              <w:pStyle w:val="TableText0"/>
            </w:pPr>
          </w:p>
          <w:p w14:paraId="16160928" w14:textId="77777777" w:rsidR="008F535E" w:rsidRDefault="008F535E" w:rsidP="009E6648">
            <w:pPr>
              <w:pStyle w:val="TableText0"/>
              <w:jc w:val="center"/>
            </w:pPr>
            <w:r>
              <w:t>17/29 (58.6%)</w:t>
            </w:r>
          </w:p>
          <w:p w14:paraId="6669F3C8" w14:textId="77777777" w:rsidR="008F535E" w:rsidRDefault="008F535E" w:rsidP="009E6648">
            <w:pPr>
              <w:pStyle w:val="TableText0"/>
              <w:jc w:val="center"/>
            </w:pPr>
          </w:p>
        </w:tc>
        <w:tc>
          <w:tcPr>
            <w:tcW w:w="2092" w:type="dxa"/>
          </w:tcPr>
          <w:p w14:paraId="09BA3EF7" w14:textId="77777777" w:rsidR="008F535E" w:rsidRDefault="008F535E" w:rsidP="009E6648">
            <w:pPr>
              <w:pStyle w:val="TableText0"/>
            </w:pPr>
          </w:p>
          <w:p w14:paraId="490E2E25" w14:textId="77777777" w:rsidR="008F535E" w:rsidRDefault="008F535E" w:rsidP="009E6648">
            <w:pPr>
              <w:pStyle w:val="TableText0"/>
              <w:jc w:val="center"/>
            </w:pPr>
            <w:r>
              <w:t>6/7</w:t>
            </w:r>
          </w:p>
          <w:p w14:paraId="400D25EC" w14:textId="77777777" w:rsidR="008F535E" w:rsidRDefault="008F535E" w:rsidP="009E6648">
            <w:pPr>
              <w:pStyle w:val="TableText0"/>
              <w:jc w:val="center"/>
            </w:pPr>
            <w:r>
              <w:t>(85.7%)</w:t>
            </w:r>
          </w:p>
        </w:tc>
        <w:tc>
          <w:tcPr>
            <w:tcW w:w="1172" w:type="dxa"/>
          </w:tcPr>
          <w:p w14:paraId="53749877" w14:textId="77777777" w:rsidR="008F535E" w:rsidRDefault="008F535E" w:rsidP="009E6648">
            <w:pPr>
              <w:pStyle w:val="TableText0"/>
            </w:pPr>
          </w:p>
          <w:p w14:paraId="3B09DCE1" w14:textId="77777777" w:rsidR="008F535E" w:rsidRDefault="008F535E" w:rsidP="009E6648">
            <w:pPr>
              <w:pStyle w:val="TableText0"/>
              <w:jc w:val="center"/>
            </w:pPr>
            <w:r>
              <w:t>15/24 (62.5%)</w:t>
            </w:r>
          </w:p>
        </w:tc>
        <w:tc>
          <w:tcPr>
            <w:tcW w:w="1172" w:type="dxa"/>
          </w:tcPr>
          <w:p w14:paraId="046B80CE" w14:textId="77777777" w:rsidR="008F535E" w:rsidRDefault="008F535E" w:rsidP="009E6648">
            <w:pPr>
              <w:pStyle w:val="TableText0"/>
            </w:pPr>
          </w:p>
          <w:p w14:paraId="2B3902E1" w14:textId="77777777" w:rsidR="008F535E" w:rsidRDefault="008F535E" w:rsidP="009E6648">
            <w:pPr>
              <w:pStyle w:val="TableText0"/>
              <w:jc w:val="center"/>
            </w:pPr>
            <w:r>
              <w:t>4/5</w:t>
            </w:r>
          </w:p>
          <w:p w14:paraId="45303360" w14:textId="77777777" w:rsidR="008F535E" w:rsidRDefault="008F535E" w:rsidP="009E6648">
            <w:pPr>
              <w:pStyle w:val="TableText0"/>
              <w:jc w:val="center"/>
            </w:pPr>
            <w:r>
              <w:t>(80%)</w:t>
            </w:r>
          </w:p>
        </w:tc>
        <w:tc>
          <w:tcPr>
            <w:tcW w:w="1127" w:type="dxa"/>
          </w:tcPr>
          <w:p w14:paraId="652FC835" w14:textId="77777777" w:rsidR="008F535E" w:rsidRDefault="008F535E" w:rsidP="009E6648">
            <w:pPr>
              <w:pStyle w:val="TableText0"/>
            </w:pPr>
          </w:p>
          <w:p w14:paraId="75208D64" w14:textId="77777777" w:rsidR="008F535E" w:rsidRDefault="008F535E" w:rsidP="009E6648">
            <w:pPr>
              <w:pStyle w:val="TableText0"/>
              <w:jc w:val="center"/>
            </w:pPr>
            <w:r>
              <w:t>9/11</w:t>
            </w:r>
          </w:p>
          <w:p w14:paraId="7CDD23FE" w14:textId="77777777" w:rsidR="008F535E" w:rsidRDefault="008F535E" w:rsidP="009E6648">
            <w:pPr>
              <w:pStyle w:val="TableText0"/>
              <w:jc w:val="center"/>
            </w:pPr>
            <w:r>
              <w:t>(81.8%)</w:t>
            </w:r>
          </w:p>
        </w:tc>
      </w:tr>
      <w:tr w:rsidR="008F535E" w14:paraId="5402B66F" w14:textId="77777777" w:rsidTr="009E6648">
        <w:tc>
          <w:tcPr>
            <w:tcW w:w="2136" w:type="dxa"/>
          </w:tcPr>
          <w:p w14:paraId="7C27122F" w14:textId="77777777" w:rsidR="008F535E" w:rsidRDefault="008F535E" w:rsidP="009E6648">
            <w:pPr>
              <w:pStyle w:val="TableText0"/>
              <w:tabs>
                <w:tab w:val="left" w:pos="102"/>
              </w:tabs>
            </w:pPr>
            <w:r>
              <w:t xml:space="preserve">Patients who began dialysis during the study, n/N (%) </w:t>
            </w:r>
          </w:p>
        </w:tc>
        <w:tc>
          <w:tcPr>
            <w:tcW w:w="1318" w:type="dxa"/>
            <w:vAlign w:val="center"/>
          </w:tcPr>
          <w:p w14:paraId="01F18193" w14:textId="77777777" w:rsidR="008F535E" w:rsidRDefault="008F535E" w:rsidP="009E6648">
            <w:pPr>
              <w:pStyle w:val="TableText0"/>
              <w:jc w:val="center"/>
            </w:pPr>
            <w:r>
              <w:t>7/27 (25.9%)</w:t>
            </w:r>
          </w:p>
        </w:tc>
        <w:tc>
          <w:tcPr>
            <w:tcW w:w="2092" w:type="dxa"/>
            <w:vAlign w:val="center"/>
          </w:tcPr>
          <w:p w14:paraId="2904987B" w14:textId="77777777" w:rsidR="008F535E" w:rsidRDefault="008F535E" w:rsidP="009E6648">
            <w:pPr>
              <w:pStyle w:val="TableText0"/>
              <w:jc w:val="center"/>
            </w:pPr>
            <w:r>
              <w:t>0 (0%)</w:t>
            </w:r>
          </w:p>
        </w:tc>
        <w:tc>
          <w:tcPr>
            <w:tcW w:w="1172" w:type="dxa"/>
            <w:vAlign w:val="center"/>
          </w:tcPr>
          <w:p w14:paraId="305A6361" w14:textId="77777777" w:rsidR="008F535E" w:rsidRDefault="008F535E" w:rsidP="009E6648">
            <w:pPr>
              <w:pStyle w:val="TableText0"/>
              <w:jc w:val="center"/>
            </w:pPr>
            <w:r>
              <w:t>4/17 (24%)</w:t>
            </w:r>
          </w:p>
        </w:tc>
        <w:tc>
          <w:tcPr>
            <w:tcW w:w="1172" w:type="dxa"/>
            <w:vAlign w:val="center"/>
          </w:tcPr>
          <w:p w14:paraId="16A34FAA" w14:textId="77777777" w:rsidR="008F535E" w:rsidRDefault="008F535E" w:rsidP="009E6648">
            <w:pPr>
              <w:pStyle w:val="TableText0"/>
              <w:jc w:val="center"/>
            </w:pPr>
            <w:r>
              <w:t>2/11</w:t>
            </w:r>
          </w:p>
          <w:p w14:paraId="1233F4EB" w14:textId="77777777" w:rsidR="008F535E" w:rsidRDefault="008F535E" w:rsidP="009E6648">
            <w:pPr>
              <w:pStyle w:val="TableText0"/>
              <w:jc w:val="center"/>
            </w:pPr>
            <w:r>
              <w:t>(18.2%)</w:t>
            </w:r>
          </w:p>
        </w:tc>
        <w:tc>
          <w:tcPr>
            <w:tcW w:w="1127" w:type="dxa"/>
            <w:vAlign w:val="center"/>
          </w:tcPr>
          <w:p w14:paraId="6E478BC6" w14:textId="77777777" w:rsidR="008F535E" w:rsidRDefault="008F535E" w:rsidP="009E6648">
            <w:pPr>
              <w:pStyle w:val="TableText0"/>
              <w:jc w:val="center"/>
            </w:pPr>
            <w:r>
              <w:t>0 (0%)</w:t>
            </w:r>
          </w:p>
        </w:tc>
      </w:tr>
      <w:tr w:rsidR="008F535E" w14:paraId="0A008F03" w14:textId="77777777" w:rsidTr="009E6648">
        <w:tc>
          <w:tcPr>
            <w:tcW w:w="2136" w:type="dxa"/>
          </w:tcPr>
          <w:p w14:paraId="6819F4CF" w14:textId="77777777" w:rsidR="008F535E" w:rsidRDefault="008F535E" w:rsidP="009E6648">
            <w:pPr>
              <w:pStyle w:val="TableText0"/>
              <w:tabs>
                <w:tab w:val="left" w:pos="102"/>
              </w:tabs>
            </w:pPr>
            <w:r>
              <w:t xml:space="preserve">Patients who began dialysis during the study </w:t>
            </w:r>
            <w:r w:rsidRPr="003A48D2">
              <w:t>and</w:t>
            </w:r>
            <w:r>
              <w:t xml:space="preserve"> were on dialysis after 26 wk, </w:t>
            </w:r>
          </w:p>
          <w:p w14:paraId="46D19565" w14:textId="77777777" w:rsidR="008F535E" w:rsidRDefault="008F535E" w:rsidP="009E6648">
            <w:pPr>
              <w:pStyle w:val="TableText0"/>
              <w:tabs>
                <w:tab w:val="left" w:pos="102"/>
              </w:tabs>
            </w:pPr>
            <w:r>
              <w:t>n/N (%)</w:t>
            </w:r>
          </w:p>
        </w:tc>
        <w:tc>
          <w:tcPr>
            <w:tcW w:w="1318" w:type="dxa"/>
            <w:vAlign w:val="center"/>
          </w:tcPr>
          <w:p w14:paraId="715D289E" w14:textId="77777777" w:rsidR="008F535E" w:rsidRDefault="008F535E" w:rsidP="009E6648">
            <w:pPr>
              <w:pStyle w:val="TableText0"/>
              <w:jc w:val="center"/>
            </w:pPr>
            <w:r>
              <w:t>6/7 (85.7%)</w:t>
            </w:r>
          </w:p>
        </w:tc>
        <w:tc>
          <w:tcPr>
            <w:tcW w:w="2092" w:type="dxa"/>
            <w:vAlign w:val="center"/>
          </w:tcPr>
          <w:p w14:paraId="1DEC28F1" w14:textId="77777777" w:rsidR="008F535E" w:rsidRDefault="008F535E" w:rsidP="009E6648">
            <w:pPr>
              <w:pStyle w:val="TableText0"/>
              <w:jc w:val="center"/>
            </w:pPr>
            <w:r>
              <w:t>NA</w:t>
            </w:r>
          </w:p>
        </w:tc>
        <w:tc>
          <w:tcPr>
            <w:tcW w:w="1172" w:type="dxa"/>
            <w:vAlign w:val="center"/>
          </w:tcPr>
          <w:p w14:paraId="07EB5CA0" w14:textId="77777777" w:rsidR="008F535E" w:rsidRDefault="008F535E" w:rsidP="009E6648">
            <w:pPr>
              <w:pStyle w:val="TableText0"/>
              <w:jc w:val="center"/>
            </w:pPr>
            <w:r>
              <w:t>NR</w:t>
            </w:r>
          </w:p>
        </w:tc>
        <w:tc>
          <w:tcPr>
            <w:tcW w:w="1172" w:type="dxa"/>
            <w:vAlign w:val="center"/>
          </w:tcPr>
          <w:p w14:paraId="6B4D2D01" w14:textId="77777777" w:rsidR="008F535E" w:rsidRDefault="008F535E" w:rsidP="009E6648">
            <w:pPr>
              <w:pStyle w:val="TableText0"/>
              <w:jc w:val="center"/>
            </w:pPr>
            <w:r>
              <w:t>NR</w:t>
            </w:r>
          </w:p>
        </w:tc>
        <w:tc>
          <w:tcPr>
            <w:tcW w:w="1127" w:type="dxa"/>
            <w:vAlign w:val="center"/>
          </w:tcPr>
          <w:p w14:paraId="0AC47920" w14:textId="77777777" w:rsidR="008F535E" w:rsidRDefault="008F535E" w:rsidP="009E6648">
            <w:pPr>
              <w:pStyle w:val="TableText0"/>
              <w:jc w:val="center"/>
            </w:pPr>
            <w:r>
              <w:t>NA</w:t>
            </w:r>
          </w:p>
        </w:tc>
      </w:tr>
      <w:tr w:rsidR="008F535E" w14:paraId="372A2EBD" w14:textId="77777777" w:rsidTr="009E6648">
        <w:tc>
          <w:tcPr>
            <w:tcW w:w="2136" w:type="dxa"/>
          </w:tcPr>
          <w:p w14:paraId="52D50FFF" w14:textId="5B80F2FF" w:rsidR="008F535E" w:rsidRDefault="008F535E" w:rsidP="009E6648">
            <w:pPr>
              <w:pStyle w:val="TableText0"/>
              <w:tabs>
                <w:tab w:val="left" w:pos="102"/>
              </w:tabs>
            </w:pPr>
            <w:r>
              <w:t xml:space="preserve">Patients with </w:t>
            </w:r>
            <w:r>
              <w:rPr>
                <w:rFonts w:ascii="Symbol" w:eastAsia="Symbol" w:hAnsi="Symbol" w:cs="Symbol"/>
              </w:rPr>
              <w:t>³</w:t>
            </w:r>
            <w:r>
              <w:t>20 g/L increase in haemoglobin within 26 wk, n, (%)</w:t>
            </w:r>
          </w:p>
        </w:tc>
        <w:tc>
          <w:tcPr>
            <w:tcW w:w="1318" w:type="dxa"/>
            <w:vAlign w:val="center"/>
          </w:tcPr>
          <w:p w14:paraId="15F7C18C" w14:textId="79E3A56F" w:rsidR="008F535E" w:rsidRDefault="008F535E" w:rsidP="001376A6">
            <w:pPr>
              <w:pStyle w:val="TableText0"/>
              <w:jc w:val="center"/>
            </w:pPr>
            <w:r>
              <w:t>40 (71.4%)</w:t>
            </w:r>
          </w:p>
        </w:tc>
        <w:tc>
          <w:tcPr>
            <w:tcW w:w="2092" w:type="dxa"/>
            <w:vAlign w:val="center"/>
          </w:tcPr>
          <w:p w14:paraId="226C0308" w14:textId="2D4E86B7" w:rsidR="008F535E" w:rsidRDefault="008F535E" w:rsidP="001376A6">
            <w:pPr>
              <w:pStyle w:val="TableText0"/>
              <w:jc w:val="center"/>
            </w:pPr>
            <w:r>
              <w:t>17 (85%)</w:t>
            </w:r>
          </w:p>
        </w:tc>
        <w:tc>
          <w:tcPr>
            <w:tcW w:w="1172" w:type="dxa"/>
            <w:vAlign w:val="center"/>
          </w:tcPr>
          <w:p w14:paraId="24BD0C12" w14:textId="77777777" w:rsidR="008F535E" w:rsidRDefault="008F535E" w:rsidP="009E6648">
            <w:pPr>
              <w:pStyle w:val="TableText0"/>
              <w:jc w:val="center"/>
            </w:pPr>
            <w:r>
              <w:t>25 (61.0%)</w:t>
            </w:r>
          </w:p>
        </w:tc>
        <w:tc>
          <w:tcPr>
            <w:tcW w:w="1172" w:type="dxa"/>
            <w:vAlign w:val="center"/>
          </w:tcPr>
          <w:p w14:paraId="0384D0EE" w14:textId="77777777" w:rsidR="008F535E" w:rsidRDefault="008F535E" w:rsidP="009E6648">
            <w:pPr>
              <w:pStyle w:val="TableText0"/>
              <w:jc w:val="center"/>
            </w:pPr>
            <w:r>
              <w:t>11 (65.0%)</w:t>
            </w:r>
          </w:p>
        </w:tc>
        <w:tc>
          <w:tcPr>
            <w:tcW w:w="1127" w:type="dxa"/>
            <w:vAlign w:val="center"/>
          </w:tcPr>
          <w:p w14:paraId="194FEB64" w14:textId="77777777" w:rsidR="008F535E" w:rsidRDefault="008F535E" w:rsidP="009E6648">
            <w:pPr>
              <w:pStyle w:val="TableText0"/>
              <w:jc w:val="center"/>
            </w:pPr>
            <w:r>
              <w:t>15 (68.0%)</w:t>
            </w:r>
          </w:p>
        </w:tc>
      </w:tr>
      <w:tr w:rsidR="008F535E" w14:paraId="7B94FC51" w14:textId="77777777" w:rsidTr="009E6648">
        <w:tc>
          <w:tcPr>
            <w:tcW w:w="2136" w:type="dxa"/>
          </w:tcPr>
          <w:p w14:paraId="48F67E07" w14:textId="77777777" w:rsidR="008F535E" w:rsidRDefault="008F535E" w:rsidP="009E6648">
            <w:pPr>
              <w:pStyle w:val="TableText0"/>
              <w:tabs>
                <w:tab w:val="left" w:pos="102"/>
              </w:tabs>
            </w:pPr>
            <w:r>
              <w:t>eGFR at baseline, mL/min/1.73m</w:t>
            </w:r>
            <w:r w:rsidRPr="005736BF">
              <w:rPr>
                <w:vertAlign w:val="superscript"/>
              </w:rPr>
              <w:t>2</w:t>
            </w:r>
            <w:r>
              <w:t xml:space="preserve">, </w:t>
            </w:r>
          </w:p>
          <w:p w14:paraId="334DBA65" w14:textId="77777777" w:rsidR="008F535E" w:rsidRDefault="008F535E" w:rsidP="009E6648">
            <w:pPr>
              <w:pStyle w:val="TableText0"/>
              <w:tabs>
                <w:tab w:val="left" w:pos="102"/>
              </w:tabs>
            </w:pPr>
            <w:r>
              <w:tab/>
              <w:t>Mean (SD)</w:t>
            </w:r>
          </w:p>
          <w:p w14:paraId="47F48517" w14:textId="77777777" w:rsidR="008F535E" w:rsidRDefault="008F535E" w:rsidP="009E6648">
            <w:pPr>
              <w:pStyle w:val="TableText0"/>
              <w:tabs>
                <w:tab w:val="left" w:pos="102"/>
              </w:tabs>
            </w:pPr>
            <w:r>
              <w:tab/>
              <w:t>Median (range)</w:t>
            </w:r>
          </w:p>
        </w:tc>
        <w:tc>
          <w:tcPr>
            <w:tcW w:w="1318" w:type="dxa"/>
          </w:tcPr>
          <w:p w14:paraId="0AA29960" w14:textId="77777777" w:rsidR="008F535E" w:rsidRDefault="008F535E" w:rsidP="009E6648">
            <w:pPr>
              <w:pStyle w:val="TableText0"/>
              <w:jc w:val="center"/>
            </w:pPr>
          </w:p>
          <w:p w14:paraId="1AE2BF6F" w14:textId="77777777" w:rsidR="008F535E" w:rsidRDefault="008F535E" w:rsidP="009E6648">
            <w:pPr>
              <w:pStyle w:val="TableText0"/>
              <w:jc w:val="center"/>
            </w:pPr>
          </w:p>
          <w:p w14:paraId="07D6CAB6" w14:textId="77777777" w:rsidR="008F535E" w:rsidRDefault="008F535E" w:rsidP="009E6648">
            <w:pPr>
              <w:pStyle w:val="TableText0"/>
              <w:jc w:val="center"/>
            </w:pPr>
            <w:r>
              <w:t>51.8 (39.2)</w:t>
            </w:r>
          </w:p>
          <w:p w14:paraId="562B633C" w14:textId="77777777" w:rsidR="008F535E" w:rsidRDefault="008F535E" w:rsidP="009E6648">
            <w:pPr>
              <w:pStyle w:val="TableText0"/>
              <w:jc w:val="center"/>
            </w:pPr>
            <w:r>
              <w:t>40 (2, 119)</w:t>
            </w:r>
          </w:p>
        </w:tc>
        <w:tc>
          <w:tcPr>
            <w:tcW w:w="2092" w:type="dxa"/>
          </w:tcPr>
          <w:p w14:paraId="598ADAB3" w14:textId="77777777" w:rsidR="008F535E" w:rsidRDefault="008F535E" w:rsidP="009E6648">
            <w:pPr>
              <w:pStyle w:val="TableText0"/>
              <w:jc w:val="center"/>
            </w:pPr>
          </w:p>
          <w:p w14:paraId="3EF4E011" w14:textId="77777777" w:rsidR="008F535E" w:rsidRDefault="008F535E" w:rsidP="009E6648">
            <w:pPr>
              <w:pStyle w:val="TableText0"/>
              <w:jc w:val="center"/>
            </w:pPr>
          </w:p>
          <w:p w14:paraId="5344BA40" w14:textId="77777777" w:rsidR="008F535E" w:rsidRDefault="008F535E" w:rsidP="009E6648">
            <w:pPr>
              <w:pStyle w:val="TableText0"/>
              <w:jc w:val="center"/>
            </w:pPr>
            <w:r>
              <w:t>108.5 (56.9)</w:t>
            </w:r>
          </w:p>
          <w:p w14:paraId="0EAA0D6F" w14:textId="77777777" w:rsidR="008F535E" w:rsidRDefault="008F535E" w:rsidP="009E6648">
            <w:pPr>
              <w:pStyle w:val="TableText0"/>
              <w:jc w:val="center"/>
            </w:pPr>
            <w:r>
              <w:t>108 (10, 244)</w:t>
            </w:r>
          </w:p>
        </w:tc>
        <w:tc>
          <w:tcPr>
            <w:tcW w:w="1172" w:type="dxa"/>
            <w:vAlign w:val="center"/>
          </w:tcPr>
          <w:p w14:paraId="2CD2092F" w14:textId="77777777" w:rsidR="008F535E" w:rsidRDefault="008F535E" w:rsidP="009E6648">
            <w:pPr>
              <w:pStyle w:val="TableText0"/>
              <w:jc w:val="center"/>
            </w:pPr>
            <w:r>
              <w:t>NR</w:t>
            </w:r>
          </w:p>
        </w:tc>
        <w:tc>
          <w:tcPr>
            <w:tcW w:w="1172" w:type="dxa"/>
            <w:vAlign w:val="center"/>
          </w:tcPr>
          <w:p w14:paraId="10B709D9" w14:textId="77777777" w:rsidR="008F535E" w:rsidRDefault="008F535E" w:rsidP="009E6648">
            <w:pPr>
              <w:pStyle w:val="TableText0"/>
              <w:jc w:val="center"/>
            </w:pPr>
            <w:r>
              <w:t>NR</w:t>
            </w:r>
          </w:p>
        </w:tc>
        <w:tc>
          <w:tcPr>
            <w:tcW w:w="1127" w:type="dxa"/>
            <w:vAlign w:val="center"/>
          </w:tcPr>
          <w:p w14:paraId="59017F08" w14:textId="77777777" w:rsidR="008F535E" w:rsidRDefault="008F535E" w:rsidP="009E6648">
            <w:pPr>
              <w:pStyle w:val="TableText0"/>
              <w:jc w:val="center"/>
            </w:pPr>
            <w:r>
              <w:t>NR</w:t>
            </w:r>
          </w:p>
        </w:tc>
      </w:tr>
      <w:tr w:rsidR="008F535E" w14:paraId="50555548" w14:textId="77777777" w:rsidTr="009E6648">
        <w:tc>
          <w:tcPr>
            <w:tcW w:w="2136" w:type="dxa"/>
          </w:tcPr>
          <w:p w14:paraId="42C7C663" w14:textId="77777777" w:rsidR="008F535E" w:rsidRDefault="008F535E" w:rsidP="009E6648">
            <w:pPr>
              <w:pStyle w:val="TableText0"/>
              <w:tabs>
                <w:tab w:val="left" w:pos="102"/>
              </w:tabs>
            </w:pPr>
            <w:r>
              <w:t>Change of eGFR from baseline to 26 wk, mL/min/1.73m</w:t>
            </w:r>
            <w:r w:rsidRPr="005736BF">
              <w:rPr>
                <w:vertAlign w:val="superscript"/>
              </w:rPr>
              <w:t>2</w:t>
            </w:r>
          </w:p>
          <w:p w14:paraId="05129AD0" w14:textId="0F7AE388" w:rsidR="008F535E" w:rsidRDefault="008F535E" w:rsidP="009E6648">
            <w:pPr>
              <w:pStyle w:val="TableText0"/>
              <w:tabs>
                <w:tab w:val="left" w:pos="102"/>
              </w:tabs>
            </w:pPr>
            <w:r>
              <w:t>Mean (SD) (ravulizumab) or LS mean (95%</w:t>
            </w:r>
            <w:r w:rsidR="001E2E84">
              <w:t xml:space="preserve"> </w:t>
            </w:r>
            <w:r>
              <w:t xml:space="preserve">CI) (eculizumab) </w:t>
            </w:r>
          </w:p>
        </w:tc>
        <w:tc>
          <w:tcPr>
            <w:tcW w:w="1318" w:type="dxa"/>
          </w:tcPr>
          <w:p w14:paraId="35C9BEAF" w14:textId="77777777" w:rsidR="008F535E" w:rsidRDefault="008F535E" w:rsidP="009E6648">
            <w:pPr>
              <w:pStyle w:val="TableText0"/>
              <w:jc w:val="center"/>
            </w:pPr>
          </w:p>
          <w:p w14:paraId="17A4FDFE" w14:textId="77777777" w:rsidR="008F535E" w:rsidRDefault="008F535E" w:rsidP="009E6648">
            <w:pPr>
              <w:pStyle w:val="TableText0"/>
              <w:jc w:val="center"/>
            </w:pPr>
          </w:p>
          <w:p w14:paraId="2FB0B884" w14:textId="77777777" w:rsidR="008F535E" w:rsidRDefault="008F535E" w:rsidP="009E6648">
            <w:pPr>
              <w:pStyle w:val="TableText0"/>
              <w:jc w:val="center"/>
            </w:pPr>
          </w:p>
          <w:p w14:paraId="29A35F1F" w14:textId="77777777" w:rsidR="008F535E" w:rsidRDefault="008F535E" w:rsidP="009E6648">
            <w:pPr>
              <w:pStyle w:val="TableText0"/>
              <w:jc w:val="center"/>
              <w:rPr>
                <w:lang w:val="el-GR"/>
              </w:rPr>
            </w:pPr>
            <w:r>
              <w:t>34.8 (35.5</w:t>
            </w:r>
            <w:r>
              <w:rPr>
                <w:lang w:val="el-GR"/>
              </w:rPr>
              <w:t>)</w:t>
            </w:r>
          </w:p>
          <w:p w14:paraId="7B84E074" w14:textId="77777777" w:rsidR="008F535E" w:rsidRDefault="008F535E" w:rsidP="009E6648">
            <w:pPr>
              <w:pStyle w:val="TableText0"/>
              <w:jc w:val="center"/>
            </w:pPr>
          </w:p>
        </w:tc>
        <w:tc>
          <w:tcPr>
            <w:tcW w:w="2092" w:type="dxa"/>
          </w:tcPr>
          <w:p w14:paraId="33A3CB30" w14:textId="77777777" w:rsidR="008F535E" w:rsidRDefault="008F535E" w:rsidP="009E6648">
            <w:pPr>
              <w:pStyle w:val="TableText0"/>
              <w:jc w:val="center"/>
            </w:pPr>
          </w:p>
          <w:p w14:paraId="2DB6AC75" w14:textId="77777777" w:rsidR="008F535E" w:rsidRDefault="008F535E" w:rsidP="009E6648">
            <w:pPr>
              <w:pStyle w:val="TableText0"/>
              <w:jc w:val="center"/>
            </w:pPr>
          </w:p>
          <w:p w14:paraId="5402CAF0" w14:textId="77777777" w:rsidR="008F535E" w:rsidRDefault="008F535E" w:rsidP="009E6648">
            <w:pPr>
              <w:pStyle w:val="TableText0"/>
              <w:jc w:val="center"/>
            </w:pPr>
          </w:p>
          <w:p w14:paraId="0A302924" w14:textId="77777777" w:rsidR="008F535E" w:rsidRDefault="008F535E" w:rsidP="009E6648">
            <w:pPr>
              <w:pStyle w:val="TableText0"/>
              <w:jc w:val="center"/>
            </w:pPr>
            <w:r>
              <w:t>85.4 (54.3)</w:t>
            </w:r>
          </w:p>
          <w:p w14:paraId="74A6F648" w14:textId="77777777" w:rsidR="008F535E" w:rsidRDefault="008F535E" w:rsidP="009E6648">
            <w:pPr>
              <w:pStyle w:val="TableText0"/>
              <w:jc w:val="center"/>
            </w:pPr>
          </w:p>
        </w:tc>
        <w:tc>
          <w:tcPr>
            <w:tcW w:w="1172" w:type="dxa"/>
          </w:tcPr>
          <w:p w14:paraId="44432ECD" w14:textId="77777777" w:rsidR="008F535E" w:rsidRDefault="008F535E" w:rsidP="009E6648">
            <w:pPr>
              <w:pStyle w:val="TableText0"/>
              <w:jc w:val="center"/>
            </w:pPr>
          </w:p>
          <w:p w14:paraId="6067580C" w14:textId="77777777" w:rsidR="008F535E" w:rsidRDefault="008F535E" w:rsidP="009E6648">
            <w:pPr>
              <w:pStyle w:val="TableText0"/>
              <w:jc w:val="center"/>
            </w:pPr>
          </w:p>
          <w:p w14:paraId="77A99B93" w14:textId="77777777" w:rsidR="008F535E" w:rsidRDefault="008F535E" w:rsidP="009E6648">
            <w:pPr>
              <w:pStyle w:val="TableText0"/>
              <w:jc w:val="center"/>
            </w:pPr>
          </w:p>
          <w:p w14:paraId="40C240BA" w14:textId="77777777" w:rsidR="008F535E" w:rsidRDefault="008F535E" w:rsidP="009E6648">
            <w:pPr>
              <w:pStyle w:val="TableText0"/>
              <w:jc w:val="center"/>
            </w:pPr>
            <w:r>
              <w:t xml:space="preserve">25.94 </w:t>
            </w:r>
          </w:p>
          <w:p w14:paraId="7739EFD1" w14:textId="77777777" w:rsidR="008F535E" w:rsidRDefault="008F535E" w:rsidP="009E6648">
            <w:pPr>
              <w:pStyle w:val="TableText0"/>
              <w:jc w:val="center"/>
            </w:pPr>
            <w:r>
              <w:t>(19.45, 32.42)</w:t>
            </w:r>
          </w:p>
        </w:tc>
        <w:tc>
          <w:tcPr>
            <w:tcW w:w="1172" w:type="dxa"/>
          </w:tcPr>
          <w:p w14:paraId="04B21360" w14:textId="77777777" w:rsidR="008F535E" w:rsidRDefault="008F535E" w:rsidP="009E6648">
            <w:pPr>
              <w:pStyle w:val="TableText0"/>
              <w:jc w:val="center"/>
            </w:pPr>
          </w:p>
          <w:p w14:paraId="3E9DF376" w14:textId="77777777" w:rsidR="008F535E" w:rsidRDefault="008F535E" w:rsidP="009E6648">
            <w:pPr>
              <w:pStyle w:val="TableText0"/>
              <w:jc w:val="center"/>
            </w:pPr>
          </w:p>
          <w:p w14:paraId="4C91C870" w14:textId="77777777" w:rsidR="008F535E" w:rsidRDefault="008F535E" w:rsidP="009E6648">
            <w:pPr>
              <w:pStyle w:val="TableText0"/>
              <w:jc w:val="center"/>
            </w:pPr>
          </w:p>
          <w:p w14:paraId="0FC350F9" w14:textId="77777777" w:rsidR="008F535E" w:rsidRDefault="008F535E" w:rsidP="009E6648">
            <w:pPr>
              <w:pStyle w:val="TableText0"/>
              <w:jc w:val="center"/>
            </w:pPr>
            <w:r>
              <w:t>NR</w:t>
            </w:r>
          </w:p>
        </w:tc>
        <w:tc>
          <w:tcPr>
            <w:tcW w:w="1127" w:type="dxa"/>
          </w:tcPr>
          <w:p w14:paraId="53062398" w14:textId="77777777" w:rsidR="008F535E" w:rsidRDefault="008F535E" w:rsidP="009E6648">
            <w:pPr>
              <w:pStyle w:val="TableText0"/>
              <w:jc w:val="center"/>
            </w:pPr>
          </w:p>
          <w:p w14:paraId="2D904E78" w14:textId="77777777" w:rsidR="008F535E" w:rsidRDefault="008F535E" w:rsidP="009E6648">
            <w:pPr>
              <w:pStyle w:val="TableText0"/>
              <w:jc w:val="center"/>
            </w:pPr>
          </w:p>
          <w:p w14:paraId="141F19AE" w14:textId="77777777" w:rsidR="008F535E" w:rsidRDefault="008F535E" w:rsidP="009E6648">
            <w:pPr>
              <w:pStyle w:val="TableText0"/>
              <w:jc w:val="center"/>
            </w:pPr>
          </w:p>
          <w:p w14:paraId="0828D1A6" w14:textId="77777777" w:rsidR="008F535E" w:rsidRDefault="008F535E" w:rsidP="009E6648">
            <w:pPr>
              <w:pStyle w:val="TableText0"/>
              <w:jc w:val="center"/>
            </w:pPr>
            <w:r>
              <w:t xml:space="preserve">62.67 </w:t>
            </w:r>
          </w:p>
          <w:p w14:paraId="20FF91F1" w14:textId="77777777" w:rsidR="008F535E" w:rsidRDefault="008F535E" w:rsidP="009E6648">
            <w:pPr>
              <w:pStyle w:val="TableText0"/>
              <w:jc w:val="center"/>
            </w:pPr>
            <w:r>
              <w:t>(47.28, 78.07)</w:t>
            </w:r>
          </w:p>
        </w:tc>
      </w:tr>
    </w:tbl>
    <w:p w14:paraId="02B90ADF" w14:textId="78778177" w:rsidR="008F535E" w:rsidRDefault="008F535E" w:rsidP="00316EA4">
      <w:pPr>
        <w:pStyle w:val="FooterTableFigure"/>
        <w:tabs>
          <w:tab w:val="left" w:pos="142"/>
        </w:tabs>
        <w:ind w:left="142" w:hanging="142"/>
      </w:pPr>
      <w:r>
        <w:t xml:space="preserve">Source: constructed during the evaluation from </w:t>
      </w:r>
      <w:r w:rsidRPr="00B742A9">
        <w:t xml:space="preserve">Tables </w:t>
      </w:r>
      <w:r w:rsidRPr="008A2CE0">
        <w:t xml:space="preserve">44, 45, </w:t>
      </w:r>
      <w:r>
        <w:t xml:space="preserve">48, </w:t>
      </w:r>
      <w:r w:rsidRPr="008A2CE0">
        <w:t xml:space="preserve">53, 55, </w:t>
      </w:r>
      <w:r>
        <w:t xml:space="preserve">56, </w:t>
      </w:r>
      <w:r w:rsidRPr="008A2CE0">
        <w:t>57</w:t>
      </w:r>
      <w:r w:rsidR="001E2E84">
        <w:t>,</w:t>
      </w:r>
      <w:r>
        <w:t xml:space="preserve"> </w:t>
      </w:r>
      <w:proofErr w:type="gramStart"/>
      <w:r>
        <w:t>58</w:t>
      </w:r>
      <w:r w:rsidRPr="008A2CE0">
        <w:t>,  pp</w:t>
      </w:r>
      <w:proofErr w:type="gramEnd"/>
      <w:r w:rsidRPr="008A2CE0">
        <w:t>109-110, 122-3, 134-5, 137</w:t>
      </w:r>
      <w:r>
        <w:t xml:space="preserve"> </w:t>
      </w:r>
      <w:r w:rsidRPr="00B742A9">
        <w:t xml:space="preserve">of the submission. </w:t>
      </w:r>
    </w:p>
    <w:p w14:paraId="0FE2BDF1" w14:textId="0D6CA88C" w:rsidR="008F535E" w:rsidRDefault="008F535E" w:rsidP="00316EA4">
      <w:pPr>
        <w:pStyle w:val="FooterTableFigure"/>
        <w:tabs>
          <w:tab w:val="left" w:pos="142"/>
        </w:tabs>
        <w:ind w:left="142" w:hanging="142"/>
      </w:pPr>
      <w:r>
        <w:t xml:space="preserve">sCr = serum creatinine; LDH = lactate dehydrogenase; CI = confidence interval; NR = not reported; NA = not applicable. </w:t>
      </w:r>
    </w:p>
    <w:p w14:paraId="089D917C" w14:textId="74D41B22" w:rsidR="008F535E" w:rsidRDefault="008F535E" w:rsidP="00316EA4">
      <w:pPr>
        <w:pStyle w:val="FooterTableFigure"/>
        <w:tabs>
          <w:tab w:val="left" w:pos="142"/>
        </w:tabs>
        <w:ind w:left="142" w:hanging="142"/>
      </w:pPr>
      <w:r>
        <w:rPr>
          <w:vertAlign w:val="superscript"/>
        </w:rPr>
        <w:t>a</w:t>
      </w:r>
      <w:r w:rsidRPr="00EB4ECD">
        <w:rPr>
          <w:vertAlign w:val="superscript"/>
        </w:rPr>
        <w:t xml:space="preserve"> </w:t>
      </w:r>
      <w:r>
        <w:tab/>
        <w:t xml:space="preserve">Patients with prior eculizumab treatment had normal or near-normal hematological and renal function parameters at baseline which remained stable during treatment. </w:t>
      </w:r>
    </w:p>
    <w:p w14:paraId="62537771" w14:textId="369AE703" w:rsidR="008F535E" w:rsidRDefault="008F535E" w:rsidP="00316EA4">
      <w:pPr>
        <w:pStyle w:val="FooterTableFigure"/>
        <w:tabs>
          <w:tab w:val="left" w:pos="142"/>
        </w:tabs>
        <w:ind w:left="142" w:hanging="142"/>
      </w:pPr>
      <w:r>
        <w:rPr>
          <w:vertAlign w:val="superscript"/>
        </w:rPr>
        <w:t>b</w:t>
      </w:r>
      <w:r w:rsidRPr="005221B3">
        <w:rPr>
          <w:vertAlign w:val="superscript"/>
        </w:rPr>
        <w:t xml:space="preserve"> </w:t>
      </w:r>
      <w:r>
        <w:tab/>
        <w:t xml:space="preserve">Platelet count </w:t>
      </w:r>
      <w:r>
        <w:rPr>
          <w:rFonts w:ascii="Symbol" w:eastAsia="Symbol" w:hAnsi="Symbol" w:cs="Symbol"/>
        </w:rPr>
        <w:t>³</w:t>
      </w:r>
      <w:r>
        <w:t>150 x 10</w:t>
      </w:r>
      <w:r w:rsidRPr="000856D1">
        <w:rPr>
          <w:vertAlign w:val="superscript"/>
        </w:rPr>
        <w:t>9</w:t>
      </w:r>
      <w:r>
        <w:t xml:space="preserve">/L </w:t>
      </w:r>
      <w:r w:rsidRPr="003A48D2">
        <w:t>and</w:t>
      </w:r>
      <w:r>
        <w:t xml:space="preserve"> LDH </w:t>
      </w:r>
      <w:r>
        <w:rPr>
          <w:rFonts w:ascii="Symbol" w:eastAsia="Symbol" w:hAnsi="Symbol" w:cs="Symbol"/>
        </w:rPr>
        <w:t>£</w:t>
      </w:r>
      <w:r>
        <w:t xml:space="preserve">246 U/L </w:t>
      </w:r>
      <w:r w:rsidRPr="003A48D2">
        <w:t>and</w:t>
      </w:r>
      <w:r>
        <w:t xml:space="preserve"> </w:t>
      </w:r>
      <w:r>
        <w:rPr>
          <w:rFonts w:ascii="Symbol" w:eastAsia="Symbol" w:hAnsi="Symbol" w:cs="Symbol"/>
        </w:rPr>
        <w:t>³</w:t>
      </w:r>
      <w:r>
        <w:t xml:space="preserve">25% improvement in sCr </w:t>
      </w:r>
      <w:r w:rsidRPr="00702A1D">
        <w:rPr>
          <w:lang w:val="en-US"/>
        </w:rPr>
        <w:t>at 2 separate assessments obtained</w:t>
      </w:r>
      <w:r w:rsidR="001E2E84">
        <w:rPr>
          <w:lang w:val="en-US"/>
        </w:rPr>
        <w:t xml:space="preserve"> </w:t>
      </w:r>
      <w:r w:rsidRPr="00702A1D">
        <w:rPr>
          <w:lang w:val="en-US"/>
        </w:rPr>
        <w:t>at least 28 days apart, and any measurement in between</w:t>
      </w:r>
      <w:r>
        <w:rPr>
          <w:lang w:val="en-US"/>
        </w:rPr>
        <w:t xml:space="preserve">, </w:t>
      </w:r>
      <w:r>
        <w:t>at any time during 26 wk initial treatment phase.</w:t>
      </w:r>
    </w:p>
    <w:p w14:paraId="03568187" w14:textId="1E3BDE77" w:rsidR="008F535E" w:rsidRDefault="008F535E" w:rsidP="00316EA4">
      <w:pPr>
        <w:pStyle w:val="FooterTableFigure"/>
        <w:tabs>
          <w:tab w:val="left" w:pos="142"/>
        </w:tabs>
        <w:ind w:left="142" w:hanging="142"/>
      </w:pPr>
      <w:r>
        <w:rPr>
          <w:vertAlign w:val="superscript"/>
        </w:rPr>
        <w:t>c</w:t>
      </w:r>
      <w:r>
        <w:tab/>
        <w:t xml:space="preserve"> </w:t>
      </w:r>
      <w:r w:rsidRPr="00C10678">
        <w:rPr>
          <w:szCs w:val="18"/>
        </w:rPr>
        <w:t>Definitions of baseline dialysis varied between studies; see</w:t>
      </w:r>
      <w:r w:rsidR="00293067">
        <w:rPr>
          <w:szCs w:val="18"/>
        </w:rPr>
        <w:t xml:space="preserve"> </w:t>
      </w:r>
      <w:r w:rsidR="001E2E84">
        <w:rPr>
          <w:szCs w:val="18"/>
        </w:rPr>
        <w:t xml:space="preserve">paragraph </w:t>
      </w:r>
      <w:r w:rsidR="001E2E84">
        <w:rPr>
          <w:szCs w:val="18"/>
        </w:rPr>
        <w:fldChar w:fldCharType="begin" w:fldLock="1"/>
      </w:r>
      <w:r w:rsidR="001E2E84">
        <w:rPr>
          <w:szCs w:val="18"/>
        </w:rPr>
        <w:instrText xml:space="preserve"> REF _Ref129696981 \r \h </w:instrText>
      </w:r>
      <w:r w:rsidR="001E2E84">
        <w:rPr>
          <w:szCs w:val="18"/>
        </w:rPr>
      </w:r>
      <w:r w:rsidR="001E2E84">
        <w:rPr>
          <w:szCs w:val="18"/>
        </w:rPr>
        <w:fldChar w:fldCharType="separate"/>
      </w:r>
      <w:r w:rsidR="00916EDA">
        <w:rPr>
          <w:szCs w:val="18"/>
        </w:rPr>
        <w:t>6.23</w:t>
      </w:r>
      <w:r w:rsidR="001E2E84">
        <w:rPr>
          <w:szCs w:val="18"/>
        </w:rPr>
        <w:fldChar w:fldCharType="end"/>
      </w:r>
      <w:r w:rsidRPr="00C10678">
        <w:rPr>
          <w:szCs w:val="18"/>
        </w:rPr>
        <w:t>.</w:t>
      </w:r>
    </w:p>
    <w:p w14:paraId="1321FCE2" w14:textId="79D14129" w:rsidR="00622B2C" w:rsidRPr="00D64D6F" w:rsidRDefault="00622B2C" w:rsidP="00B306AF">
      <w:pPr>
        <w:pStyle w:val="3-BodyText"/>
        <w:rPr>
          <w:lang w:val="en-US"/>
        </w:rPr>
      </w:pPr>
      <w:r w:rsidRPr="00D64D6F">
        <w:lastRenderedPageBreak/>
        <w:t xml:space="preserve">There were too few deaths in the ravulizumab studies to estimate mortality meaningfully. That is, of </w:t>
      </w:r>
      <w:r w:rsidR="001E2E84">
        <w:t>2</w:t>
      </w:r>
      <w:r w:rsidR="001E2E84" w:rsidRPr="00D64D6F">
        <w:t xml:space="preserve"> </w:t>
      </w:r>
      <w:r w:rsidRPr="00D64D6F">
        <w:t>indicators used by PBAC to assess eculizumab versus best supportive care, only one, the surrogate marker of TMA response, is available for comparison of ravulizumab with eculizumab.</w:t>
      </w:r>
    </w:p>
    <w:p w14:paraId="37DA4BA1" w14:textId="269773A9" w:rsidR="008F535E" w:rsidRPr="00D64D6F" w:rsidRDefault="008F535E" w:rsidP="00B306AF">
      <w:pPr>
        <w:pStyle w:val="3-BodyText"/>
        <w:rPr>
          <w:lang w:val="en-US"/>
        </w:rPr>
      </w:pPr>
      <w:bookmarkStart w:id="35" w:name="_Ref126849702"/>
      <w:r w:rsidRPr="008F535E">
        <w:t xml:space="preserve">The frequency of a complete TMA response with ravulizumab was broadly </w:t>
      </w:r>
      <w:proofErr w:type="gramStart"/>
      <w:r w:rsidRPr="008F535E">
        <w:t>similar to</w:t>
      </w:r>
      <w:proofErr w:type="gramEnd"/>
      <w:r w:rsidRPr="008F535E">
        <w:t xml:space="preserve"> that observed with eculizumab</w:t>
      </w:r>
      <w:r w:rsidR="00C948A0">
        <w:t xml:space="preserve"> although t</w:t>
      </w:r>
      <w:r w:rsidRPr="00C948A0">
        <w:t xml:space="preserve">he submission noted that there was a lower likelihood of a complete TMA response in East Asian patients in Study 311: 4/15 (26.7%) vs 26/41 (63.4%). The reason for </w:t>
      </w:r>
      <w:r w:rsidR="00C948A0" w:rsidRPr="00C948A0">
        <w:t xml:space="preserve">this </w:t>
      </w:r>
      <w:r w:rsidR="00C948A0">
        <w:t xml:space="preserve">difference </w:t>
      </w:r>
      <w:r w:rsidR="00C948A0" w:rsidRPr="00C948A0">
        <w:t xml:space="preserve">is </w:t>
      </w:r>
      <w:r w:rsidRPr="00C948A0">
        <w:t>unclear. The submission attributed it to delayed treatment in East Asian centres</w:t>
      </w:r>
      <w:r w:rsidRPr="003A48D2">
        <w:t xml:space="preserve">, </w:t>
      </w:r>
      <w:r w:rsidRPr="00C948A0">
        <w:t>citing</w:t>
      </w:r>
      <w:r w:rsidRPr="00C948A0">
        <w:rPr>
          <w:lang w:val="en-US"/>
        </w:rPr>
        <w:t xml:space="preserve"> Menne, 2020</w:t>
      </w:r>
      <w:r w:rsidR="00C948A0" w:rsidRPr="003A48D2">
        <w:rPr>
          <w:lang w:val="en-US"/>
        </w:rPr>
        <w:t xml:space="preserve">, </w:t>
      </w:r>
      <w:r w:rsidR="00C948A0">
        <w:rPr>
          <w:lang w:val="en-US"/>
        </w:rPr>
        <w:t>who reported the study</w:t>
      </w:r>
      <w:r w:rsidR="00C948A0" w:rsidRPr="003A48D2">
        <w:rPr>
          <w:lang w:val="en-US"/>
        </w:rPr>
        <w:t xml:space="preserve"> </w:t>
      </w:r>
      <w:r w:rsidRPr="00C948A0">
        <w:rPr>
          <w:lang w:val="en-US"/>
        </w:rPr>
        <w:t xml:space="preserve">as finding that </w:t>
      </w:r>
      <w:r w:rsidR="001E2E84">
        <w:rPr>
          <w:lang w:val="en-US"/>
        </w:rPr>
        <w:t>‘</w:t>
      </w:r>
      <w:r w:rsidRPr="00C948A0">
        <w:rPr>
          <w:lang w:val="en-US"/>
        </w:rPr>
        <w:t>13 patients were recruited in Japan, Korea, and Taiwan</w:t>
      </w:r>
      <w:r w:rsidRPr="003A48D2">
        <w:rPr>
          <w:lang w:val="en-US"/>
        </w:rPr>
        <w:t xml:space="preserve">. </w:t>
      </w:r>
      <w:r w:rsidRPr="00C948A0">
        <w:rPr>
          <w:lang w:val="en-US"/>
        </w:rPr>
        <w:t xml:space="preserve">Only </w:t>
      </w:r>
      <w:proofErr w:type="gramStart"/>
      <w:r w:rsidRPr="00C948A0">
        <w:rPr>
          <w:lang w:val="en-US"/>
        </w:rPr>
        <w:t>2</w:t>
      </w:r>
      <w:proofErr w:type="gramEnd"/>
      <w:r w:rsidRPr="00C948A0">
        <w:rPr>
          <w:lang w:val="en-US"/>
        </w:rPr>
        <w:t xml:space="preserve"> of these 13 patients (15.4%) versus 28 of 43 patients (65.1%) recruited in other countries achieved a complete TMA response</w:t>
      </w:r>
      <w:r w:rsidR="001E2E84">
        <w:rPr>
          <w:lang w:val="en-US"/>
        </w:rPr>
        <w:t>’</w:t>
      </w:r>
      <w:r w:rsidRPr="00C948A0">
        <w:rPr>
          <w:lang w:val="en-US"/>
        </w:rPr>
        <w:t>,</w:t>
      </w:r>
      <w:r w:rsidRPr="003A48D2">
        <w:rPr>
          <w:lang w:val="en-US"/>
        </w:rPr>
        <w:t xml:space="preserve"> </w:t>
      </w:r>
      <w:r w:rsidRPr="00C948A0">
        <w:rPr>
          <w:lang w:val="en-US"/>
        </w:rPr>
        <w:t>including 2/2 patients of Asian background enrolled in Europe</w:t>
      </w:r>
      <w:r w:rsidRPr="003A48D2">
        <w:rPr>
          <w:lang w:val="en-US"/>
        </w:rPr>
        <w:t xml:space="preserve">. </w:t>
      </w:r>
      <w:r w:rsidRPr="00C948A0">
        <w:rPr>
          <w:lang w:val="en-US"/>
        </w:rPr>
        <w:t>This is attributed to delayed initiation of treatment in Asian centres on the basis that 10/11</w:t>
      </w:r>
      <w:r w:rsidRPr="00C948A0">
        <w:t xml:space="preserve"> Asian</w:t>
      </w:r>
      <w:r w:rsidRPr="00C948A0">
        <w:rPr>
          <w:lang w:val="en-US"/>
        </w:rPr>
        <w:t xml:space="preserve"> patients in 311 who did not meet the criteria for a complete TMA response were treated later than </w:t>
      </w:r>
      <w:r w:rsidR="001E2E84">
        <w:rPr>
          <w:lang w:val="en-US"/>
        </w:rPr>
        <w:t>4</w:t>
      </w:r>
      <w:r w:rsidR="001E2E84" w:rsidRPr="00C948A0">
        <w:rPr>
          <w:lang w:val="en-US"/>
        </w:rPr>
        <w:t xml:space="preserve"> </w:t>
      </w:r>
      <w:r w:rsidRPr="00C948A0">
        <w:rPr>
          <w:lang w:val="en-US"/>
        </w:rPr>
        <w:t xml:space="preserve">weeks after the beginning of the TMA episode, while both patients who did respond were treated within </w:t>
      </w:r>
      <w:r w:rsidR="001E2E84">
        <w:rPr>
          <w:lang w:val="en-US"/>
        </w:rPr>
        <w:t>4</w:t>
      </w:r>
      <w:r w:rsidR="001E2E84" w:rsidRPr="00C948A0">
        <w:rPr>
          <w:lang w:val="en-US"/>
        </w:rPr>
        <w:t xml:space="preserve"> </w:t>
      </w:r>
      <w:r w:rsidRPr="00C948A0">
        <w:rPr>
          <w:lang w:val="en-US"/>
        </w:rPr>
        <w:t xml:space="preserve">weeks of the beginning of the TMA episode. </w:t>
      </w:r>
      <w:r w:rsidR="00C948A0" w:rsidRPr="00D64D6F">
        <w:rPr>
          <w:lang w:val="en-US"/>
        </w:rPr>
        <w:t xml:space="preserve">However, the source of these data is not clear, and </w:t>
      </w:r>
      <w:proofErr w:type="gramStart"/>
      <w:r w:rsidR="00C948A0" w:rsidRPr="00D64D6F">
        <w:rPr>
          <w:lang w:val="en-US"/>
        </w:rPr>
        <w:t>was not found</w:t>
      </w:r>
      <w:proofErr w:type="gramEnd"/>
      <w:r w:rsidR="00C948A0" w:rsidRPr="00D64D6F">
        <w:rPr>
          <w:lang w:val="en-US"/>
        </w:rPr>
        <w:t xml:space="preserve"> in the CSR.</w:t>
      </w:r>
      <w:bookmarkEnd w:id="35"/>
      <w:r w:rsidR="00C948A0" w:rsidRPr="00D64D6F">
        <w:rPr>
          <w:lang w:val="en-US"/>
        </w:rPr>
        <w:t xml:space="preserve"> </w:t>
      </w:r>
    </w:p>
    <w:p w14:paraId="6B51753D" w14:textId="5B8D2514" w:rsidR="008F535E" w:rsidRPr="00D64D6F" w:rsidRDefault="008F535E" w:rsidP="00B306AF">
      <w:pPr>
        <w:pStyle w:val="3-BodyText"/>
        <w:rPr>
          <w:lang w:val="en-US"/>
        </w:rPr>
      </w:pPr>
      <w:bookmarkStart w:id="36" w:name="_Ref126849719"/>
      <w:r w:rsidRPr="00D64D6F">
        <w:rPr>
          <w:lang w:val="en-US"/>
        </w:rPr>
        <w:t>If the lower frequency of response in East Asian patients was due to delayed treatment, it should also affect results with eculizumab. Registry data held by the sponsor on the use of eculizumab in East Asia would be helpful in this regard.</w:t>
      </w:r>
      <w:r w:rsidR="00031291">
        <w:rPr>
          <w:lang w:val="en-US"/>
        </w:rPr>
        <w:t xml:space="preserve"> The pre-PBAC response provided updated registry data including </w:t>
      </w:r>
      <w:proofErr w:type="gramStart"/>
      <w:r w:rsidR="00031291">
        <w:rPr>
          <w:lang w:val="en-US"/>
        </w:rPr>
        <w:t>22</w:t>
      </w:r>
      <w:proofErr w:type="gramEnd"/>
      <w:r w:rsidR="00031291">
        <w:rPr>
          <w:lang w:val="en-US"/>
        </w:rPr>
        <w:t xml:space="preserve"> patients treated in East Asian centres (see </w:t>
      </w:r>
      <w:r w:rsidR="00031291">
        <w:rPr>
          <w:lang w:val="en-US"/>
        </w:rPr>
        <w:fldChar w:fldCharType="begin" w:fldLock="1"/>
      </w:r>
      <w:r w:rsidR="00031291">
        <w:rPr>
          <w:lang w:val="en-US"/>
        </w:rPr>
        <w:instrText xml:space="preserve"> REF _Ref129875826 \h </w:instrText>
      </w:r>
      <w:r w:rsidR="00031291">
        <w:rPr>
          <w:lang w:val="en-US"/>
        </w:rPr>
      </w:r>
      <w:r w:rsidR="00031291">
        <w:rPr>
          <w:lang w:val="en-US"/>
        </w:rPr>
        <w:fldChar w:fldCharType="separate"/>
      </w:r>
      <w:r w:rsidR="00916EDA">
        <w:t xml:space="preserve">Table </w:t>
      </w:r>
      <w:r w:rsidR="00916EDA">
        <w:rPr>
          <w:noProof/>
        </w:rPr>
        <w:t>6</w:t>
      </w:r>
      <w:r w:rsidR="00031291">
        <w:rPr>
          <w:lang w:val="en-US"/>
        </w:rPr>
        <w:fldChar w:fldCharType="end"/>
      </w:r>
      <w:r w:rsidR="00031291">
        <w:rPr>
          <w:lang w:val="en-US"/>
        </w:rPr>
        <w:t xml:space="preserve">). The rate of deaths in this subgroup was higher than the overall registry population but the subgroup is </w:t>
      </w:r>
      <w:proofErr w:type="gramStart"/>
      <w:r w:rsidR="00031291">
        <w:rPr>
          <w:lang w:val="en-US"/>
        </w:rPr>
        <w:t>relatively small</w:t>
      </w:r>
      <w:proofErr w:type="gramEnd"/>
      <w:r w:rsidR="00031291">
        <w:rPr>
          <w:lang w:val="en-US"/>
        </w:rPr>
        <w:t>.</w:t>
      </w:r>
      <w:r w:rsidRPr="00D64D6F">
        <w:rPr>
          <w:lang w:val="en-US"/>
        </w:rPr>
        <w:t xml:space="preserve"> However, a recent report of </w:t>
      </w:r>
      <w:proofErr w:type="gramStart"/>
      <w:r w:rsidRPr="00D64D6F">
        <w:rPr>
          <w:lang w:val="en-US"/>
        </w:rPr>
        <w:t>79</w:t>
      </w:r>
      <w:proofErr w:type="gramEnd"/>
      <w:r w:rsidRPr="00D64D6F">
        <w:rPr>
          <w:lang w:val="en-US"/>
        </w:rPr>
        <w:t xml:space="preserve"> adults with aHUS treated with eculizumab in Japanese centres found a complete TMA response in 35.3%. Given that it is usual for routine clinical use to result in worse outcomes than a formal study, this may be significantly greater than the proportion of Asian patients responding in 311.</w:t>
      </w:r>
      <w:bookmarkEnd w:id="36"/>
      <w:r w:rsidRPr="00D64D6F">
        <w:rPr>
          <w:lang w:val="en-US"/>
        </w:rPr>
        <w:t xml:space="preserve"> </w:t>
      </w:r>
    </w:p>
    <w:p w14:paraId="3D51FA26" w14:textId="4E4B732D" w:rsidR="00622B2C" w:rsidRPr="003A48D2" w:rsidRDefault="008F535E" w:rsidP="00B306AF">
      <w:pPr>
        <w:pStyle w:val="3-BodyText"/>
        <w:rPr>
          <w:rFonts w:cstheme="minorHAnsi"/>
          <w:iCs/>
          <w:lang w:eastAsia="en-US"/>
        </w:rPr>
      </w:pPr>
      <w:r w:rsidRPr="008F535E">
        <w:t xml:space="preserve">Patients with a history of renal transplantation were less likely to have a complete TMA response with ravulizumab, although numbers were small: 2/8 (25%) vs 28/48 (58.3%). </w:t>
      </w:r>
    </w:p>
    <w:p w14:paraId="34636FDA" w14:textId="3F65C423" w:rsidR="00446B39" w:rsidRPr="00622B2C" w:rsidRDefault="0075629E" w:rsidP="00B306AF">
      <w:pPr>
        <w:pStyle w:val="3-BodyText"/>
        <w:rPr>
          <w:rFonts w:cstheme="minorHAnsi"/>
          <w:lang w:eastAsia="en-US"/>
        </w:rPr>
      </w:pPr>
      <w:r w:rsidRPr="008F535E">
        <w:t xml:space="preserve">The </w:t>
      </w:r>
      <w:r w:rsidR="001E2E84">
        <w:t>3</w:t>
      </w:r>
      <w:r w:rsidR="001E2E84" w:rsidRPr="008F535E">
        <w:t xml:space="preserve"> </w:t>
      </w:r>
      <w:r w:rsidRPr="008F535E">
        <w:t xml:space="preserve">studies of eculizumab </w:t>
      </w:r>
      <w:r w:rsidR="00590B3D">
        <w:t>had</w:t>
      </w:r>
      <w:r w:rsidR="00590B3D" w:rsidRPr="008F535E">
        <w:t xml:space="preserve"> </w:t>
      </w:r>
      <w:r w:rsidRPr="008F535E">
        <w:t xml:space="preserve">previously been considered by the PBAC. </w:t>
      </w:r>
      <w:r w:rsidR="00315832" w:rsidRPr="008F535E">
        <w:t xml:space="preserve">At its meeting in March 2014 the PBAC noted that mortality in the eculizumab studies </w:t>
      </w:r>
      <w:r w:rsidR="00446B39" w:rsidRPr="008F535E">
        <w:t xml:space="preserve">was </w:t>
      </w:r>
      <w:r w:rsidR="00B3457F" w:rsidRPr="008F535E">
        <w:t xml:space="preserve">much </w:t>
      </w:r>
      <w:r w:rsidR="00446B39" w:rsidRPr="008F535E">
        <w:t xml:space="preserve">lower than in any of </w:t>
      </w:r>
      <w:r w:rsidR="00667123" w:rsidRPr="008F535E">
        <w:t xml:space="preserve">the </w:t>
      </w:r>
      <w:r w:rsidR="002904FA">
        <w:t>6</w:t>
      </w:r>
      <w:r w:rsidR="002904FA" w:rsidRPr="008F535E">
        <w:t xml:space="preserve"> </w:t>
      </w:r>
      <w:r w:rsidR="00667123" w:rsidRPr="008F535E">
        <w:t xml:space="preserve">available </w:t>
      </w:r>
      <w:r w:rsidR="00315832" w:rsidRPr="008F535E">
        <w:t>case series of patients not treated with complement inhibition</w:t>
      </w:r>
      <w:r w:rsidR="00446B39" w:rsidRPr="008F535E">
        <w:t xml:space="preserve">. The PBAC also noted the results using the surrogate outcome of response in </w:t>
      </w:r>
      <w:proofErr w:type="gramStart"/>
      <w:r w:rsidR="00446B39" w:rsidRPr="008F535E">
        <w:t>TMA</w:t>
      </w:r>
      <w:r w:rsidR="00E42BA5" w:rsidRPr="008F535E">
        <w:t>, and</w:t>
      </w:r>
      <w:proofErr w:type="gramEnd"/>
      <w:r w:rsidR="00E42BA5" w:rsidRPr="008F535E">
        <w:t xml:space="preserve"> concluded </w:t>
      </w:r>
      <w:r w:rsidR="00446B39" w:rsidRPr="008F535E">
        <w:t xml:space="preserve">that </w:t>
      </w:r>
      <w:r w:rsidR="002904FA">
        <w:t>‘</w:t>
      </w:r>
      <w:r w:rsidR="00446B39" w:rsidRPr="008F535E">
        <w:t>the claim of superior efficacy was supported</w:t>
      </w:r>
      <w:r w:rsidR="002904FA">
        <w:t>’</w:t>
      </w:r>
      <w:r w:rsidR="00667123" w:rsidRPr="008F535E">
        <w:t xml:space="preserve">, but that </w:t>
      </w:r>
      <w:r w:rsidR="002904FA">
        <w:t>‘</w:t>
      </w:r>
      <w:r w:rsidR="00667123" w:rsidRPr="008F535E">
        <w:t>the magnitude of the incremental benefit compared to supportive care was difficult to determine with certainty</w:t>
      </w:r>
      <w:r w:rsidR="002904FA">
        <w:t>’</w:t>
      </w:r>
      <w:r w:rsidR="00667123" w:rsidRPr="008F535E">
        <w:t xml:space="preserve"> (</w:t>
      </w:r>
      <w:r w:rsidR="001376A6">
        <w:t>p</w:t>
      </w:r>
      <w:r w:rsidR="00113A1F" w:rsidRPr="008F535E">
        <w:t>aragraph 9</w:t>
      </w:r>
      <w:r w:rsidR="00113A1F">
        <w:t xml:space="preserve">, </w:t>
      </w:r>
      <w:r w:rsidR="00667123" w:rsidRPr="008F535E">
        <w:t xml:space="preserve">Eculizumab PSD </w:t>
      </w:r>
      <w:r w:rsidR="00113A1F">
        <w:t xml:space="preserve">March </w:t>
      </w:r>
      <w:r w:rsidR="00667123" w:rsidRPr="008F535E">
        <w:t>2014).</w:t>
      </w:r>
    </w:p>
    <w:p w14:paraId="682D9F1A" w14:textId="1486A6FF" w:rsidR="00B60D62" w:rsidRDefault="00B60D62" w:rsidP="00B306AF">
      <w:pPr>
        <w:pStyle w:val="3-BodyText"/>
      </w:pPr>
      <w:r w:rsidRPr="00D64D6F">
        <w:rPr>
          <w:rFonts w:cstheme="minorHAnsi"/>
          <w:lang w:eastAsia="en-US"/>
        </w:rPr>
        <w:t>Data from the</w:t>
      </w:r>
      <w:r w:rsidR="00C22AA6">
        <w:rPr>
          <w:rFonts w:cstheme="minorHAnsi"/>
          <w:lang w:eastAsia="en-US"/>
        </w:rPr>
        <w:t xml:space="preserve"> sponsor’s</w:t>
      </w:r>
      <w:r w:rsidRPr="00D64D6F">
        <w:rPr>
          <w:rFonts w:cstheme="minorHAnsi"/>
          <w:lang w:eastAsia="en-US"/>
        </w:rPr>
        <w:t xml:space="preserve"> global registry provide additional information on </w:t>
      </w:r>
      <w:r w:rsidR="00C22AA6">
        <w:rPr>
          <w:rFonts w:cstheme="minorHAnsi"/>
          <w:lang w:eastAsia="en-US"/>
        </w:rPr>
        <w:t xml:space="preserve">the </w:t>
      </w:r>
      <w:r w:rsidR="008D6ECD">
        <w:rPr>
          <w:rFonts w:cstheme="minorHAnsi"/>
          <w:lang w:eastAsia="en-US"/>
        </w:rPr>
        <w:t>mortality rate</w:t>
      </w:r>
      <w:r w:rsidR="00C22AA6">
        <w:rPr>
          <w:rFonts w:cstheme="minorHAnsi"/>
          <w:lang w:eastAsia="en-US"/>
        </w:rPr>
        <w:t xml:space="preserve"> </w:t>
      </w:r>
      <w:r w:rsidR="008D6ECD">
        <w:rPr>
          <w:rFonts w:cstheme="minorHAnsi"/>
          <w:lang w:eastAsia="en-US"/>
        </w:rPr>
        <w:t>with</w:t>
      </w:r>
      <w:r w:rsidR="00C22AA6">
        <w:rPr>
          <w:rFonts w:cstheme="minorHAnsi"/>
          <w:lang w:eastAsia="en-US"/>
        </w:rPr>
        <w:t xml:space="preserve"> eculizumab</w:t>
      </w:r>
      <w:r w:rsidR="008D6ECD">
        <w:rPr>
          <w:rFonts w:cstheme="minorHAnsi"/>
          <w:lang w:eastAsia="en-US"/>
        </w:rPr>
        <w:t xml:space="preserve"> treatment</w:t>
      </w:r>
      <w:r w:rsidRPr="00D64D6F">
        <w:rPr>
          <w:rFonts w:cstheme="minorHAnsi"/>
          <w:lang w:eastAsia="en-US"/>
        </w:rPr>
        <w:t>.</w:t>
      </w:r>
      <w:r w:rsidRPr="003A48D2">
        <w:rPr>
          <w:rFonts w:cstheme="minorHAnsi"/>
          <w:iCs/>
          <w:lang w:eastAsia="en-US"/>
        </w:rPr>
        <w:t xml:space="preserve"> </w:t>
      </w:r>
      <w:r>
        <w:t>A total of 1</w:t>
      </w:r>
      <w:r w:rsidR="002904FA">
        <w:t>,</w:t>
      </w:r>
      <w:r>
        <w:t>882 patients were enrolled in the registry up to 5 July 2021. Of these, 1</w:t>
      </w:r>
      <w:r w:rsidR="002904FA">
        <w:t>,</w:t>
      </w:r>
      <w:r>
        <w:t xml:space="preserve">205 (64.0%) were </w:t>
      </w:r>
      <w:r>
        <w:rPr>
          <w:rFonts w:ascii="Symbol" w:eastAsia="Symbol" w:hAnsi="Symbol" w:cs="Symbol"/>
        </w:rPr>
        <w:t>³</w:t>
      </w:r>
      <w:r>
        <w:t xml:space="preserve">18 </w:t>
      </w:r>
      <w:r w:rsidR="00286C6D">
        <w:t>y</w:t>
      </w:r>
      <w:r>
        <w:t xml:space="preserve">ears of age, and 677 </w:t>
      </w:r>
      <w:r>
        <w:lastRenderedPageBreak/>
        <w:t>(36.0%) were &lt;18 years. Eculizumab was given to 1</w:t>
      </w:r>
      <w:r w:rsidR="002904FA">
        <w:t>,</w:t>
      </w:r>
      <w:r>
        <w:t>276/1</w:t>
      </w:r>
      <w:r w:rsidR="002904FA">
        <w:t>,</w:t>
      </w:r>
      <w:r>
        <w:t>882 (67.8%)</w:t>
      </w:r>
      <w:r w:rsidR="002B605C">
        <w:t xml:space="preserve"> patients</w:t>
      </w:r>
      <w:r>
        <w:t>, including 808/1</w:t>
      </w:r>
      <w:r w:rsidR="002904FA">
        <w:t>,</w:t>
      </w:r>
      <w:r>
        <w:t xml:space="preserve">205 (67.0%) adult patients and 468/677 (69.1%) of paediatric patients. </w:t>
      </w:r>
    </w:p>
    <w:p w14:paraId="016508BB" w14:textId="3ADA9136" w:rsidR="0005753E" w:rsidRPr="00D428F0" w:rsidRDefault="00B60D62" w:rsidP="00B306AF">
      <w:pPr>
        <w:pStyle w:val="3-BodyText"/>
        <w:rPr>
          <w:lang w:val="en-US"/>
        </w:rPr>
      </w:pPr>
      <w:r>
        <w:t>There were 96 deaths among 1</w:t>
      </w:r>
      <w:r w:rsidR="002904FA">
        <w:t>,</w:t>
      </w:r>
      <w:r>
        <w:t>265 eculizumab-treated patients with data available (7.7%), compared to 66 deaths among 598 patients not treated with eculizumab (11.2%) and</w:t>
      </w:r>
      <w:r w:rsidR="00E42BA5">
        <w:t xml:space="preserve"> eculizumab treatment </w:t>
      </w:r>
      <w:r w:rsidR="00E42BA5" w:rsidRPr="00D428F0">
        <w:t>was associated with little or no reduction of mortality</w:t>
      </w:r>
      <w:r w:rsidRPr="00D428F0">
        <w:t xml:space="preserve"> </w:t>
      </w:r>
      <w:r w:rsidR="00E42BA5" w:rsidRPr="00D428F0">
        <w:t>(</w:t>
      </w:r>
      <w:r w:rsidRPr="00D428F0">
        <w:t>weighted hazard ratio (95% CI) 0.803 (0.589, 1.094)</w:t>
      </w:r>
      <w:r w:rsidR="00E42BA5" w:rsidRPr="00D428F0">
        <w:rPr>
          <w:bCs/>
          <w:lang w:val="en-US"/>
        </w:rPr>
        <w:t>)</w:t>
      </w:r>
      <w:r w:rsidR="005C4C8B" w:rsidRPr="00D428F0">
        <w:rPr>
          <w:bCs/>
          <w:lang w:val="en-US"/>
        </w:rPr>
        <w:t>.</w:t>
      </w:r>
      <w:r w:rsidR="005C4C8B" w:rsidRPr="00D428F0">
        <w:rPr>
          <w:lang w:val="en-US"/>
        </w:rPr>
        <w:t xml:space="preserve"> </w:t>
      </w:r>
      <w:r w:rsidR="00600B8C" w:rsidRPr="003A48D2">
        <w:rPr>
          <w:iCs/>
          <w:lang w:val="en-US"/>
        </w:rPr>
        <w:t xml:space="preserve">The PSCR attributed </w:t>
      </w:r>
      <w:r w:rsidR="00600B8C" w:rsidRPr="003A48D2">
        <w:rPr>
          <w:iCs/>
        </w:rPr>
        <w:t xml:space="preserve">the relatively </w:t>
      </w:r>
      <w:proofErr w:type="gramStart"/>
      <w:r w:rsidR="00600B8C" w:rsidRPr="003A48D2">
        <w:rPr>
          <w:iCs/>
        </w:rPr>
        <w:t>small differences</w:t>
      </w:r>
      <w:proofErr w:type="gramEnd"/>
      <w:r w:rsidR="00600B8C" w:rsidRPr="003A48D2">
        <w:rPr>
          <w:iCs/>
        </w:rPr>
        <w:t xml:space="preserve"> in mortality seen in the registry data to treated patients having more severe disease.</w:t>
      </w:r>
      <w:r w:rsidR="00BB1CF2" w:rsidRPr="003A48D2">
        <w:rPr>
          <w:iCs/>
        </w:rPr>
        <w:t xml:space="preserve"> </w:t>
      </w:r>
      <w:r w:rsidR="00600B8C" w:rsidRPr="003A48D2">
        <w:rPr>
          <w:iCs/>
        </w:rPr>
        <w:t xml:space="preserve">The PSCR also noted this submission included data from Study C11-003 (Menne 2019); a prospective long-term follow-up </w:t>
      </w:r>
      <w:r w:rsidR="005C3633" w:rsidRPr="003A48D2">
        <w:rPr>
          <w:iCs/>
        </w:rPr>
        <w:t>study</w:t>
      </w:r>
      <w:r w:rsidR="00600B8C" w:rsidRPr="003A48D2">
        <w:rPr>
          <w:iCs/>
        </w:rPr>
        <w:t xml:space="preserve"> of 93 patients from earlier eculizumab trials (presented to the PBAC), 82 of whom had on-treatment periods during the conduct of C11-003. Based on data from over 5 years of follow-up (median 65.7 months), </w:t>
      </w:r>
      <w:r w:rsidR="002904FA">
        <w:rPr>
          <w:iCs/>
        </w:rPr>
        <w:t>3</w:t>
      </w:r>
      <w:r w:rsidR="002904FA" w:rsidRPr="003A48D2">
        <w:rPr>
          <w:iCs/>
        </w:rPr>
        <w:t xml:space="preserve"> </w:t>
      </w:r>
      <w:r w:rsidR="00600B8C" w:rsidRPr="003A48D2">
        <w:rPr>
          <w:iCs/>
        </w:rPr>
        <w:t>deaths were reported, supporting the data previously evaluated by the PBAC.</w:t>
      </w:r>
    </w:p>
    <w:p w14:paraId="72D26384" w14:textId="44E2446F" w:rsidR="00E05222" w:rsidRPr="00D64D6F" w:rsidRDefault="00667123" w:rsidP="00B306AF">
      <w:pPr>
        <w:pStyle w:val="3-BodyText"/>
      </w:pPr>
      <w:r w:rsidRPr="00622B2C">
        <w:t xml:space="preserve">The frequency with which dialysis needed at baseline could be stopped, and the frequency </w:t>
      </w:r>
      <w:r w:rsidR="00762C7F" w:rsidRPr="00622B2C">
        <w:t>with which</w:t>
      </w:r>
      <w:r w:rsidRPr="00622B2C">
        <w:t xml:space="preserve"> dialysis </w:t>
      </w:r>
      <w:r w:rsidR="00762C7F" w:rsidRPr="00622B2C">
        <w:t>became necessary during treatment were also, broadly, similar</w:t>
      </w:r>
      <w:r w:rsidR="00CA1314" w:rsidRPr="00622B2C">
        <w:t xml:space="preserve"> between ravulizumab and eculizumab</w:t>
      </w:r>
      <w:r w:rsidR="00762C7F" w:rsidRPr="00622B2C">
        <w:t xml:space="preserve">. </w:t>
      </w:r>
      <w:r w:rsidR="00762C7F" w:rsidRPr="00D64D6F">
        <w:t>However, the</w:t>
      </w:r>
      <w:r w:rsidR="00354739" w:rsidRPr="00D64D6F">
        <w:t xml:space="preserve"> heterogeneity between the eculizumab studies noted by the PBAC (</w:t>
      </w:r>
      <w:r w:rsidR="00052328" w:rsidRPr="00D64D6F">
        <w:t>paragraph</w:t>
      </w:r>
      <w:r w:rsidR="00113A1F" w:rsidRPr="00D64D6F">
        <w:t xml:space="preserve"> 7, </w:t>
      </w:r>
      <w:r w:rsidR="00AB6B52" w:rsidRPr="00D64D6F">
        <w:t>Eculizumab</w:t>
      </w:r>
      <w:r w:rsidR="00293067" w:rsidRPr="00D64D6F">
        <w:t>,</w:t>
      </w:r>
      <w:r w:rsidR="00AB6B52" w:rsidRPr="00D64D6F">
        <w:t xml:space="preserve"> PSD</w:t>
      </w:r>
      <w:r w:rsidR="00293067" w:rsidRPr="00D64D6F">
        <w:t>,</w:t>
      </w:r>
      <w:r w:rsidR="00AB6B52" w:rsidRPr="00D64D6F">
        <w:t xml:space="preserve"> </w:t>
      </w:r>
      <w:r w:rsidR="00113A1F" w:rsidRPr="00D64D6F">
        <w:t xml:space="preserve">March </w:t>
      </w:r>
      <w:r w:rsidR="00AB6B52" w:rsidRPr="00D64D6F">
        <w:t>2014</w:t>
      </w:r>
      <w:r w:rsidR="00354739" w:rsidRPr="00D64D6F">
        <w:t>) also hampers interpretation of the</w:t>
      </w:r>
      <w:r w:rsidR="00C15E26" w:rsidRPr="00D64D6F">
        <w:t xml:space="preserve"> dialysis outcomes </w:t>
      </w:r>
      <w:r w:rsidR="00BE27F7" w:rsidRPr="00D64D6F">
        <w:t>in the</w:t>
      </w:r>
      <w:r w:rsidR="00354739" w:rsidRPr="00D64D6F">
        <w:t xml:space="preserve"> rav</w:t>
      </w:r>
      <w:r w:rsidR="00AB6B52" w:rsidRPr="00D64D6F">
        <w:t>u</w:t>
      </w:r>
      <w:r w:rsidR="00354739" w:rsidRPr="00D64D6F">
        <w:t>l</w:t>
      </w:r>
      <w:r w:rsidR="00AB6B52" w:rsidRPr="00D64D6F">
        <w:t>i</w:t>
      </w:r>
      <w:r w:rsidR="00354739" w:rsidRPr="00D64D6F">
        <w:t>zumab studies.</w:t>
      </w:r>
    </w:p>
    <w:p w14:paraId="2F40A9F5" w14:textId="7E86E266" w:rsidR="005736BF" w:rsidRPr="00D64D6F" w:rsidRDefault="001B3E12" w:rsidP="00B306AF">
      <w:pPr>
        <w:pStyle w:val="3-BodyText"/>
      </w:pPr>
      <w:bookmarkStart w:id="37" w:name="_Ref129696981"/>
      <w:r w:rsidRPr="00D64D6F">
        <w:t xml:space="preserve">The definition of </w:t>
      </w:r>
      <w:r w:rsidR="00E05222" w:rsidRPr="00D64D6F">
        <w:t xml:space="preserve">baseline </w:t>
      </w:r>
      <w:r w:rsidRPr="00D64D6F">
        <w:t>dialysis</w:t>
      </w:r>
      <w:proofErr w:type="gramStart"/>
      <w:r w:rsidRPr="00D64D6F">
        <w:t>, in particular, was</w:t>
      </w:r>
      <w:proofErr w:type="gramEnd"/>
      <w:r w:rsidRPr="00D64D6F">
        <w:t xml:space="preserve"> not the same in the eculizumab and ravulizumab series.</w:t>
      </w:r>
      <w:r w:rsidRPr="00D64D6F">
        <w:rPr>
          <w:lang w:val="en-US"/>
        </w:rPr>
        <w:t xml:space="preserve"> In C10-003 and C10-004 the definition of baseline dialysis was between 7 days before and 14 days after the first dose of eculizumab; in C08-002 the definition was between 56 days before and 15 days after the first dose of eculizumab</w:t>
      </w:r>
      <w:r w:rsidR="009D2179" w:rsidRPr="00D64D6F">
        <w:rPr>
          <w:lang w:val="en-US"/>
        </w:rPr>
        <w:t>.</w:t>
      </w:r>
      <w:r w:rsidRPr="00D64D6F">
        <w:rPr>
          <w:lang w:val="en-US"/>
        </w:rPr>
        <w:t xml:space="preserve"> In the ravulizumab studies</w:t>
      </w:r>
      <w:r w:rsidR="001F1958">
        <w:rPr>
          <w:lang w:val="en-US"/>
        </w:rPr>
        <w:t>,</w:t>
      </w:r>
      <w:r w:rsidRPr="00D64D6F">
        <w:rPr>
          <w:lang w:val="en-US"/>
        </w:rPr>
        <w:t xml:space="preserve"> baseline dialysis </w:t>
      </w:r>
      <w:proofErr w:type="gramStart"/>
      <w:r w:rsidRPr="00D64D6F">
        <w:rPr>
          <w:lang w:val="en-US"/>
        </w:rPr>
        <w:t>was defined</w:t>
      </w:r>
      <w:proofErr w:type="gramEnd"/>
      <w:r w:rsidRPr="00D64D6F">
        <w:rPr>
          <w:lang w:val="en-US"/>
        </w:rPr>
        <w:t xml:space="preserve"> as within 5 days before treatment initiation</w:t>
      </w:r>
      <w:r w:rsidR="00113A1F" w:rsidRPr="00D64D6F">
        <w:rPr>
          <w:lang w:val="en-US"/>
        </w:rPr>
        <w:t>.</w:t>
      </w:r>
      <w:r w:rsidR="002B605C" w:rsidRPr="00D64D6F">
        <w:rPr>
          <w:lang w:val="en-US"/>
        </w:rPr>
        <w:t xml:space="preserve"> </w:t>
      </w:r>
      <w:r w:rsidR="00A10F50" w:rsidRPr="00D64D6F">
        <w:rPr>
          <w:lang w:val="en-US"/>
        </w:rPr>
        <w:t xml:space="preserve">The effect of these differences is that patients who began dialysis soon after treatment initiation </w:t>
      </w:r>
      <w:proofErr w:type="gramStart"/>
      <w:r w:rsidR="00A10F50" w:rsidRPr="00D64D6F">
        <w:rPr>
          <w:lang w:val="en-US"/>
        </w:rPr>
        <w:t>were counted</w:t>
      </w:r>
      <w:proofErr w:type="gramEnd"/>
      <w:r w:rsidR="00A10F50" w:rsidRPr="00D64D6F">
        <w:rPr>
          <w:lang w:val="en-US"/>
        </w:rPr>
        <w:t xml:space="preserve"> as receiving dialysis at baseline in the eculizumab series but not in the ravulizumab </w:t>
      </w:r>
      <w:r w:rsidR="00E05222" w:rsidRPr="00D64D6F">
        <w:rPr>
          <w:lang w:val="en-US"/>
        </w:rPr>
        <w:t>series.</w:t>
      </w:r>
      <w:bookmarkEnd w:id="37"/>
    </w:p>
    <w:p w14:paraId="701FF9C6" w14:textId="174E1566" w:rsidR="005E7C9D" w:rsidRPr="00622B2C" w:rsidRDefault="005E7C9D" w:rsidP="00B306AF">
      <w:pPr>
        <w:pStyle w:val="3-BodyText"/>
      </w:pPr>
      <w:r w:rsidRPr="00622B2C">
        <w:t>Other measured efficacy variables (h</w:t>
      </w:r>
      <w:r w:rsidR="003D1999" w:rsidRPr="00622B2C">
        <w:t>a</w:t>
      </w:r>
      <w:r w:rsidRPr="00622B2C">
        <w:t>emoglobin, glomerular filtration rate</w:t>
      </w:r>
      <w:r w:rsidR="00566339" w:rsidRPr="00622B2C">
        <w:t>, CKD stage</w:t>
      </w:r>
      <w:r w:rsidRPr="00622B2C">
        <w:t xml:space="preserve">) changed in step with </w:t>
      </w:r>
      <w:r w:rsidR="00D102E5" w:rsidRPr="00622B2C">
        <w:t xml:space="preserve">resolution of </w:t>
      </w:r>
      <w:r w:rsidRPr="00622B2C">
        <w:t xml:space="preserve">TMA. </w:t>
      </w:r>
      <w:r w:rsidR="00566339" w:rsidRPr="00622B2C">
        <w:t>In Study 311 and Study 312 fatigue</w:t>
      </w:r>
      <w:r w:rsidRPr="00622B2C">
        <w:t xml:space="preserve"> </w:t>
      </w:r>
      <w:r w:rsidR="00566339" w:rsidRPr="00622B2C">
        <w:t>score</w:t>
      </w:r>
      <w:r w:rsidRPr="00622B2C">
        <w:t>s i</w:t>
      </w:r>
      <w:r w:rsidR="00566339" w:rsidRPr="00622B2C">
        <w:t>ncreased rapidly, reaching a stable level by 10 weeks (</w:t>
      </w:r>
      <w:proofErr w:type="gramStart"/>
      <w:r w:rsidR="00566339" w:rsidRPr="00622B2C">
        <w:t>i</w:t>
      </w:r>
      <w:r w:rsidR="002904FA">
        <w:t>.</w:t>
      </w:r>
      <w:r w:rsidR="00566339" w:rsidRPr="00622B2C">
        <w:t>e</w:t>
      </w:r>
      <w:r w:rsidR="002904FA">
        <w:t>.</w:t>
      </w:r>
      <w:proofErr w:type="gramEnd"/>
      <w:r w:rsidR="00566339" w:rsidRPr="00622B2C">
        <w:t xml:space="preserve"> before the median time to complete TMA response.  Similar increases in fatigue scores were seen with eculizumab, but the timing of change was not reported</w:t>
      </w:r>
      <w:r w:rsidR="00113A1F">
        <w:t>.</w:t>
      </w:r>
      <w:r w:rsidR="00566339" w:rsidRPr="00622B2C">
        <w:t xml:space="preserve"> </w:t>
      </w:r>
    </w:p>
    <w:p w14:paraId="42061D2E" w14:textId="3F24AE07" w:rsidR="00BE27F7" w:rsidRPr="003A48D2" w:rsidRDefault="008F535E" w:rsidP="003A48D2">
      <w:pPr>
        <w:pStyle w:val="4-SubsectionHeading"/>
      </w:pPr>
      <w:bookmarkStart w:id="38" w:name="_Toc124929662"/>
      <w:r w:rsidRPr="003A48D2">
        <w:t>Indirect treatment comparisons</w:t>
      </w:r>
      <w:bookmarkEnd w:id="38"/>
    </w:p>
    <w:p w14:paraId="055CAB3A" w14:textId="2997B150" w:rsidR="006C1A09" w:rsidRDefault="006C1A09" w:rsidP="00B306AF">
      <w:pPr>
        <w:pStyle w:val="3-BodyText"/>
      </w:pPr>
      <w:r>
        <w:t xml:space="preserve">The submission presented </w:t>
      </w:r>
      <w:r w:rsidR="002904FA">
        <w:t xml:space="preserve">2 </w:t>
      </w:r>
      <w:r>
        <w:t>indirect comparisons:</w:t>
      </w:r>
      <w:r w:rsidR="00A90635">
        <w:t xml:space="preserve"> </w:t>
      </w:r>
      <w:r w:rsidR="007B22A7">
        <w:t>a naïve (unanchored, unadjusted) indirect comparison</w:t>
      </w:r>
      <w:r w:rsidR="007B22A7" w:rsidRPr="00200A79">
        <w:t xml:space="preserve"> </w:t>
      </w:r>
      <w:r w:rsidRPr="00200A79">
        <w:t>an</w:t>
      </w:r>
      <w:r w:rsidR="007B22A7">
        <w:t>d</w:t>
      </w:r>
      <w:r w:rsidRPr="00200A79">
        <w:t xml:space="preserve"> </w:t>
      </w:r>
      <w:r w:rsidR="007B22A7">
        <w:t xml:space="preserve">an </w:t>
      </w:r>
      <w:r w:rsidR="006A1C85">
        <w:t xml:space="preserve">unanchored </w:t>
      </w:r>
      <w:r w:rsidRPr="00200A79">
        <w:t xml:space="preserve">adjusted </w:t>
      </w:r>
      <w:r w:rsidR="00921BD3">
        <w:t>indirect treatment comparison</w:t>
      </w:r>
      <w:r w:rsidRPr="00200A79">
        <w:t xml:space="preserve"> (aITC) of ravulizumab versus eculizumab using propensity score methodology</w:t>
      </w:r>
      <w:r>
        <w:t xml:space="preserve">. </w:t>
      </w:r>
      <w:r w:rsidR="007B22A7">
        <w:t xml:space="preserve">The submission relied on the latter as the primary basis for the comparison of ravulizumab and eculizumab </w:t>
      </w:r>
      <w:r w:rsidR="00682C46">
        <w:t xml:space="preserve">for efficacy and the former for the assessment of comparative safety. </w:t>
      </w:r>
    </w:p>
    <w:p w14:paraId="4B87E25D" w14:textId="64035E7C" w:rsidR="007B22A7" w:rsidRDefault="007B22A7" w:rsidP="000B3185">
      <w:pPr>
        <w:pStyle w:val="5-SubsectionSubheading"/>
      </w:pPr>
      <w:r w:rsidRPr="00F348E1">
        <w:t>Naïve</w:t>
      </w:r>
      <w:r w:rsidR="00682C46">
        <w:t xml:space="preserve"> (unanchored, unadjusted) </w:t>
      </w:r>
      <w:r w:rsidRPr="00F348E1">
        <w:t>indirect treatment comparison</w:t>
      </w:r>
    </w:p>
    <w:p w14:paraId="53300B9B" w14:textId="34E6087B" w:rsidR="00866607" w:rsidRDefault="007B22A7" w:rsidP="00B306AF">
      <w:pPr>
        <w:pStyle w:val="3-BodyText"/>
      </w:pPr>
      <w:r>
        <w:t xml:space="preserve">The </w:t>
      </w:r>
      <w:r w:rsidR="00682C46">
        <w:t>n</w:t>
      </w:r>
      <w:r w:rsidR="00682C46" w:rsidRPr="00682C46">
        <w:t>aïve (unanchored, unadjusted</w:t>
      </w:r>
      <w:r w:rsidR="00682C46">
        <w:t>)</w:t>
      </w:r>
      <w:r w:rsidR="00682C46" w:rsidRPr="00682C46" w:rsidDel="00682C46">
        <w:t xml:space="preserve"> </w:t>
      </w:r>
      <w:r>
        <w:t>indirect comparison of ravulizumab and eculizumab</w:t>
      </w:r>
      <w:r w:rsidR="00682C46">
        <w:t xml:space="preserve"> compared the efficacy outcomes at 26 weeks in Study 311 (ravulizumab) </w:t>
      </w:r>
      <w:r w:rsidR="00682C46">
        <w:lastRenderedPageBreak/>
        <w:t>with those in Studies C10-004</w:t>
      </w:r>
      <w:r w:rsidR="001F1958">
        <w:t xml:space="preserve"> and</w:t>
      </w:r>
      <w:r w:rsidR="00682C46">
        <w:t xml:space="preserve"> C08-002 (eculizumab) for adults, and separately, the outcomes at 26 weeks for Study 312 Cohort 1 (ravulizumab) and Study C10-003 (eculizumab) fo</w:t>
      </w:r>
      <w:r w:rsidR="00866607">
        <w:t>r</w:t>
      </w:r>
      <w:r w:rsidR="00682C46">
        <w:t xml:space="preserve"> paediatric patients. </w:t>
      </w:r>
      <w:r w:rsidR="00866607">
        <w:t xml:space="preserve">The outcomes evaluated were haematologic and renal endpoints and quality of life measures. The results used are shown in </w:t>
      </w:r>
      <w:r w:rsidR="00866607">
        <w:fldChar w:fldCharType="begin" w:fldLock="1"/>
      </w:r>
      <w:r w:rsidR="00866607">
        <w:instrText xml:space="preserve"> REF _Ref124328290 \h </w:instrText>
      </w:r>
      <w:r w:rsidR="00866607">
        <w:fldChar w:fldCharType="separate"/>
      </w:r>
      <w:r w:rsidR="00916EDA" w:rsidRPr="000D046C">
        <w:t xml:space="preserve">Table </w:t>
      </w:r>
      <w:r w:rsidR="00916EDA">
        <w:rPr>
          <w:noProof/>
        </w:rPr>
        <w:t>7</w:t>
      </w:r>
      <w:r w:rsidR="00866607">
        <w:fldChar w:fldCharType="end"/>
      </w:r>
      <w:r w:rsidR="00866607">
        <w:t>.</w:t>
      </w:r>
    </w:p>
    <w:p w14:paraId="4B8FE674" w14:textId="4B933E00" w:rsidR="007B22A7" w:rsidRDefault="007B22A7" w:rsidP="00B306AF">
      <w:pPr>
        <w:pStyle w:val="3-BodyText"/>
      </w:pPr>
      <w:r>
        <w:t>The submission noted differences between the datasets that reduce confidence in this comparison</w:t>
      </w:r>
      <w:r w:rsidR="00866607">
        <w:t xml:space="preserve"> including differences in definitions of dialysis patients at baseline; use of adjunctive therapies; the age of patients;</w:t>
      </w:r>
      <w:r w:rsidR="00866607" w:rsidRPr="00866607">
        <w:t xml:space="preserve"> </w:t>
      </w:r>
      <w:r w:rsidR="00866607">
        <w:t>regional differences in trial locations; the dates of the different studies; and changing definitions</w:t>
      </w:r>
      <w:r>
        <w:t xml:space="preserve"> of aHUS</w:t>
      </w:r>
      <w:r w:rsidR="00866607">
        <w:t>.</w:t>
      </w:r>
      <w:r>
        <w:t xml:space="preserve"> </w:t>
      </w:r>
    </w:p>
    <w:p w14:paraId="68172E8B" w14:textId="66B6C1E5" w:rsidR="007B22A7" w:rsidRPr="00D64D6F" w:rsidRDefault="007B22A7" w:rsidP="00B306AF">
      <w:pPr>
        <w:pStyle w:val="3-BodyText"/>
        <w:rPr>
          <w:b/>
          <w:bCs/>
        </w:rPr>
      </w:pPr>
      <w:r w:rsidRPr="00D64D6F">
        <w:t>This is a broadly accurate description of the datasets</w:t>
      </w:r>
      <w:r w:rsidR="00866607" w:rsidRPr="00D64D6F">
        <w:t xml:space="preserve"> and is discussed in more detail below. T</w:t>
      </w:r>
      <w:r w:rsidRPr="00D64D6F">
        <w:t xml:space="preserve">he resulting uncertainty in comparing the </w:t>
      </w:r>
      <w:r w:rsidR="002904FA">
        <w:t>2</w:t>
      </w:r>
      <w:r w:rsidR="002904FA" w:rsidRPr="00D64D6F">
        <w:t xml:space="preserve"> </w:t>
      </w:r>
      <w:r w:rsidRPr="00D64D6F">
        <w:t>treatments also applies to the interpretation of the aITC</w:t>
      </w:r>
      <w:r w:rsidR="00866607" w:rsidRPr="00D64D6F">
        <w:t>, see below.</w:t>
      </w:r>
    </w:p>
    <w:p w14:paraId="4F2179CE" w14:textId="3102A59A" w:rsidR="006C1A09" w:rsidRPr="00F348E1" w:rsidRDefault="00866607" w:rsidP="000B3185">
      <w:pPr>
        <w:pStyle w:val="5-SubsectionSubheading"/>
      </w:pPr>
      <w:r>
        <w:t>Unanchored, a</w:t>
      </w:r>
      <w:r w:rsidR="006C1A09" w:rsidRPr="00F348E1">
        <w:t>djusted indirect treatment comparison</w:t>
      </w:r>
      <w:r w:rsidR="002B605C">
        <w:t xml:space="preserve"> (aITC)</w:t>
      </w:r>
    </w:p>
    <w:p w14:paraId="603D72F9" w14:textId="2AE714EA" w:rsidR="006C1A09" w:rsidRDefault="006C1A09" w:rsidP="00B306AF">
      <w:pPr>
        <w:pStyle w:val="3-BodyText"/>
      </w:pPr>
      <w:r>
        <w:t>The description of the methods for the aITC as provided in the submission is summarised below.</w:t>
      </w:r>
      <w:r w:rsidR="002858F5">
        <w:t xml:space="preserve"> </w:t>
      </w:r>
    </w:p>
    <w:p w14:paraId="3A0D11A4" w14:textId="6D205CBE" w:rsidR="00BD131A" w:rsidRPr="00BD131A" w:rsidRDefault="006C1A09" w:rsidP="00B306AF">
      <w:pPr>
        <w:pStyle w:val="3-BodyText"/>
      </w:pPr>
      <w:r>
        <w:t xml:space="preserve">Individual patient data from </w:t>
      </w:r>
      <w:r w:rsidR="00505E56">
        <w:t>rav</w:t>
      </w:r>
      <w:r w:rsidR="00B73EDB">
        <w:t>u</w:t>
      </w:r>
      <w:r w:rsidR="00505E56">
        <w:t>lizumab and eculizumab</w:t>
      </w:r>
      <w:r>
        <w:t xml:space="preserve"> studies were pooled into a single data set</w:t>
      </w:r>
      <w:r w:rsidR="00505E56">
        <w:t>. Data were available from</w:t>
      </w:r>
      <w:r>
        <w:t xml:space="preserve"> </w:t>
      </w:r>
      <w:r w:rsidR="002904FA">
        <w:rPr>
          <w:lang w:val="en-US"/>
        </w:rPr>
        <w:t>2</w:t>
      </w:r>
      <w:r w:rsidR="002904FA" w:rsidRPr="002858F5">
        <w:rPr>
          <w:lang w:val="en-US"/>
        </w:rPr>
        <w:t xml:space="preserve"> </w:t>
      </w:r>
      <w:r w:rsidRPr="002858F5">
        <w:rPr>
          <w:lang w:val="en-US"/>
        </w:rPr>
        <w:t xml:space="preserve">ravulizumab </w:t>
      </w:r>
      <w:r w:rsidR="00505E56">
        <w:rPr>
          <w:lang w:val="en-US"/>
        </w:rPr>
        <w:t>studies</w:t>
      </w:r>
      <w:r w:rsidRPr="002858F5">
        <w:rPr>
          <w:lang w:val="en-US"/>
        </w:rPr>
        <w:t xml:space="preserve"> (Study 311 and Study 312) and </w:t>
      </w:r>
      <w:r w:rsidR="002904FA">
        <w:rPr>
          <w:lang w:val="en-US"/>
        </w:rPr>
        <w:t>5</w:t>
      </w:r>
      <w:r w:rsidR="002904FA" w:rsidRPr="002858F5">
        <w:rPr>
          <w:lang w:val="en-US"/>
        </w:rPr>
        <w:t xml:space="preserve"> </w:t>
      </w:r>
      <w:r w:rsidRPr="002858F5">
        <w:rPr>
          <w:lang w:val="en-US"/>
        </w:rPr>
        <w:t xml:space="preserve">eculizumab </w:t>
      </w:r>
      <w:r w:rsidR="00505E56">
        <w:rPr>
          <w:lang w:val="en-US"/>
        </w:rPr>
        <w:t>studies</w:t>
      </w:r>
      <w:r w:rsidRPr="002858F5">
        <w:rPr>
          <w:lang w:val="en-US"/>
        </w:rPr>
        <w:t xml:space="preserve"> (C08-002 A/B; C08-003 A/B; C10-003; C10-004; and C11-003)</w:t>
      </w:r>
      <w:r w:rsidR="00B73EDB">
        <w:rPr>
          <w:lang w:val="en-US"/>
        </w:rPr>
        <w:t>.</w:t>
      </w:r>
      <w:r w:rsidR="00505E56">
        <w:rPr>
          <w:lang w:val="en-US"/>
        </w:rPr>
        <w:t xml:space="preserve"> </w:t>
      </w:r>
      <w:r w:rsidR="00BD131A">
        <w:rPr>
          <w:lang w:val="en-US"/>
        </w:rPr>
        <w:t xml:space="preserve">The primary analysis </w:t>
      </w:r>
      <w:proofErr w:type="gramStart"/>
      <w:r w:rsidR="00BD131A">
        <w:rPr>
          <w:lang w:val="en-US"/>
        </w:rPr>
        <w:t>was confined</w:t>
      </w:r>
      <w:proofErr w:type="gramEnd"/>
      <w:r w:rsidR="00BD131A">
        <w:rPr>
          <w:lang w:val="en-US"/>
        </w:rPr>
        <w:t xml:space="preserve"> to adults who had not had a renal transplant. Data from Study 312 and Study C08-002 </w:t>
      </w:r>
      <w:proofErr w:type="gramStart"/>
      <w:r w:rsidR="00BD131A">
        <w:rPr>
          <w:lang w:val="en-US"/>
        </w:rPr>
        <w:t>were therefore excluded</w:t>
      </w:r>
      <w:proofErr w:type="gramEnd"/>
      <w:r w:rsidR="00BD131A">
        <w:rPr>
          <w:lang w:val="en-US"/>
        </w:rPr>
        <w:t xml:space="preserve"> and </w:t>
      </w:r>
      <w:r w:rsidR="00505E56">
        <w:rPr>
          <w:lang w:val="en-US"/>
        </w:rPr>
        <w:t>C08-003 and C11-003 were excluded</w:t>
      </w:r>
      <w:r w:rsidR="00B73EDB">
        <w:rPr>
          <w:lang w:val="en-US"/>
        </w:rPr>
        <w:t xml:space="preserve"> because they were long-term studies</w:t>
      </w:r>
      <w:r w:rsidR="00BD131A">
        <w:rPr>
          <w:lang w:val="en-US"/>
        </w:rPr>
        <w:t xml:space="preserve">. </w:t>
      </w:r>
    </w:p>
    <w:p w14:paraId="45188DC5" w14:textId="53B93E8C" w:rsidR="002858F5" w:rsidRDefault="006C1A09" w:rsidP="00B306AF">
      <w:pPr>
        <w:pStyle w:val="3-BodyText"/>
      </w:pPr>
      <w:r>
        <w:t>P</w:t>
      </w:r>
      <w:r w:rsidRPr="00200A79">
        <w:t>ropensity scores were calculated for each patient in the pooled analysis set. The variables used within the propensity score specification</w:t>
      </w:r>
      <w:r w:rsidR="002858F5">
        <w:t xml:space="preserve"> </w:t>
      </w:r>
      <w:r w:rsidRPr="00200A79">
        <w:t>included: dialysis status; eGFR; platelet count; and LDH</w:t>
      </w:r>
      <w:r>
        <w:t xml:space="preserve">, selected as the most influential characteristics to balance between the </w:t>
      </w:r>
      <w:r w:rsidR="002904FA">
        <w:t xml:space="preserve">2 </w:t>
      </w:r>
      <w:r>
        <w:t>treatments</w:t>
      </w:r>
      <w:r w:rsidR="00053239">
        <w:t xml:space="preserve"> for which data was available</w:t>
      </w:r>
      <w:r>
        <w:t xml:space="preserve">. </w:t>
      </w:r>
      <w:r w:rsidRPr="00F2402E">
        <w:t xml:space="preserve">The resulting propensity scores were used to balance </w:t>
      </w:r>
      <w:r w:rsidR="00CF40EF">
        <w:t xml:space="preserve">those </w:t>
      </w:r>
      <w:r w:rsidRPr="00F2402E">
        <w:t>patient characteristics</w:t>
      </w:r>
      <w:r w:rsidR="00CF40EF">
        <w:t xml:space="preserve"> for which data was available</w:t>
      </w:r>
      <w:r w:rsidRPr="00F2402E">
        <w:t xml:space="preserve"> between treatment groups</w:t>
      </w:r>
      <w:r w:rsidR="002858F5">
        <w:t>.</w:t>
      </w:r>
      <w:r w:rsidRPr="00F2402E">
        <w:t xml:space="preserve"> Statistical tests were performed after application of the stabilised weights to ensure that prognostic baseline characteristics were not significantly different at the p &lt;0.1 level before endpoints were revealed.</w:t>
      </w:r>
    </w:p>
    <w:p w14:paraId="441E100D" w14:textId="71C551E9" w:rsidR="00320961" w:rsidRPr="00D64D6F" w:rsidRDefault="00162E62" w:rsidP="00B306AF">
      <w:pPr>
        <w:pStyle w:val="3-BodyText"/>
        <w:rPr>
          <w:lang w:val="en-US"/>
        </w:rPr>
      </w:pPr>
      <w:r w:rsidRPr="00D64D6F">
        <w:t xml:space="preserve">The usefulness of this approach depends on </w:t>
      </w:r>
      <w:r w:rsidR="0044149E" w:rsidRPr="00D64D6F">
        <w:t xml:space="preserve">how well the variables used in the propensity score predict outcomes, and on </w:t>
      </w:r>
      <w:r w:rsidRPr="00D64D6F">
        <w:t>the completeness of the data. As</w:t>
      </w:r>
      <w:r w:rsidR="005330B8" w:rsidRPr="00D64D6F">
        <w:t xml:space="preserve"> noted in the published version of the aITC (Tomazos, 2022), </w:t>
      </w:r>
      <w:r w:rsidR="002904FA">
        <w:t>‘</w:t>
      </w:r>
      <w:r w:rsidR="005330B8" w:rsidRPr="00D64D6F">
        <w:rPr>
          <w:lang w:val="en-US"/>
        </w:rPr>
        <w:t xml:space="preserve">When interpreting the results </w:t>
      </w:r>
      <w:r w:rsidR="00370F6E" w:rsidRPr="00D64D6F">
        <w:rPr>
          <w:lang w:val="en-US"/>
        </w:rPr>
        <w:t>[the reader</w:t>
      </w:r>
      <w:r w:rsidR="005330B8" w:rsidRPr="00D64D6F">
        <w:rPr>
          <w:lang w:val="en-US"/>
        </w:rPr>
        <w:t xml:space="preserve">] should note differences between treatment groups in characteristics for which it was not possible to balance using propensity scoring […]. These include differences in clinical practice associated with the involvement of different countries and with the trials being conducted at </w:t>
      </w:r>
      <w:proofErr w:type="gramStart"/>
      <w:r w:rsidR="005330B8" w:rsidRPr="00D64D6F">
        <w:rPr>
          <w:lang w:val="en-US"/>
        </w:rPr>
        <w:t>different times</w:t>
      </w:r>
      <w:proofErr w:type="gramEnd"/>
      <w:r w:rsidR="005330B8" w:rsidRPr="00D64D6F">
        <w:rPr>
          <w:lang w:val="en-US"/>
        </w:rPr>
        <w:t xml:space="preserve">. Additionally, time to complement inhibitor treatment – a strong predictor of renal function recovery […] was inconsistently measured between studies, thus balancing could not be </w:t>
      </w:r>
      <w:proofErr w:type="gramStart"/>
      <w:r w:rsidR="005330B8" w:rsidRPr="00D64D6F">
        <w:rPr>
          <w:lang w:val="en-US"/>
        </w:rPr>
        <w:t>carried out</w:t>
      </w:r>
      <w:proofErr w:type="gramEnd"/>
      <w:r w:rsidR="005330B8" w:rsidRPr="00D64D6F">
        <w:rPr>
          <w:lang w:val="en-US"/>
        </w:rPr>
        <w:t xml:space="preserve"> on this parameter</w:t>
      </w:r>
      <w:r w:rsidR="002904FA">
        <w:rPr>
          <w:lang w:val="en-US"/>
        </w:rPr>
        <w:t>’</w:t>
      </w:r>
      <w:r w:rsidR="005330B8" w:rsidRPr="00D64D6F">
        <w:rPr>
          <w:lang w:val="en-US"/>
        </w:rPr>
        <w:t>.</w:t>
      </w:r>
    </w:p>
    <w:p w14:paraId="4F795C8A" w14:textId="6ED13CD4" w:rsidR="00370F6E" w:rsidRPr="00D64D6F" w:rsidRDefault="005330B8" w:rsidP="00B306AF">
      <w:pPr>
        <w:pStyle w:val="3-BodyText"/>
        <w:rPr>
          <w:lang w:val="en-US"/>
        </w:rPr>
      </w:pPr>
      <w:r w:rsidRPr="00D64D6F">
        <w:rPr>
          <w:lang w:val="en-US"/>
        </w:rPr>
        <w:lastRenderedPageBreak/>
        <w:t>The</w:t>
      </w:r>
      <w:r w:rsidR="00320961" w:rsidRPr="00D64D6F">
        <w:rPr>
          <w:lang w:val="en-US"/>
        </w:rPr>
        <w:t>re ha</w:t>
      </w:r>
      <w:r w:rsidR="00162E62" w:rsidRPr="00D64D6F">
        <w:rPr>
          <w:lang w:val="en-US"/>
        </w:rPr>
        <w:t>ve</w:t>
      </w:r>
      <w:r w:rsidR="00320961" w:rsidRPr="00D64D6F">
        <w:rPr>
          <w:lang w:val="en-US"/>
        </w:rPr>
        <w:t xml:space="preserve"> been </w:t>
      </w:r>
      <w:r w:rsidR="00162E62" w:rsidRPr="00D64D6F">
        <w:rPr>
          <w:lang w:val="en-US"/>
        </w:rPr>
        <w:t>significant advances</w:t>
      </w:r>
      <w:r w:rsidRPr="00D64D6F">
        <w:rPr>
          <w:lang w:val="en-US"/>
        </w:rPr>
        <w:t xml:space="preserve"> </w:t>
      </w:r>
      <w:r w:rsidR="00320961" w:rsidRPr="00D64D6F">
        <w:rPr>
          <w:lang w:val="en-US"/>
        </w:rPr>
        <w:t>in</w:t>
      </w:r>
      <w:r w:rsidRPr="00D64D6F">
        <w:rPr>
          <w:lang w:val="en-US"/>
        </w:rPr>
        <w:t xml:space="preserve"> understanding of aHUS since eculizumab became available</w:t>
      </w:r>
      <w:r w:rsidR="00320961" w:rsidRPr="00D64D6F">
        <w:rPr>
          <w:lang w:val="en-US"/>
        </w:rPr>
        <w:t>, which</w:t>
      </w:r>
      <w:r w:rsidRPr="00D64D6F">
        <w:rPr>
          <w:lang w:val="en-US"/>
        </w:rPr>
        <w:t xml:space="preserve"> would favour ravulizumab</w:t>
      </w:r>
      <w:r w:rsidR="00320961" w:rsidRPr="00D64D6F">
        <w:rPr>
          <w:lang w:val="en-US"/>
        </w:rPr>
        <w:t xml:space="preserve">, </w:t>
      </w:r>
      <w:r w:rsidR="00162E62" w:rsidRPr="00D64D6F">
        <w:rPr>
          <w:lang w:val="en-US"/>
        </w:rPr>
        <w:t>and this</w:t>
      </w:r>
      <w:r w:rsidR="00320961" w:rsidRPr="00D64D6F">
        <w:rPr>
          <w:lang w:val="en-US"/>
        </w:rPr>
        <w:t xml:space="preserve"> </w:t>
      </w:r>
      <w:r w:rsidR="00162E62" w:rsidRPr="00D64D6F">
        <w:rPr>
          <w:lang w:val="en-US"/>
        </w:rPr>
        <w:t xml:space="preserve">alone </w:t>
      </w:r>
      <w:r w:rsidR="00320961" w:rsidRPr="00D64D6F">
        <w:rPr>
          <w:lang w:val="en-US"/>
        </w:rPr>
        <w:t xml:space="preserve">makes </w:t>
      </w:r>
      <w:r w:rsidR="009E523F">
        <w:rPr>
          <w:lang w:val="en-US"/>
        </w:rPr>
        <w:t>interpretation</w:t>
      </w:r>
      <w:r w:rsidR="009E523F" w:rsidRPr="00D64D6F">
        <w:rPr>
          <w:lang w:val="en-US"/>
        </w:rPr>
        <w:t xml:space="preserve"> </w:t>
      </w:r>
      <w:r w:rsidR="00320961" w:rsidRPr="00D64D6F">
        <w:rPr>
          <w:lang w:val="en-US"/>
        </w:rPr>
        <w:t xml:space="preserve">of the aITC </w:t>
      </w:r>
      <w:r w:rsidR="009E523F">
        <w:rPr>
          <w:lang w:val="en-US"/>
        </w:rPr>
        <w:t>difficult</w:t>
      </w:r>
      <w:r w:rsidR="00370F6E" w:rsidRPr="00D64D6F">
        <w:rPr>
          <w:lang w:val="en-US"/>
        </w:rPr>
        <w:t xml:space="preserve">. </w:t>
      </w:r>
    </w:p>
    <w:p w14:paraId="329E2565" w14:textId="6CC9C356" w:rsidR="0026311F" w:rsidRPr="00D64D6F" w:rsidRDefault="00320961" w:rsidP="00B306AF">
      <w:pPr>
        <w:pStyle w:val="3-BodyText"/>
        <w:rPr>
          <w:lang w:val="en-US"/>
        </w:rPr>
      </w:pPr>
      <w:r w:rsidRPr="00D64D6F">
        <w:rPr>
          <w:lang w:val="en-US"/>
        </w:rPr>
        <w:t xml:space="preserve">Inability to adjust for time to treatment initiation is problematic because </w:t>
      </w:r>
      <w:r w:rsidR="00D131AC" w:rsidRPr="00D64D6F">
        <w:rPr>
          <w:lang w:val="en-US"/>
        </w:rPr>
        <w:t>worse</w:t>
      </w:r>
      <w:r w:rsidR="00370F6E" w:rsidRPr="00D64D6F">
        <w:rPr>
          <w:lang w:val="en-US"/>
        </w:rPr>
        <w:t xml:space="preserve"> results in Asian patients</w:t>
      </w:r>
      <w:r w:rsidR="00727F2D" w:rsidRPr="00D64D6F">
        <w:rPr>
          <w:lang w:val="en-US"/>
        </w:rPr>
        <w:t xml:space="preserve"> treated with ravulizumab</w:t>
      </w:r>
      <w:r w:rsidRPr="00D64D6F">
        <w:rPr>
          <w:lang w:val="en-US"/>
        </w:rPr>
        <w:t xml:space="preserve"> </w:t>
      </w:r>
      <w:r w:rsidR="008D0BAC" w:rsidRPr="00D64D6F">
        <w:rPr>
          <w:lang w:val="en-US"/>
        </w:rPr>
        <w:t xml:space="preserve">in Study 311 </w:t>
      </w:r>
      <w:proofErr w:type="gramStart"/>
      <w:r w:rsidRPr="00D64D6F">
        <w:rPr>
          <w:lang w:val="en-US"/>
        </w:rPr>
        <w:t>are attributed</w:t>
      </w:r>
      <w:proofErr w:type="gramEnd"/>
      <w:r w:rsidRPr="00D64D6F">
        <w:rPr>
          <w:lang w:val="en-US"/>
        </w:rPr>
        <w:t xml:space="preserve"> by </w:t>
      </w:r>
      <w:r w:rsidR="00D35F4F" w:rsidRPr="00D64D6F">
        <w:rPr>
          <w:lang w:val="en-US"/>
        </w:rPr>
        <w:t xml:space="preserve">the </w:t>
      </w:r>
      <w:r w:rsidRPr="00D64D6F">
        <w:rPr>
          <w:lang w:val="en-US"/>
        </w:rPr>
        <w:t>submission to delay in initiating treatment in Asian centres</w:t>
      </w:r>
      <w:r w:rsidR="00EC2E9B" w:rsidRPr="00D64D6F">
        <w:rPr>
          <w:lang w:val="en-US"/>
        </w:rPr>
        <w:t xml:space="preserve"> </w:t>
      </w:r>
      <w:r w:rsidR="008D0BAC" w:rsidRPr="00D64D6F">
        <w:rPr>
          <w:lang w:val="en-US"/>
        </w:rPr>
        <w:t>(</w:t>
      </w:r>
      <w:r w:rsidR="00113A1F" w:rsidRPr="00D64D6F">
        <w:rPr>
          <w:lang w:val="en-US"/>
        </w:rPr>
        <w:t xml:space="preserve">see </w:t>
      </w:r>
      <w:r w:rsidR="00D35F4F" w:rsidRPr="00D64D6F">
        <w:rPr>
          <w:lang w:val="en-US"/>
        </w:rPr>
        <w:t>paragraph</w:t>
      </w:r>
      <w:r w:rsidR="00D102E5" w:rsidRPr="00D64D6F">
        <w:rPr>
          <w:lang w:val="en-US"/>
        </w:rPr>
        <w:t xml:space="preserve"> </w:t>
      </w:r>
      <w:r w:rsidR="00365D24">
        <w:rPr>
          <w:lang w:val="en-US"/>
        </w:rPr>
        <w:fldChar w:fldCharType="begin" w:fldLock="1"/>
      </w:r>
      <w:r w:rsidR="00365D24">
        <w:rPr>
          <w:lang w:val="en-US"/>
        </w:rPr>
        <w:instrText xml:space="preserve"> REF _Ref126849702 \r \h </w:instrText>
      </w:r>
      <w:r w:rsidR="00365D24">
        <w:rPr>
          <w:lang w:val="en-US"/>
        </w:rPr>
      </w:r>
      <w:r w:rsidR="00365D24">
        <w:rPr>
          <w:lang w:val="en-US"/>
        </w:rPr>
        <w:fldChar w:fldCharType="separate"/>
      </w:r>
      <w:r w:rsidR="00916EDA">
        <w:rPr>
          <w:lang w:val="en-US"/>
        </w:rPr>
        <w:t>6.16</w:t>
      </w:r>
      <w:r w:rsidR="00365D24">
        <w:rPr>
          <w:lang w:val="en-US"/>
        </w:rPr>
        <w:fldChar w:fldCharType="end"/>
      </w:r>
      <w:r w:rsidR="00EC2E9B" w:rsidRPr="00D64D6F">
        <w:rPr>
          <w:lang w:val="en-US"/>
        </w:rPr>
        <w:t>)</w:t>
      </w:r>
      <w:r w:rsidR="00370F6E" w:rsidRPr="00D64D6F">
        <w:rPr>
          <w:lang w:val="en-US"/>
        </w:rPr>
        <w:t xml:space="preserve">. </w:t>
      </w:r>
      <w:r w:rsidR="006C787A" w:rsidRPr="00D64D6F">
        <w:rPr>
          <w:lang w:val="en-US"/>
        </w:rPr>
        <w:t xml:space="preserve">No Asian centres contributed patients to the eculizumab series, and </w:t>
      </w:r>
      <w:r w:rsidR="008C4DAF">
        <w:rPr>
          <w:lang w:val="en-US"/>
        </w:rPr>
        <w:t>23% of</w:t>
      </w:r>
      <w:r w:rsidR="002904FA" w:rsidRPr="00D64D6F">
        <w:rPr>
          <w:lang w:val="en-US"/>
        </w:rPr>
        <w:t xml:space="preserve"> </w:t>
      </w:r>
      <w:r w:rsidR="006C787A" w:rsidRPr="00D64D6F">
        <w:rPr>
          <w:lang w:val="en-US"/>
        </w:rPr>
        <w:t xml:space="preserve">patients </w:t>
      </w:r>
      <w:r w:rsidR="008C4DAF">
        <w:rPr>
          <w:lang w:val="en-US"/>
        </w:rPr>
        <w:t xml:space="preserve">were </w:t>
      </w:r>
      <w:r w:rsidR="006C787A" w:rsidRPr="00D64D6F">
        <w:rPr>
          <w:lang w:val="en-US"/>
        </w:rPr>
        <w:t xml:space="preserve">of Asian background </w:t>
      </w:r>
      <w:r w:rsidR="008C4DAF">
        <w:rPr>
          <w:lang w:val="en-US"/>
        </w:rPr>
        <w:t>in ravulizumab studies</w:t>
      </w:r>
      <w:r w:rsidR="006C787A" w:rsidRPr="00D64D6F">
        <w:rPr>
          <w:lang w:val="en-US"/>
        </w:rPr>
        <w:t>, so the data do not allow comparison of eculizumab and ravulizumab in Asian centres.</w:t>
      </w:r>
      <w:r w:rsidR="00D35F4F" w:rsidRPr="00D64D6F">
        <w:rPr>
          <w:lang w:val="en-US"/>
        </w:rPr>
        <w:t xml:space="preserve"> </w:t>
      </w:r>
    </w:p>
    <w:p w14:paraId="713FA30A" w14:textId="236B05EB" w:rsidR="002858F5" w:rsidRPr="003A48D2" w:rsidRDefault="002904FA" w:rsidP="00B306AF">
      <w:pPr>
        <w:pStyle w:val="3-BodyText"/>
        <w:rPr>
          <w:iCs/>
        </w:rPr>
      </w:pPr>
      <w:r>
        <w:t>T</w:t>
      </w:r>
      <w:r w:rsidR="00142624" w:rsidRPr="00D64D6F">
        <w:t>he submission</w:t>
      </w:r>
      <w:r>
        <w:t xml:space="preserve"> stated</w:t>
      </w:r>
      <w:r w:rsidR="00C153F7" w:rsidRPr="00D64D6F">
        <w:t xml:space="preserve"> </w:t>
      </w:r>
      <w:r w:rsidR="00142624" w:rsidRPr="00D64D6F">
        <w:t xml:space="preserve">that </w:t>
      </w:r>
      <w:r w:rsidR="00C153F7" w:rsidRPr="00D64D6F">
        <w:t>d</w:t>
      </w:r>
      <w:r w:rsidR="006C1A09" w:rsidRPr="00D64D6F">
        <w:t xml:space="preserve">ata collected at 26 weeks were used for outcomes analysis </w:t>
      </w:r>
      <w:r w:rsidR="00D81A77">
        <w:t>‘</w:t>
      </w:r>
      <w:r w:rsidR="006C1A09" w:rsidRPr="00D64D6F">
        <w:t>as this</w:t>
      </w:r>
      <w:r w:rsidR="00D81A77">
        <w:t xml:space="preserve"> coincided with</w:t>
      </w:r>
      <w:r w:rsidR="006C1A09" w:rsidRPr="00D64D6F">
        <w:t xml:space="preserve"> the primary endpoint in the </w:t>
      </w:r>
      <w:proofErr w:type="gramStart"/>
      <w:r w:rsidR="006C1A09" w:rsidRPr="00D64D6F">
        <w:t>studies</w:t>
      </w:r>
      <w:r w:rsidR="00D81A77">
        <w:t>’</w:t>
      </w:r>
      <w:proofErr w:type="gramEnd"/>
      <w:r w:rsidR="007878AF" w:rsidRPr="00D64D6F">
        <w:t>.</w:t>
      </w:r>
      <w:r w:rsidR="006C1A09" w:rsidRPr="00D64D6F">
        <w:t xml:space="preserve"> </w:t>
      </w:r>
      <w:r w:rsidR="00C153F7" w:rsidRPr="00D64D6F">
        <w:t xml:space="preserve">The primary </w:t>
      </w:r>
      <w:r w:rsidR="00D102E5" w:rsidRPr="00D64D6F">
        <w:t>outcome</w:t>
      </w:r>
      <w:r w:rsidR="00C153F7" w:rsidRPr="00D64D6F">
        <w:t xml:space="preserve"> required normalisation of platelet count and LDH and improvement in renal function </w:t>
      </w:r>
      <w:r w:rsidR="007252C8" w:rsidRPr="003A48D2">
        <w:rPr>
          <w:iCs/>
        </w:rPr>
        <w:t xml:space="preserve">at </w:t>
      </w:r>
      <w:r w:rsidR="00D81A77">
        <w:rPr>
          <w:iCs/>
        </w:rPr>
        <w:t>2</w:t>
      </w:r>
      <w:r w:rsidR="00D81A77" w:rsidRPr="003A48D2">
        <w:rPr>
          <w:iCs/>
        </w:rPr>
        <w:t xml:space="preserve"> </w:t>
      </w:r>
      <w:r w:rsidR="007252C8" w:rsidRPr="003A48D2">
        <w:rPr>
          <w:iCs/>
        </w:rPr>
        <w:t>separate assessments at least 4 weeks apart</w:t>
      </w:r>
      <w:r w:rsidR="007252C8">
        <w:t xml:space="preserve"> </w:t>
      </w:r>
      <w:r w:rsidR="00C153F7" w:rsidRPr="00D64D6F">
        <w:t>within 26 weeks of first treatment.</w:t>
      </w:r>
      <w:r w:rsidR="008A4E52" w:rsidRPr="00D64D6F">
        <w:t xml:space="preserve"> </w:t>
      </w:r>
      <w:r w:rsidR="00071059" w:rsidRPr="003A48D2">
        <w:rPr>
          <w:iCs/>
        </w:rPr>
        <w:t>The evaluation considered that the definitions of response in the study meant that</w:t>
      </w:r>
      <w:r w:rsidR="00071059">
        <w:t xml:space="preserve"> p</w:t>
      </w:r>
      <w:r w:rsidR="008A4E52" w:rsidRPr="00D64D6F">
        <w:t xml:space="preserve">atients </w:t>
      </w:r>
      <w:r w:rsidR="007878AF" w:rsidRPr="00D64D6F">
        <w:t>who met the requirements</w:t>
      </w:r>
      <w:r w:rsidR="008A4E52" w:rsidRPr="00D64D6F">
        <w:t xml:space="preserve"> for complete response </w:t>
      </w:r>
      <w:r w:rsidR="007878AF" w:rsidRPr="00D64D6F">
        <w:t xml:space="preserve">at one </w:t>
      </w:r>
      <w:r w:rsidR="00513556" w:rsidRPr="00D64D6F">
        <w:t>time</w:t>
      </w:r>
      <w:r w:rsidR="007878AF" w:rsidRPr="00D64D6F">
        <w:t xml:space="preserve"> could fail to do so</w:t>
      </w:r>
      <w:r w:rsidR="008A4E52" w:rsidRPr="00D64D6F">
        <w:t xml:space="preserve"> later</w:t>
      </w:r>
      <w:r w:rsidR="00B73EDB" w:rsidRPr="00D64D6F">
        <w:t>, including at 26 weeks,</w:t>
      </w:r>
      <w:r w:rsidR="008A4E52" w:rsidRPr="00D64D6F">
        <w:t xml:space="preserve"> but were still c</w:t>
      </w:r>
      <w:r w:rsidR="007878AF" w:rsidRPr="00D64D6F">
        <w:t>ounted</w:t>
      </w:r>
      <w:r w:rsidR="008A4E52" w:rsidRPr="00D64D6F">
        <w:t xml:space="preserve"> as complete responders</w:t>
      </w:r>
      <w:r w:rsidR="00113A1F" w:rsidRPr="00D64D6F">
        <w:t xml:space="preserve">. </w:t>
      </w:r>
      <w:r w:rsidR="00C31379" w:rsidRPr="00D64D6F">
        <w:t xml:space="preserve">Further, </w:t>
      </w:r>
      <w:r w:rsidR="00513556" w:rsidRPr="00D64D6F">
        <w:t xml:space="preserve">meeting the criteria for complete response </w:t>
      </w:r>
      <w:r w:rsidR="00C153F7" w:rsidRPr="00D64D6F">
        <w:t xml:space="preserve">at </w:t>
      </w:r>
      <w:r w:rsidR="00D81A77">
        <w:t>D</w:t>
      </w:r>
      <w:r w:rsidR="00C153F7" w:rsidRPr="00D64D6F">
        <w:t>ay 183 would not count to</w:t>
      </w:r>
      <w:r w:rsidR="007555B6" w:rsidRPr="00D64D6F">
        <w:t>wards</w:t>
      </w:r>
      <w:r w:rsidR="00C153F7" w:rsidRPr="00D64D6F">
        <w:t xml:space="preserve"> the primary outcome </w:t>
      </w:r>
      <w:r w:rsidR="0044149E" w:rsidRPr="00D64D6F">
        <w:t xml:space="preserve">in the original studies </w:t>
      </w:r>
      <w:r w:rsidR="00C153F7" w:rsidRPr="00D64D6F">
        <w:t xml:space="preserve">unless </w:t>
      </w:r>
      <w:r w:rsidR="00513556" w:rsidRPr="00D64D6F">
        <w:t xml:space="preserve">all the criteria were </w:t>
      </w:r>
      <w:r w:rsidR="00EC47B5" w:rsidRPr="00D64D6F">
        <w:t xml:space="preserve">also met </w:t>
      </w:r>
      <w:r w:rsidR="00513556" w:rsidRPr="00D64D6F">
        <w:t>at</w:t>
      </w:r>
      <w:r w:rsidR="00EC47B5" w:rsidRPr="00D64D6F">
        <w:t xml:space="preserve"> 183-28 days and </w:t>
      </w:r>
      <w:r w:rsidR="00513556" w:rsidRPr="00D64D6F">
        <w:t xml:space="preserve">on </w:t>
      </w:r>
      <w:r w:rsidR="00EC47B5" w:rsidRPr="00D64D6F">
        <w:t>any measurements in between.</w:t>
      </w:r>
      <w:r w:rsidR="00C153F7" w:rsidRPr="00D64D6F">
        <w:t xml:space="preserve"> </w:t>
      </w:r>
      <w:r w:rsidR="00487B76" w:rsidRPr="003A48D2">
        <w:rPr>
          <w:iCs/>
        </w:rPr>
        <w:t xml:space="preserve">For the </w:t>
      </w:r>
      <w:r w:rsidR="00AA6B83" w:rsidRPr="003A48D2">
        <w:rPr>
          <w:iCs/>
        </w:rPr>
        <w:t>a</w:t>
      </w:r>
      <w:r w:rsidR="00487B76" w:rsidRPr="003A48D2">
        <w:rPr>
          <w:iCs/>
        </w:rPr>
        <w:t xml:space="preserve">ITC analyses, the submission stated that a window of acceptability of </w:t>
      </w:r>
      <w:r w:rsidR="00D81A77">
        <w:rPr>
          <w:rFonts w:cstheme="minorHAnsi"/>
          <w:iCs/>
        </w:rPr>
        <w:t>±</w:t>
      </w:r>
      <w:r w:rsidR="00487B76" w:rsidRPr="003A48D2">
        <w:rPr>
          <w:iCs/>
        </w:rPr>
        <w:t>56 days around Day 183 was adopted for the confirmation of response. This was to account for patients who did not record a visit on Day 183 exactly, and to allow for maximum patient inclusion.  The evaluation considered that this</w:t>
      </w:r>
      <w:r w:rsidR="0044149E" w:rsidRPr="00D64D6F">
        <w:t xml:space="preserve"> implie</w:t>
      </w:r>
      <w:r w:rsidR="00487B76">
        <w:t>d</w:t>
      </w:r>
      <w:r w:rsidR="0044149E" w:rsidRPr="00D64D6F">
        <w:t xml:space="preserve"> that the requirement that a complete response be sustained for 4 weeks to be counted was neglected for the aITC, and that</w:t>
      </w:r>
      <w:r w:rsidR="00EC47B5" w:rsidRPr="00D64D6F">
        <w:t xml:space="preserve"> </w:t>
      </w:r>
      <w:r w:rsidR="00275811" w:rsidRPr="00D64D6F">
        <w:t xml:space="preserve">patients meeting the criteria for complete response </w:t>
      </w:r>
      <w:r w:rsidR="0044149E" w:rsidRPr="00D64D6F">
        <w:t>after 26 weeks</w:t>
      </w:r>
      <w:r w:rsidR="009E523F">
        <w:t xml:space="preserve"> (and within </w:t>
      </w:r>
      <w:r w:rsidR="009E523F">
        <w:rPr>
          <w:rFonts w:cstheme="minorHAnsi"/>
          <w:iCs/>
        </w:rPr>
        <w:t>±</w:t>
      </w:r>
      <w:r w:rsidR="009E523F" w:rsidRPr="003A48D2">
        <w:rPr>
          <w:iCs/>
        </w:rPr>
        <w:t>56 days</w:t>
      </w:r>
      <w:r w:rsidR="009E523F">
        <w:rPr>
          <w:iCs/>
        </w:rPr>
        <w:t>)</w:t>
      </w:r>
      <w:r w:rsidR="0044149E" w:rsidRPr="00D64D6F">
        <w:t xml:space="preserve"> could count towards the primary outcome in</w:t>
      </w:r>
      <w:r w:rsidR="00275811" w:rsidRPr="00D64D6F">
        <w:t xml:space="preserve"> </w:t>
      </w:r>
      <w:r w:rsidR="0044149E" w:rsidRPr="00D64D6F">
        <w:t>the aITC</w:t>
      </w:r>
      <w:r w:rsidR="00B464F5">
        <w:t xml:space="preserve"> although</w:t>
      </w:r>
      <w:r w:rsidR="0044149E" w:rsidRPr="00D64D6F">
        <w:t xml:space="preserve"> </w:t>
      </w:r>
      <w:r w:rsidR="00275811" w:rsidRPr="00D64D6F">
        <w:t>they</w:t>
      </w:r>
      <w:r w:rsidR="0044149E" w:rsidRPr="00D64D6F">
        <w:t xml:space="preserve"> could not</w:t>
      </w:r>
      <w:r w:rsidR="00275811" w:rsidRPr="00D64D6F">
        <w:t xml:space="preserve"> in</w:t>
      </w:r>
      <w:r w:rsidR="0044149E" w:rsidRPr="00D64D6F">
        <w:t xml:space="preserve"> the original studies.</w:t>
      </w:r>
      <w:r w:rsidR="00EC47B5" w:rsidRPr="00D64D6F">
        <w:t xml:space="preserve"> </w:t>
      </w:r>
      <w:r w:rsidR="00071059" w:rsidRPr="003A48D2">
        <w:rPr>
          <w:iCs/>
        </w:rPr>
        <w:t xml:space="preserve">However, the PSCR stated that </w:t>
      </w:r>
      <w:r w:rsidR="00D81A77">
        <w:rPr>
          <w:iCs/>
        </w:rPr>
        <w:t>‘</w:t>
      </w:r>
      <w:r w:rsidR="00071059" w:rsidRPr="003A48D2">
        <w:rPr>
          <w:iCs/>
        </w:rPr>
        <w:t>the requirement that a complete response be sustained for 4 weeks</w:t>
      </w:r>
      <w:r w:rsidR="00D81A77">
        <w:rPr>
          <w:iCs/>
        </w:rPr>
        <w:t>’</w:t>
      </w:r>
      <w:r w:rsidR="00071059" w:rsidRPr="003A48D2">
        <w:rPr>
          <w:iCs/>
        </w:rPr>
        <w:t xml:space="preserve"> was </w:t>
      </w:r>
      <w:r w:rsidR="005449A1" w:rsidRPr="003A48D2">
        <w:rPr>
          <w:iCs/>
        </w:rPr>
        <w:t xml:space="preserve">maintained in the </w:t>
      </w:r>
      <w:r w:rsidR="00F562C6" w:rsidRPr="003A48D2">
        <w:rPr>
          <w:iCs/>
        </w:rPr>
        <w:t>aITC</w:t>
      </w:r>
      <w:r w:rsidR="00071059" w:rsidRPr="003A48D2">
        <w:rPr>
          <w:iCs/>
        </w:rPr>
        <w:t xml:space="preserve"> as </w:t>
      </w:r>
      <w:r w:rsidR="00D81A77">
        <w:rPr>
          <w:iCs/>
        </w:rPr>
        <w:t>‘</w:t>
      </w:r>
      <w:r w:rsidR="00071059" w:rsidRPr="003A48D2">
        <w:rPr>
          <w:iCs/>
        </w:rPr>
        <w:t>patients were still required to meet response criteria, at least 4 weeks apart</w:t>
      </w:r>
      <w:r w:rsidR="00D81A77">
        <w:rPr>
          <w:iCs/>
        </w:rPr>
        <w:t>’</w:t>
      </w:r>
      <w:r w:rsidR="00071059" w:rsidRPr="003A48D2">
        <w:rPr>
          <w:iCs/>
        </w:rPr>
        <w:t xml:space="preserve">. </w:t>
      </w:r>
      <w:r w:rsidR="00487B76" w:rsidRPr="003A48D2">
        <w:rPr>
          <w:iCs/>
        </w:rPr>
        <w:t>The ESC considered it remained unclear whether the definition of response aligned between the studies and the</w:t>
      </w:r>
      <w:r w:rsidR="00A80844" w:rsidRPr="003A48D2">
        <w:rPr>
          <w:iCs/>
        </w:rPr>
        <w:t xml:space="preserve"> </w:t>
      </w:r>
      <w:r w:rsidR="00487B76" w:rsidRPr="003A48D2">
        <w:rPr>
          <w:iCs/>
        </w:rPr>
        <w:t xml:space="preserve">aITC analyses, and noted that there was a large increase in reported time to complete TMA response between the original trials </w:t>
      </w:r>
      <w:r w:rsidR="00A80844" w:rsidRPr="003A48D2">
        <w:rPr>
          <w:iCs/>
        </w:rPr>
        <w:t>(</w:t>
      </w:r>
      <w:r w:rsidR="00A80844" w:rsidRPr="003A48D2">
        <w:rPr>
          <w:iCs/>
        </w:rPr>
        <w:fldChar w:fldCharType="begin" w:fldLock="1"/>
      </w:r>
      <w:r w:rsidR="00A80844" w:rsidRPr="003A48D2">
        <w:rPr>
          <w:iCs/>
        </w:rPr>
        <w:instrText xml:space="preserve"> REF _Ref124328290 \h  \* MERGEFORMAT </w:instrText>
      </w:r>
      <w:r w:rsidR="00A80844" w:rsidRPr="003A48D2">
        <w:rPr>
          <w:iCs/>
        </w:rPr>
      </w:r>
      <w:r w:rsidR="00A80844" w:rsidRPr="003A48D2">
        <w:rPr>
          <w:iCs/>
        </w:rPr>
        <w:fldChar w:fldCharType="separate"/>
      </w:r>
      <w:r w:rsidR="00916EDA" w:rsidRPr="00916EDA">
        <w:rPr>
          <w:iCs/>
        </w:rPr>
        <w:t xml:space="preserve">Table </w:t>
      </w:r>
      <w:r w:rsidR="00916EDA" w:rsidRPr="00916EDA">
        <w:rPr>
          <w:iCs/>
          <w:noProof/>
        </w:rPr>
        <w:t>7</w:t>
      </w:r>
      <w:r w:rsidR="00A80844" w:rsidRPr="003A48D2">
        <w:rPr>
          <w:iCs/>
        </w:rPr>
        <w:fldChar w:fldCharType="end"/>
      </w:r>
      <w:r w:rsidR="00A80844" w:rsidRPr="003A48D2">
        <w:rPr>
          <w:iCs/>
        </w:rPr>
        <w:t xml:space="preserve">) </w:t>
      </w:r>
      <w:r w:rsidR="00487B76" w:rsidRPr="003A48D2">
        <w:rPr>
          <w:iCs/>
        </w:rPr>
        <w:t>and the aITC</w:t>
      </w:r>
      <w:r w:rsidR="00A80844" w:rsidRPr="003A48D2">
        <w:rPr>
          <w:iCs/>
        </w:rPr>
        <w:t xml:space="preserve"> (</w:t>
      </w:r>
      <w:r w:rsidR="00A80844" w:rsidRPr="003A48D2">
        <w:rPr>
          <w:iCs/>
        </w:rPr>
        <w:fldChar w:fldCharType="begin" w:fldLock="1"/>
      </w:r>
      <w:r w:rsidR="00A80844" w:rsidRPr="003A48D2">
        <w:rPr>
          <w:iCs/>
        </w:rPr>
        <w:instrText xml:space="preserve"> REF _Ref124335455 \h  \* MERGEFORMAT </w:instrText>
      </w:r>
      <w:r w:rsidR="00A80844" w:rsidRPr="003A48D2">
        <w:rPr>
          <w:iCs/>
        </w:rPr>
      </w:r>
      <w:r w:rsidR="00A80844" w:rsidRPr="003A48D2">
        <w:rPr>
          <w:iCs/>
        </w:rPr>
        <w:fldChar w:fldCharType="separate"/>
      </w:r>
      <w:r w:rsidR="00916EDA" w:rsidRPr="00916EDA">
        <w:rPr>
          <w:iCs/>
        </w:rPr>
        <w:t xml:space="preserve">Table </w:t>
      </w:r>
      <w:r w:rsidR="00916EDA" w:rsidRPr="00916EDA">
        <w:rPr>
          <w:iCs/>
          <w:noProof/>
        </w:rPr>
        <w:t>8</w:t>
      </w:r>
      <w:r w:rsidR="00A80844" w:rsidRPr="003A48D2">
        <w:rPr>
          <w:iCs/>
        </w:rPr>
        <w:fldChar w:fldCharType="end"/>
      </w:r>
      <w:r w:rsidR="00A80844" w:rsidRPr="003A48D2">
        <w:rPr>
          <w:iCs/>
        </w:rPr>
        <w:t>)</w:t>
      </w:r>
      <w:r w:rsidR="00487B76" w:rsidRPr="003A48D2">
        <w:rPr>
          <w:iCs/>
        </w:rPr>
        <w:t>.</w:t>
      </w:r>
    </w:p>
    <w:p w14:paraId="62C05262" w14:textId="43EAE4EC" w:rsidR="002858F5" w:rsidRPr="00D64D6F" w:rsidRDefault="006C1A09" w:rsidP="00B306AF">
      <w:pPr>
        <w:pStyle w:val="3-BodyText"/>
      </w:pPr>
      <w:r w:rsidRPr="002858F5">
        <w:rPr>
          <w:lang w:val="en-US"/>
        </w:rPr>
        <w:t>Definitions for clinical outcomes, including LDH and platelet normalisation, and creatinine improvement</w:t>
      </w:r>
      <w:r w:rsidR="00B73EDB">
        <w:rPr>
          <w:lang w:val="en-US"/>
        </w:rPr>
        <w:t>,</w:t>
      </w:r>
      <w:r w:rsidR="00142624">
        <w:rPr>
          <w:lang w:val="en-US"/>
        </w:rPr>
        <w:t xml:space="preserve"> and setting</w:t>
      </w:r>
      <w:r w:rsidR="00142624" w:rsidRPr="002858F5">
        <w:rPr>
          <w:lang w:val="en-US"/>
        </w:rPr>
        <w:t xml:space="preserve"> eGFR to a value of 10 mL/min/1.73m</w:t>
      </w:r>
      <w:r w:rsidR="00142624" w:rsidRPr="002858F5">
        <w:rPr>
          <w:vertAlign w:val="superscript"/>
          <w:lang w:val="en-US"/>
        </w:rPr>
        <w:t>2</w:t>
      </w:r>
      <w:r w:rsidR="00142624" w:rsidRPr="002858F5">
        <w:rPr>
          <w:lang w:val="en-US"/>
        </w:rPr>
        <w:t xml:space="preserve"> for patients undergoing dialysis</w:t>
      </w:r>
      <w:r w:rsidRPr="002858F5">
        <w:rPr>
          <w:lang w:val="en-US"/>
        </w:rPr>
        <w:t xml:space="preserve">, </w:t>
      </w:r>
      <w:proofErr w:type="gramStart"/>
      <w:r w:rsidRPr="002858F5">
        <w:rPr>
          <w:lang w:val="en-US"/>
        </w:rPr>
        <w:t>were aligned</w:t>
      </w:r>
      <w:proofErr w:type="gramEnd"/>
      <w:r w:rsidRPr="002858F5">
        <w:rPr>
          <w:lang w:val="en-US"/>
        </w:rPr>
        <w:t xml:space="preserve"> with the ravulizumab clinical study for consistency</w:t>
      </w:r>
      <w:r w:rsidRPr="00D64D6F">
        <w:rPr>
          <w:lang w:val="en-US"/>
        </w:rPr>
        <w:t xml:space="preserve">. </w:t>
      </w:r>
      <w:r w:rsidR="00C31379" w:rsidRPr="00D64D6F">
        <w:rPr>
          <w:lang w:val="en-US"/>
        </w:rPr>
        <w:t xml:space="preserve">It </w:t>
      </w:r>
      <w:proofErr w:type="gramStart"/>
      <w:r w:rsidR="006E51E7" w:rsidRPr="00D64D6F">
        <w:rPr>
          <w:lang w:val="en-US"/>
        </w:rPr>
        <w:t>wa</w:t>
      </w:r>
      <w:r w:rsidR="00C31379" w:rsidRPr="00D64D6F">
        <w:rPr>
          <w:lang w:val="en-US"/>
        </w:rPr>
        <w:t>s stated</w:t>
      </w:r>
      <w:proofErr w:type="gramEnd"/>
      <w:r w:rsidR="00C31379" w:rsidRPr="00D64D6F">
        <w:rPr>
          <w:lang w:val="en-US"/>
        </w:rPr>
        <w:t xml:space="preserve"> that f</w:t>
      </w:r>
      <w:r w:rsidRPr="00D64D6F">
        <w:rPr>
          <w:lang w:val="en-US"/>
        </w:rPr>
        <w:t xml:space="preserve">or the purposes of the aITC, definitions of dialysis status were aligned as closely as possible based on the raw data available for the studies, </w:t>
      </w:r>
      <w:r w:rsidR="00DC1C09" w:rsidRPr="00D64D6F">
        <w:rPr>
          <w:lang w:val="en-US"/>
        </w:rPr>
        <w:t>but that</w:t>
      </w:r>
      <w:r w:rsidRPr="00D64D6F">
        <w:rPr>
          <w:lang w:val="en-US"/>
        </w:rPr>
        <w:t xml:space="preserve"> differences remained. </w:t>
      </w:r>
      <w:r w:rsidR="00DF00E2" w:rsidRPr="00D64D6F">
        <w:rPr>
          <w:lang w:val="en-US"/>
        </w:rPr>
        <w:t>It</w:t>
      </w:r>
      <w:r w:rsidR="00DC1C09" w:rsidRPr="00D64D6F">
        <w:rPr>
          <w:lang w:val="en-US"/>
        </w:rPr>
        <w:t xml:space="preserve"> </w:t>
      </w:r>
      <w:proofErr w:type="gramStart"/>
      <w:r w:rsidR="006E51E7" w:rsidRPr="00D64D6F">
        <w:rPr>
          <w:lang w:val="en-US"/>
        </w:rPr>
        <w:t>wa</w:t>
      </w:r>
      <w:r w:rsidR="00DC1C09" w:rsidRPr="00D64D6F">
        <w:rPr>
          <w:lang w:val="en-US"/>
        </w:rPr>
        <w:t>s</w:t>
      </w:r>
      <w:r w:rsidR="00DF00E2" w:rsidRPr="00D64D6F">
        <w:rPr>
          <w:lang w:val="en-US"/>
        </w:rPr>
        <w:t xml:space="preserve"> further</w:t>
      </w:r>
      <w:r w:rsidR="00DC1C09" w:rsidRPr="00D64D6F">
        <w:rPr>
          <w:lang w:val="en-US"/>
        </w:rPr>
        <w:t xml:space="preserve"> stated</w:t>
      </w:r>
      <w:proofErr w:type="gramEnd"/>
      <w:r w:rsidR="00DC1C09" w:rsidRPr="00D64D6F">
        <w:rPr>
          <w:lang w:val="en-US"/>
        </w:rPr>
        <w:t xml:space="preserve"> that i</w:t>
      </w:r>
      <w:r w:rsidRPr="00D64D6F">
        <w:rPr>
          <w:lang w:val="en-US"/>
        </w:rPr>
        <w:t xml:space="preserve">n the ravulizumab studies and eculizumab C10-003 and C10-004 studies, dialysis at baseline was defined as within 5 days </w:t>
      </w:r>
      <w:r w:rsidR="00D102E5" w:rsidRPr="00D64D6F">
        <w:rPr>
          <w:lang w:val="en-US"/>
        </w:rPr>
        <w:t>before</w:t>
      </w:r>
      <w:r w:rsidRPr="00D64D6F">
        <w:rPr>
          <w:lang w:val="en-US"/>
        </w:rPr>
        <w:t xml:space="preserve"> the first treatment dose, extend</w:t>
      </w:r>
      <w:r w:rsidR="00B0499A" w:rsidRPr="00D64D6F">
        <w:rPr>
          <w:lang w:val="en-US"/>
        </w:rPr>
        <w:t>ing</w:t>
      </w:r>
      <w:r w:rsidRPr="00D64D6F">
        <w:rPr>
          <w:lang w:val="en-US"/>
        </w:rPr>
        <w:t xml:space="preserve"> to 7 days </w:t>
      </w:r>
      <w:r w:rsidR="00D102E5" w:rsidRPr="00D64D6F">
        <w:rPr>
          <w:lang w:val="en-US"/>
        </w:rPr>
        <w:t>before</w:t>
      </w:r>
      <w:r w:rsidRPr="00D64D6F">
        <w:rPr>
          <w:lang w:val="en-US"/>
        </w:rPr>
        <w:t xml:space="preserve"> for the eculizumab C08-002 study</w:t>
      </w:r>
      <w:r w:rsidR="00DC1C09" w:rsidRPr="00D64D6F">
        <w:rPr>
          <w:lang w:val="en-US"/>
        </w:rPr>
        <w:t xml:space="preserve">, </w:t>
      </w:r>
      <w:r w:rsidR="00B0499A" w:rsidRPr="00D64D6F">
        <w:rPr>
          <w:lang w:val="en-US"/>
        </w:rPr>
        <w:t xml:space="preserve">but this is incorrect. In C10-003 and C10-004 the definition </w:t>
      </w:r>
      <w:r w:rsidR="00B0499A" w:rsidRPr="00D64D6F">
        <w:rPr>
          <w:lang w:val="en-US"/>
        </w:rPr>
        <w:lastRenderedPageBreak/>
        <w:t>of baseline dialysis was between 7 days before and 1</w:t>
      </w:r>
      <w:r w:rsidR="007555B6" w:rsidRPr="00D64D6F">
        <w:rPr>
          <w:lang w:val="en-US"/>
        </w:rPr>
        <w:t>4</w:t>
      </w:r>
      <w:r w:rsidR="00B0499A" w:rsidRPr="00D64D6F">
        <w:rPr>
          <w:lang w:val="en-US"/>
        </w:rPr>
        <w:t xml:space="preserve"> days after the first dose of eculizumab</w:t>
      </w:r>
      <w:r w:rsidR="00DF00E2" w:rsidRPr="00D64D6F">
        <w:rPr>
          <w:lang w:val="en-US"/>
        </w:rPr>
        <w:t>, whereas</w:t>
      </w:r>
      <w:r w:rsidR="00B0499A" w:rsidRPr="00D64D6F">
        <w:rPr>
          <w:lang w:val="en-US"/>
        </w:rPr>
        <w:t xml:space="preserve"> in C08-002 the definition was between 56 days before to 15 days after the first dose of eculizumab</w:t>
      </w:r>
      <w:r w:rsidRPr="00D64D6F">
        <w:rPr>
          <w:lang w:val="en-US"/>
        </w:rPr>
        <w:t xml:space="preserve">. </w:t>
      </w:r>
      <w:r w:rsidR="00B0499A" w:rsidRPr="00D64D6F">
        <w:rPr>
          <w:lang w:val="en-US"/>
        </w:rPr>
        <w:t>D</w:t>
      </w:r>
      <w:r w:rsidRPr="00D64D6F">
        <w:rPr>
          <w:lang w:val="en-US"/>
        </w:rPr>
        <w:t xml:space="preserve">ifferences </w:t>
      </w:r>
      <w:r w:rsidR="00B0499A" w:rsidRPr="00D64D6F">
        <w:rPr>
          <w:lang w:val="en-US"/>
        </w:rPr>
        <w:t xml:space="preserve">also </w:t>
      </w:r>
      <w:r w:rsidRPr="00D64D6F">
        <w:rPr>
          <w:lang w:val="en-US"/>
        </w:rPr>
        <w:t xml:space="preserve">exist in the definition of dialysis at endpoint, which </w:t>
      </w:r>
      <w:proofErr w:type="gramStart"/>
      <w:r w:rsidRPr="00D64D6F">
        <w:rPr>
          <w:lang w:val="en-US"/>
        </w:rPr>
        <w:t>was aligned</w:t>
      </w:r>
      <w:proofErr w:type="gramEnd"/>
      <w:r w:rsidRPr="00D64D6F">
        <w:rPr>
          <w:lang w:val="en-US"/>
        </w:rPr>
        <w:t xml:space="preserve"> to definitions of within 5 days of endpoint for ravulizumab studies and within 7 days of endpoint for eculizumab studies</w:t>
      </w:r>
      <w:r w:rsidR="00B0499A" w:rsidRPr="00D64D6F">
        <w:rPr>
          <w:lang w:val="en-US"/>
        </w:rPr>
        <w:t>, but few patients were on dialysis at the study endpoint.</w:t>
      </w:r>
      <w:r w:rsidRPr="00D64D6F">
        <w:t xml:space="preserve"> </w:t>
      </w:r>
    </w:p>
    <w:p w14:paraId="727E9871" w14:textId="77777777" w:rsidR="002858F5" w:rsidRPr="002858F5" w:rsidRDefault="006C1A09" w:rsidP="00B306AF">
      <w:pPr>
        <w:pStyle w:val="3-BodyText"/>
      </w:pPr>
      <w:r w:rsidRPr="00864C9D">
        <w:t xml:space="preserve">Statistical testing was performed on both baseline and endpoint data. </w:t>
      </w:r>
      <w:r>
        <w:t xml:space="preserve">Treatment groups were compared using </w:t>
      </w:r>
      <w:r w:rsidRPr="002858F5">
        <w:rPr>
          <w:lang w:val="en-US"/>
        </w:rPr>
        <w:t>Welch’s two-way t-tests for continuous variables and χ</w:t>
      </w:r>
      <w:r w:rsidRPr="00EC47B5">
        <w:rPr>
          <w:vertAlign w:val="superscript"/>
          <w:lang w:val="en-US"/>
        </w:rPr>
        <w:t>2</w:t>
      </w:r>
      <w:r w:rsidRPr="002858F5">
        <w:rPr>
          <w:lang w:val="en-US"/>
        </w:rPr>
        <w:t xml:space="preserve">-tests were used to obtain p-values for categorical variables. Values between treatments </w:t>
      </w:r>
      <w:proofErr w:type="gramStart"/>
      <w:r w:rsidRPr="002858F5">
        <w:rPr>
          <w:lang w:val="en-US"/>
        </w:rPr>
        <w:t>were assessed</w:t>
      </w:r>
      <w:proofErr w:type="gramEnd"/>
      <w:r w:rsidRPr="002858F5">
        <w:rPr>
          <w:lang w:val="en-US"/>
        </w:rPr>
        <w:t xml:space="preserve"> for differences at p&lt;0.1 at baseline, and p&lt;0.05 at endpoint.</w:t>
      </w:r>
      <w:r w:rsidRPr="00864C9D">
        <w:t xml:space="preserve"> </w:t>
      </w:r>
      <w:r w:rsidRPr="002858F5">
        <w:rPr>
          <w:lang w:val="en-US"/>
        </w:rPr>
        <w:t xml:space="preserve">Confidence intervals (CI) of the difference between ravulizumab and eculizumab </w:t>
      </w:r>
      <w:proofErr w:type="gramStart"/>
      <w:r w:rsidRPr="002858F5">
        <w:rPr>
          <w:lang w:val="en-US"/>
        </w:rPr>
        <w:t>were provided</w:t>
      </w:r>
      <w:proofErr w:type="gramEnd"/>
      <w:r w:rsidRPr="002858F5">
        <w:rPr>
          <w:lang w:val="en-US"/>
        </w:rPr>
        <w:t xml:space="preserve"> for all continuous variables, and CIs of the difference in proportions were provided for categorical variables with binary outcomes.</w:t>
      </w:r>
    </w:p>
    <w:p w14:paraId="2B16AE47" w14:textId="20375919" w:rsidR="002858F5" w:rsidRPr="00D92370" w:rsidRDefault="006C1A09" w:rsidP="00B306AF">
      <w:pPr>
        <w:pStyle w:val="3-BodyText"/>
        <w:rPr>
          <w:lang w:val="en-US"/>
        </w:rPr>
      </w:pPr>
      <w:r w:rsidRPr="002858F5">
        <w:rPr>
          <w:lang w:val="en-US"/>
        </w:rPr>
        <w:t xml:space="preserve">The ‘flow of patients’ that were included in the analysis of the aITC is shown in </w:t>
      </w:r>
      <w:r w:rsidR="006E51E7">
        <w:rPr>
          <w:lang w:val="en-US"/>
        </w:rPr>
        <w:fldChar w:fldCharType="begin" w:fldLock="1"/>
      </w:r>
      <w:r w:rsidR="006E51E7">
        <w:rPr>
          <w:lang w:val="en-US"/>
        </w:rPr>
        <w:instrText xml:space="preserve"> REF _Ref118879036 \h </w:instrText>
      </w:r>
      <w:r w:rsidR="006E51E7">
        <w:rPr>
          <w:lang w:val="en-US"/>
        </w:rPr>
      </w:r>
      <w:r w:rsidR="006E51E7">
        <w:rPr>
          <w:lang w:val="en-US"/>
        </w:rPr>
        <w:fldChar w:fldCharType="separate"/>
      </w:r>
      <w:r w:rsidR="00916EDA">
        <w:t xml:space="preserve">Figure </w:t>
      </w:r>
      <w:r w:rsidR="00916EDA">
        <w:rPr>
          <w:noProof/>
        </w:rPr>
        <w:t>1</w:t>
      </w:r>
      <w:r w:rsidR="006E51E7">
        <w:rPr>
          <w:lang w:val="en-US"/>
        </w:rPr>
        <w:fldChar w:fldCharType="end"/>
      </w:r>
      <w:r w:rsidR="006E51E7">
        <w:rPr>
          <w:lang w:val="en-US"/>
        </w:rPr>
        <w:t xml:space="preserve"> </w:t>
      </w:r>
      <w:r w:rsidRPr="002858F5">
        <w:rPr>
          <w:lang w:val="en-US"/>
        </w:rPr>
        <w:t xml:space="preserve">below and the results for the hematological outcomes at 26 weeks are shown in </w:t>
      </w:r>
      <w:r w:rsidR="00113A1F" w:rsidRPr="00D92370">
        <w:rPr>
          <w:lang w:val="en-US"/>
        </w:rPr>
        <w:fldChar w:fldCharType="begin" w:fldLock="1"/>
      </w:r>
      <w:r w:rsidR="00113A1F" w:rsidRPr="00D92370">
        <w:rPr>
          <w:lang w:val="en-US"/>
        </w:rPr>
        <w:instrText xml:space="preserve"> REF _Ref124335455 \h </w:instrText>
      </w:r>
      <w:r w:rsidR="00D92370">
        <w:rPr>
          <w:lang w:val="en-US"/>
        </w:rPr>
        <w:instrText xml:space="preserve"> \* MERGEFORMAT </w:instrText>
      </w:r>
      <w:r w:rsidR="00113A1F" w:rsidRPr="00D92370">
        <w:rPr>
          <w:lang w:val="en-US"/>
        </w:rPr>
      </w:r>
      <w:r w:rsidR="00113A1F" w:rsidRPr="00D92370">
        <w:rPr>
          <w:lang w:val="en-US"/>
        </w:rPr>
        <w:fldChar w:fldCharType="separate"/>
      </w:r>
      <w:r w:rsidR="00916EDA">
        <w:t xml:space="preserve">Table </w:t>
      </w:r>
      <w:r w:rsidR="00916EDA">
        <w:rPr>
          <w:noProof/>
        </w:rPr>
        <w:t>8</w:t>
      </w:r>
      <w:r w:rsidR="00113A1F" w:rsidRPr="00D92370">
        <w:rPr>
          <w:lang w:val="en-US"/>
        </w:rPr>
        <w:fldChar w:fldCharType="end"/>
      </w:r>
      <w:r w:rsidR="00113A1F" w:rsidRPr="00D92370">
        <w:rPr>
          <w:lang w:val="en-US"/>
        </w:rPr>
        <w:t>.</w:t>
      </w:r>
    </w:p>
    <w:p w14:paraId="7B69294F" w14:textId="7845FD1D" w:rsidR="006C1A09" w:rsidRPr="00D64D6F" w:rsidRDefault="00DF00E2" w:rsidP="00B306AF">
      <w:pPr>
        <w:pStyle w:val="3-BodyText"/>
        <w:rPr>
          <w:lang w:val="en-US"/>
        </w:rPr>
      </w:pPr>
      <w:r w:rsidRPr="00D92370">
        <w:fldChar w:fldCharType="begin" w:fldLock="1"/>
      </w:r>
      <w:r w:rsidRPr="00D92370">
        <w:instrText xml:space="preserve"> REF _Ref118879036 \h  \* MERGEFORMAT </w:instrText>
      </w:r>
      <w:r w:rsidRPr="00D92370">
        <w:fldChar w:fldCharType="separate"/>
      </w:r>
      <w:r w:rsidR="00916EDA">
        <w:t xml:space="preserve">Figure </w:t>
      </w:r>
      <w:r w:rsidR="00916EDA">
        <w:rPr>
          <w:noProof/>
        </w:rPr>
        <w:t>1</w:t>
      </w:r>
      <w:r w:rsidRPr="00D92370">
        <w:fldChar w:fldCharType="end"/>
      </w:r>
      <w:r w:rsidR="00D279E2" w:rsidRPr="00D92370">
        <w:t xml:space="preserve"> shows</w:t>
      </w:r>
      <w:r w:rsidR="006C1A09" w:rsidRPr="00D92370">
        <w:t xml:space="preserve"> that nearly half of the patients in the studies were not included in the analysis.</w:t>
      </w:r>
      <w:r w:rsidR="008B5813" w:rsidRPr="00D92370">
        <w:t xml:space="preserve"> The sm</w:t>
      </w:r>
      <w:r w:rsidR="008B5813" w:rsidRPr="00D64D6F">
        <w:t xml:space="preserve">aller numbers and consequently wider </w:t>
      </w:r>
      <w:r w:rsidR="00D279E2">
        <w:t>CIs</w:t>
      </w:r>
      <w:r w:rsidR="008B5813" w:rsidRPr="00D64D6F">
        <w:t xml:space="preserve"> reduce the chance of finding differences between the cohorts</w:t>
      </w:r>
      <w:r w:rsidR="006669A1" w:rsidRPr="00D64D6F">
        <w:t xml:space="preserve"> to be statistically significant</w:t>
      </w:r>
      <w:r w:rsidR="008B5813" w:rsidRPr="00D64D6F">
        <w:t xml:space="preserve">. </w:t>
      </w:r>
      <w:r w:rsidR="006C1A09" w:rsidRPr="00D64D6F">
        <w:t xml:space="preserve">Notwithstanding the statistical analyses used to adjust for potential confounding, the results of the analysis are likely to be biased </w:t>
      </w:r>
      <w:r w:rsidR="00BD20EC" w:rsidRPr="00D64D6F">
        <w:t>because it was not possible to include</w:t>
      </w:r>
      <w:r w:rsidR="00F04B5F" w:rsidRPr="00D64D6F">
        <w:t xml:space="preserve"> in the propensity score </w:t>
      </w:r>
      <w:r w:rsidR="00BD20EC" w:rsidRPr="00D64D6F">
        <w:t>some factors known to influence</w:t>
      </w:r>
      <w:r w:rsidR="00F04B5F" w:rsidRPr="00D64D6F">
        <w:t xml:space="preserve"> outcome</w:t>
      </w:r>
      <w:r w:rsidR="00BD20EC" w:rsidRPr="00D64D6F">
        <w:t>, and those factors favour ravulizumab. T</w:t>
      </w:r>
      <w:r w:rsidR="007555B6" w:rsidRPr="00D64D6F">
        <w:t>he use of an outcome different from the primary outcome in the studies</w:t>
      </w:r>
      <w:r w:rsidR="00BD20EC" w:rsidRPr="00D64D6F">
        <w:t xml:space="preserve"> also makes t</w:t>
      </w:r>
      <w:r w:rsidR="006C1A09" w:rsidRPr="00D64D6F">
        <w:t xml:space="preserve">he results difficult to interpret. </w:t>
      </w:r>
    </w:p>
    <w:p w14:paraId="180241C7" w14:textId="0025B1DA" w:rsidR="00216A7D" w:rsidRPr="00D64D6F" w:rsidRDefault="00674093" w:rsidP="00B306AF">
      <w:pPr>
        <w:pStyle w:val="3-BodyText"/>
        <w:rPr>
          <w:lang w:val="en-US"/>
        </w:rPr>
      </w:pPr>
      <w:r w:rsidRPr="00D64D6F">
        <w:rPr>
          <w:lang w:val="en-US"/>
        </w:rPr>
        <w:t xml:space="preserve">As an example of the difficulty in interpretation the </w:t>
      </w:r>
      <w:r w:rsidR="00053239" w:rsidRPr="00D64D6F">
        <w:rPr>
          <w:lang w:val="en-US"/>
        </w:rPr>
        <w:t xml:space="preserve">change in outcome measure in the </w:t>
      </w:r>
      <w:r w:rsidRPr="00D64D6F">
        <w:rPr>
          <w:lang w:val="en-US"/>
        </w:rPr>
        <w:t>aITC creates</w:t>
      </w:r>
      <w:r w:rsidR="00216A7D" w:rsidRPr="00D64D6F">
        <w:rPr>
          <w:lang w:val="en-US"/>
        </w:rPr>
        <w:t>, the median time to complete TMA response</w:t>
      </w:r>
      <w:r w:rsidR="00BD20EC" w:rsidRPr="00D64D6F">
        <w:rPr>
          <w:lang w:val="en-US"/>
        </w:rPr>
        <w:t xml:space="preserve"> in the </w:t>
      </w:r>
      <w:r w:rsidR="00110EB3" w:rsidRPr="00D64D6F">
        <w:rPr>
          <w:lang w:val="en-US"/>
        </w:rPr>
        <w:t>original studies</w:t>
      </w:r>
      <w:r w:rsidR="00BD20EC" w:rsidRPr="00D64D6F">
        <w:rPr>
          <w:lang w:val="en-US"/>
        </w:rPr>
        <w:t xml:space="preserve"> favoured eculizumab: </w:t>
      </w:r>
      <w:r w:rsidR="00216A7D" w:rsidRPr="00D64D6F">
        <w:rPr>
          <w:lang w:val="en-US"/>
        </w:rPr>
        <w:t>86 days</w:t>
      </w:r>
      <w:r w:rsidR="00200F73" w:rsidRPr="00D64D6F">
        <w:rPr>
          <w:lang w:val="en-US"/>
        </w:rPr>
        <w:t xml:space="preserve"> in Study 311, </w:t>
      </w:r>
      <w:r w:rsidR="00A23C65" w:rsidRPr="00D64D6F">
        <w:rPr>
          <w:lang w:val="en-US"/>
        </w:rPr>
        <w:t>somewhat greater than the</w:t>
      </w:r>
      <w:r w:rsidR="00200F73" w:rsidRPr="00D64D6F">
        <w:rPr>
          <w:lang w:val="en-US"/>
        </w:rPr>
        <w:t xml:space="preserve"> 57 days and 64 days in Studies C10-004 and C10-003 respectively </w:t>
      </w:r>
      <w:r w:rsidR="00216A7D" w:rsidRPr="00D64D6F">
        <w:rPr>
          <w:lang w:val="en-US"/>
        </w:rPr>
        <w:t xml:space="preserve">(see </w:t>
      </w:r>
      <w:r w:rsidR="000A363D" w:rsidRPr="00D64D6F">
        <w:rPr>
          <w:lang w:val="en-US"/>
        </w:rPr>
        <w:fldChar w:fldCharType="begin" w:fldLock="1"/>
      </w:r>
      <w:r w:rsidR="000A363D" w:rsidRPr="00D64D6F">
        <w:rPr>
          <w:lang w:val="en-US"/>
        </w:rPr>
        <w:instrText xml:space="preserve"> REF _Ref124328290 \h </w:instrText>
      </w:r>
      <w:r w:rsidR="00D64D6F">
        <w:rPr>
          <w:lang w:val="en-US"/>
        </w:rPr>
        <w:instrText xml:space="preserve"> \* MERGEFORMAT </w:instrText>
      </w:r>
      <w:r w:rsidR="000A363D" w:rsidRPr="00D64D6F">
        <w:rPr>
          <w:lang w:val="en-US"/>
        </w:rPr>
      </w:r>
      <w:r w:rsidR="000A363D" w:rsidRPr="00D64D6F">
        <w:rPr>
          <w:lang w:val="en-US"/>
        </w:rPr>
        <w:fldChar w:fldCharType="separate"/>
      </w:r>
      <w:r w:rsidR="00916EDA" w:rsidRPr="000D046C">
        <w:t xml:space="preserve">Table </w:t>
      </w:r>
      <w:r w:rsidR="00916EDA">
        <w:rPr>
          <w:noProof/>
        </w:rPr>
        <w:t>7</w:t>
      </w:r>
      <w:r w:rsidR="000A363D" w:rsidRPr="00D64D6F">
        <w:rPr>
          <w:lang w:val="en-US"/>
        </w:rPr>
        <w:fldChar w:fldCharType="end"/>
      </w:r>
      <w:r w:rsidR="00216A7D" w:rsidRPr="00D64D6F">
        <w:rPr>
          <w:lang w:val="en-US"/>
        </w:rPr>
        <w:t xml:space="preserve">), but in the aITC the mean time to complete TMA response </w:t>
      </w:r>
      <w:r w:rsidR="00BD20EC" w:rsidRPr="00D64D6F">
        <w:rPr>
          <w:lang w:val="en-US"/>
        </w:rPr>
        <w:t xml:space="preserve">favoured ravulizumab: </w:t>
      </w:r>
      <w:r w:rsidR="00216A7D" w:rsidRPr="00D64D6F">
        <w:rPr>
          <w:lang w:val="en-US"/>
        </w:rPr>
        <w:t>156 days</w:t>
      </w:r>
      <w:r w:rsidR="00BD20EC" w:rsidRPr="00D64D6F">
        <w:rPr>
          <w:lang w:val="en-US"/>
        </w:rPr>
        <w:t xml:space="preserve"> vs</w:t>
      </w:r>
      <w:r w:rsidR="00200F73" w:rsidRPr="00D64D6F">
        <w:rPr>
          <w:lang w:val="en-US"/>
        </w:rPr>
        <w:t xml:space="preserve"> 169 days with eculizumab, </w:t>
      </w:r>
      <w:r w:rsidR="00216A7D" w:rsidRPr="00D64D6F">
        <w:rPr>
          <w:lang w:val="en-US"/>
        </w:rPr>
        <w:t xml:space="preserve">because of the use of </w:t>
      </w:r>
      <w:r w:rsidR="00D279E2">
        <w:rPr>
          <w:lang w:val="en-US"/>
        </w:rPr>
        <w:t>D</w:t>
      </w:r>
      <w:r w:rsidR="00216A7D" w:rsidRPr="00D64D6F">
        <w:rPr>
          <w:lang w:val="en-US"/>
        </w:rPr>
        <w:t xml:space="preserve">ay 183 data to define the outcome. </w:t>
      </w:r>
    </w:p>
    <w:p w14:paraId="43B55452" w14:textId="47EFA868" w:rsidR="006C1A09" w:rsidRDefault="006E51E7" w:rsidP="006E51E7">
      <w:pPr>
        <w:pStyle w:val="Caption"/>
        <w:rPr>
          <w:lang w:val="en-US"/>
        </w:rPr>
      </w:pPr>
      <w:bookmarkStart w:id="39" w:name="_Ref118879036"/>
      <w:r>
        <w:lastRenderedPageBreak/>
        <w:t xml:space="preserve">Figure </w:t>
      </w:r>
      <w:r>
        <w:fldChar w:fldCharType="begin" w:fldLock="1"/>
      </w:r>
      <w:r>
        <w:instrText>SEQ Figure \* ARABIC</w:instrText>
      </w:r>
      <w:r>
        <w:fldChar w:fldCharType="separate"/>
      </w:r>
      <w:r w:rsidR="00916EDA">
        <w:rPr>
          <w:noProof/>
        </w:rPr>
        <w:t>1</w:t>
      </w:r>
      <w:r>
        <w:fldChar w:fldCharType="end"/>
      </w:r>
      <w:bookmarkEnd w:id="39"/>
      <w:r>
        <w:t xml:space="preserve">: </w:t>
      </w:r>
      <w:r w:rsidR="006C1A09">
        <w:rPr>
          <w:lang w:val="en-US"/>
        </w:rPr>
        <w:t>Flow of patients in the adjusted ITC dataset</w:t>
      </w:r>
    </w:p>
    <w:p w14:paraId="1E70975F" w14:textId="77777777" w:rsidR="006C1A09" w:rsidRDefault="006C1A09" w:rsidP="006C1A09">
      <w:pPr>
        <w:rPr>
          <w:lang w:val="en-US"/>
        </w:rPr>
      </w:pPr>
      <w:r w:rsidRPr="007815D4">
        <w:rPr>
          <w:noProof/>
        </w:rPr>
        <w:drawing>
          <wp:inline distT="0" distB="0" distL="0" distR="0" wp14:anchorId="089302B2" wp14:editId="36B444B6">
            <wp:extent cx="4572000" cy="2795577"/>
            <wp:effectExtent l="0" t="0" r="0" b="0"/>
            <wp:docPr id="2" name="Picture 2" descr="Figure 1: Flow of patients in the adjusted ITC data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Flow of patients in the adjusted ITC dataset"/>
                    <pic:cNvPicPr/>
                  </pic:nvPicPr>
                  <pic:blipFill>
                    <a:blip r:embed="rId8" cstate="screen">
                      <a:extLst>
                        <a:ext uri="{28A0092B-C50C-407E-A947-70E740481C1C}">
                          <a14:useLocalDpi xmlns:a14="http://schemas.microsoft.com/office/drawing/2010/main"/>
                        </a:ext>
                      </a:extLst>
                    </a:blip>
                    <a:stretch>
                      <a:fillRect/>
                    </a:stretch>
                  </pic:blipFill>
                  <pic:spPr>
                    <a:xfrm>
                      <a:off x="0" y="0"/>
                      <a:ext cx="4585733" cy="2803974"/>
                    </a:xfrm>
                    <a:prstGeom prst="rect">
                      <a:avLst/>
                    </a:prstGeom>
                  </pic:spPr>
                </pic:pic>
              </a:graphicData>
            </a:graphic>
          </wp:inline>
        </w:drawing>
      </w:r>
    </w:p>
    <w:p w14:paraId="0C8EDCCF" w14:textId="41519964" w:rsidR="00D279E2" w:rsidRDefault="006C1A09" w:rsidP="000444AD">
      <w:pPr>
        <w:pStyle w:val="TableFooter"/>
        <w:rPr>
          <w:vertAlign w:val="superscript"/>
        </w:rPr>
      </w:pPr>
      <w:r>
        <w:t>Source: Figure 10, p75 of the submission.</w:t>
      </w:r>
    </w:p>
    <w:p w14:paraId="78F9D2E1" w14:textId="7276792D" w:rsidR="000444AD" w:rsidRPr="000444AD" w:rsidRDefault="000444AD" w:rsidP="000444AD">
      <w:pPr>
        <w:pStyle w:val="TableFooter"/>
      </w:pPr>
      <w:r w:rsidRPr="000444AD">
        <w:rPr>
          <w:vertAlign w:val="superscript"/>
        </w:rPr>
        <w:t>a</w:t>
      </w:r>
      <w:r w:rsidRPr="000444AD">
        <w:t xml:space="preserve"> Data from eculizumab trial C08-003 were excluded owing to the study being conducted in a different patient population (patients were receiving long-term maintenance plasma therapy at baseline and, consequently, had normal platelet counts).</w:t>
      </w:r>
    </w:p>
    <w:p w14:paraId="231C0876" w14:textId="7B71CA43" w:rsidR="000444AD" w:rsidRPr="000444AD" w:rsidRDefault="000444AD" w:rsidP="000444AD">
      <w:pPr>
        <w:pStyle w:val="TableFooter"/>
      </w:pPr>
      <w:r w:rsidRPr="000444AD">
        <w:rPr>
          <w:vertAlign w:val="superscript"/>
        </w:rPr>
        <w:t xml:space="preserve">b </w:t>
      </w:r>
      <w:r w:rsidR="00D279E2">
        <w:rPr>
          <w:vertAlign w:val="superscript"/>
        </w:rPr>
        <w:t>‘</w:t>
      </w:r>
      <w:r w:rsidRPr="000444AD">
        <w:t>All patients</w:t>
      </w:r>
      <w:r w:rsidR="00D279E2">
        <w:t>’</w:t>
      </w:r>
      <w:r w:rsidRPr="000444AD">
        <w:t xml:space="preserve"> represents the maximum possible number of patients before the application of missing data restrictions for each subgroup by treatment.</w:t>
      </w:r>
    </w:p>
    <w:p w14:paraId="5B594DBE" w14:textId="7F20C511" w:rsidR="006C1A09" w:rsidRDefault="000444AD" w:rsidP="000B3185">
      <w:pPr>
        <w:pStyle w:val="TableFooter"/>
        <w:spacing w:after="120"/>
      </w:pPr>
      <w:r w:rsidRPr="000444AD">
        <w:rPr>
          <w:vertAlign w:val="superscript"/>
        </w:rPr>
        <w:t>c</w:t>
      </w:r>
      <w:r w:rsidRPr="000444AD">
        <w:t xml:space="preserve"> Patient numbers for primary analysis represent patients with complete cases for propensity score variables, with a maximum of one missing laboratory measure and outcome data within 56 days of the 6-month endpoint.</w:t>
      </w:r>
    </w:p>
    <w:p w14:paraId="0C086112" w14:textId="284957F1" w:rsidR="006C1A09" w:rsidRDefault="009A17EB" w:rsidP="009A17EB">
      <w:pPr>
        <w:pStyle w:val="Caption"/>
      </w:pPr>
      <w:bookmarkStart w:id="40" w:name="_Ref124335455"/>
      <w:r>
        <w:t xml:space="preserve">Table </w:t>
      </w:r>
      <w:r>
        <w:fldChar w:fldCharType="begin" w:fldLock="1"/>
      </w:r>
      <w:r>
        <w:instrText>SEQ Table \* ARABIC</w:instrText>
      </w:r>
      <w:r>
        <w:fldChar w:fldCharType="separate"/>
      </w:r>
      <w:r w:rsidR="00916EDA">
        <w:rPr>
          <w:noProof/>
        </w:rPr>
        <w:t>8</w:t>
      </w:r>
      <w:r>
        <w:fldChar w:fldCharType="end"/>
      </w:r>
      <w:bookmarkEnd w:id="40"/>
      <w:r>
        <w:t>: Results</w:t>
      </w:r>
      <w:r w:rsidR="006C1A09" w:rsidRPr="0089275D">
        <w:rPr>
          <w:rStyle w:val="CommentReference"/>
          <w:b/>
          <w:szCs w:val="24"/>
        </w:rPr>
        <w:t xml:space="preserve"> of the indirect comparison </w:t>
      </w:r>
    </w:p>
    <w:tbl>
      <w:tblPr>
        <w:tblW w:w="5000" w:type="pct"/>
        <w:tblLayout w:type="fixed"/>
        <w:tblLook w:val="04A0" w:firstRow="1" w:lastRow="0" w:firstColumn="1" w:lastColumn="0" w:noHBand="0" w:noVBand="1"/>
      </w:tblPr>
      <w:tblGrid>
        <w:gridCol w:w="2264"/>
        <w:gridCol w:w="1134"/>
        <w:gridCol w:w="1913"/>
        <w:gridCol w:w="1915"/>
        <w:gridCol w:w="1791"/>
      </w:tblGrid>
      <w:tr w:rsidR="006C1A09" w:rsidRPr="00800C47" w14:paraId="2C076C8A" w14:textId="77777777" w:rsidTr="004C44CA">
        <w:trPr>
          <w:trHeight w:val="160"/>
          <w:tblHeader/>
        </w:trPr>
        <w:tc>
          <w:tcPr>
            <w:tcW w:w="1255" w:type="pct"/>
            <w:tcBorders>
              <w:top w:val="single" w:sz="4" w:space="0" w:color="auto"/>
              <w:left w:val="single" w:sz="4" w:space="0" w:color="auto"/>
              <w:bottom w:val="single" w:sz="4" w:space="0" w:color="auto"/>
              <w:right w:val="nil"/>
            </w:tcBorders>
            <w:shd w:val="clear" w:color="auto" w:fill="auto"/>
            <w:noWrap/>
            <w:hideMark/>
          </w:tcPr>
          <w:p w14:paraId="3880AA5C" w14:textId="77777777" w:rsidR="006C1A09" w:rsidRPr="00800C47" w:rsidRDefault="006C1A09" w:rsidP="004C44CA">
            <w:pPr>
              <w:pStyle w:val="TableText0"/>
            </w:pP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3B145574" w14:textId="77777777" w:rsidR="006C1A09" w:rsidRPr="00800C47" w:rsidRDefault="006C1A09" w:rsidP="004C44CA">
            <w:pPr>
              <w:pStyle w:val="TableText0"/>
            </w:pPr>
          </w:p>
        </w:tc>
        <w:tc>
          <w:tcPr>
            <w:tcW w:w="1061" w:type="pct"/>
            <w:tcBorders>
              <w:top w:val="single" w:sz="4" w:space="0" w:color="auto"/>
              <w:left w:val="single" w:sz="4" w:space="0" w:color="auto"/>
              <w:bottom w:val="single" w:sz="4" w:space="0" w:color="auto"/>
              <w:right w:val="nil"/>
            </w:tcBorders>
            <w:shd w:val="clear" w:color="auto" w:fill="auto"/>
            <w:noWrap/>
            <w:vAlign w:val="center"/>
            <w:hideMark/>
          </w:tcPr>
          <w:p w14:paraId="161F084D" w14:textId="77777777" w:rsidR="006C1A09" w:rsidRPr="00800C47" w:rsidRDefault="006C1A09" w:rsidP="004C44CA">
            <w:pPr>
              <w:pStyle w:val="In-tableHeading"/>
            </w:pPr>
            <w:r w:rsidRPr="00800C47">
              <w:t>Eculizumab (N=39)</w:t>
            </w:r>
          </w:p>
        </w:tc>
        <w:tc>
          <w:tcPr>
            <w:tcW w:w="1062" w:type="pct"/>
            <w:tcBorders>
              <w:top w:val="single" w:sz="4" w:space="0" w:color="auto"/>
              <w:left w:val="nil"/>
              <w:bottom w:val="single" w:sz="4" w:space="0" w:color="auto"/>
              <w:right w:val="single" w:sz="4" w:space="0" w:color="auto"/>
            </w:tcBorders>
            <w:shd w:val="clear" w:color="auto" w:fill="auto"/>
            <w:noWrap/>
            <w:vAlign w:val="center"/>
            <w:hideMark/>
          </w:tcPr>
          <w:p w14:paraId="3F8E3E8D" w14:textId="77777777" w:rsidR="006C1A09" w:rsidRPr="00800C47" w:rsidRDefault="006C1A09" w:rsidP="004C44CA">
            <w:pPr>
              <w:pStyle w:val="In-tableHeading"/>
            </w:pPr>
            <w:r w:rsidRPr="00800C47">
              <w:t>Ravulizumab (N=46)</w:t>
            </w:r>
          </w:p>
        </w:tc>
        <w:tc>
          <w:tcPr>
            <w:tcW w:w="993" w:type="pct"/>
            <w:tcBorders>
              <w:top w:val="single" w:sz="4" w:space="0" w:color="auto"/>
              <w:left w:val="nil"/>
              <w:bottom w:val="single" w:sz="4" w:space="0" w:color="auto"/>
              <w:right w:val="single" w:sz="4" w:space="0" w:color="auto"/>
            </w:tcBorders>
            <w:shd w:val="clear" w:color="auto" w:fill="auto"/>
            <w:noWrap/>
            <w:vAlign w:val="center"/>
            <w:hideMark/>
          </w:tcPr>
          <w:p w14:paraId="4F027320" w14:textId="77777777" w:rsidR="006C1A09" w:rsidRPr="00800C47" w:rsidRDefault="006C1A09" w:rsidP="004C44CA">
            <w:pPr>
              <w:pStyle w:val="In-tableHeading"/>
            </w:pPr>
            <w:r w:rsidRPr="00800C47">
              <w:t xml:space="preserve">p-value (95% </w:t>
            </w:r>
            <w:proofErr w:type="gramStart"/>
            <w:r w:rsidRPr="00800C47">
              <w:t>CI)</w:t>
            </w:r>
            <w:r w:rsidRPr="00800C47">
              <w:rPr>
                <w:vertAlign w:val="superscript"/>
              </w:rPr>
              <w:t>a</w:t>
            </w:r>
            <w:proofErr w:type="gramEnd"/>
          </w:p>
        </w:tc>
      </w:tr>
      <w:tr w:rsidR="006C1A09" w:rsidRPr="00800C47" w14:paraId="29951006" w14:textId="77777777" w:rsidTr="004C44CA">
        <w:trPr>
          <w:trHeight w:val="160"/>
        </w:trPr>
        <w:tc>
          <w:tcPr>
            <w:tcW w:w="1255" w:type="pct"/>
            <w:tcBorders>
              <w:top w:val="nil"/>
              <w:left w:val="single" w:sz="4" w:space="0" w:color="000000"/>
              <w:bottom w:val="single" w:sz="4" w:space="0" w:color="auto"/>
              <w:right w:val="nil"/>
            </w:tcBorders>
            <w:shd w:val="clear" w:color="auto" w:fill="auto"/>
            <w:noWrap/>
          </w:tcPr>
          <w:p w14:paraId="33DBC2C6" w14:textId="77777777" w:rsidR="006C1A09" w:rsidRPr="00800C47" w:rsidRDefault="006C1A09" w:rsidP="004C44CA">
            <w:pPr>
              <w:pStyle w:val="TableText0"/>
            </w:pPr>
            <w:r w:rsidRPr="00800C47">
              <w:t>Effective sample size</w:t>
            </w:r>
          </w:p>
        </w:tc>
        <w:tc>
          <w:tcPr>
            <w:tcW w:w="629" w:type="pct"/>
            <w:tcBorders>
              <w:top w:val="nil"/>
              <w:left w:val="nil"/>
              <w:bottom w:val="single" w:sz="4" w:space="0" w:color="auto"/>
              <w:right w:val="nil"/>
            </w:tcBorders>
          </w:tcPr>
          <w:p w14:paraId="10CBFB34" w14:textId="77777777" w:rsidR="006C1A09" w:rsidRPr="00800C47" w:rsidRDefault="006C1A09" w:rsidP="004C44CA">
            <w:pPr>
              <w:pStyle w:val="TableText0"/>
            </w:pPr>
          </w:p>
        </w:tc>
        <w:tc>
          <w:tcPr>
            <w:tcW w:w="1061" w:type="pct"/>
            <w:tcBorders>
              <w:top w:val="nil"/>
              <w:left w:val="nil"/>
              <w:bottom w:val="single" w:sz="4" w:space="0" w:color="auto"/>
              <w:right w:val="nil"/>
            </w:tcBorders>
            <w:shd w:val="clear" w:color="auto" w:fill="auto"/>
            <w:noWrap/>
          </w:tcPr>
          <w:p w14:paraId="7C70A220" w14:textId="77777777" w:rsidR="006C1A09" w:rsidRPr="00800C47" w:rsidRDefault="006C1A09" w:rsidP="004C44CA">
            <w:pPr>
              <w:pStyle w:val="TableText0"/>
            </w:pPr>
            <w:r w:rsidRPr="00800C47">
              <w:t>39.0</w:t>
            </w:r>
          </w:p>
        </w:tc>
        <w:tc>
          <w:tcPr>
            <w:tcW w:w="1062" w:type="pct"/>
            <w:tcBorders>
              <w:top w:val="nil"/>
              <w:left w:val="nil"/>
              <w:bottom w:val="single" w:sz="4" w:space="0" w:color="auto"/>
              <w:right w:val="single" w:sz="4" w:space="0" w:color="000000"/>
            </w:tcBorders>
            <w:shd w:val="clear" w:color="auto" w:fill="auto"/>
            <w:noWrap/>
          </w:tcPr>
          <w:p w14:paraId="08089439" w14:textId="77777777" w:rsidR="006C1A09" w:rsidRPr="00800C47" w:rsidRDefault="006C1A09" w:rsidP="004C44CA">
            <w:pPr>
              <w:pStyle w:val="TableText0"/>
            </w:pPr>
            <w:r w:rsidRPr="00800C47">
              <w:t>46.0</w:t>
            </w:r>
          </w:p>
        </w:tc>
        <w:tc>
          <w:tcPr>
            <w:tcW w:w="993" w:type="pct"/>
            <w:tcBorders>
              <w:top w:val="nil"/>
              <w:left w:val="nil"/>
              <w:bottom w:val="single" w:sz="4" w:space="0" w:color="auto"/>
              <w:right w:val="single" w:sz="4" w:space="0" w:color="000000"/>
            </w:tcBorders>
            <w:shd w:val="clear" w:color="auto" w:fill="auto"/>
            <w:noWrap/>
            <w:vAlign w:val="bottom"/>
          </w:tcPr>
          <w:p w14:paraId="4C2B0614" w14:textId="77777777" w:rsidR="006C1A09" w:rsidRPr="00800C47" w:rsidRDefault="006C1A09" w:rsidP="004C44CA">
            <w:pPr>
              <w:pStyle w:val="TableText0"/>
            </w:pPr>
            <w:r w:rsidRPr="00800C47">
              <w:t xml:space="preserve"> </w:t>
            </w:r>
          </w:p>
        </w:tc>
      </w:tr>
      <w:tr w:rsidR="006C1A09" w:rsidRPr="00800C47" w14:paraId="3CD2FC43" w14:textId="77777777" w:rsidTr="004C44CA">
        <w:trPr>
          <w:trHeight w:val="160"/>
        </w:trPr>
        <w:tc>
          <w:tcPr>
            <w:tcW w:w="1255" w:type="pct"/>
            <w:tcBorders>
              <w:top w:val="single" w:sz="4" w:space="0" w:color="auto"/>
              <w:left w:val="single" w:sz="4" w:space="0" w:color="auto"/>
              <w:bottom w:val="single" w:sz="4" w:space="0" w:color="auto"/>
              <w:right w:val="single" w:sz="4" w:space="0" w:color="auto"/>
            </w:tcBorders>
            <w:shd w:val="clear" w:color="auto" w:fill="auto"/>
            <w:noWrap/>
          </w:tcPr>
          <w:p w14:paraId="56947917" w14:textId="77777777" w:rsidR="006C1A09" w:rsidRPr="00800C47" w:rsidRDefault="006C1A09" w:rsidP="004C44CA">
            <w:pPr>
              <w:pStyle w:val="TableText0"/>
            </w:pPr>
            <w:r w:rsidRPr="00800C47">
              <w:t xml:space="preserve">Complete TMA response </w:t>
            </w:r>
          </w:p>
        </w:tc>
        <w:tc>
          <w:tcPr>
            <w:tcW w:w="629" w:type="pct"/>
            <w:tcBorders>
              <w:top w:val="single" w:sz="4" w:space="0" w:color="auto"/>
              <w:left w:val="single" w:sz="4" w:space="0" w:color="auto"/>
              <w:bottom w:val="single" w:sz="4" w:space="0" w:color="auto"/>
              <w:right w:val="single" w:sz="4" w:space="0" w:color="auto"/>
            </w:tcBorders>
          </w:tcPr>
          <w:p w14:paraId="18F64911" w14:textId="77777777" w:rsidR="006C1A09" w:rsidRPr="00800C47" w:rsidRDefault="006C1A09" w:rsidP="004C44CA">
            <w:pPr>
              <w:pStyle w:val="TableText0"/>
            </w:pPr>
            <w:r w:rsidRPr="00800C47">
              <w:t>Yes</w:t>
            </w:r>
          </w:p>
        </w:tc>
        <w:tc>
          <w:tcPr>
            <w:tcW w:w="1061" w:type="pct"/>
            <w:tcBorders>
              <w:top w:val="single" w:sz="4" w:space="0" w:color="auto"/>
              <w:left w:val="single" w:sz="4" w:space="0" w:color="auto"/>
              <w:bottom w:val="single" w:sz="4" w:space="0" w:color="auto"/>
              <w:right w:val="single" w:sz="4" w:space="0" w:color="auto"/>
            </w:tcBorders>
            <w:shd w:val="clear" w:color="auto" w:fill="auto"/>
            <w:noWrap/>
          </w:tcPr>
          <w:p w14:paraId="3B5DBF42" w14:textId="77777777" w:rsidR="006C1A09" w:rsidRPr="00800C47" w:rsidRDefault="006C1A09" w:rsidP="004C44CA">
            <w:pPr>
              <w:pStyle w:val="TableText0"/>
            </w:pPr>
            <w:r w:rsidRPr="00800C47">
              <w:t>27.2 (70%); 54%-82%</w:t>
            </w:r>
          </w:p>
        </w:tc>
        <w:tc>
          <w:tcPr>
            <w:tcW w:w="1062" w:type="pct"/>
            <w:tcBorders>
              <w:top w:val="single" w:sz="4" w:space="0" w:color="auto"/>
              <w:left w:val="single" w:sz="4" w:space="0" w:color="auto"/>
              <w:bottom w:val="single" w:sz="4" w:space="0" w:color="auto"/>
              <w:right w:val="single" w:sz="4" w:space="0" w:color="auto"/>
            </w:tcBorders>
            <w:shd w:val="clear" w:color="auto" w:fill="auto"/>
            <w:noWrap/>
          </w:tcPr>
          <w:p w14:paraId="167F15A7" w14:textId="77777777" w:rsidR="006C1A09" w:rsidRPr="00800C47" w:rsidRDefault="006C1A09" w:rsidP="004C44CA">
            <w:pPr>
              <w:pStyle w:val="TableText0"/>
            </w:pPr>
            <w:r w:rsidRPr="00800C47">
              <w:t>26.2 (61%); 46%-74%</w:t>
            </w:r>
          </w:p>
        </w:tc>
        <w:tc>
          <w:tcPr>
            <w:tcW w:w="993" w:type="pct"/>
            <w:tcBorders>
              <w:top w:val="single" w:sz="4" w:space="0" w:color="auto"/>
              <w:left w:val="single" w:sz="4" w:space="0" w:color="auto"/>
              <w:bottom w:val="single" w:sz="4" w:space="0" w:color="auto"/>
              <w:right w:val="single" w:sz="4" w:space="0" w:color="auto"/>
            </w:tcBorders>
            <w:shd w:val="clear" w:color="auto" w:fill="auto"/>
            <w:noWrap/>
          </w:tcPr>
          <w:p w14:paraId="246E76DF" w14:textId="77777777" w:rsidR="006C1A09" w:rsidRPr="00800C47" w:rsidRDefault="006C1A09" w:rsidP="004C44CA">
            <w:pPr>
              <w:pStyle w:val="TableText0"/>
            </w:pPr>
            <w:r w:rsidRPr="00800C47">
              <w:t>0.398 (-29% to 12%)</w:t>
            </w:r>
          </w:p>
        </w:tc>
      </w:tr>
      <w:tr w:rsidR="006C1A09" w:rsidRPr="00800C47" w14:paraId="6145FFFD" w14:textId="77777777" w:rsidTr="004C44CA">
        <w:trPr>
          <w:trHeight w:val="160"/>
        </w:trPr>
        <w:tc>
          <w:tcPr>
            <w:tcW w:w="1255" w:type="pct"/>
            <w:tcBorders>
              <w:top w:val="single" w:sz="4" w:space="0" w:color="auto"/>
              <w:left w:val="single" w:sz="4" w:space="0" w:color="auto"/>
              <w:bottom w:val="single" w:sz="4" w:space="0" w:color="auto"/>
            </w:tcBorders>
            <w:shd w:val="clear" w:color="auto" w:fill="auto"/>
            <w:noWrap/>
          </w:tcPr>
          <w:p w14:paraId="05247979" w14:textId="77777777" w:rsidR="006C1A09" w:rsidRPr="00800C47" w:rsidRDefault="006C1A09" w:rsidP="004C44CA">
            <w:pPr>
              <w:pStyle w:val="TableText0"/>
            </w:pPr>
            <w:r w:rsidRPr="00800C47">
              <w:t xml:space="preserve">Platelet count </w:t>
            </w:r>
          </w:p>
        </w:tc>
        <w:tc>
          <w:tcPr>
            <w:tcW w:w="629" w:type="pct"/>
            <w:tcBorders>
              <w:top w:val="single" w:sz="4" w:space="0" w:color="auto"/>
              <w:bottom w:val="single" w:sz="4" w:space="0" w:color="auto"/>
            </w:tcBorders>
          </w:tcPr>
          <w:p w14:paraId="6354D658" w14:textId="77777777" w:rsidR="006C1A09" w:rsidRPr="00800C47" w:rsidRDefault="006C1A09" w:rsidP="004C44CA">
            <w:pPr>
              <w:pStyle w:val="TableText0"/>
            </w:pPr>
          </w:p>
        </w:tc>
        <w:tc>
          <w:tcPr>
            <w:tcW w:w="1061" w:type="pct"/>
            <w:tcBorders>
              <w:top w:val="single" w:sz="4" w:space="0" w:color="auto"/>
              <w:bottom w:val="single" w:sz="4" w:space="0" w:color="auto"/>
            </w:tcBorders>
            <w:shd w:val="clear" w:color="auto" w:fill="auto"/>
            <w:noWrap/>
          </w:tcPr>
          <w:p w14:paraId="48AFE16F" w14:textId="77777777" w:rsidR="006C1A09" w:rsidRPr="00800C47" w:rsidRDefault="006C1A09" w:rsidP="004C44CA">
            <w:pPr>
              <w:pStyle w:val="TableText0"/>
            </w:pPr>
          </w:p>
        </w:tc>
        <w:tc>
          <w:tcPr>
            <w:tcW w:w="1062" w:type="pct"/>
            <w:tcBorders>
              <w:top w:val="single" w:sz="4" w:space="0" w:color="auto"/>
              <w:bottom w:val="single" w:sz="4" w:space="0" w:color="auto"/>
            </w:tcBorders>
            <w:shd w:val="clear" w:color="auto" w:fill="auto"/>
            <w:noWrap/>
          </w:tcPr>
          <w:p w14:paraId="1E6835A5" w14:textId="77777777" w:rsidR="006C1A09" w:rsidRPr="00800C47" w:rsidRDefault="006C1A09" w:rsidP="004C44CA">
            <w:pPr>
              <w:pStyle w:val="TableText0"/>
            </w:pPr>
          </w:p>
        </w:tc>
        <w:tc>
          <w:tcPr>
            <w:tcW w:w="993" w:type="pct"/>
            <w:tcBorders>
              <w:top w:val="single" w:sz="4" w:space="0" w:color="auto"/>
              <w:bottom w:val="single" w:sz="4" w:space="0" w:color="auto"/>
              <w:right w:val="single" w:sz="4" w:space="0" w:color="auto"/>
            </w:tcBorders>
            <w:shd w:val="clear" w:color="auto" w:fill="auto"/>
            <w:noWrap/>
          </w:tcPr>
          <w:p w14:paraId="1EDEB803" w14:textId="77777777" w:rsidR="006C1A09" w:rsidRPr="00800C47" w:rsidRDefault="006C1A09" w:rsidP="004C44CA">
            <w:pPr>
              <w:pStyle w:val="TableText0"/>
            </w:pPr>
          </w:p>
        </w:tc>
      </w:tr>
      <w:tr w:rsidR="006C1A09" w:rsidRPr="00800C47" w14:paraId="7A5DF756" w14:textId="77777777" w:rsidTr="004C44CA">
        <w:trPr>
          <w:trHeight w:val="160"/>
        </w:trPr>
        <w:tc>
          <w:tcPr>
            <w:tcW w:w="1255" w:type="pct"/>
            <w:tcBorders>
              <w:top w:val="single" w:sz="4" w:space="0" w:color="auto"/>
              <w:left w:val="single" w:sz="4" w:space="0" w:color="auto"/>
              <w:bottom w:val="single" w:sz="4" w:space="0" w:color="auto"/>
              <w:right w:val="single" w:sz="4" w:space="0" w:color="auto"/>
            </w:tcBorders>
            <w:shd w:val="clear" w:color="auto" w:fill="auto"/>
            <w:noWrap/>
          </w:tcPr>
          <w:p w14:paraId="557A6FE4" w14:textId="77777777" w:rsidR="006C1A09" w:rsidRPr="00800C47" w:rsidRDefault="006C1A09" w:rsidP="004C44CA">
            <w:pPr>
              <w:pStyle w:val="TableText0"/>
            </w:pPr>
            <w:r w:rsidRPr="00800C47">
              <w:t xml:space="preserve">  Normalisation</w:t>
            </w:r>
          </w:p>
        </w:tc>
        <w:tc>
          <w:tcPr>
            <w:tcW w:w="629" w:type="pct"/>
            <w:tcBorders>
              <w:top w:val="single" w:sz="4" w:space="0" w:color="auto"/>
              <w:left w:val="single" w:sz="4" w:space="0" w:color="auto"/>
              <w:bottom w:val="single" w:sz="4" w:space="0" w:color="auto"/>
              <w:right w:val="single" w:sz="4" w:space="0" w:color="auto"/>
            </w:tcBorders>
          </w:tcPr>
          <w:p w14:paraId="552355A5" w14:textId="77777777" w:rsidR="006C1A09" w:rsidRPr="00800C47" w:rsidRDefault="006C1A09" w:rsidP="004C44CA">
            <w:pPr>
              <w:pStyle w:val="TableText0"/>
            </w:pPr>
            <w:r w:rsidRPr="00800C47">
              <w:t>Yes</w:t>
            </w:r>
          </w:p>
        </w:tc>
        <w:tc>
          <w:tcPr>
            <w:tcW w:w="1061" w:type="pct"/>
            <w:tcBorders>
              <w:top w:val="single" w:sz="4" w:space="0" w:color="auto"/>
              <w:left w:val="single" w:sz="4" w:space="0" w:color="auto"/>
              <w:bottom w:val="single" w:sz="4" w:space="0" w:color="auto"/>
              <w:right w:val="single" w:sz="4" w:space="0" w:color="auto"/>
            </w:tcBorders>
            <w:shd w:val="clear" w:color="auto" w:fill="auto"/>
            <w:noWrap/>
          </w:tcPr>
          <w:p w14:paraId="47997049" w14:textId="77777777" w:rsidR="006C1A09" w:rsidRPr="00800C47" w:rsidRDefault="006C1A09" w:rsidP="004C44CA">
            <w:pPr>
              <w:pStyle w:val="TableText0"/>
            </w:pPr>
            <w:r w:rsidRPr="00800C47">
              <w:t>37.6 (96%); 85%-99%</w:t>
            </w:r>
          </w:p>
        </w:tc>
        <w:tc>
          <w:tcPr>
            <w:tcW w:w="1062" w:type="pct"/>
            <w:tcBorders>
              <w:top w:val="single" w:sz="4" w:space="0" w:color="auto"/>
              <w:left w:val="single" w:sz="4" w:space="0" w:color="auto"/>
              <w:bottom w:val="single" w:sz="4" w:space="0" w:color="auto"/>
              <w:right w:val="single" w:sz="4" w:space="0" w:color="auto"/>
            </w:tcBorders>
            <w:shd w:val="clear" w:color="auto" w:fill="auto"/>
            <w:noWrap/>
          </w:tcPr>
          <w:p w14:paraId="64757616" w14:textId="77777777" w:rsidR="006C1A09" w:rsidRPr="00800C47" w:rsidRDefault="006C1A09" w:rsidP="004C44CA">
            <w:pPr>
              <w:pStyle w:val="TableText0"/>
            </w:pPr>
            <w:r w:rsidRPr="00800C47">
              <w:t>39.5 (92%); 80%-97%</w:t>
            </w:r>
          </w:p>
        </w:tc>
        <w:tc>
          <w:tcPr>
            <w:tcW w:w="993" w:type="pct"/>
            <w:tcBorders>
              <w:top w:val="single" w:sz="4" w:space="0" w:color="auto"/>
              <w:left w:val="single" w:sz="4" w:space="0" w:color="auto"/>
              <w:bottom w:val="single" w:sz="4" w:space="0" w:color="auto"/>
              <w:right w:val="single" w:sz="4" w:space="0" w:color="auto"/>
            </w:tcBorders>
            <w:shd w:val="clear" w:color="auto" w:fill="auto"/>
            <w:noWrap/>
          </w:tcPr>
          <w:p w14:paraId="09401478" w14:textId="77777777" w:rsidR="006C1A09" w:rsidRPr="00800C47" w:rsidRDefault="006C1A09" w:rsidP="004C44CA">
            <w:pPr>
              <w:pStyle w:val="TableText0"/>
            </w:pPr>
            <w:r w:rsidRPr="00800C47">
              <w:t>0.391 (-14% to 6%)</w:t>
            </w:r>
          </w:p>
        </w:tc>
      </w:tr>
      <w:tr w:rsidR="006C1A09" w:rsidRPr="00800C47" w14:paraId="33C03462" w14:textId="77777777" w:rsidTr="004C44CA">
        <w:trPr>
          <w:trHeight w:val="160"/>
        </w:trPr>
        <w:tc>
          <w:tcPr>
            <w:tcW w:w="1255" w:type="pct"/>
            <w:tcBorders>
              <w:top w:val="single" w:sz="4" w:space="0" w:color="auto"/>
              <w:left w:val="single" w:sz="4" w:space="0" w:color="auto"/>
              <w:bottom w:val="single" w:sz="4" w:space="0" w:color="auto"/>
              <w:right w:val="single" w:sz="4" w:space="0" w:color="auto"/>
            </w:tcBorders>
            <w:shd w:val="clear" w:color="auto" w:fill="auto"/>
            <w:noWrap/>
          </w:tcPr>
          <w:p w14:paraId="01E6A3D8" w14:textId="77777777" w:rsidR="006C1A09" w:rsidRPr="00800C47" w:rsidRDefault="006C1A09" w:rsidP="004C44CA">
            <w:pPr>
              <w:pStyle w:val="TableText0"/>
            </w:pPr>
            <w:r w:rsidRPr="00800C47">
              <w:t xml:space="preserve">  Change from baseline</w:t>
            </w:r>
          </w:p>
        </w:tc>
        <w:tc>
          <w:tcPr>
            <w:tcW w:w="629" w:type="pct"/>
            <w:tcBorders>
              <w:top w:val="single" w:sz="4" w:space="0" w:color="auto"/>
              <w:left w:val="single" w:sz="4" w:space="0" w:color="auto"/>
              <w:bottom w:val="single" w:sz="4" w:space="0" w:color="auto"/>
              <w:right w:val="single" w:sz="4" w:space="0" w:color="auto"/>
            </w:tcBorders>
            <w:vAlign w:val="bottom"/>
          </w:tcPr>
          <w:p w14:paraId="082843DA" w14:textId="77777777" w:rsidR="006C1A09" w:rsidRPr="00800C47" w:rsidRDefault="006C1A09" w:rsidP="004C44CA">
            <w:pPr>
              <w:pStyle w:val="TableText0"/>
            </w:pPr>
            <w:r w:rsidRPr="00800C47">
              <w:t>Mean (SD)</w:t>
            </w:r>
          </w:p>
        </w:tc>
        <w:tc>
          <w:tcPr>
            <w:tcW w:w="10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BFC663" w14:textId="77777777" w:rsidR="006C1A09" w:rsidRPr="00800C47" w:rsidRDefault="006C1A09" w:rsidP="004C44CA">
            <w:pPr>
              <w:pStyle w:val="TableText0"/>
            </w:pPr>
            <w:r w:rsidRPr="00800C47">
              <w:t>126 (98) [N=39]</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2A734F" w14:textId="77777777" w:rsidR="006C1A09" w:rsidRPr="00800C47" w:rsidRDefault="006C1A09" w:rsidP="004C44CA">
            <w:pPr>
              <w:pStyle w:val="TableText0"/>
            </w:pPr>
            <w:r w:rsidRPr="00800C47">
              <w:t>122 (110) [N=43]</w:t>
            </w:r>
          </w:p>
        </w:tc>
        <w:tc>
          <w:tcPr>
            <w:tcW w:w="9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9686DB" w14:textId="77777777" w:rsidR="006C1A09" w:rsidRPr="00800C47" w:rsidRDefault="006C1A09" w:rsidP="004C44CA">
            <w:pPr>
              <w:pStyle w:val="TableText0"/>
            </w:pPr>
            <w:r w:rsidRPr="00800C47">
              <w:t>0.855 (-50 to 41)</w:t>
            </w:r>
          </w:p>
        </w:tc>
      </w:tr>
      <w:tr w:rsidR="006C1A09" w:rsidRPr="00800C47" w14:paraId="3D7E271C" w14:textId="77777777" w:rsidTr="004C44CA">
        <w:trPr>
          <w:trHeight w:val="160"/>
        </w:trPr>
        <w:tc>
          <w:tcPr>
            <w:tcW w:w="1255" w:type="pct"/>
            <w:tcBorders>
              <w:top w:val="single" w:sz="4" w:space="0" w:color="auto"/>
              <w:left w:val="single" w:sz="4" w:space="0" w:color="auto"/>
              <w:bottom w:val="single" w:sz="4" w:space="0" w:color="auto"/>
            </w:tcBorders>
            <w:shd w:val="clear" w:color="auto" w:fill="auto"/>
            <w:noWrap/>
          </w:tcPr>
          <w:p w14:paraId="6FA66F9C" w14:textId="77777777" w:rsidR="006C1A09" w:rsidRPr="00800C47" w:rsidRDefault="006C1A09" w:rsidP="004C44CA">
            <w:pPr>
              <w:pStyle w:val="TableText0"/>
            </w:pPr>
            <w:r w:rsidRPr="00800C47">
              <w:t>LDH</w:t>
            </w:r>
          </w:p>
        </w:tc>
        <w:tc>
          <w:tcPr>
            <w:tcW w:w="629" w:type="pct"/>
            <w:tcBorders>
              <w:top w:val="single" w:sz="4" w:space="0" w:color="auto"/>
              <w:bottom w:val="single" w:sz="4" w:space="0" w:color="auto"/>
            </w:tcBorders>
          </w:tcPr>
          <w:p w14:paraId="5F14B5F8" w14:textId="77777777" w:rsidR="006C1A09" w:rsidRPr="00800C47" w:rsidRDefault="006C1A09" w:rsidP="004C44CA">
            <w:pPr>
              <w:pStyle w:val="TableText0"/>
            </w:pPr>
          </w:p>
        </w:tc>
        <w:tc>
          <w:tcPr>
            <w:tcW w:w="1061" w:type="pct"/>
            <w:tcBorders>
              <w:top w:val="single" w:sz="4" w:space="0" w:color="auto"/>
              <w:bottom w:val="single" w:sz="4" w:space="0" w:color="auto"/>
            </w:tcBorders>
            <w:shd w:val="clear" w:color="auto" w:fill="auto"/>
            <w:noWrap/>
          </w:tcPr>
          <w:p w14:paraId="3895E680" w14:textId="77777777" w:rsidR="006C1A09" w:rsidRPr="00800C47" w:rsidRDefault="006C1A09" w:rsidP="004C44CA">
            <w:pPr>
              <w:pStyle w:val="TableText0"/>
            </w:pPr>
          </w:p>
        </w:tc>
        <w:tc>
          <w:tcPr>
            <w:tcW w:w="1062" w:type="pct"/>
            <w:tcBorders>
              <w:top w:val="single" w:sz="4" w:space="0" w:color="auto"/>
              <w:bottom w:val="single" w:sz="4" w:space="0" w:color="auto"/>
            </w:tcBorders>
            <w:shd w:val="clear" w:color="auto" w:fill="auto"/>
            <w:noWrap/>
          </w:tcPr>
          <w:p w14:paraId="69B89C8E" w14:textId="77777777" w:rsidR="006C1A09" w:rsidRPr="00800C47" w:rsidRDefault="006C1A09" w:rsidP="004C44CA">
            <w:pPr>
              <w:pStyle w:val="TableText0"/>
            </w:pPr>
          </w:p>
        </w:tc>
        <w:tc>
          <w:tcPr>
            <w:tcW w:w="993" w:type="pct"/>
            <w:tcBorders>
              <w:top w:val="single" w:sz="4" w:space="0" w:color="auto"/>
              <w:bottom w:val="single" w:sz="4" w:space="0" w:color="auto"/>
              <w:right w:val="single" w:sz="4" w:space="0" w:color="auto"/>
            </w:tcBorders>
            <w:shd w:val="clear" w:color="auto" w:fill="auto"/>
            <w:noWrap/>
          </w:tcPr>
          <w:p w14:paraId="6A5AEE8A" w14:textId="77777777" w:rsidR="006C1A09" w:rsidRPr="00800C47" w:rsidRDefault="006C1A09" w:rsidP="004C44CA">
            <w:pPr>
              <w:pStyle w:val="TableText0"/>
            </w:pPr>
          </w:p>
        </w:tc>
      </w:tr>
      <w:tr w:rsidR="006C1A09" w:rsidRPr="00800C47" w14:paraId="4B9EA440" w14:textId="77777777" w:rsidTr="004C44CA">
        <w:trPr>
          <w:trHeight w:val="160"/>
        </w:trPr>
        <w:tc>
          <w:tcPr>
            <w:tcW w:w="1255" w:type="pct"/>
            <w:tcBorders>
              <w:top w:val="single" w:sz="4" w:space="0" w:color="auto"/>
              <w:left w:val="single" w:sz="4" w:space="0" w:color="auto"/>
              <w:bottom w:val="single" w:sz="4" w:space="0" w:color="auto"/>
              <w:right w:val="single" w:sz="4" w:space="0" w:color="auto"/>
            </w:tcBorders>
            <w:shd w:val="clear" w:color="auto" w:fill="auto"/>
            <w:noWrap/>
          </w:tcPr>
          <w:p w14:paraId="2BAF2421" w14:textId="77777777" w:rsidR="006C1A09" w:rsidRPr="00800C47" w:rsidRDefault="006C1A09" w:rsidP="004C44CA">
            <w:pPr>
              <w:pStyle w:val="TableText0"/>
            </w:pPr>
            <w:r w:rsidRPr="00800C47">
              <w:t xml:space="preserve">  Normalisation</w:t>
            </w:r>
          </w:p>
        </w:tc>
        <w:tc>
          <w:tcPr>
            <w:tcW w:w="629" w:type="pct"/>
            <w:tcBorders>
              <w:top w:val="single" w:sz="4" w:space="0" w:color="auto"/>
              <w:left w:val="single" w:sz="4" w:space="0" w:color="auto"/>
              <w:bottom w:val="single" w:sz="4" w:space="0" w:color="auto"/>
              <w:right w:val="single" w:sz="4" w:space="0" w:color="auto"/>
            </w:tcBorders>
          </w:tcPr>
          <w:p w14:paraId="7909E059" w14:textId="77777777" w:rsidR="006C1A09" w:rsidRPr="00800C47" w:rsidRDefault="006C1A09" w:rsidP="004C44CA">
            <w:pPr>
              <w:pStyle w:val="TableText0"/>
            </w:pPr>
            <w:r w:rsidRPr="00800C47">
              <w:t>Yes</w:t>
            </w:r>
          </w:p>
        </w:tc>
        <w:tc>
          <w:tcPr>
            <w:tcW w:w="1061" w:type="pct"/>
            <w:tcBorders>
              <w:top w:val="single" w:sz="4" w:space="0" w:color="auto"/>
              <w:left w:val="single" w:sz="4" w:space="0" w:color="auto"/>
              <w:bottom w:val="single" w:sz="4" w:space="0" w:color="auto"/>
              <w:right w:val="single" w:sz="4" w:space="0" w:color="auto"/>
            </w:tcBorders>
            <w:shd w:val="clear" w:color="auto" w:fill="auto"/>
            <w:noWrap/>
          </w:tcPr>
          <w:p w14:paraId="0AF0B8C9" w14:textId="77777777" w:rsidR="006C1A09" w:rsidRPr="00800C47" w:rsidRDefault="006C1A09" w:rsidP="004C44CA">
            <w:pPr>
              <w:pStyle w:val="TableText0"/>
            </w:pPr>
            <w:r w:rsidRPr="00800C47">
              <w:t>36.9 (95%); 83%-98%</w:t>
            </w:r>
          </w:p>
        </w:tc>
        <w:tc>
          <w:tcPr>
            <w:tcW w:w="1062" w:type="pct"/>
            <w:tcBorders>
              <w:top w:val="single" w:sz="4" w:space="0" w:color="auto"/>
              <w:left w:val="single" w:sz="4" w:space="0" w:color="auto"/>
              <w:bottom w:val="single" w:sz="4" w:space="0" w:color="auto"/>
              <w:right w:val="single" w:sz="4" w:space="0" w:color="auto"/>
            </w:tcBorders>
            <w:shd w:val="clear" w:color="auto" w:fill="auto"/>
            <w:noWrap/>
          </w:tcPr>
          <w:p w14:paraId="4FEDB3A3" w14:textId="77777777" w:rsidR="006C1A09" w:rsidRPr="00800C47" w:rsidRDefault="006C1A09" w:rsidP="004C44CA">
            <w:pPr>
              <w:pStyle w:val="TableText0"/>
            </w:pPr>
            <w:r w:rsidRPr="00800C47">
              <w:t>38.3 (89%); 76%-95%</w:t>
            </w:r>
          </w:p>
        </w:tc>
        <w:tc>
          <w:tcPr>
            <w:tcW w:w="993" w:type="pct"/>
            <w:tcBorders>
              <w:top w:val="single" w:sz="4" w:space="0" w:color="auto"/>
              <w:left w:val="single" w:sz="4" w:space="0" w:color="auto"/>
              <w:bottom w:val="single" w:sz="4" w:space="0" w:color="auto"/>
              <w:right w:val="single" w:sz="4" w:space="0" w:color="auto"/>
            </w:tcBorders>
            <w:shd w:val="clear" w:color="auto" w:fill="auto"/>
            <w:noWrap/>
          </w:tcPr>
          <w:p w14:paraId="6D114C07" w14:textId="77777777" w:rsidR="006C1A09" w:rsidRPr="00800C47" w:rsidRDefault="006C1A09" w:rsidP="004C44CA">
            <w:pPr>
              <w:pStyle w:val="TableText0"/>
            </w:pPr>
            <w:r w:rsidRPr="00800C47">
              <w:t>0.372 (-17% to 6%)</w:t>
            </w:r>
          </w:p>
        </w:tc>
      </w:tr>
      <w:tr w:rsidR="006C1A09" w:rsidRPr="00800C47" w14:paraId="4630EC89" w14:textId="77777777" w:rsidTr="004C44CA">
        <w:trPr>
          <w:trHeight w:val="160"/>
        </w:trPr>
        <w:tc>
          <w:tcPr>
            <w:tcW w:w="1255" w:type="pct"/>
            <w:tcBorders>
              <w:top w:val="single" w:sz="4" w:space="0" w:color="auto"/>
              <w:left w:val="single" w:sz="4" w:space="0" w:color="auto"/>
              <w:bottom w:val="single" w:sz="4" w:space="0" w:color="auto"/>
              <w:right w:val="single" w:sz="4" w:space="0" w:color="auto"/>
            </w:tcBorders>
            <w:shd w:val="clear" w:color="auto" w:fill="auto"/>
            <w:noWrap/>
          </w:tcPr>
          <w:p w14:paraId="201000E5" w14:textId="77777777" w:rsidR="006C1A09" w:rsidRPr="00800C47" w:rsidRDefault="006C1A09" w:rsidP="004C44CA">
            <w:pPr>
              <w:pStyle w:val="TableText0"/>
            </w:pPr>
            <w:r w:rsidRPr="00800C47">
              <w:t xml:space="preserve">  Change from baseline</w:t>
            </w:r>
          </w:p>
        </w:tc>
        <w:tc>
          <w:tcPr>
            <w:tcW w:w="629" w:type="pct"/>
            <w:tcBorders>
              <w:top w:val="single" w:sz="4" w:space="0" w:color="auto"/>
              <w:left w:val="single" w:sz="4" w:space="0" w:color="auto"/>
              <w:bottom w:val="single" w:sz="4" w:space="0" w:color="auto"/>
              <w:right w:val="single" w:sz="4" w:space="0" w:color="auto"/>
            </w:tcBorders>
          </w:tcPr>
          <w:p w14:paraId="20FF1C46" w14:textId="77777777" w:rsidR="006C1A09" w:rsidRPr="00800C47" w:rsidRDefault="006C1A09" w:rsidP="004C44CA">
            <w:pPr>
              <w:pStyle w:val="TableText0"/>
            </w:pPr>
            <w:r w:rsidRPr="00800C47">
              <w:t>Mean (SD)</w:t>
            </w:r>
          </w:p>
        </w:tc>
        <w:tc>
          <w:tcPr>
            <w:tcW w:w="10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EC5D0D" w14:textId="77777777" w:rsidR="006C1A09" w:rsidRPr="00800C47" w:rsidRDefault="006C1A09" w:rsidP="004C44CA">
            <w:pPr>
              <w:pStyle w:val="TableText0"/>
            </w:pPr>
            <w:r w:rsidRPr="00800C47">
              <w:t>-355 (553) [N=39]</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BAC1B3" w14:textId="77777777" w:rsidR="006C1A09" w:rsidRPr="00800C47" w:rsidRDefault="006C1A09" w:rsidP="004C44CA">
            <w:pPr>
              <w:pStyle w:val="TableText0"/>
            </w:pPr>
            <w:r w:rsidRPr="00800C47">
              <w:t>-475 (592) [N=43]</w:t>
            </w:r>
          </w:p>
        </w:tc>
        <w:tc>
          <w:tcPr>
            <w:tcW w:w="9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A59AD0" w14:textId="77777777" w:rsidR="006C1A09" w:rsidRPr="00800C47" w:rsidRDefault="006C1A09" w:rsidP="004C44CA">
            <w:pPr>
              <w:pStyle w:val="TableText0"/>
            </w:pPr>
            <w:r w:rsidRPr="00800C47">
              <w:t>0.344 (-372 to 131)</w:t>
            </w:r>
          </w:p>
        </w:tc>
      </w:tr>
      <w:tr w:rsidR="006C1A09" w:rsidRPr="00800C47" w14:paraId="35610AE9" w14:textId="77777777" w:rsidTr="004C44CA">
        <w:trPr>
          <w:trHeight w:val="160"/>
        </w:trPr>
        <w:tc>
          <w:tcPr>
            <w:tcW w:w="1255" w:type="pct"/>
            <w:tcBorders>
              <w:top w:val="single" w:sz="4" w:space="0" w:color="auto"/>
              <w:left w:val="single" w:sz="4" w:space="0" w:color="auto"/>
              <w:bottom w:val="single" w:sz="4" w:space="0" w:color="auto"/>
              <w:right w:val="single" w:sz="4" w:space="0" w:color="auto"/>
            </w:tcBorders>
            <w:shd w:val="clear" w:color="auto" w:fill="auto"/>
            <w:noWrap/>
          </w:tcPr>
          <w:p w14:paraId="5DEF2ED7" w14:textId="77777777" w:rsidR="006C1A09" w:rsidRPr="00800C47" w:rsidRDefault="006C1A09" w:rsidP="004C44CA">
            <w:pPr>
              <w:pStyle w:val="TableText0"/>
            </w:pPr>
            <w:r w:rsidRPr="00800C47">
              <w:t>Haematologic normalisation</w:t>
            </w:r>
          </w:p>
        </w:tc>
        <w:tc>
          <w:tcPr>
            <w:tcW w:w="629" w:type="pct"/>
            <w:tcBorders>
              <w:top w:val="single" w:sz="4" w:space="0" w:color="auto"/>
              <w:left w:val="single" w:sz="4" w:space="0" w:color="auto"/>
              <w:bottom w:val="single" w:sz="4" w:space="0" w:color="auto"/>
              <w:right w:val="single" w:sz="4" w:space="0" w:color="auto"/>
            </w:tcBorders>
          </w:tcPr>
          <w:p w14:paraId="3BE4DD99" w14:textId="77777777" w:rsidR="006C1A09" w:rsidRPr="00800C47" w:rsidRDefault="006C1A09" w:rsidP="004C44CA">
            <w:pPr>
              <w:pStyle w:val="TableText0"/>
            </w:pPr>
            <w:r w:rsidRPr="00800C47">
              <w:t>Yes</w:t>
            </w:r>
          </w:p>
        </w:tc>
        <w:tc>
          <w:tcPr>
            <w:tcW w:w="1061" w:type="pct"/>
            <w:tcBorders>
              <w:top w:val="single" w:sz="4" w:space="0" w:color="auto"/>
              <w:left w:val="single" w:sz="4" w:space="0" w:color="auto"/>
              <w:bottom w:val="single" w:sz="4" w:space="0" w:color="auto"/>
              <w:right w:val="single" w:sz="4" w:space="0" w:color="auto"/>
            </w:tcBorders>
            <w:shd w:val="clear" w:color="auto" w:fill="auto"/>
            <w:noWrap/>
          </w:tcPr>
          <w:p w14:paraId="56161B36" w14:textId="77777777" w:rsidR="006C1A09" w:rsidRPr="00800C47" w:rsidRDefault="006C1A09" w:rsidP="004C44CA">
            <w:pPr>
              <w:pStyle w:val="TableText0"/>
            </w:pPr>
            <w:r w:rsidRPr="00800C47">
              <w:t>35.5 (91%); 78%-97%</w:t>
            </w:r>
          </w:p>
        </w:tc>
        <w:tc>
          <w:tcPr>
            <w:tcW w:w="1062" w:type="pct"/>
            <w:tcBorders>
              <w:top w:val="single" w:sz="4" w:space="0" w:color="auto"/>
              <w:left w:val="single" w:sz="4" w:space="0" w:color="auto"/>
              <w:bottom w:val="single" w:sz="4" w:space="0" w:color="auto"/>
              <w:right w:val="single" w:sz="4" w:space="0" w:color="auto"/>
            </w:tcBorders>
            <w:shd w:val="clear" w:color="auto" w:fill="auto"/>
            <w:noWrap/>
          </w:tcPr>
          <w:p w14:paraId="291EBE49" w14:textId="77777777" w:rsidR="006C1A09" w:rsidRPr="00800C47" w:rsidRDefault="006C1A09" w:rsidP="004C44CA">
            <w:pPr>
              <w:pStyle w:val="TableText0"/>
            </w:pPr>
            <w:r w:rsidRPr="00800C47">
              <w:t>35.8 (83%); 69%-92%</w:t>
            </w:r>
          </w:p>
        </w:tc>
        <w:tc>
          <w:tcPr>
            <w:tcW w:w="993" w:type="pct"/>
            <w:tcBorders>
              <w:top w:val="single" w:sz="4" w:space="0" w:color="auto"/>
              <w:left w:val="single" w:sz="4" w:space="0" w:color="auto"/>
              <w:bottom w:val="single" w:sz="4" w:space="0" w:color="auto"/>
              <w:right w:val="single" w:sz="4" w:space="0" w:color="auto"/>
            </w:tcBorders>
            <w:shd w:val="clear" w:color="auto" w:fill="auto"/>
            <w:noWrap/>
          </w:tcPr>
          <w:p w14:paraId="1B76BDEE" w14:textId="77777777" w:rsidR="006C1A09" w:rsidRPr="00800C47" w:rsidRDefault="006C1A09" w:rsidP="004C44CA">
            <w:pPr>
              <w:pStyle w:val="TableText0"/>
            </w:pPr>
            <w:r w:rsidRPr="00800C47">
              <w:t>0.294 (-22% to 7%)</w:t>
            </w:r>
          </w:p>
        </w:tc>
      </w:tr>
      <w:tr w:rsidR="006C1A09" w:rsidRPr="00800C47" w14:paraId="0DEB7DF3" w14:textId="77777777" w:rsidTr="004C44CA">
        <w:trPr>
          <w:trHeight w:val="160"/>
        </w:trPr>
        <w:tc>
          <w:tcPr>
            <w:tcW w:w="1255" w:type="pct"/>
            <w:tcBorders>
              <w:top w:val="single" w:sz="4" w:space="0" w:color="auto"/>
              <w:left w:val="single" w:sz="4" w:space="0" w:color="auto"/>
              <w:bottom w:val="single" w:sz="4" w:space="0" w:color="auto"/>
              <w:right w:val="single" w:sz="4" w:space="0" w:color="auto"/>
            </w:tcBorders>
            <w:shd w:val="clear" w:color="auto" w:fill="auto"/>
            <w:noWrap/>
          </w:tcPr>
          <w:p w14:paraId="66EC5001" w14:textId="47F4BF7B" w:rsidR="006C1A09" w:rsidRPr="00800C47" w:rsidRDefault="006C1A09" w:rsidP="004C44CA">
            <w:pPr>
              <w:pStyle w:val="TableText0"/>
            </w:pPr>
            <w:r w:rsidRPr="00800C47">
              <w:t xml:space="preserve">Time to </w:t>
            </w:r>
            <w:r w:rsidR="00D102E5">
              <w:t xml:space="preserve">complete </w:t>
            </w:r>
            <w:r w:rsidRPr="00800C47">
              <w:t xml:space="preserve">TMA response, days </w:t>
            </w:r>
          </w:p>
        </w:tc>
        <w:tc>
          <w:tcPr>
            <w:tcW w:w="629" w:type="pct"/>
            <w:tcBorders>
              <w:top w:val="single" w:sz="4" w:space="0" w:color="auto"/>
              <w:left w:val="single" w:sz="4" w:space="0" w:color="auto"/>
              <w:bottom w:val="single" w:sz="4" w:space="0" w:color="auto"/>
              <w:right w:val="single" w:sz="4" w:space="0" w:color="auto"/>
            </w:tcBorders>
          </w:tcPr>
          <w:p w14:paraId="12C61B85" w14:textId="77777777" w:rsidR="006C1A09" w:rsidRPr="00800C47" w:rsidRDefault="006C1A09" w:rsidP="004C44CA">
            <w:pPr>
              <w:pStyle w:val="TableText0"/>
            </w:pPr>
            <w:r w:rsidRPr="00800C47">
              <w:t>Mean (SD)</w:t>
            </w:r>
          </w:p>
        </w:tc>
        <w:tc>
          <w:tcPr>
            <w:tcW w:w="1061" w:type="pct"/>
            <w:tcBorders>
              <w:top w:val="single" w:sz="4" w:space="0" w:color="auto"/>
              <w:left w:val="single" w:sz="4" w:space="0" w:color="auto"/>
              <w:bottom w:val="single" w:sz="4" w:space="0" w:color="auto"/>
              <w:right w:val="single" w:sz="4" w:space="0" w:color="auto"/>
            </w:tcBorders>
            <w:shd w:val="clear" w:color="auto" w:fill="auto"/>
            <w:noWrap/>
          </w:tcPr>
          <w:p w14:paraId="551A7909" w14:textId="77777777" w:rsidR="006C1A09" w:rsidRPr="00800C47" w:rsidRDefault="006C1A09" w:rsidP="004C44CA">
            <w:pPr>
              <w:pStyle w:val="TableText0"/>
            </w:pPr>
            <w:r w:rsidRPr="00800C47">
              <w:t>169 (167)</w:t>
            </w:r>
          </w:p>
        </w:tc>
        <w:tc>
          <w:tcPr>
            <w:tcW w:w="1062" w:type="pct"/>
            <w:tcBorders>
              <w:top w:val="single" w:sz="4" w:space="0" w:color="auto"/>
              <w:left w:val="single" w:sz="4" w:space="0" w:color="auto"/>
              <w:bottom w:val="single" w:sz="4" w:space="0" w:color="auto"/>
              <w:right w:val="single" w:sz="4" w:space="0" w:color="auto"/>
            </w:tcBorders>
            <w:shd w:val="clear" w:color="auto" w:fill="auto"/>
            <w:noWrap/>
          </w:tcPr>
          <w:p w14:paraId="73A21F30" w14:textId="77777777" w:rsidR="006C1A09" w:rsidRPr="00800C47" w:rsidRDefault="006C1A09" w:rsidP="004C44CA">
            <w:pPr>
              <w:pStyle w:val="TableText0"/>
            </w:pPr>
            <w:r w:rsidRPr="00800C47">
              <w:t>156 (174)</w:t>
            </w:r>
          </w:p>
        </w:tc>
        <w:tc>
          <w:tcPr>
            <w:tcW w:w="993" w:type="pct"/>
            <w:tcBorders>
              <w:top w:val="single" w:sz="4" w:space="0" w:color="auto"/>
              <w:left w:val="single" w:sz="4" w:space="0" w:color="auto"/>
              <w:bottom w:val="single" w:sz="4" w:space="0" w:color="auto"/>
              <w:right w:val="single" w:sz="4" w:space="0" w:color="auto"/>
            </w:tcBorders>
            <w:shd w:val="clear" w:color="auto" w:fill="auto"/>
            <w:noWrap/>
          </w:tcPr>
          <w:p w14:paraId="2D937B3C" w14:textId="77777777" w:rsidR="006C1A09" w:rsidRPr="00800C47" w:rsidRDefault="006C1A09" w:rsidP="004C44CA">
            <w:pPr>
              <w:pStyle w:val="TableText0"/>
            </w:pPr>
            <w:r w:rsidRPr="00800C47">
              <w:t>0.728 (-88 to 62)</w:t>
            </w:r>
          </w:p>
        </w:tc>
      </w:tr>
    </w:tbl>
    <w:p w14:paraId="1E4B7BE4" w14:textId="6AB4D6EA" w:rsidR="006C1A09" w:rsidRPr="00800C47" w:rsidRDefault="006C1A09" w:rsidP="00316EA4">
      <w:pPr>
        <w:pStyle w:val="FooterTableFigure"/>
        <w:rPr>
          <w:rFonts w:eastAsiaTheme="majorEastAsia"/>
        </w:rPr>
      </w:pPr>
      <w:r>
        <w:rPr>
          <w:rFonts w:eastAsiaTheme="majorEastAsia"/>
        </w:rPr>
        <w:t xml:space="preserve">Source: Table 69, p164 of the submission. </w:t>
      </w:r>
      <w:r w:rsidRPr="00800C47">
        <w:rPr>
          <w:rFonts w:eastAsiaTheme="majorEastAsia"/>
        </w:rPr>
        <w:t>CI, confidence interval; LDH, Lactate Dehydrogenase; SD, standard deviation; TMA, thrombotic microangiopathy.</w:t>
      </w:r>
    </w:p>
    <w:p w14:paraId="50DC9E89" w14:textId="77777777" w:rsidR="006C1A09" w:rsidRPr="00800C47" w:rsidRDefault="006C1A09" w:rsidP="00316EA4">
      <w:pPr>
        <w:pStyle w:val="FooterTableFigure"/>
        <w:rPr>
          <w:rFonts w:eastAsiaTheme="majorEastAsia"/>
        </w:rPr>
      </w:pPr>
      <w:r w:rsidRPr="005D0A3F">
        <w:rPr>
          <w:rFonts w:eastAsiaTheme="majorEastAsia"/>
          <w:vertAlign w:val="superscript"/>
        </w:rPr>
        <w:t>a</w:t>
      </w:r>
      <w:r w:rsidRPr="00800C47">
        <w:rPr>
          <w:rFonts w:eastAsiaTheme="majorEastAsia"/>
        </w:rPr>
        <w:t xml:space="preserve"> Represents the 95% CI of the mean difference between treatments for continuous variables, and the 95% CI of the mean difference in proportions for categorical variables. For categorical variables, 95% CI are only presented for binary outcomes. Percentages may not sum to 100% due to rounding. The number of patients available for the change in and improvement endpoints may be fewer than the number of patients with values at endpoint, as these outcomes require observations at both baseline and 26-weeks.</w:t>
      </w:r>
    </w:p>
    <w:p w14:paraId="5FBA2387" w14:textId="36A5B583" w:rsidR="000D046C" w:rsidRPr="003A48D2" w:rsidRDefault="000D046C" w:rsidP="003A48D2">
      <w:pPr>
        <w:pStyle w:val="4-SubsectionHeading"/>
      </w:pPr>
      <w:bookmarkStart w:id="41" w:name="_Toc124929663"/>
      <w:bookmarkStart w:id="42" w:name="_Toc22897643"/>
      <w:r w:rsidRPr="003A48D2">
        <w:t>Comparative harms</w:t>
      </w:r>
      <w:bookmarkEnd w:id="41"/>
    </w:p>
    <w:p w14:paraId="02F1D82D" w14:textId="495C4600" w:rsidR="000D046C" w:rsidRPr="00D86231" w:rsidRDefault="000D046C" w:rsidP="00B306AF">
      <w:pPr>
        <w:pStyle w:val="3-BodyText"/>
        <w:rPr>
          <w:color w:val="0066FF"/>
        </w:rPr>
      </w:pPr>
      <w:r>
        <w:t xml:space="preserve">A summary of the safety data reported in the studies is in </w:t>
      </w:r>
      <w:r w:rsidR="00A90635">
        <w:fldChar w:fldCharType="begin" w:fldLock="1"/>
      </w:r>
      <w:r w:rsidR="00A90635">
        <w:instrText xml:space="preserve"> REF _Ref124337812 \h </w:instrText>
      </w:r>
      <w:r w:rsidR="00A90635">
        <w:fldChar w:fldCharType="separate"/>
      </w:r>
      <w:r w:rsidR="00916EDA">
        <w:t xml:space="preserve">Table </w:t>
      </w:r>
      <w:r w:rsidR="00916EDA">
        <w:rPr>
          <w:noProof/>
        </w:rPr>
        <w:t>9</w:t>
      </w:r>
      <w:r w:rsidR="00A90635">
        <w:fldChar w:fldCharType="end"/>
      </w:r>
      <w:r w:rsidR="00A90635">
        <w:t>.</w:t>
      </w:r>
    </w:p>
    <w:p w14:paraId="12FED991" w14:textId="048DAE8E" w:rsidR="000D046C" w:rsidRDefault="000D046C" w:rsidP="000D046C">
      <w:pPr>
        <w:pStyle w:val="TableFigureHeading"/>
      </w:pPr>
      <w:bookmarkStart w:id="43" w:name="_Ref124337812"/>
      <w:bookmarkStart w:id="44" w:name="_Ref126847698"/>
      <w:r>
        <w:lastRenderedPageBreak/>
        <w:t xml:space="preserve">Table </w:t>
      </w:r>
      <w:r>
        <w:fldChar w:fldCharType="begin" w:fldLock="1"/>
      </w:r>
      <w:r>
        <w:instrText>SEQ Table \* ARABIC</w:instrText>
      </w:r>
      <w:r>
        <w:fldChar w:fldCharType="separate"/>
      </w:r>
      <w:r w:rsidR="00916EDA">
        <w:rPr>
          <w:noProof/>
        </w:rPr>
        <w:t>9</w:t>
      </w:r>
      <w:r>
        <w:fldChar w:fldCharType="end"/>
      </w:r>
      <w:bookmarkEnd w:id="43"/>
      <w:r>
        <w:t xml:space="preserve">: </w:t>
      </w:r>
      <w:r w:rsidRPr="00D86231">
        <w:rPr>
          <w:rStyle w:val="CommentReference"/>
          <w:b/>
          <w:szCs w:val="24"/>
        </w:rPr>
        <w:t xml:space="preserve">Summary of key adverse events in the </w:t>
      </w:r>
      <w:r>
        <w:rPr>
          <w:rStyle w:val="CommentReference"/>
          <w:b/>
          <w:szCs w:val="24"/>
        </w:rPr>
        <w:t xml:space="preserve">studies, including extension </w:t>
      </w:r>
      <w:proofErr w:type="gramStart"/>
      <w:r>
        <w:rPr>
          <w:rStyle w:val="CommentReference"/>
          <w:b/>
          <w:szCs w:val="24"/>
        </w:rPr>
        <w:t>phase</w:t>
      </w:r>
      <w:bookmarkEnd w:id="44"/>
      <w:proofErr w:type="gramEnd"/>
    </w:p>
    <w:tbl>
      <w:tblPr>
        <w:tblStyle w:val="TableGrid"/>
        <w:tblW w:w="0" w:type="auto"/>
        <w:tblCellMar>
          <w:left w:w="28" w:type="dxa"/>
          <w:right w:w="28" w:type="dxa"/>
        </w:tblCellMar>
        <w:tblLook w:val="04A0" w:firstRow="1" w:lastRow="0" w:firstColumn="1" w:lastColumn="0" w:noHBand="0" w:noVBand="1"/>
      </w:tblPr>
      <w:tblGrid>
        <w:gridCol w:w="2100"/>
        <w:gridCol w:w="1288"/>
        <w:gridCol w:w="1110"/>
        <w:gridCol w:w="1110"/>
        <w:gridCol w:w="1151"/>
        <w:gridCol w:w="1151"/>
        <w:gridCol w:w="1107"/>
      </w:tblGrid>
      <w:tr w:rsidR="009F539E" w:rsidRPr="00C709BF" w14:paraId="10E68A76" w14:textId="77777777" w:rsidTr="00884BEB">
        <w:tc>
          <w:tcPr>
            <w:tcW w:w="2100" w:type="dxa"/>
            <w:vMerge w:val="restart"/>
          </w:tcPr>
          <w:p w14:paraId="585B0198" w14:textId="77777777" w:rsidR="009F539E" w:rsidRDefault="009F539E" w:rsidP="00884BEB">
            <w:pPr>
              <w:pStyle w:val="TableText0"/>
            </w:pPr>
          </w:p>
        </w:tc>
        <w:tc>
          <w:tcPr>
            <w:tcW w:w="3508" w:type="dxa"/>
            <w:gridSpan w:val="3"/>
            <w:tcBorders>
              <w:bottom w:val="single" w:sz="4" w:space="0" w:color="auto"/>
            </w:tcBorders>
          </w:tcPr>
          <w:p w14:paraId="36591211" w14:textId="77777777" w:rsidR="009F539E" w:rsidRPr="00C709BF" w:rsidRDefault="009F539E" w:rsidP="00884BEB">
            <w:pPr>
              <w:pStyle w:val="In-tableHeading"/>
              <w:jc w:val="center"/>
            </w:pPr>
            <w:r w:rsidRPr="00C709BF">
              <w:t>Ravulizumab</w:t>
            </w:r>
          </w:p>
        </w:tc>
        <w:tc>
          <w:tcPr>
            <w:tcW w:w="3409" w:type="dxa"/>
            <w:gridSpan w:val="3"/>
            <w:tcBorders>
              <w:bottom w:val="single" w:sz="4" w:space="0" w:color="auto"/>
            </w:tcBorders>
          </w:tcPr>
          <w:p w14:paraId="1216D498" w14:textId="77777777" w:rsidR="009F539E" w:rsidRPr="00C709BF" w:rsidRDefault="009F539E" w:rsidP="00884BEB">
            <w:pPr>
              <w:pStyle w:val="In-tableHeading"/>
              <w:jc w:val="center"/>
            </w:pPr>
            <w:r w:rsidRPr="00C709BF">
              <w:t>Eculizumab</w:t>
            </w:r>
          </w:p>
        </w:tc>
      </w:tr>
      <w:tr w:rsidR="009F539E" w14:paraId="4ED03BAC" w14:textId="77777777" w:rsidTr="00884BEB">
        <w:tc>
          <w:tcPr>
            <w:tcW w:w="2100" w:type="dxa"/>
            <w:vMerge/>
          </w:tcPr>
          <w:p w14:paraId="775A9007" w14:textId="77777777" w:rsidR="009F539E" w:rsidRDefault="009F539E" w:rsidP="00884BEB">
            <w:pPr>
              <w:pStyle w:val="TableText0"/>
            </w:pPr>
          </w:p>
        </w:tc>
        <w:tc>
          <w:tcPr>
            <w:tcW w:w="1288" w:type="dxa"/>
            <w:vMerge w:val="restart"/>
            <w:vAlign w:val="center"/>
          </w:tcPr>
          <w:p w14:paraId="68546177" w14:textId="77777777" w:rsidR="009F539E" w:rsidRPr="00C709BF" w:rsidRDefault="009F539E" w:rsidP="00884BEB">
            <w:pPr>
              <w:pStyle w:val="TableText0"/>
              <w:jc w:val="center"/>
              <w:rPr>
                <w:b/>
                <w:bCs w:val="0"/>
              </w:rPr>
            </w:pPr>
            <w:r w:rsidRPr="00C709BF">
              <w:rPr>
                <w:b/>
                <w:bCs w:val="0"/>
              </w:rPr>
              <w:t>311</w:t>
            </w:r>
          </w:p>
        </w:tc>
        <w:tc>
          <w:tcPr>
            <w:tcW w:w="2220" w:type="dxa"/>
            <w:gridSpan w:val="2"/>
            <w:vAlign w:val="center"/>
          </w:tcPr>
          <w:p w14:paraId="082BF511" w14:textId="77777777" w:rsidR="009F539E" w:rsidRPr="00C709BF" w:rsidRDefault="009F539E" w:rsidP="00884BEB">
            <w:pPr>
              <w:pStyle w:val="TableText0"/>
              <w:jc w:val="center"/>
              <w:rPr>
                <w:b/>
                <w:bCs w:val="0"/>
              </w:rPr>
            </w:pPr>
            <w:r w:rsidRPr="00C709BF">
              <w:rPr>
                <w:b/>
                <w:bCs w:val="0"/>
              </w:rPr>
              <w:t>312</w:t>
            </w:r>
          </w:p>
        </w:tc>
        <w:tc>
          <w:tcPr>
            <w:tcW w:w="1151" w:type="dxa"/>
            <w:vMerge w:val="restart"/>
            <w:vAlign w:val="center"/>
          </w:tcPr>
          <w:p w14:paraId="196530B2" w14:textId="77777777" w:rsidR="009F539E" w:rsidRDefault="009F539E" w:rsidP="00884BEB">
            <w:pPr>
              <w:pStyle w:val="TableText0"/>
              <w:jc w:val="center"/>
            </w:pPr>
            <w:r w:rsidRPr="00C709BF">
              <w:rPr>
                <w:b/>
                <w:bCs w:val="0"/>
              </w:rPr>
              <w:t>C10-004</w:t>
            </w:r>
          </w:p>
        </w:tc>
        <w:tc>
          <w:tcPr>
            <w:tcW w:w="1151" w:type="dxa"/>
            <w:vMerge w:val="restart"/>
            <w:vAlign w:val="center"/>
          </w:tcPr>
          <w:p w14:paraId="5A09D3E3" w14:textId="77777777" w:rsidR="009F539E" w:rsidRDefault="009F539E" w:rsidP="00884BEB">
            <w:pPr>
              <w:pStyle w:val="TableText0"/>
              <w:jc w:val="center"/>
            </w:pPr>
            <w:r w:rsidRPr="00C709BF">
              <w:rPr>
                <w:b/>
                <w:bCs w:val="0"/>
              </w:rPr>
              <w:t>C08-002</w:t>
            </w:r>
          </w:p>
        </w:tc>
        <w:tc>
          <w:tcPr>
            <w:tcW w:w="1107" w:type="dxa"/>
            <w:vMerge w:val="restart"/>
            <w:vAlign w:val="center"/>
          </w:tcPr>
          <w:p w14:paraId="46128049" w14:textId="77777777" w:rsidR="009F539E" w:rsidRDefault="009F539E" w:rsidP="00884BEB">
            <w:pPr>
              <w:pStyle w:val="TableText0"/>
              <w:jc w:val="center"/>
            </w:pPr>
            <w:r w:rsidRPr="00C709BF">
              <w:rPr>
                <w:b/>
                <w:bCs w:val="0"/>
              </w:rPr>
              <w:t>C10-003</w:t>
            </w:r>
          </w:p>
        </w:tc>
      </w:tr>
      <w:tr w:rsidR="009F539E" w14:paraId="14A337EA" w14:textId="77777777" w:rsidTr="00884BEB">
        <w:tc>
          <w:tcPr>
            <w:tcW w:w="2100" w:type="dxa"/>
            <w:vMerge/>
          </w:tcPr>
          <w:p w14:paraId="258E1672" w14:textId="77777777" w:rsidR="009F539E" w:rsidRDefault="009F539E" w:rsidP="00884BEB">
            <w:pPr>
              <w:pStyle w:val="TableText0"/>
            </w:pPr>
          </w:p>
        </w:tc>
        <w:tc>
          <w:tcPr>
            <w:tcW w:w="1288" w:type="dxa"/>
            <w:vMerge/>
            <w:vAlign w:val="center"/>
          </w:tcPr>
          <w:p w14:paraId="56FFC88A" w14:textId="77777777" w:rsidR="009F539E" w:rsidRDefault="009F539E" w:rsidP="00884BEB">
            <w:pPr>
              <w:pStyle w:val="TableText0"/>
              <w:jc w:val="center"/>
            </w:pPr>
          </w:p>
        </w:tc>
        <w:tc>
          <w:tcPr>
            <w:tcW w:w="1110" w:type="dxa"/>
            <w:vAlign w:val="center"/>
          </w:tcPr>
          <w:p w14:paraId="2DBD27A8" w14:textId="77777777" w:rsidR="009F539E" w:rsidRDefault="009F539E" w:rsidP="00884BEB">
            <w:pPr>
              <w:pStyle w:val="TableText0"/>
              <w:jc w:val="center"/>
            </w:pPr>
            <w:r w:rsidRPr="00C709BF">
              <w:rPr>
                <w:b/>
                <w:bCs w:val="0"/>
              </w:rPr>
              <w:t>No prior eculizumab</w:t>
            </w:r>
          </w:p>
        </w:tc>
        <w:tc>
          <w:tcPr>
            <w:tcW w:w="1110" w:type="dxa"/>
            <w:vAlign w:val="center"/>
          </w:tcPr>
          <w:p w14:paraId="4CA7237C" w14:textId="77777777" w:rsidR="009F539E" w:rsidRDefault="009F539E" w:rsidP="00884BEB">
            <w:pPr>
              <w:pStyle w:val="TableText0"/>
              <w:jc w:val="center"/>
            </w:pPr>
            <w:r w:rsidRPr="00C709BF">
              <w:rPr>
                <w:b/>
                <w:bCs w:val="0"/>
              </w:rPr>
              <w:t>Prior eculizumab</w:t>
            </w:r>
          </w:p>
        </w:tc>
        <w:tc>
          <w:tcPr>
            <w:tcW w:w="1151" w:type="dxa"/>
            <w:vMerge/>
            <w:vAlign w:val="center"/>
          </w:tcPr>
          <w:p w14:paraId="43092284" w14:textId="77777777" w:rsidR="009F539E" w:rsidRDefault="009F539E" w:rsidP="00884BEB">
            <w:pPr>
              <w:pStyle w:val="TableText0"/>
              <w:jc w:val="center"/>
            </w:pPr>
          </w:p>
        </w:tc>
        <w:tc>
          <w:tcPr>
            <w:tcW w:w="1151" w:type="dxa"/>
            <w:vMerge/>
            <w:vAlign w:val="center"/>
          </w:tcPr>
          <w:p w14:paraId="507DECF5" w14:textId="77777777" w:rsidR="009F539E" w:rsidRDefault="009F539E" w:rsidP="00884BEB">
            <w:pPr>
              <w:pStyle w:val="TableText0"/>
              <w:jc w:val="center"/>
            </w:pPr>
          </w:p>
        </w:tc>
        <w:tc>
          <w:tcPr>
            <w:tcW w:w="1107" w:type="dxa"/>
            <w:vMerge/>
            <w:vAlign w:val="center"/>
          </w:tcPr>
          <w:p w14:paraId="09F84607" w14:textId="77777777" w:rsidR="009F539E" w:rsidRDefault="009F539E" w:rsidP="00884BEB">
            <w:pPr>
              <w:pStyle w:val="TableText0"/>
              <w:jc w:val="center"/>
            </w:pPr>
          </w:p>
        </w:tc>
      </w:tr>
      <w:tr w:rsidR="009F539E" w14:paraId="42226AE2" w14:textId="77777777" w:rsidTr="00884BEB">
        <w:tc>
          <w:tcPr>
            <w:tcW w:w="2100" w:type="dxa"/>
          </w:tcPr>
          <w:p w14:paraId="54A4B66B" w14:textId="77777777" w:rsidR="009F539E" w:rsidRDefault="009F539E" w:rsidP="00884BEB">
            <w:pPr>
              <w:pStyle w:val="TableText0"/>
            </w:pPr>
            <w:r>
              <w:t>N</w:t>
            </w:r>
          </w:p>
        </w:tc>
        <w:tc>
          <w:tcPr>
            <w:tcW w:w="1288" w:type="dxa"/>
          </w:tcPr>
          <w:p w14:paraId="4DF6F95E" w14:textId="77777777" w:rsidR="009F539E" w:rsidRDefault="009F539E" w:rsidP="00884BEB">
            <w:pPr>
              <w:pStyle w:val="TableText0"/>
              <w:jc w:val="center"/>
            </w:pPr>
            <w:r>
              <w:t>58</w:t>
            </w:r>
          </w:p>
        </w:tc>
        <w:tc>
          <w:tcPr>
            <w:tcW w:w="1110" w:type="dxa"/>
          </w:tcPr>
          <w:p w14:paraId="16C96477" w14:textId="77777777" w:rsidR="009F539E" w:rsidRDefault="009F539E" w:rsidP="00884BEB">
            <w:pPr>
              <w:pStyle w:val="TableText0"/>
              <w:jc w:val="center"/>
            </w:pPr>
            <w:r>
              <w:t>24</w:t>
            </w:r>
          </w:p>
        </w:tc>
        <w:tc>
          <w:tcPr>
            <w:tcW w:w="1110" w:type="dxa"/>
          </w:tcPr>
          <w:p w14:paraId="471FF07D" w14:textId="77777777" w:rsidR="009F539E" w:rsidRDefault="009F539E" w:rsidP="00884BEB">
            <w:pPr>
              <w:pStyle w:val="TableText0"/>
              <w:jc w:val="center"/>
            </w:pPr>
            <w:r>
              <w:t>10</w:t>
            </w:r>
          </w:p>
        </w:tc>
        <w:tc>
          <w:tcPr>
            <w:tcW w:w="1151" w:type="dxa"/>
          </w:tcPr>
          <w:p w14:paraId="2F59BB49" w14:textId="77777777" w:rsidR="009F539E" w:rsidRDefault="009F539E" w:rsidP="00884BEB">
            <w:pPr>
              <w:pStyle w:val="TableText0"/>
              <w:jc w:val="center"/>
            </w:pPr>
            <w:r>
              <w:t>41</w:t>
            </w:r>
          </w:p>
        </w:tc>
        <w:tc>
          <w:tcPr>
            <w:tcW w:w="1151" w:type="dxa"/>
          </w:tcPr>
          <w:p w14:paraId="2072AB20" w14:textId="77777777" w:rsidR="009F539E" w:rsidRDefault="009F539E" w:rsidP="00884BEB">
            <w:pPr>
              <w:pStyle w:val="TableText0"/>
              <w:jc w:val="center"/>
            </w:pPr>
            <w:r>
              <w:t>17</w:t>
            </w:r>
          </w:p>
        </w:tc>
        <w:tc>
          <w:tcPr>
            <w:tcW w:w="1107" w:type="dxa"/>
          </w:tcPr>
          <w:p w14:paraId="6A1BA8AA" w14:textId="77777777" w:rsidR="009F539E" w:rsidRDefault="009F539E" w:rsidP="00884BEB">
            <w:pPr>
              <w:pStyle w:val="TableText0"/>
              <w:jc w:val="center"/>
            </w:pPr>
            <w:r>
              <w:t>22</w:t>
            </w:r>
          </w:p>
        </w:tc>
      </w:tr>
      <w:tr w:rsidR="009F539E" w14:paraId="5C86C6C8" w14:textId="77777777" w:rsidTr="00884BEB">
        <w:tc>
          <w:tcPr>
            <w:tcW w:w="2100" w:type="dxa"/>
          </w:tcPr>
          <w:p w14:paraId="3D6B33DF" w14:textId="77777777" w:rsidR="009F539E" w:rsidRDefault="009F539E" w:rsidP="00884BEB">
            <w:pPr>
              <w:pStyle w:val="TableText0"/>
            </w:pPr>
            <w:r>
              <w:t>Duration of treatment</w:t>
            </w:r>
          </w:p>
          <w:p w14:paraId="54B1CEB2" w14:textId="77777777" w:rsidR="009F539E" w:rsidRDefault="009F539E" w:rsidP="00884BEB">
            <w:pPr>
              <w:pStyle w:val="TableText0"/>
            </w:pPr>
            <w:r>
              <w:t>Mean weeks (SD)</w:t>
            </w:r>
          </w:p>
          <w:p w14:paraId="445376F4" w14:textId="77777777" w:rsidR="009F539E" w:rsidRDefault="009F539E" w:rsidP="00884BEB">
            <w:pPr>
              <w:pStyle w:val="TableText0"/>
            </w:pPr>
            <w:r>
              <w:t>Median weeks (range)</w:t>
            </w:r>
          </w:p>
        </w:tc>
        <w:tc>
          <w:tcPr>
            <w:tcW w:w="1288" w:type="dxa"/>
          </w:tcPr>
          <w:p w14:paraId="510744E2" w14:textId="77777777" w:rsidR="009F539E" w:rsidRDefault="009F539E" w:rsidP="00884BEB">
            <w:pPr>
              <w:pStyle w:val="TableText0"/>
            </w:pPr>
          </w:p>
          <w:p w14:paraId="1EEA6E91" w14:textId="77777777" w:rsidR="009F539E" w:rsidRDefault="009F539E" w:rsidP="00884BEB">
            <w:pPr>
              <w:pStyle w:val="TableText0"/>
              <w:jc w:val="center"/>
            </w:pPr>
            <w:r>
              <w:t>95.9 (51.3)</w:t>
            </w:r>
          </w:p>
          <w:p w14:paraId="22A069B3" w14:textId="77777777" w:rsidR="009F539E" w:rsidRDefault="009F539E" w:rsidP="00884BEB">
            <w:pPr>
              <w:pStyle w:val="TableText0"/>
              <w:jc w:val="center"/>
            </w:pPr>
            <w:r>
              <w:t>114.1 (0.6, 162.4)</w:t>
            </w:r>
          </w:p>
        </w:tc>
        <w:tc>
          <w:tcPr>
            <w:tcW w:w="1110" w:type="dxa"/>
          </w:tcPr>
          <w:p w14:paraId="7F03B444" w14:textId="77777777" w:rsidR="009F539E" w:rsidRDefault="009F539E" w:rsidP="00884BEB">
            <w:pPr>
              <w:pStyle w:val="TableText0"/>
            </w:pPr>
          </w:p>
          <w:p w14:paraId="4C279667" w14:textId="77777777" w:rsidR="009F539E" w:rsidRDefault="009F539E" w:rsidP="00884BEB">
            <w:pPr>
              <w:pStyle w:val="TableText0"/>
              <w:jc w:val="center"/>
            </w:pPr>
            <w:r>
              <w:t>94.4 (62.5)</w:t>
            </w:r>
          </w:p>
          <w:p w14:paraId="25C1D772" w14:textId="77777777" w:rsidR="009F539E" w:rsidRDefault="009F539E" w:rsidP="00884BEB">
            <w:pPr>
              <w:pStyle w:val="TableText0"/>
              <w:jc w:val="center"/>
            </w:pPr>
            <w:r>
              <w:t>126.3 (1, 154)</w:t>
            </w:r>
          </w:p>
        </w:tc>
        <w:tc>
          <w:tcPr>
            <w:tcW w:w="1110" w:type="dxa"/>
          </w:tcPr>
          <w:p w14:paraId="1872E4B7" w14:textId="77777777" w:rsidR="009F539E" w:rsidRDefault="009F539E" w:rsidP="00884BEB">
            <w:pPr>
              <w:pStyle w:val="TableText0"/>
            </w:pPr>
          </w:p>
          <w:p w14:paraId="0ABD1215" w14:textId="77777777" w:rsidR="009F539E" w:rsidRDefault="009F539E" w:rsidP="00884BEB">
            <w:pPr>
              <w:pStyle w:val="TableText0"/>
              <w:jc w:val="center"/>
            </w:pPr>
            <w:r>
              <w:t>107.6 (3.8)</w:t>
            </w:r>
          </w:p>
          <w:p w14:paraId="126B5BB1" w14:textId="77777777" w:rsidR="009F539E" w:rsidRDefault="009F539E" w:rsidP="00884BEB">
            <w:pPr>
              <w:pStyle w:val="TableText0"/>
              <w:jc w:val="center"/>
            </w:pPr>
            <w:r>
              <w:t>106.1 (102.3, 114.1)</w:t>
            </w:r>
          </w:p>
        </w:tc>
        <w:tc>
          <w:tcPr>
            <w:tcW w:w="1151" w:type="dxa"/>
          </w:tcPr>
          <w:p w14:paraId="3BA94149" w14:textId="77777777" w:rsidR="009F539E" w:rsidRDefault="009F539E" w:rsidP="00884BEB">
            <w:pPr>
              <w:pStyle w:val="TableText0"/>
            </w:pPr>
          </w:p>
          <w:p w14:paraId="673A58E5" w14:textId="77777777" w:rsidR="009F539E" w:rsidRDefault="009F539E" w:rsidP="00884BEB">
            <w:pPr>
              <w:pStyle w:val="TableText0"/>
              <w:jc w:val="center"/>
            </w:pPr>
            <w:r>
              <w:t>57.4 (30.6)</w:t>
            </w:r>
          </w:p>
          <w:p w14:paraId="44713F0E" w14:textId="77777777" w:rsidR="009F539E" w:rsidRDefault="009F539E" w:rsidP="00884BEB">
            <w:pPr>
              <w:pStyle w:val="TableText0"/>
              <w:jc w:val="center"/>
            </w:pPr>
            <w:r>
              <w:t>51.7 (12.6, 125.1)</w:t>
            </w:r>
          </w:p>
        </w:tc>
        <w:tc>
          <w:tcPr>
            <w:tcW w:w="1151" w:type="dxa"/>
          </w:tcPr>
          <w:p w14:paraId="478CCB36" w14:textId="77777777" w:rsidR="009F539E" w:rsidRDefault="009F539E" w:rsidP="00884BEB">
            <w:pPr>
              <w:pStyle w:val="TableText0"/>
            </w:pPr>
          </w:p>
          <w:p w14:paraId="7F5CA942" w14:textId="77777777" w:rsidR="009F539E" w:rsidRDefault="009F539E" w:rsidP="00884BEB">
            <w:pPr>
              <w:pStyle w:val="TableText0"/>
              <w:jc w:val="center"/>
            </w:pPr>
            <w:r>
              <w:t>97.6 (57.3)</w:t>
            </w:r>
          </w:p>
          <w:p w14:paraId="20D65698" w14:textId="77777777" w:rsidR="009F539E" w:rsidRDefault="009F539E" w:rsidP="00884BEB">
            <w:pPr>
              <w:pStyle w:val="TableText0"/>
              <w:jc w:val="center"/>
            </w:pPr>
            <w:r>
              <w:t>100.3 (2.0, 185.7)</w:t>
            </w:r>
          </w:p>
        </w:tc>
        <w:tc>
          <w:tcPr>
            <w:tcW w:w="1107" w:type="dxa"/>
          </w:tcPr>
          <w:p w14:paraId="59C4C462" w14:textId="77777777" w:rsidR="009F539E" w:rsidRDefault="009F539E" w:rsidP="00884BEB">
            <w:pPr>
              <w:pStyle w:val="TableText0"/>
            </w:pPr>
          </w:p>
          <w:p w14:paraId="6CAEC229" w14:textId="77777777" w:rsidR="009F539E" w:rsidRDefault="009F539E" w:rsidP="00884BEB">
            <w:pPr>
              <w:pStyle w:val="TableText0"/>
              <w:jc w:val="center"/>
            </w:pPr>
            <w:r>
              <w:t>23.9 (5.8)</w:t>
            </w:r>
          </w:p>
          <w:p w14:paraId="075B8194" w14:textId="77777777" w:rsidR="009F539E" w:rsidRDefault="009F539E" w:rsidP="00884BEB">
            <w:pPr>
              <w:pStyle w:val="TableText0"/>
              <w:jc w:val="center"/>
            </w:pPr>
            <w:r>
              <w:t>25.6 (0, 26.5)</w:t>
            </w:r>
          </w:p>
        </w:tc>
      </w:tr>
      <w:tr w:rsidR="009F539E" w14:paraId="4E390E5E" w14:textId="77777777" w:rsidTr="00884BEB">
        <w:tc>
          <w:tcPr>
            <w:tcW w:w="2100" w:type="dxa"/>
          </w:tcPr>
          <w:p w14:paraId="3984D374" w14:textId="77777777" w:rsidR="009F539E" w:rsidRPr="0048326C" w:rsidRDefault="009F539E" w:rsidP="00884BEB">
            <w:pPr>
              <w:pStyle w:val="TableText0"/>
            </w:pPr>
            <w:r>
              <w:t>Patients with any AE, n (%)</w:t>
            </w:r>
          </w:p>
        </w:tc>
        <w:tc>
          <w:tcPr>
            <w:tcW w:w="1288" w:type="dxa"/>
            <w:vAlign w:val="center"/>
          </w:tcPr>
          <w:p w14:paraId="37B0D917" w14:textId="77777777" w:rsidR="009F539E" w:rsidRDefault="009F539E" w:rsidP="00884BEB">
            <w:pPr>
              <w:pStyle w:val="TableText0"/>
              <w:jc w:val="center"/>
            </w:pPr>
            <w:r>
              <w:t>58 (100%)</w:t>
            </w:r>
          </w:p>
        </w:tc>
        <w:tc>
          <w:tcPr>
            <w:tcW w:w="1110" w:type="dxa"/>
            <w:vAlign w:val="center"/>
          </w:tcPr>
          <w:p w14:paraId="168519EE" w14:textId="77777777" w:rsidR="009F539E" w:rsidRDefault="009F539E" w:rsidP="00884BEB">
            <w:pPr>
              <w:pStyle w:val="TableText0"/>
              <w:jc w:val="center"/>
            </w:pPr>
            <w:r>
              <w:t>23 (95.8%)</w:t>
            </w:r>
          </w:p>
        </w:tc>
        <w:tc>
          <w:tcPr>
            <w:tcW w:w="1110" w:type="dxa"/>
            <w:vAlign w:val="center"/>
          </w:tcPr>
          <w:p w14:paraId="0B407962" w14:textId="77777777" w:rsidR="009F539E" w:rsidRDefault="009F539E" w:rsidP="00884BEB">
            <w:pPr>
              <w:pStyle w:val="TableText0"/>
              <w:jc w:val="center"/>
            </w:pPr>
            <w:r>
              <w:t>10 (100%)</w:t>
            </w:r>
          </w:p>
        </w:tc>
        <w:tc>
          <w:tcPr>
            <w:tcW w:w="1151" w:type="dxa"/>
            <w:vAlign w:val="center"/>
          </w:tcPr>
          <w:p w14:paraId="437D67BD" w14:textId="77777777" w:rsidR="009F539E" w:rsidRDefault="009F539E" w:rsidP="00884BEB">
            <w:pPr>
              <w:pStyle w:val="TableText0"/>
              <w:jc w:val="center"/>
            </w:pPr>
            <w:r>
              <w:t>41 (100%)</w:t>
            </w:r>
          </w:p>
        </w:tc>
        <w:tc>
          <w:tcPr>
            <w:tcW w:w="1151" w:type="dxa"/>
            <w:vAlign w:val="center"/>
          </w:tcPr>
          <w:p w14:paraId="3D018DE9" w14:textId="77777777" w:rsidR="009F539E" w:rsidRDefault="009F539E" w:rsidP="00884BEB">
            <w:pPr>
              <w:pStyle w:val="TableText0"/>
              <w:jc w:val="center"/>
            </w:pPr>
            <w:r>
              <w:t>17 (100%)</w:t>
            </w:r>
          </w:p>
        </w:tc>
        <w:tc>
          <w:tcPr>
            <w:tcW w:w="1107" w:type="dxa"/>
            <w:vAlign w:val="center"/>
          </w:tcPr>
          <w:p w14:paraId="7FADEBB9" w14:textId="77777777" w:rsidR="009F539E" w:rsidRDefault="009F539E" w:rsidP="00884BEB">
            <w:pPr>
              <w:pStyle w:val="TableText0"/>
              <w:jc w:val="center"/>
            </w:pPr>
            <w:r>
              <w:t>20 (90.9%)</w:t>
            </w:r>
          </w:p>
        </w:tc>
      </w:tr>
      <w:tr w:rsidR="009F539E" w14:paraId="4AFF83BA" w14:textId="77777777" w:rsidTr="001376A6">
        <w:tc>
          <w:tcPr>
            <w:tcW w:w="2100" w:type="dxa"/>
          </w:tcPr>
          <w:p w14:paraId="7DE91738" w14:textId="77777777" w:rsidR="009F539E" w:rsidRPr="0048326C" w:rsidRDefault="009F539E" w:rsidP="00884BEB">
            <w:pPr>
              <w:pStyle w:val="TableText0"/>
            </w:pPr>
            <w:r>
              <w:t>Patients with AE assessed as drug related</w:t>
            </w:r>
            <w:r>
              <w:rPr>
                <w:vertAlign w:val="superscript"/>
              </w:rPr>
              <w:t>a</w:t>
            </w:r>
            <w:r>
              <w:t xml:space="preserve">, n (%) </w:t>
            </w:r>
          </w:p>
        </w:tc>
        <w:tc>
          <w:tcPr>
            <w:tcW w:w="1288" w:type="dxa"/>
            <w:vAlign w:val="center"/>
          </w:tcPr>
          <w:p w14:paraId="373C2C5F" w14:textId="77777777" w:rsidR="009F539E" w:rsidRDefault="009F539E" w:rsidP="001376A6">
            <w:pPr>
              <w:pStyle w:val="TableText0"/>
              <w:jc w:val="center"/>
            </w:pPr>
            <w:r>
              <w:t>21 (36.2%)</w:t>
            </w:r>
          </w:p>
        </w:tc>
        <w:tc>
          <w:tcPr>
            <w:tcW w:w="1110" w:type="dxa"/>
            <w:vAlign w:val="center"/>
          </w:tcPr>
          <w:p w14:paraId="179F5BFE" w14:textId="77777777" w:rsidR="009F539E" w:rsidRDefault="009F539E" w:rsidP="001376A6">
            <w:pPr>
              <w:pStyle w:val="TableText0"/>
              <w:jc w:val="center"/>
            </w:pPr>
            <w:r>
              <w:t>12 (50%)</w:t>
            </w:r>
          </w:p>
        </w:tc>
        <w:tc>
          <w:tcPr>
            <w:tcW w:w="1110" w:type="dxa"/>
            <w:vAlign w:val="center"/>
          </w:tcPr>
          <w:p w14:paraId="1CD421AF" w14:textId="77777777" w:rsidR="009F539E" w:rsidRDefault="009F539E" w:rsidP="001376A6">
            <w:pPr>
              <w:pStyle w:val="TableText0"/>
              <w:jc w:val="center"/>
            </w:pPr>
            <w:r>
              <w:t>2 (20%)</w:t>
            </w:r>
          </w:p>
        </w:tc>
        <w:tc>
          <w:tcPr>
            <w:tcW w:w="1151" w:type="dxa"/>
            <w:vAlign w:val="center"/>
          </w:tcPr>
          <w:p w14:paraId="1E76B8F2" w14:textId="77777777" w:rsidR="009F539E" w:rsidRDefault="009F539E" w:rsidP="001376A6">
            <w:pPr>
              <w:pStyle w:val="TableText0"/>
              <w:jc w:val="center"/>
            </w:pPr>
            <w:r>
              <w:t>17 (41.5%)</w:t>
            </w:r>
          </w:p>
        </w:tc>
        <w:tc>
          <w:tcPr>
            <w:tcW w:w="1151" w:type="dxa"/>
            <w:vAlign w:val="center"/>
          </w:tcPr>
          <w:p w14:paraId="1E4F8AF2" w14:textId="77777777" w:rsidR="009F539E" w:rsidRDefault="009F539E" w:rsidP="001376A6">
            <w:pPr>
              <w:pStyle w:val="TableText0"/>
              <w:jc w:val="center"/>
            </w:pPr>
            <w:r>
              <w:t>12 (70.6%)</w:t>
            </w:r>
          </w:p>
        </w:tc>
        <w:tc>
          <w:tcPr>
            <w:tcW w:w="1107" w:type="dxa"/>
            <w:vAlign w:val="center"/>
          </w:tcPr>
          <w:p w14:paraId="3C635D4F" w14:textId="77777777" w:rsidR="009F539E" w:rsidRDefault="009F539E" w:rsidP="001376A6">
            <w:pPr>
              <w:pStyle w:val="TableText0"/>
              <w:jc w:val="center"/>
            </w:pPr>
            <w:r>
              <w:t>10 (45.4%)</w:t>
            </w:r>
          </w:p>
        </w:tc>
      </w:tr>
      <w:tr w:rsidR="009F539E" w14:paraId="0F96B8B9" w14:textId="77777777" w:rsidTr="00884BEB">
        <w:tc>
          <w:tcPr>
            <w:tcW w:w="2100" w:type="dxa"/>
          </w:tcPr>
          <w:p w14:paraId="476D6337" w14:textId="77777777" w:rsidR="009F539E" w:rsidRDefault="009F539E" w:rsidP="00884BEB">
            <w:pPr>
              <w:pStyle w:val="TableText0"/>
            </w:pPr>
            <w:r>
              <w:t>Patients with any SAE, n (%)</w:t>
            </w:r>
          </w:p>
        </w:tc>
        <w:tc>
          <w:tcPr>
            <w:tcW w:w="1288" w:type="dxa"/>
            <w:vAlign w:val="center"/>
          </w:tcPr>
          <w:p w14:paraId="4A841D5B" w14:textId="77777777" w:rsidR="009F539E" w:rsidRDefault="009F539E" w:rsidP="00884BEB">
            <w:pPr>
              <w:pStyle w:val="TableText0"/>
              <w:jc w:val="center"/>
            </w:pPr>
            <w:r>
              <w:t>36 (62.1%)</w:t>
            </w:r>
          </w:p>
        </w:tc>
        <w:tc>
          <w:tcPr>
            <w:tcW w:w="1110" w:type="dxa"/>
            <w:vAlign w:val="center"/>
          </w:tcPr>
          <w:p w14:paraId="496706DF" w14:textId="77777777" w:rsidR="009F539E" w:rsidRDefault="009F539E" w:rsidP="00884BEB">
            <w:pPr>
              <w:pStyle w:val="TableText0"/>
              <w:jc w:val="center"/>
            </w:pPr>
            <w:r>
              <w:t>16 (66.7%)</w:t>
            </w:r>
          </w:p>
        </w:tc>
        <w:tc>
          <w:tcPr>
            <w:tcW w:w="1110" w:type="dxa"/>
            <w:vAlign w:val="center"/>
          </w:tcPr>
          <w:p w14:paraId="107F788C" w14:textId="77777777" w:rsidR="009F539E" w:rsidRDefault="009F539E" w:rsidP="00884BEB">
            <w:pPr>
              <w:pStyle w:val="TableText0"/>
              <w:jc w:val="center"/>
            </w:pPr>
            <w:r>
              <w:t>1 (10%)</w:t>
            </w:r>
          </w:p>
        </w:tc>
        <w:tc>
          <w:tcPr>
            <w:tcW w:w="1151" w:type="dxa"/>
            <w:vAlign w:val="center"/>
          </w:tcPr>
          <w:p w14:paraId="05405D0B" w14:textId="77777777" w:rsidR="009F539E" w:rsidRDefault="009F539E" w:rsidP="00884BEB">
            <w:pPr>
              <w:pStyle w:val="TableText0"/>
              <w:jc w:val="center"/>
            </w:pPr>
            <w:r>
              <w:t>19 (43.6%)</w:t>
            </w:r>
          </w:p>
        </w:tc>
        <w:tc>
          <w:tcPr>
            <w:tcW w:w="1151" w:type="dxa"/>
            <w:vAlign w:val="center"/>
          </w:tcPr>
          <w:p w14:paraId="113E1BBB" w14:textId="77777777" w:rsidR="009F539E" w:rsidRDefault="009F539E" w:rsidP="00884BEB">
            <w:pPr>
              <w:pStyle w:val="TableText0"/>
              <w:jc w:val="center"/>
            </w:pPr>
            <w:r>
              <w:t>17 (100%)</w:t>
            </w:r>
          </w:p>
        </w:tc>
        <w:tc>
          <w:tcPr>
            <w:tcW w:w="1107" w:type="dxa"/>
            <w:vAlign w:val="center"/>
          </w:tcPr>
          <w:p w14:paraId="16BA9945" w14:textId="77777777" w:rsidR="009F539E" w:rsidRDefault="009F539E" w:rsidP="00884BEB">
            <w:pPr>
              <w:pStyle w:val="TableText0"/>
              <w:jc w:val="center"/>
            </w:pPr>
            <w:r>
              <w:t>13 (59.1%)</w:t>
            </w:r>
          </w:p>
        </w:tc>
      </w:tr>
      <w:tr w:rsidR="009F539E" w14:paraId="18A2FEEA" w14:textId="77777777" w:rsidTr="00884BEB">
        <w:tc>
          <w:tcPr>
            <w:tcW w:w="2100" w:type="dxa"/>
          </w:tcPr>
          <w:p w14:paraId="24393DB7" w14:textId="77777777" w:rsidR="009F539E" w:rsidRDefault="009F539E" w:rsidP="00884BEB">
            <w:pPr>
              <w:pStyle w:val="TableText0"/>
            </w:pPr>
            <w:r>
              <w:t>Patients with AE resulting in drug discontinuation, n (%)</w:t>
            </w:r>
          </w:p>
        </w:tc>
        <w:tc>
          <w:tcPr>
            <w:tcW w:w="1288" w:type="dxa"/>
            <w:vAlign w:val="center"/>
          </w:tcPr>
          <w:p w14:paraId="43016B46" w14:textId="77777777" w:rsidR="009F539E" w:rsidRDefault="009F539E" w:rsidP="00884BEB">
            <w:pPr>
              <w:pStyle w:val="TableText0"/>
              <w:jc w:val="center"/>
            </w:pPr>
            <w:r>
              <w:t>3 (5.2%)</w:t>
            </w:r>
          </w:p>
        </w:tc>
        <w:tc>
          <w:tcPr>
            <w:tcW w:w="1110" w:type="dxa"/>
            <w:vAlign w:val="center"/>
          </w:tcPr>
          <w:p w14:paraId="287D3572" w14:textId="77777777" w:rsidR="009F539E" w:rsidRDefault="009F539E" w:rsidP="00884BEB">
            <w:pPr>
              <w:pStyle w:val="TableText0"/>
              <w:jc w:val="center"/>
            </w:pPr>
            <w:r>
              <w:t>2 (8.3%)</w:t>
            </w:r>
          </w:p>
        </w:tc>
        <w:tc>
          <w:tcPr>
            <w:tcW w:w="1110" w:type="dxa"/>
            <w:vAlign w:val="center"/>
          </w:tcPr>
          <w:p w14:paraId="66782829" w14:textId="77777777" w:rsidR="009F539E" w:rsidRDefault="009F539E" w:rsidP="00884BEB">
            <w:pPr>
              <w:pStyle w:val="TableText0"/>
              <w:jc w:val="center"/>
            </w:pPr>
            <w:r>
              <w:t>0 (0%)</w:t>
            </w:r>
          </w:p>
        </w:tc>
        <w:tc>
          <w:tcPr>
            <w:tcW w:w="1151" w:type="dxa"/>
            <w:vAlign w:val="center"/>
          </w:tcPr>
          <w:p w14:paraId="2AA98D41" w14:textId="77777777" w:rsidR="009F539E" w:rsidRDefault="009F539E" w:rsidP="00884BEB">
            <w:pPr>
              <w:pStyle w:val="TableText0"/>
              <w:jc w:val="center"/>
            </w:pPr>
            <w:r>
              <w:t>1 (2.4%)</w:t>
            </w:r>
          </w:p>
        </w:tc>
        <w:tc>
          <w:tcPr>
            <w:tcW w:w="1151" w:type="dxa"/>
            <w:vAlign w:val="center"/>
          </w:tcPr>
          <w:p w14:paraId="459CC0B8" w14:textId="77777777" w:rsidR="009F539E" w:rsidRDefault="009F539E" w:rsidP="00884BEB">
            <w:pPr>
              <w:pStyle w:val="TableText0"/>
              <w:jc w:val="center"/>
            </w:pPr>
            <w:r>
              <w:t>3 (17.6%)</w:t>
            </w:r>
          </w:p>
        </w:tc>
        <w:tc>
          <w:tcPr>
            <w:tcW w:w="1107" w:type="dxa"/>
            <w:vAlign w:val="center"/>
          </w:tcPr>
          <w:p w14:paraId="299A1EF9" w14:textId="77777777" w:rsidR="009F539E" w:rsidRDefault="009F539E" w:rsidP="00884BEB">
            <w:pPr>
              <w:pStyle w:val="TableText0"/>
              <w:jc w:val="center"/>
            </w:pPr>
            <w:r>
              <w:t>1 (4.5%)</w:t>
            </w:r>
          </w:p>
        </w:tc>
      </w:tr>
      <w:tr w:rsidR="009F539E" w14:paraId="4C93E320" w14:textId="77777777" w:rsidTr="00884BEB">
        <w:tc>
          <w:tcPr>
            <w:tcW w:w="2100" w:type="dxa"/>
          </w:tcPr>
          <w:p w14:paraId="401A2349" w14:textId="77777777" w:rsidR="009F539E" w:rsidRDefault="009F539E" w:rsidP="00884BEB">
            <w:pPr>
              <w:pStyle w:val="TableText0"/>
            </w:pPr>
            <w:r>
              <w:t>Patients with AE Grade 3 or higher, n (%)</w:t>
            </w:r>
          </w:p>
        </w:tc>
        <w:tc>
          <w:tcPr>
            <w:tcW w:w="1288" w:type="dxa"/>
            <w:vAlign w:val="center"/>
          </w:tcPr>
          <w:p w14:paraId="45C87DE9" w14:textId="77777777" w:rsidR="009F539E" w:rsidRDefault="009F539E" w:rsidP="00884BEB">
            <w:pPr>
              <w:pStyle w:val="TableText0"/>
              <w:jc w:val="center"/>
            </w:pPr>
            <w:r>
              <w:t>52 (89.7%)</w:t>
            </w:r>
          </w:p>
        </w:tc>
        <w:tc>
          <w:tcPr>
            <w:tcW w:w="1110" w:type="dxa"/>
            <w:vAlign w:val="center"/>
          </w:tcPr>
          <w:p w14:paraId="37933E0B" w14:textId="77777777" w:rsidR="009F539E" w:rsidRDefault="009F539E" w:rsidP="00884BEB">
            <w:pPr>
              <w:pStyle w:val="TableText0"/>
              <w:jc w:val="center"/>
            </w:pPr>
            <w:r>
              <w:t>12 (50%)</w:t>
            </w:r>
          </w:p>
        </w:tc>
        <w:tc>
          <w:tcPr>
            <w:tcW w:w="1110" w:type="dxa"/>
            <w:vAlign w:val="center"/>
          </w:tcPr>
          <w:p w14:paraId="26C00324" w14:textId="77777777" w:rsidR="009F539E" w:rsidRDefault="009F539E" w:rsidP="00884BEB">
            <w:pPr>
              <w:pStyle w:val="TableText0"/>
              <w:jc w:val="center"/>
            </w:pPr>
            <w:r>
              <w:t>1 (10%)</w:t>
            </w:r>
          </w:p>
        </w:tc>
        <w:tc>
          <w:tcPr>
            <w:tcW w:w="1151" w:type="dxa"/>
            <w:vAlign w:val="center"/>
          </w:tcPr>
          <w:p w14:paraId="2F453912" w14:textId="77777777" w:rsidR="009F539E" w:rsidRDefault="009F539E" w:rsidP="00884BEB">
            <w:pPr>
              <w:pStyle w:val="TableText0"/>
              <w:jc w:val="center"/>
            </w:pPr>
            <w:r>
              <w:t>35 (85.4%)</w:t>
            </w:r>
          </w:p>
        </w:tc>
        <w:tc>
          <w:tcPr>
            <w:tcW w:w="1151" w:type="dxa"/>
            <w:vAlign w:val="center"/>
          </w:tcPr>
          <w:p w14:paraId="0DAB3BD6" w14:textId="77777777" w:rsidR="009F539E" w:rsidRDefault="009F539E" w:rsidP="00884BEB">
            <w:pPr>
              <w:pStyle w:val="TableText0"/>
              <w:jc w:val="center"/>
            </w:pPr>
            <w:r>
              <w:t>13 (76.4%)</w:t>
            </w:r>
          </w:p>
        </w:tc>
        <w:tc>
          <w:tcPr>
            <w:tcW w:w="1107" w:type="dxa"/>
            <w:vAlign w:val="center"/>
          </w:tcPr>
          <w:p w14:paraId="7D23417A" w14:textId="77777777" w:rsidR="009F539E" w:rsidRDefault="009F539E" w:rsidP="00884BEB">
            <w:pPr>
              <w:pStyle w:val="TableText0"/>
              <w:jc w:val="center"/>
            </w:pPr>
            <w:r>
              <w:t>15 (68.2%)</w:t>
            </w:r>
          </w:p>
        </w:tc>
      </w:tr>
      <w:tr w:rsidR="009F539E" w14:paraId="25C02118" w14:textId="77777777" w:rsidTr="00884BEB">
        <w:tc>
          <w:tcPr>
            <w:tcW w:w="2100" w:type="dxa"/>
          </w:tcPr>
          <w:p w14:paraId="607D1B90" w14:textId="77777777" w:rsidR="009F539E" w:rsidRDefault="009F539E" w:rsidP="00884BEB">
            <w:pPr>
              <w:pStyle w:val="TableText0"/>
            </w:pPr>
            <w:r>
              <w:t>Deaths, n (%)</w:t>
            </w:r>
          </w:p>
        </w:tc>
        <w:tc>
          <w:tcPr>
            <w:tcW w:w="1288" w:type="dxa"/>
            <w:vAlign w:val="center"/>
          </w:tcPr>
          <w:p w14:paraId="3A975474" w14:textId="77777777" w:rsidR="009F539E" w:rsidRDefault="009F539E" w:rsidP="00884BEB">
            <w:pPr>
              <w:pStyle w:val="TableText0"/>
              <w:jc w:val="center"/>
            </w:pPr>
            <w:r>
              <w:t>4 (6.9%)</w:t>
            </w:r>
          </w:p>
        </w:tc>
        <w:tc>
          <w:tcPr>
            <w:tcW w:w="1110" w:type="dxa"/>
            <w:vAlign w:val="center"/>
          </w:tcPr>
          <w:p w14:paraId="5A8FCA9E" w14:textId="77777777" w:rsidR="009F539E" w:rsidRDefault="009F539E" w:rsidP="00884BEB">
            <w:pPr>
              <w:pStyle w:val="TableText0"/>
              <w:jc w:val="center"/>
            </w:pPr>
            <w:r>
              <w:t>0</w:t>
            </w:r>
          </w:p>
        </w:tc>
        <w:tc>
          <w:tcPr>
            <w:tcW w:w="1110" w:type="dxa"/>
            <w:vAlign w:val="center"/>
          </w:tcPr>
          <w:p w14:paraId="595CFF7D" w14:textId="77777777" w:rsidR="009F539E" w:rsidRDefault="009F539E" w:rsidP="00884BEB">
            <w:pPr>
              <w:pStyle w:val="TableText0"/>
              <w:jc w:val="center"/>
            </w:pPr>
            <w:r>
              <w:t>0</w:t>
            </w:r>
          </w:p>
        </w:tc>
        <w:tc>
          <w:tcPr>
            <w:tcW w:w="1151" w:type="dxa"/>
            <w:vAlign w:val="center"/>
          </w:tcPr>
          <w:p w14:paraId="5FC2546C" w14:textId="77777777" w:rsidR="009F539E" w:rsidRDefault="009F539E" w:rsidP="00884BEB">
            <w:pPr>
              <w:pStyle w:val="TableText0"/>
              <w:jc w:val="center"/>
            </w:pPr>
            <w:r>
              <w:t>0</w:t>
            </w:r>
          </w:p>
        </w:tc>
        <w:tc>
          <w:tcPr>
            <w:tcW w:w="1151" w:type="dxa"/>
            <w:vAlign w:val="center"/>
          </w:tcPr>
          <w:p w14:paraId="3D2D904C" w14:textId="77777777" w:rsidR="009F539E" w:rsidRDefault="009F539E" w:rsidP="00884BEB">
            <w:pPr>
              <w:pStyle w:val="TableText0"/>
              <w:jc w:val="center"/>
            </w:pPr>
            <w:r>
              <w:t>0</w:t>
            </w:r>
          </w:p>
        </w:tc>
        <w:tc>
          <w:tcPr>
            <w:tcW w:w="1107" w:type="dxa"/>
            <w:vAlign w:val="center"/>
          </w:tcPr>
          <w:p w14:paraId="18057E04" w14:textId="77777777" w:rsidR="009F539E" w:rsidRDefault="009F539E" w:rsidP="00884BEB">
            <w:pPr>
              <w:pStyle w:val="TableText0"/>
              <w:jc w:val="center"/>
            </w:pPr>
            <w:r>
              <w:t>0</w:t>
            </w:r>
          </w:p>
        </w:tc>
      </w:tr>
      <w:tr w:rsidR="009F539E" w14:paraId="25C3FB44" w14:textId="77777777" w:rsidTr="00884BEB">
        <w:tc>
          <w:tcPr>
            <w:tcW w:w="2100" w:type="dxa"/>
          </w:tcPr>
          <w:p w14:paraId="56C24DB0" w14:textId="77777777" w:rsidR="009F539E" w:rsidRDefault="009F539E" w:rsidP="00884BEB">
            <w:pPr>
              <w:pStyle w:val="TableText0"/>
            </w:pPr>
            <w:r>
              <w:t>Discontinuation before 26 weeks, n (%)</w:t>
            </w:r>
          </w:p>
        </w:tc>
        <w:tc>
          <w:tcPr>
            <w:tcW w:w="1288" w:type="dxa"/>
            <w:vAlign w:val="center"/>
          </w:tcPr>
          <w:p w14:paraId="772B4D13" w14:textId="77777777" w:rsidR="009F539E" w:rsidRDefault="009F539E" w:rsidP="00884BEB">
            <w:pPr>
              <w:pStyle w:val="TableText0"/>
              <w:jc w:val="center"/>
            </w:pPr>
            <w:r>
              <w:t>9 (15.5%)</w:t>
            </w:r>
          </w:p>
        </w:tc>
        <w:tc>
          <w:tcPr>
            <w:tcW w:w="1110" w:type="dxa"/>
            <w:vAlign w:val="center"/>
          </w:tcPr>
          <w:p w14:paraId="5338C092" w14:textId="77777777" w:rsidR="009F539E" w:rsidRDefault="009F539E" w:rsidP="00884BEB">
            <w:pPr>
              <w:pStyle w:val="TableText0"/>
              <w:jc w:val="center"/>
            </w:pPr>
            <w:r>
              <w:t>7 (29.2%)</w:t>
            </w:r>
          </w:p>
        </w:tc>
        <w:tc>
          <w:tcPr>
            <w:tcW w:w="1110" w:type="dxa"/>
            <w:vAlign w:val="center"/>
          </w:tcPr>
          <w:p w14:paraId="434085D1" w14:textId="77777777" w:rsidR="009F539E" w:rsidRDefault="009F539E" w:rsidP="00884BEB">
            <w:pPr>
              <w:pStyle w:val="TableText0"/>
              <w:jc w:val="center"/>
            </w:pPr>
            <w:r>
              <w:t>0</w:t>
            </w:r>
          </w:p>
        </w:tc>
        <w:tc>
          <w:tcPr>
            <w:tcW w:w="1151" w:type="dxa"/>
            <w:vAlign w:val="center"/>
          </w:tcPr>
          <w:p w14:paraId="1D5A8888" w14:textId="77777777" w:rsidR="009F539E" w:rsidRDefault="009F539E" w:rsidP="00884BEB">
            <w:pPr>
              <w:pStyle w:val="TableText0"/>
              <w:jc w:val="center"/>
            </w:pPr>
            <w:r>
              <w:t>3 (7.3%)</w:t>
            </w:r>
          </w:p>
        </w:tc>
        <w:tc>
          <w:tcPr>
            <w:tcW w:w="1151" w:type="dxa"/>
            <w:vAlign w:val="center"/>
          </w:tcPr>
          <w:p w14:paraId="35348892" w14:textId="77777777" w:rsidR="009F539E" w:rsidRDefault="009F539E" w:rsidP="00884BEB">
            <w:pPr>
              <w:pStyle w:val="TableText0"/>
              <w:jc w:val="center"/>
            </w:pPr>
            <w:r>
              <w:t>2 (11.8%)</w:t>
            </w:r>
          </w:p>
        </w:tc>
        <w:tc>
          <w:tcPr>
            <w:tcW w:w="1107" w:type="dxa"/>
            <w:vAlign w:val="center"/>
          </w:tcPr>
          <w:p w14:paraId="3B682799" w14:textId="77777777" w:rsidR="009F539E" w:rsidRDefault="009F539E" w:rsidP="00884BEB">
            <w:pPr>
              <w:pStyle w:val="TableText0"/>
              <w:jc w:val="center"/>
            </w:pPr>
            <w:r>
              <w:t>3 (13.6%)</w:t>
            </w:r>
          </w:p>
        </w:tc>
      </w:tr>
      <w:tr w:rsidR="009F539E" w14:paraId="02FDC903" w14:textId="77777777" w:rsidTr="00884BEB">
        <w:tc>
          <w:tcPr>
            <w:tcW w:w="2100" w:type="dxa"/>
          </w:tcPr>
          <w:p w14:paraId="6A8B1BA5" w14:textId="77777777" w:rsidR="009F539E" w:rsidRDefault="009F539E" w:rsidP="00884BEB">
            <w:pPr>
              <w:pStyle w:val="TableText0"/>
            </w:pPr>
            <w:r>
              <w:t>Discontinuation to latest follow-up, n (%)</w:t>
            </w:r>
          </w:p>
        </w:tc>
        <w:tc>
          <w:tcPr>
            <w:tcW w:w="1288" w:type="dxa"/>
            <w:vAlign w:val="center"/>
          </w:tcPr>
          <w:p w14:paraId="75B06EC4" w14:textId="77777777" w:rsidR="009F539E" w:rsidRDefault="009F539E" w:rsidP="00884BEB">
            <w:pPr>
              <w:pStyle w:val="TableText0"/>
              <w:jc w:val="center"/>
            </w:pPr>
            <w:r>
              <w:t>28 (48.3%)</w:t>
            </w:r>
          </w:p>
        </w:tc>
        <w:tc>
          <w:tcPr>
            <w:tcW w:w="1110" w:type="dxa"/>
            <w:vAlign w:val="center"/>
          </w:tcPr>
          <w:p w14:paraId="0C964FA4" w14:textId="77777777" w:rsidR="009F539E" w:rsidRDefault="009F539E" w:rsidP="00884BEB">
            <w:pPr>
              <w:pStyle w:val="TableText0"/>
              <w:jc w:val="center"/>
            </w:pPr>
            <w:r>
              <w:t>11 (45.8%)</w:t>
            </w:r>
          </w:p>
        </w:tc>
        <w:tc>
          <w:tcPr>
            <w:tcW w:w="1110" w:type="dxa"/>
            <w:vAlign w:val="center"/>
          </w:tcPr>
          <w:p w14:paraId="7D79F28F" w14:textId="77777777" w:rsidR="009F539E" w:rsidRDefault="009F539E" w:rsidP="00884BEB">
            <w:pPr>
              <w:pStyle w:val="TableText0"/>
              <w:jc w:val="center"/>
            </w:pPr>
            <w:r>
              <w:t>0</w:t>
            </w:r>
          </w:p>
        </w:tc>
        <w:tc>
          <w:tcPr>
            <w:tcW w:w="1151" w:type="dxa"/>
            <w:vAlign w:val="center"/>
          </w:tcPr>
          <w:p w14:paraId="4A5B49B1" w14:textId="77777777" w:rsidR="009F539E" w:rsidRDefault="009F539E" w:rsidP="00884BEB">
            <w:pPr>
              <w:pStyle w:val="TableText0"/>
              <w:jc w:val="center"/>
            </w:pPr>
            <w:r>
              <w:t>11 (26.8%</w:t>
            </w:r>
          </w:p>
        </w:tc>
        <w:tc>
          <w:tcPr>
            <w:tcW w:w="1151" w:type="dxa"/>
            <w:vAlign w:val="center"/>
          </w:tcPr>
          <w:p w14:paraId="2B26DAF3" w14:textId="77777777" w:rsidR="009F539E" w:rsidRDefault="009F539E" w:rsidP="00884BEB">
            <w:pPr>
              <w:pStyle w:val="TableText0"/>
              <w:jc w:val="center"/>
            </w:pPr>
            <w:r>
              <w:t>7 (41.2%)</w:t>
            </w:r>
          </w:p>
        </w:tc>
        <w:tc>
          <w:tcPr>
            <w:tcW w:w="1107" w:type="dxa"/>
            <w:vAlign w:val="center"/>
          </w:tcPr>
          <w:p w14:paraId="0CAA7957" w14:textId="77777777" w:rsidR="009F539E" w:rsidRDefault="009F539E" w:rsidP="00884BEB">
            <w:pPr>
              <w:pStyle w:val="TableText0"/>
              <w:jc w:val="center"/>
            </w:pPr>
            <w:r>
              <w:t>6 (27.3%)</w:t>
            </w:r>
          </w:p>
        </w:tc>
      </w:tr>
    </w:tbl>
    <w:p w14:paraId="7FBF3310" w14:textId="48E6BEF5" w:rsidR="00B464F5" w:rsidRDefault="000D046C" w:rsidP="00316EA4">
      <w:pPr>
        <w:pStyle w:val="FooterTableFigure"/>
      </w:pPr>
      <w:r w:rsidRPr="00314DC4">
        <w:t xml:space="preserve">Source: constructed during the evaluation from Tables 30, 61 and 64, pp 72, 142, 148, p151, and 157 of the submission. </w:t>
      </w:r>
    </w:p>
    <w:p w14:paraId="326357B6" w14:textId="44B8CD16" w:rsidR="000D046C" w:rsidRDefault="000D046C" w:rsidP="00316EA4">
      <w:pPr>
        <w:pStyle w:val="FooterTableFigure"/>
        <w:rPr>
          <w:vertAlign w:val="superscript"/>
        </w:rPr>
      </w:pPr>
      <w:r w:rsidRPr="00314DC4">
        <w:t>AE = adverse event; SAE = serious adverse event</w:t>
      </w:r>
    </w:p>
    <w:p w14:paraId="07A2D1DC" w14:textId="59812703" w:rsidR="00AF1824" w:rsidRDefault="009F539E" w:rsidP="00316EA4">
      <w:pPr>
        <w:pStyle w:val="FooterTableFigure"/>
      </w:pPr>
      <w:r>
        <w:rPr>
          <w:vertAlign w:val="superscript"/>
        </w:rPr>
        <w:t>a</w:t>
      </w:r>
      <w:r w:rsidR="000D046C" w:rsidRPr="00314DC4">
        <w:rPr>
          <w:rFonts w:ascii="Calibri" w:hAnsi="Calibri"/>
          <w:sz w:val="24"/>
        </w:rPr>
        <w:t xml:space="preserve"> </w:t>
      </w:r>
      <w:r w:rsidR="000D046C" w:rsidRPr="00314DC4">
        <w:t>Possible, probable or d</w:t>
      </w:r>
      <w:r w:rsidR="000D046C" w:rsidRPr="00780BC9">
        <w:t>efinite relationship to drug.</w:t>
      </w:r>
    </w:p>
    <w:p w14:paraId="2810AFDA" w14:textId="00A0AF8B" w:rsidR="00AF1824" w:rsidRPr="00D64D6F" w:rsidRDefault="00AF1824" w:rsidP="00B306AF">
      <w:pPr>
        <w:pStyle w:val="3-BodyText"/>
        <w:rPr>
          <w:rFonts w:eastAsia="Calibri"/>
        </w:rPr>
      </w:pPr>
      <w:r w:rsidRPr="00D64D6F">
        <w:rPr>
          <w:rFonts w:eastAsia="Calibri"/>
        </w:rPr>
        <w:t>There were no clear-cut differences in adverse events between the eculizumab studies and the ravulizumab studies. Serious adverse events and discontinuations before 26 weeks may have been higher with ravulizumab. Discontinuations during open-label follow-up appear to have been higher with ravulizumab, but this could reflect development of clinical practice</w:t>
      </w:r>
      <w:r w:rsidR="008D1DBD" w:rsidRPr="00D64D6F">
        <w:rPr>
          <w:rFonts w:eastAsia="Calibri"/>
        </w:rPr>
        <w:t xml:space="preserve"> (in the DUSC </w:t>
      </w:r>
      <w:r w:rsidR="00B464F5">
        <w:rPr>
          <w:rFonts w:eastAsia="Calibri"/>
        </w:rPr>
        <w:t>analysis,</w:t>
      </w:r>
      <w:r w:rsidR="00B464F5" w:rsidRPr="00D64D6F">
        <w:rPr>
          <w:rFonts w:eastAsia="Calibri"/>
        </w:rPr>
        <w:t xml:space="preserve"> </w:t>
      </w:r>
      <w:r w:rsidR="008D1DBD" w:rsidRPr="00D64D6F">
        <w:rPr>
          <w:rFonts w:eastAsia="Calibri"/>
        </w:rPr>
        <w:t xml:space="preserve">treatment duration with eculizumab has declined with time). </w:t>
      </w:r>
    </w:p>
    <w:p w14:paraId="347395E5" w14:textId="48528507" w:rsidR="00492B80" w:rsidRDefault="00AF1824" w:rsidP="00B306AF">
      <w:pPr>
        <w:pStyle w:val="3-BodyText"/>
        <w:rPr>
          <w:rFonts w:eastAsia="Calibri"/>
        </w:rPr>
      </w:pPr>
      <w:r w:rsidRPr="00D64D6F">
        <w:rPr>
          <w:rFonts w:eastAsia="Calibri"/>
        </w:rPr>
        <w:t xml:space="preserve">Although the number of deaths in Study 311 was relatively high, one patient died of a stroke which occurred before treatment; </w:t>
      </w:r>
      <w:r w:rsidR="00683407">
        <w:rPr>
          <w:rFonts w:eastAsia="Calibri"/>
        </w:rPr>
        <w:t>2</w:t>
      </w:r>
      <w:r w:rsidR="00683407" w:rsidRPr="00D64D6F">
        <w:rPr>
          <w:rFonts w:eastAsia="Calibri"/>
        </w:rPr>
        <w:t xml:space="preserve"> </w:t>
      </w:r>
      <w:r w:rsidRPr="00D64D6F">
        <w:rPr>
          <w:rFonts w:eastAsia="Calibri"/>
        </w:rPr>
        <w:t>were over 70 years of age, had sepsis and required mechanical ventilation at baseline, and died of septic shock; one had Stage 5 kidney disease before enrolment and died of intracranial haemorrhage. It seems unlikely that these deaths represent a safety signal.</w:t>
      </w:r>
    </w:p>
    <w:p w14:paraId="595049F0" w14:textId="4A26352A" w:rsidR="000D046C" w:rsidRPr="003A48D2" w:rsidRDefault="00492B80" w:rsidP="00B306AF">
      <w:pPr>
        <w:pStyle w:val="3-BodyText"/>
        <w:rPr>
          <w:rFonts w:eastAsia="Calibri"/>
        </w:rPr>
      </w:pPr>
      <w:r w:rsidRPr="003A48D2">
        <w:rPr>
          <w:rFonts w:eastAsia="Calibri"/>
        </w:rPr>
        <w:t>The ESC revealed experience in clinical practice with ravulizumab in PNH has resulted in some cases of breakthrough haemolysis in weeks 6 or 7, prior to patients receiving their next dose at week 8. It is unclear whether similar issues of treatment waning in weeks leading up to week 8 will be experienced in aHUS and what the consequences may be.</w:t>
      </w:r>
      <w:r w:rsidR="00AF1824" w:rsidRPr="003A48D2">
        <w:rPr>
          <w:rFonts w:eastAsia="Calibri"/>
        </w:rPr>
        <w:t xml:space="preserve"> </w:t>
      </w:r>
      <w:r w:rsidR="0043676F">
        <w:rPr>
          <w:rFonts w:eastAsia="Calibri"/>
        </w:rPr>
        <w:t xml:space="preserve">The sponsor hearing indicated no evidence of breakthrough disease in aHUS in practice (see paragraph </w:t>
      </w:r>
      <w:r w:rsidR="0043676F">
        <w:rPr>
          <w:rFonts w:eastAsia="Calibri"/>
        </w:rPr>
        <w:fldChar w:fldCharType="begin" w:fldLock="1"/>
      </w:r>
      <w:r w:rsidR="0043676F">
        <w:rPr>
          <w:rFonts w:eastAsia="Calibri"/>
        </w:rPr>
        <w:instrText xml:space="preserve"> REF _Ref131158287 \r \h </w:instrText>
      </w:r>
      <w:r w:rsidR="0043676F">
        <w:rPr>
          <w:rFonts w:eastAsia="Calibri"/>
        </w:rPr>
      </w:r>
      <w:r w:rsidR="0043676F">
        <w:rPr>
          <w:rFonts w:eastAsia="Calibri"/>
        </w:rPr>
        <w:fldChar w:fldCharType="separate"/>
      </w:r>
      <w:r w:rsidR="00916EDA">
        <w:rPr>
          <w:rFonts w:eastAsia="Calibri"/>
        </w:rPr>
        <w:t>6.2</w:t>
      </w:r>
      <w:r w:rsidR="0043676F">
        <w:rPr>
          <w:rFonts w:eastAsia="Calibri"/>
        </w:rPr>
        <w:fldChar w:fldCharType="end"/>
      </w:r>
      <w:r w:rsidR="0043676F">
        <w:rPr>
          <w:rFonts w:eastAsia="Calibri"/>
        </w:rPr>
        <w:t>).</w:t>
      </w:r>
      <w:r w:rsidR="00AF1824" w:rsidRPr="003A48D2">
        <w:rPr>
          <w:rFonts w:eastAsia="Calibri"/>
        </w:rPr>
        <w:t xml:space="preserve"> </w:t>
      </w:r>
    </w:p>
    <w:p w14:paraId="04908C7F" w14:textId="5A110D96" w:rsidR="007F1017" w:rsidRPr="003A48D2" w:rsidRDefault="007F1017" w:rsidP="003A48D2">
      <w:pPr>
        <w:pStyle w:val="4-SubsectionHeading"/>
      </w:pPr>
      <w:bookmarkStart w:id="45" w:name="_Toc124929664"/>
      <w:r w:rsidRPr="003A48D2">
        <w:t>Benefits/harms</w:t>
      </w:r>
      <w:bookmarkEnd w:id="42"/>
      <w:bookmarkEnd w:id="45"/>
    </w:p>
    <w:p w14:paraId="50F0477A" w14:textId="20C6328D" w:rsidR="00B62715" w:rsidRPr="00A53E74" w:rsidRDefault="00311D9B" w:rsidP="00B306AF">
      <w:pPr>
        <w:pStyle w:val="3-BodyText"/>
        <w:rPr>
          <w:rStyle w:val="CommentReference"/>
          <w:rFonts w:asciiTheme="minorHAnsi" w:hAnsiTheme="minorHAnsi"/>
          <w:b w:val="0"/>
          <w:sz w:val="24"/>
          <w:szCs w:val="24"/>
        </w:rPr>
      </w:pPr>
      <w:r w:rsidRPr="00311D9B">
        <w:rPr>
          <w:snapToGrid/>
          <w:lang w:val="en-US"/>
        </w:rPr>
        <w:t xml:space="preserve">A benefits and harms table </w:t>
      </w:r>
      <w:proofErr w:type="gramStart"/>
      <w:r w:rsidR="002904FA">
        <w:rPr>
          <w:snapToGrid/>
          <w:lang w:val="en-US"/>
        </w:rPr>
        <w:t>was</w:t>
      </w:r>
      <w:proofErr w:type="gramEnd"/>
      <w:r w:rsidR="002904FA" w:rsidRPr="00311D9B">
        <w:rPr>
          <w:snapToGrid/>
          <w:lang w:val="en-US"/>
        </w:rPr>
        <w:t xml:space="preserve"> </w:t>
      </w:r>
      <w:r w:rsidRPr="00311D9B">
        <w:rPr>
          <w:snapToGrid/>
          <w:lang w:val="en-US"/>
        </w:rPr>
        <w:t>not presented as the submission made a claim of noninferiority.</w:t>
      </w:r>
      <w:r w:rsidR="00E926A5" w:rsidRPr="00311D9B">
        <w:rPr>
          <w:snapToGrid/>
          <w:lang w:val="en-US"/>
        </w:rPr>
        <w:t xml:space="preserve"> </w:t>
      </w:r>
    </w:p>
    <w:p w14:paraId="7A1772B6" w14:textId="23BB3145" w:rsidR="00B60939" w:rsidRPr="003A48D2" w:rsidRDefault="00B60939" w:rsidP="003A48D2">
      <w:pPr>
        <w:pStyle w:val="4-SubsectionHeading"/>
      </w:pPr>
      <w:bookmarkStart w:id="46" w:name="_Toc22897644"/>
      <w:bookmarkStart w:id="47" w:name="_Toc124929665"/>
      <w:r w:rsidRPr="003A48D2">
        <w:lastRenderedPageBreak/>
        <w:t>Clinical claim</w:t>
      </w:r>
      <w:bookmarkEnd w:id="46"/>
      <w:bookmarkEnd w:id="47"/>
    </w:p>
    <w:p w14:paraId="0D367C3A" w14:textId="71A0FF1A" w:rsidR="00394916" w:rsidRDefault="00394916" w:rsidP="00B306AF">
      <w:pPr>
        <w:pStyle w:val="3-BodyText"/>
      </w:pPr>
      <w:r w:rsidRPr="00D13A3E">
        <w:t>The submission describe</w:t>
      </w:r>
      <w:r>
        <w:t>d</w:t>
      </w:r>
      <w:r w:rsidRPr="00D13A3E">
        <w:t xml:space="preserve"> </w:t>
      </w:r>
      <w:r>
        <w:t>ravulizumab</w:t>
      </w:r>
      <w:r w:rsidRPr="00D13A3E">
        <w:t xml:space="preserve"> as </w:t>
      </w:r>
      <w:r>
        <w:t xml:space="preserve">noninferior </w:t>
      </w:r>
      <w:r w:rsidRPr="00D13A3E">
        <w:t>in terms of effectiveness</w:t>
      </w:r>
      <w:r>
        <w:t xml:space="preserve"> and </w:t>
      </w:r>
      <w:r w:rsidR="002459F2">
        <w:t xml:space="preserve">safety </w:t>
      </w:r>
      <w:r w:rsidR="002459F2" w:rsidRPr="00D13A3E">
        <w:t>compared</w:t>
      </w:r>
      <w:r>
        <w:t xml:space="preserve"> with eculizumab. </w:t>
      </w:r>
    </w:p>
    <w:p w14:paraId="7E48867F" w14:textId="5BBB24CE" w:rsidR="00394916" w:rsidRDefault="00394916" w:rsidP="00B306AF">
      <w:pPr>
        <w:pStyle w:val="3-BodyText"/>
      </w:pPr>
      <w:r w:rsidRPr="00D64D6F">
        <w:t>The</w:t>
      </w:r>
      <w:r w:rsidR="00BE6B68">
        <w:t xml:space="preserve"> evaluation considered that the</w:t>
      </w:r>
      <w:r w:rsidRPr="00D64D6F">
        <w:t xml:space="preserve"> therapeutic conclusion </w:t>
      </w:r>
      <w:r w:rsidR="00D369E7" w:rsidRPr="00D64D6F">
        <w:t>wa</w:t>
      </w:r>
      <w:r w:rsidRPr="00D64D6F">
        <w:t xml:space="preserve">s not adequately supported because of the limitations in the quality of the evidence. </w:t>
      </w:r>
      <w:r w:rsidR="00BB36A5" w:rsidRPr="003A48D2">
        <w:rPr>
          <w:iCs/>
        </w:rPr>
        <w:t>However, the ESC noted comp</w:t>
      </w:r>
      <w:r w:rsidR="00287BC6" w:rsidRPr="003A48D2">
        <w:rPr>
          <w:iCs/>
        </w:rPr>
        <w:t>l</w:t>
      </w:r>
      <w:r w:rsidR="00BB36A5" w:rsidRPr="003A48D2">
        <w:rPr>
          <w:iCs/>
        </w:rPr>
        <w:t>ete TMA response was broadly similar</w:t>
      </w:r>
      <w:r w:rsidR="005D4F40" w:rsidRPr="003A48D2">
        <w:rPr>
          <w:iCs/>
        </w:rPr>
        <w:t xml:space="preserve"> for ravulizumab and eculizumab</w:t>
      </w:r>
      <w:r w:rsidR="00BB36A5" w:rsidRPr="003A48D2">
        <w:rPr>
          <w:iCs/>
        </w:rPr>
        <w:t>.</w:t>
      </w:r>
    </w:p>
    <w:p w14:paraId="411F9BCA" w14:textId="62D3CF48" w:rsidR="00E04227" w:rsidRDefault="00E04227" w:rsidP="00B306AF">
      <w:pPr>
        <w:pStyle w:val="3-BodyText"/>
      </w:pPr>
      <w:r w:rsidRPr="003A48D2">
        <w:t xml:space="preserve">The </w:t>
      </w:r>
      <w:r w:rsidR="00D92370">
        <w:t xml:space="preserve">ESC also noted and agreed with the </w:t>
      </w:r>
      <w:r w:rsidRPr="003A48D2">
        <w:t>PSCR</w:t>
      </w:r>
      <w:r w:rsidR="0043676F">
        <w:t>,</w:t>
      </w:r>
      <w:r w:rsidRPr="003A48D2">
        <w:t xml:space="preserve"> </w:t>
      </w:r>
      <w:r w:rsidR="00D92370">
        <w:t xml:space="preserve">which </w:t>
      </w:r>
      <w:r w:rsidRPr="003A48D2">
        <w:t>reiterated that ravulizumab shares over 99% amino acid sequence homology with eculizumab, targets an identical C5 epitope motif, and accordingly exhibits identical mechanisms of action leading to rapid, complete, and sustained inhibition of C5. The PSCR argued the biological heritage of the molecules further supports the plausibility that ravulizumab and eculizumab produce similar efficacy and safety outcomes in the treatment of aHUS.</w:t>
      </w:r>
    </w:p>
    <w:p w14:paraId="23FAAF0D" w14:textId="185E6786" w:rsidR="00954C78" w:rsidRDefault="001B2AF7" w:rsidP="001B2AF7">
      <w:pPr>
        <w:widowControl w:val="0"/>
        <w:numPr>
          <w:ilvl w:val="1"/>
          <w:numId w:val="1"/>
        </w:numPr>
        <w:spacing w:after="120"/>
        <w:ind w:left="720"/>
        <w:rPr>
          <w:rFonts w:asciiTheme="minorHAnsi" w:hAnsiTheme="minorHAnsi" w:cs="Arial"/>
          <w:snapToGrid w:val="0"/>
          <w:szCs w:val="20"/>
        </w:rPr>
      </w:pPr>
      <w:bookmarkStart w:id="48" w:name="_Toc22897645"/>
      <w:bookmarkStart w:id="49" w:name="_Toc124929666"/>
      <w:r w:rsidRPr="001B2AF7">
        <w:rPr>
          <w:rFonts w:asciiTheme="minorHAnsi" w:hAnsiTheme="minorHAnsi" w:cs="Arial"/>
          <w:iCs/>
          <w:snapToGrid w:val="0"/>
          <w:lang w:eastAsia="en-AU"/>
        </w:rPr>
        <w:t>The</w:t>
      </w:r>
      <w:r w:rsidRPr="001B2AF7">
        <w:rPr>
          <w:rFonts w:asciiTheme="minorHAnsi" w:hAnsiTheme="minorHAnsi" w:cs="Arial"/>
          <w:snapToGrid w:val="0"/>
          <w:szCs w:val="20"/>
        </w:rPr>
        <w:t xml:space="preserve"> PBAC considered that the claim of noninferior comparative effectiveness was uncertain, but reasonable based </w:t>
      </w:r>
      <w:r w:rsidR="00D828B9">
        <w:rPr>
          <w:rFonts w:asciiTheme="minorHAnsi" w:hAnsiTheme="minorHAnsi" w:cs="Arial"/>
          <w:snapToGrid w:val="0"/>
          <w:szCs w:val="20"/>
        </w:rPr>
        <w:t xml:space="preserve">on </w:t>
      </w:r>
      <w:r w:rsidR="00490E74">
        <w:rPr>
          <w:rFonts w:asciiTheme="minorHAnsi" w:hAnsiTheme="minorHAnsi" w:cs="Arial"/>
          <w:snapToGrid w:val="0"/>
          <w:szCs w:val="20"/>
        </w:rPr>
        <w:t xml:space="preserve">biological plausibility and </w:t>
      </w:r>
      <w:r w:rsidRPr="001B2AF7">
        <w:rPr>
          <w:rFonts w:asciiTheme="minorHAnsi" w:hAnsiTheme="minorHAnsi" w:cs="Arial"/>
          <w:snapToGrid w:val="0"/>
          <w:szCs w:val="20"/>
        </w:rPr>
        <w:t>the limited data available in the context of a rare and life-threatening disease</w:t>
      </w:r>
      <w:r w:rsidR="00490E74">
        <w:rPr>
          <w:rFonts w:asciiTheme="minorHAnsi" w:hAnsiTheme="minorHAnsi" w:cs="Arial"/>
          <w:snapToGrid w:val="0"/>
          <w:szCs w:val="20"/>
        </w:rPr>
        <w:t>.</w:t>
      </w:r>
      <w:r w:rsidR="00B464F5">
        <w:rPr>
          <w:rFonts w:asciiTheme="minorHAnsi" w:hAnsiTheme="minorHAnsi" w:cs="Arial"/>
          <w:snapToGrid w:val="0"/>
          <w:szCs w:val="20"/>
        </w:rPr>
        <w:t xml:space="preserve"> </w:t>
      </w:r>
    </w:p>
    <w:p w14:paraId="11858081" w14:textId="2A10B45D" w:rsidR="001B2AF7" w:rsidRDefault="001B2AF7" w:rsidP="001B2AF7">
      <w:pPr>
        <w:widowControl w:val="0"/>
        <w:numPr>
          <w:ilvl w:val="1"/>
          <w:numId w:val="1"/>
        </w:numPr>
        <w:spacing w:after="120"/>
        <w:ind w:left="720"/>
        <w:rPr>
          <w:rFonts w:asciiTheme="minorHAnsi" w:hAnsiTheme="minorHAnsi" w:cs="Arial"/>
          <w:snapToGrid w:val="0"/>
          <w:szCs w:val="20"/>
        </w:rPr>
      </w:pPr>
      <w:r w:rsidRPr="001B2AF7">
        <w:rPr>
          <w:rFonts w:asciiTheme="minorHAnsi" w:hAnsiTheme="minorHAnsi" w:cs="Arial"/>
          <w:snapToGrid w:val="0"/>
          <w:szCs w:val="20"/>
        </w:rPr>
        <w:t>Similarly, the PBAC considered that the claim of noninferior comparative safety was uncertain but reasonable.</w:t>
      </w:r>
    </w:p>
    <w:p w14:paraId="5DE4150C" w14:textId="57A45AD4" w:rsidR="00954C78" w:rsidRPr="00954C78" w:rsidRDefault="00954C78" w:rsidP="00954C78">
      <w:pPr>
        <w:widowControl w:val="0"/>
        <w:numPr>
          <w:ilvl w:val="1"/>
          <w:numId w:val="1"/>
        </w:numPr>
        <w:spacing w:after="120"/>
        <w:ind w:left="720"/>
        <w:rPr>
          <w:rFonts w:asciiTheme="minorHAnsi" w:hAnsiTheme="minorHAnsi" w:cs="Arial"/>
          <w:snapToGrid w:val="0"/>
          <w:szCs w:val="20"/>
        </w:rPr>
      </w:pPr>
      <w:r>
        <w:rPr>
          <w:rFonts w:asciiTheme="minorHAnsi" w:hAnsiTheme="minorHAnsi" w:cs="Arial"/>
          <w:snapToGrid w:val="0"/>
          <w:szCs w:val="20"/>
        </w:rPr>
        <w:t xml:space="preserve">The PBAC considered that the original uncertainties it had observed with respect to the </w:t>
      </w:r>
      <w:r w:rsidR="00B55557">
        <w:rPr>
          <w:rFonts w:asciiTheme="minorHAnsi" w:hAnsiTheme="minorHAnsi" w:cs="Arial"/>
          <w:snapToGrid w:val="0"/>
          <w:szCs w:val="20"/>
        </w:rPr>
        <w:t>clinical data for</w:t>
      </w:r>
      <w:r>
        <w:rPr>
          <w:rFonts w:asciiTheme="minorHAnsi" w:hAnsiTheme="minorHAnsi" w:cs="Arial"/>
          <w:snapToGrid w:val="0"/>
          <w:szCs w:val="20"/>
        </w:rPr>
        <w:t xml:space="preserve"> eculizumab made the interpretation of the clinical data compared with ravulizumab </w:t>
      </w:r>
      <w:r w:rsidR="006557B0">
        <w:rPr>
          <w:rFonts w:asciiTheme="minorHAnsi" w:hAnsiTheme="minorHAnsi" w:cs="Arial"/>
          <w:snapToGrid w:val="0"/>
          <w:szCs w:val="20"/>
        </w:rPr>
        <w:t xml:space="preserve">particularly </w:t>
      </w:r>
      <w:r>
        <w:rPr>
          <w:rFonts w:asciiTheme="minorHAnsi" w:hAnsiTheme="minorHAnsi" w:cs="Arial"/>
          <w:snapToGrid w:val="0"/>
          <w:szCs w:val="20"/>
        </w:rPr>
        <w:t xml:space="preserve">challenging. </w:t>
      </w:r>
    </w:p>
    <w:p w14:paraId="74A1172E" w14:textId="128C170E" w:rsidR="00B60939" w:rsidRPr="003A48D2" w:rsidRDefault="00B60939" w:rsidP="003A48D2">
      <w:pPr>
        <w:pStyle w:val="4-SubsectionHeading"/>
      </w:pPr>
      <w:r w:rsidRPr="003A48D2">
        <w:t>Economic analysis</w:t>
      </w:r>
      <w:bookmarkEnd w:id="48"/>
      <w:bookmarkEnd w:id="49"/>
      <w:r w:rsidR="00491B3A" w:rsidRPr="003A48D2">
        <w:t xml:space="preserve"> </w:t>
      </w:r>
    </w:p>
    <w:p w14:paraId="2256C6E9" w14:textId="57F31964" w:rsidR="00326E79" w:rsidRDefault="001C6D87" w:rsidP="00B306AF">
      <w:pPr>
        <w:pStyle w:val="3-BodyText"/>
      </w:pPr>
      <w:r w:rsidRPr="001C6D87">
        <w:t xml:space="preserve">The submission presented a cost minimisation </w:t>
      </w:r>
      <w:r w:rsidR="006F4BD1">
        <w:t>approach</w:t>
      </w:r>
      <w:r w:rsidR="00105671">
        <w:t xml:space="preserve"> (CMA)</w:t>
      </w:r>
      <w:r w:rsidR="0042785A">
        <w:t xml:space="preserve">, described as a </w:t>
      </w:r>
      <w:r w:rsidR="00326E79">
        <w:t>‘stepped CMA’:</w:t>
      </w:r>
    </w:p>
    <w:p w14:paraId="761991D0" w14:textId="40D560B6" w:rsidR="00326E79" w:rsidRPr="00D64D6F" w:rsidRDefault="00326E79" w:rsidP="001376A6">
      <w:pPr>
        <w:pStyle w:val="ListParagraph"/>
        <w:numPr>
          <w:ilvl w:val="0"/>
          <w:numId w:val="7"/>
        </w:numPr>
        <w:spacing w:after="0"/>
        <w:ind w:left="1080"/>
      </w:pPr>
      <w:r>
        <w:rPr>
          <w:lang w:eastAsia="en-GB"/>
        </w:rPr>
        <w:t>Step</w:t>
      </w:r>
      <w:r>
        <w:t xml:space="preserve"> 1</w:t>
      </w:r>
      <w:r w:rsidR="001B2AF7">
        <w:t xml:space="preserve"> –</w:t>
      </w:r>
      <w:r>
        <w:t xml:space="preserve"> establishing the </w:t>
      </w:r>
      <w:r w:rsidR="00CB50CD">
        <w:t>PB</w:t>
      </w:r>
      <w:r w:rsidR="00D216C8">
        <w:t>S</w:t>
      </w:r>
      <w:r w:rsidR="00CB50CD">
        <w:t xml:space="preserve"> and MBS </w:t>
      </w:r>
      <w:r>
        <w:t xml:space="preserve">cost for eculizumab for adults based on the recommended dose in the Product </w:t>
      </w:r>
      <w:r w:rsidR="00180775">
        <w:t xml:space="preserve">Information, </w:t>
      </w:r>
      <w:r w:rsidR="00EF41B5">
        <w:t>then</w:t>
      </w:r>
      <w:r w:rsidR="000076E9">
        <w:t xml:space="preserve"> calculating </w:t>
      </w:r>
      <w:r w:rsidR="00180775">
        <w:t>the</w:t>
      </w:r>
      <w:r w:rsidR="00F23B01">
        <w:t xml:space="preserve"> price </w:t>
      </w:r>
      <w:r>
        <w:t>of ravulizumab</w:t>
      </w:r>
      <w:r w:rsidR="000076E9">
        <w:t xml:space="preserve"> using </w:t>
      </w:r>
      <w:r w:rsidR="005A59A3">
        <w:t xml:space="preserve">the recommended dose in the Product Information and the </w:t>
      </w:r>
      <w:r w:rsidR="000076E9">
        <w:t>weigh</w:t>
      </w:r>
      <w:r w:rsidR="00EF41B5">
        <w:t>t</w:t>
      </w:r>
      <w:r w:rsidR="005A59A3">
        <w:t xml:space="preserve"> of patients in </w:t>
      </w:r>
      <w:r w:rsidR="00433FAE">
        <w:t>Study</w:t>
      </w:r>
      <w:r w:rsidR="000076E9">
        <w:t xml:space="preserve"> 311</w:t>
      </w:r>
      <w:r w:rsidR="007D3BC6">
        <w:t xml:space="preserve"> (base case)</w:t>
      </w:r>
      <w:r w:rsidR="000076E9">
        <w:t xml:space="preserve"> and </w:t>
      </w:r>
      <w:r w:rsidR="00EF41B5">
        <w:t xml:space="preserve">the </w:t>
      </w:r>
      <w:r w:rsidR="000076E9">
        <w:t>aHUS registry</w:t>
      </w:r>
      <w:r w:rsidR="007D3BC6">
        <w:t xml:space="preserve"> (alternative)</w:t>
      </w:r>
      <w:r w:rsidR="000076E9">
        <w:t xml:space="preserve">. </w:t>
      </w:r>
      <w:r w:rsidR="000076E9" w:rsidRPr="00D64D6F">
        <w:t xml:space="preserve">Alternative </w:t>
      </w:r>
      <w:r w:rsidR="00EF41B5" w:rsidRPr="00D64D6F">
        <w:t xml:space="preserve">analyses using </w:t>
      </w:r>
      <w:r w:rsidR="005A59A3" w:rsidRPr="00D64D6F">
        <w:t>patient weight</w:t>
      </w:r>
      <w:r w:rsidR="00EF41B5" w:rsidRPr="00D64D6F">
        <w:t xml:space="preserve"> from </w:t>
      </w:r>
      <w:r w:rsidR="00896B6C">
        <w:t>a</w:t>
      </w:r>
      <w:r w:rsidR="00896B6C" w:rsidRPr="00D64D6F">
        <w:t xml:space="preserve"> </w:t>
      </w:r>
      <w:r w:rsidR="00EF41B5" w:rsidRPr="00D64D6F">
        <w:t>2022</w:t>
      </w:r>
      <w:r w:rsidR="000076E9" w:rsidRPr="00D64D6F">
        <w:t xml:space="preserve"> DUSC </w:t>
      </w:r>
      <w:r w:rsidR="007E5721">
        <w:t xml:space="preserve">Secretariat </w:t>
      </w:r>
      <w:r w:rsidR="00EF41B5" w:rsidRPr="00D64D6F">
        <w:t xml:space="preserve">analysis were conducted during the </w:t>
      </w:r>
      <w:proofErr w:type="gramStart"/>
      <w:r w:rsidR="00EF41B5" w:rsidRPr="00D64D6F">
        <w:t>evaluation</w:t>
      </w:r>
      <w:r w:rsidR="00BF23AD" w:rsidRPr="00D64D6F">
        <w:t>, but</w:t>
      </w:r>
      <w:proofErr w:type="gramEnd"/>
      <w:r w:rsidR="00BF23AD" w:rsidRPr="00D64D6F">
        <w:t xml:space="preserve"> using </w:t>
      </w:r>
      <w:r w:rsidR="007D4001" w:rsidRPr="00D64D6F">
        <w:t xml:space="preserve">the </w:t>
      </w:r>
      <w:r w:rsidR="007622CB" w:rsidRPr="00D64D6F">
        <w:t xml:space="preserve">patient weight distribution </w:t>
      </w:r>
      <w:r w:rsidR="00E16460" w:rsidRPr="00D64D6F">
        <w:t>fr</w:t>
      </w:r>
      <w:r w:rsidR="00D216C8" w:rsidRPr="00D64D6F">
        <w:t>o</w:t>
      </w:r>
      <w:r w:rsidR="00E16460" w:rsidRPr="00D64D6F">
        <w:t xml:space="preserve">m </w:t>
      </w:r>
      <w:r w:rsidR="00AD53CF">
        <w:t>Study</w:t>
      </w:r>
      <w:r w:rsidR="00AD53CF" w:rsidRPr="00D64D6F">
        <w:t xml:space="preserve"> </w:t>
      </w:r>
      <w:r w:rsidR="00BF23AD" w:rsidRPr="00D64D6F">
        <w:t>311 result</w:t>
      </w:r>
      <w:r w:rsidR="005A59A3" w:rsidRPr="00D64D6F">
        <w:t>ed</w:t>
      </w:r>
      <w:r w:rsidR="00BF23AD" w:rsidRPr="00D64D6F">
        <w:t xml:space="preserve"> in the most conservative ravulizumab price</w:t>
      </w:r>
      <w:r w:rsidR="00EF41B5" w:rsidRPr="00D64D6F">
        <w:t xml:space="preserve">. </w:t>
      </w:r>
    </w:p>
    <w:p w14:paraId="4DFBC91B" w14:textId="72B26EDB" w:rsidR="00326E79" w:rsidRDefault="00326E79" w:rsidP="001376A6">
      <w:pPr>
        <w:pStyle w:val="ListParagraph"/>
        <w:numPr>
          <w:ilvl w:val="0"/>
          <w:numId w:val="7"/>
        </w:numPr>
        <w:spacing w:after="0"/>
        <w:ind w:left="1080"/>
      </w:pPr>
      <w:r>
        <w:rPr>
          <w:lang w:eastAsia="en-GB"/>
        </w:rPr>
        <w:t>Step</w:t>
      </w:r>
      <w:r w:rsidR="00897D76">
        <w:t xml:space="preserve"> </w:t>
      </w:r>
      <w:r>
        <w:t xml:space="preserve">2 </w:t>
      </w:r>
      <w:r w:rsidR="00EF41B5">
        <w:t>–</w:t>
      </w:r>
      <w:r>
        <w:t xml:space="preserve"> </w:t>
      </w:r>
      <w:r w:rsidR="00EF41B5">
        <w:t xml:space="preserve">using the same methodology described above, </w:t>
      </w:r>
      <w:r>
        <w:t xml:space="preserve">establishing the cost of eculizumab in paediatric patients, and therefore the </w:t>
      </w:r>
      <w:r w:rsidR="00F23B01">
        <w:t>prices</w:t>
      </w:r>
      <w:r>
        <w:t xml:space="preserve"> of ravulizumab</w:t>
      </w:r>
      <w:r w:rsidR="00433FAE" w:rsidRPr="00433FAE">
        <w:t xml:space="preserve"> </w:t>
      </w:r>
      <w:r w:rsidR="00433FAE">
        <w:t xml:space="preserve">using </w:t>
      </w:r>
      <w:r w:rsidR="005A59A3">
        <w:t>patient weights from</w:t>
      </w:r>
      <w:r w:rsidR="00433FAE">
        <w:t xml:space="preserve"> Study 312 (base case)</w:t>
      </w:r>
      <w:r w:rsidR="00433FAE" w:rsidRPr="00433FAE">
        <w:t xml:space="preserve"> </w:t>
      </w:r>
      <w:r w:rsidR="00433FAE">
        <w:t>and the aHUS registry (alternative).</w:t>
      </w:r>
    </w:p>
    <w:p w14:paraId="4F5EE40E" w14:textId="678449FB" w:rsidR="00326E79" w:rsidRDefault="00326E79" w:rsidP="001376A6">
      <w:pPr>
        <w:pStyle w:val="ListParagraph"/>
        <w:numPr>
          <w:ilvl w:val="0"/>
          <w:numId w:val="7"/>
        </w:numPr>
        <w:spacing w:after="0"/>
        <w:ind w:left="1080"/>
      </w:pPr>
      <w:r>
        <w:rPr>
          <w:lang w:eastAsia="en-GB"/>
        </w:rPr>
        <w:t>Step</w:t>
      </w:r>
      <w:r>
        <w:t xml:space="preserve"> 3 – </w:t>
      </w:r>
      <w:r w:rsidR="00180775">
        <w:t>weighting these</w:t>
      </w:r>
      <w:r>
        <w:t xml:space="preserve"> prices according to the proportion of </w:t>
      </w:r>
      <w:r w:rsidR="00CB50CD">
        <w:t xml:space="preserve">adult and </w:t>
      </w:r>
      <w:r>
        <w:t>paediatric patients</w:t>
      </w:r>
      <w:r w:rsidR="00F23B01">
        <w:t xml:space="preserve"> in the treated population</w:t>
      </w:r>
      <w:r w:rsidR="00CB50CD">
        <w:t xml:space="preserve"> using the 2020 DUSC analysis</w:t>
      </w:r>
      <w:r w:rsidR="00AD53CF">
        <w:t>.</w:t>
      </w:r>
    </w:p>
    <w:p w14:paraId="065FBF5C" w14:textId="4863834A" w:rsidR="00326E79" w:rsidRDefault="19A8BFB4" w:rsidP="001376A6">
      <w:pPr>
        <w:pStyle w:val="ListParagraph"/>
        <w:numPr>
          <w:ilvl w:val="0"/>
          <w:numId w:val="7"/>
        </w:numPr>
        <w:ind w:left="1080"/>
      </w:pPr>
      <w:r w:rsidRPr="19A8BFB4">
        <w:rPr>
          <w:lang w:eastAsia="en-GB"/>
        </w:rPr>
        <w:t>Step</w:t>
      </w:r>
      <w:r>
        <w:t xml:space="preserve"> 4 – applying a price reduction to the cost of ravulizumab by assuming </w:t>
      </w:r>
      <w:proofErr w:type="gramStart"/>
      <w:r w:rsidR="00C47128" w:rsidRPr="00497513">
        <w:rPr>
          <w:color w:val="000000"/>
          <w:w w:val="15"/>
          <w:shd w:val="solid" w:color="000000" w:fill="000000"/>
          <w:fitText w:val="-20" w:id="-1236585974"/>
          <w14:textFill>
            <w14:solidFill>
              <w14:srgbClr w14:val="000000">
                <w14:alpha w14:val="100000"/>
              </w14:srgbClr>
            </w14:solidFill>
          </w14:textFill>
        </w:rPr>
        <w:t xml:space="preserve">|  </w:t>
      </w:r>
      <w:r w:rsidR="00C47128" w:rsidRPr="00497513">
        <w:rPr>
          <w:color w:val="000000"/>
          <w:spacing w:val="-69"/>
          <w:w w:val="15"/>
          <w:shd w:val="solid" w:color="000000" w:fill="000000"/>
          <w:fitText w:val="-20" w:id="-1236585974"/>
          <w14:textFill>
            <w14:solidFill>
              <w14:srgbClr w14:val="000000">
                <w14:alpha w14:val="100000"/>
              </w14:srgbClr>
            </w14:solidFill>
          </w14:textFill>
        </w:rPr>
        <w:t>|</w:t>
      </w:r>
      <w:proofErr w:type="gramEnd"/>
      <w:r>
        <w:t xml:space="preserve">, which reduced the resulting per vial price of ravulizumab by </w:t>
      </w:r>
      <w:r w:rsidR="00C47128" w:rsidRPr="00BF6B51">
        <w:rPr>
          <w:color w:val="000000"/>
          <w:w w:val="15"/>
          <w:shd w:val="solid" w:color="000000" w:fill="000000"/>
          <w:fitText w:val="-20" w:id="-1236585973"/>
          <w14:textFill>
            <w14:solidFill>
              <w14:srgbClr w14:val="000000">
                <w14:alpha w14:val="100000"/>
              </w14:srgbClr>
            </w14:solidFill>
          </w14:textFill>
        </w:rPr>
        <w:t xml:space="preserve">|  </w:t>
      </w:r>
      <w:r w:rsidR="00C47128" w:rsidRPr="00BF6B51">
        <w:rPr>
          <w:color w:val="000000"/>
          <w:spacing w:val="-69"/>
          <w:w w:val="15"/>
          <w:shd w:val="solid" w:color="000000" w:fill="000000"/>
          <w:fitText w:val="-20" w:id="-1236585973"/>
          <w14:textFill>
            <w14:solidFill>
              <w14:srgbClr w14:val="000000">
                <w14:alpha w14:val="100000"/>
              </w14:srgbClr>
            </w14:solidFill>
          </w14:textFill>
        </w:rPr>
        <w:t>|</w:t>
      </w:r>
      <w:r>
        <w:t>%.</w:t>
      </w:r>
    </w:p>
    <w:p w14:paraId="442EB12C" w14:textId="5D486966" w:rsidR="00326E79" w:rsidRPr="00050916" w:rsidRDefault="00F23B01" w:rsidP="00B306AF">
      <w:pPr>
        <w:pStyle w:val="3-BodyText"/>
      </w:pPr>
      <w:r>
        <w:t xml:space="preserve">The </w:t>
      </w:r>
      <w:r w:rsidR="00896B6C">
        <w:t xml:space="preserve">CMA </w:t>
      </w:r>
      <w:r>
        <w:t xml:space="preserve">used the doses </w:t>
      </w:r>
      <w:r w:rsidR="00180775">
        <w:t xml:space="preserve">recommended </w:t>
      </w:r>
      <w:r>
        <w:t xml:space="preserve">in the </w:t>
      </w:r>
      <w:r w:rsidR="00AD53CF">
        <w:t>P</w:t>
      </w:r>
      <w:r>
        <w:t xml:space="preserve">roduct </w:t>
      </w:r>
      <w:r w:rsidR="00AD53CF">
        <w:t>I</w:t>
      </w:r>
      <w:r>
        <w:t>nformation</w:t>
      </w:r>
      <w:r w:rsidR="00180775">
        <w:t xml:space="preserve"> documents</w:t>
      </w:r>
      <w:r>
        <w:t xml:space="preserve">, not the doses used in the </w:t>
      </w:r>
      <w:r w:rsidR="00180775">
        <w:t>studies, as</w:t>
      </w:r>
      <w:r>
        <w:t xml:space="preserve"> the stud</w:t>
      </w:r>
      <w:r w:rsidR="007D4001">
        <w:t>y reports</w:t>
      </w:r>
      <w:r>
        <w:t xml:space="preserve"> did not provide</w:t>
      </w:r>
      <w:r w:rsidR="007D4001">
        <w:t xml:space="preserve"> the</w:t>
      </w:r>
      <w:r>
        <w:t xml:space="preserve"> actual dose </w:t>
      </w:r>
      <w:r>
        <w:lastRenderedPageBreak/>
        <w:t>used</w:t>
      </w:r>
      <w:r w:rsidR="00AF1824">
        <w:t xml:space="preserve"> </w:t>
      </w:r>
      <w:r w:rsidR="00AF1824" w:rsidRPr="007D3BC6">
        <w:t>(see para</w:t>
      </w:r>
      <w:r w:rsidR="007D4001">
        <w:t xml:space="preserve">graph </w:t>
      </w:r>
      <w:r w:rsidR="007D4001">
        <w:fldChar w:fldCharType="begin" w:fldLock="1"/>
      </w:r>
      <w:r w:rsidR="007D4001">
        <w:instrText xml:space="preserve"> REF _Ref124769080 \r \h </w:instrText>
      </w:r>
      <w:r w:rsidR="007D4001">
        <w:fldChar w:fldCharType="separate"/>
      </w:r>
      <w:r w:rsidR="00916EDA">
        <w:t>6.10</w:t>
      </w:r>
      <w:r w:rsidR="007D4001">
        <w:fldChar w:fldCharType="end"/>
      </w:r>
      <w:r w:rsidR="003A0959" w:rsidRPr="007D3BC6">
        <w:t>).</w:t>
      </w:r>
      <w:r w:rsidR="00180775">
        <w:t xml:space="preserve"> </w:t>
      </w:r>
      <w:r w:rsidR="00180775" w:rsidRPr="00D64D6F">
        <w:t xml:space="preserve">This approach assumes not only equivalent efficacy for the recommended dose of ravulizumab, but also that treating clinicians will always use the recommended dose. </w:t>
      </w:r>
      <w:r w:rsidR="00D46A54" w:rsidRPr="003A48D2">
        <w:rPr>
          <w:iCs/>
        </w:rPr>
        <w:t xml:space="preserve">The </w:t>
      </w:r>
      <w:r w:rsidR="00790F3C" w:rsidRPr="003A48D2">
        <w:rPr>
          <w:iCs/>
        </w:rPr>
        <w:t>E</w:t>
      </w:r>
      <w:r w:rsidR="00F35A49" w:rsidRPr="003A48D2">
        <w:rPr>
          <w:iCs/>
        </w:rPr>
        <w:t>SC</w:t>
      </w:r>
      <w:r w:rsidR="00790F3C" w:rsidRPr="003A48D2">
        <w:rPr>
          <w:iCs/>
        </w:rPr>
        <w:t xml:space="preserve"> agreed with the </w:t>
      </w:r>
      <w:r w:rsidR="00D46A54" w:rsidRPr="003A48D2">
        <w:rPr>
          <w:iCs/>
        </w:rPr>
        <w:t>evaluation that, i</w:t>
      </w:r>
      <w:r w:rsidR="00245486" w:rsidRPr="00D64D6F">
        <w:t xml:space="preserve">n clinical practice there may be instances where patient weight is rounded up to the higher dose option. Given this is a life-threatening disease the likelihood of rounding-up body weights or using the next higher category for patients near the top of the band, is very high because the consequences of giving too little likely out outweigh the consequences of </w:t>
      </w:r>
      <w:r w:rsidR="00245486" w:rsidRPr="00050916">
        <w:t>giving too much</w:t>
      </w:r>
      <w:r w:rsidR="007D4001" w:rsidRPr="00050916">
        <w:t>.</w:t>
      </w:r>
    </w:p>
    <w:p w14:paraId="37ECF699" w14:textId="33236DE1" w:rsidR="00180775" w:rsidRDefault="005041BA" w:rsidP="00B306AF">
      <w:pPr>
        <w:pStyle w:val="3-BodyText"/>
      </w:pPr>
      <w:r w:rsidRPr="00050916">
        <w:t xml:space="preserve">Both ravulizumab and eculizumab have </w:t>
      </w:r>
      <w:r w:rsidR="00110EB3" w:rsidRPr="00050916">
        <w:t xml:space="preserve">weight-based </w:t>
      </w:r>
      <w:r w:rsidRPr="00050916">
        <w:t>loading doses</w:t>
      </w:r>
      <w:r w:rsidR="00382B46" w:rsidRPr="00050916">
        <w:t>,</w:t>
      </w:r>
      <w:r w:rsidRPr="00050916">
        <w:t xml:space="preserve"> </w:t>
      </w:r>
      <w:r w:rsidR="00252F05" w:rsidRPr="00050916">
        <w:t>followed</w:t>
      </w:r>
      <w:r w:rsidR="00382B46" w:rsidRPr="00050916">
        <w:t>, in the case of eculizumab</w:t>
      </w:r>
      <w:r w:rsidR="00384179" w:rsidRPr="00050916">
        <w:t>,</w:t>
      </w:r>
      <w:r w:rsidR="00382B46" w:rsidRPr="00050916">
        <w:t xml:space="preserve"> </w:t>
      </w:r>
      <w:r w:rsidR="00252F05" w:rsidRPr="00050916">
        <w:t xml:space="preserve">by </w:t>
      </w:r>
      <w:r w:rsidR="00921BD3" w:rsidRPr="00050916">
        <w:t>weight-based</w:t>
      </w:r>
      <w:r w:rsidRPr="00050916">
        <w:t xml:space="preserve"> dosing </w:t>
      </w:r>
      <w:r w:rsidR="00382B46" w:rsidRPr="00050916">
        <w:t>in children up to 40 kg</w:t>
      </w:r>
      <w:r w:rsidR="00384179" w:rsidRPr="00050916">
        <w:t xml:space="preserve"> and a fixed dose in adults </w:t>
      </w:r>
      <w:r w:rsidR="00BA0393" w:rsidRPr="00050916">
        <w:t>and</w:t>
      </w:r>
      <w:r w:rsidR="00BA0393">
        <w:t xml:space="preserve"> children </w:t>
      </w:r>
      <w:r w:rsidR="00384179">
        <w:t xml:space="preserve">over 40 kg, and in the case of ravulizumab by weight-based dosing </w:t>
      </w:r>
      <w:r w:rsidR="0053194F">
        <w:t>i</w:t>
      </w:r>
      <w:r w:rsidR="00384179">
        <w:t>n both children and adults.</w:t>
      </w:r>
      <w:r w:rsidR="00252F05">
        <w:t xml:space="preserve"> </w:t>
      </w:r>
    </w:p>
    <w:p w14:paraId="7CC21406" w14:textId="328274A3" w:rsidR="008A7DD6" w:rsidRPr="00D64D6F" w:rsidRDefault="00180775" w:rsidP="00B306AF">
      <w:pPr>
        <w:pStyle w:val="3-BodyText"/>
      </w:pPr>
      <w:bookmarkStart w:id="50" w:name="_Ref124769555"/>
      <w:r w:rsidRPr="009C1168">
        <w:t>T</w:t>
      </w:r>
      <w:r w:rsidR="009A17EB">
        <w:t xml:space="preserve">he </w:t>
      </w:r>
      <w:r w:rsidR="00D46A54">
        <w:t>results of the CMA</w:t>
      </w:r>
      <w:r w:rsidR="00D46A54" w:rsidRPr="009C1168">
        <w:t xml:space="preserve"> </w:t>
      </w:r>
      <w:r w:rsidRPr="009C1168">
        <w:t>depend on the weight of the patients treated, especially among adults (the great majority of patients). The submission</w:t>
      </w:r>
      <w:r w:rsidR="00C7758D">
        <w:t xml:space="preserve"> used </w:t>
      </w:r>
      <w:r w:rsidR="00D8181D">
        <w:t xml:space="preserve">2 </w:t>
      </w:r>
      <w:r w:rsidR="00C7758D">
        <w:t xml:space="preserve">sources of </w:t>
      </w:r>
      <w:r w:rsidRPr="009C1168">
        <w:t>data for patient weights</w:t>
      </w:r>
      <w:r w:rsidR="00C7758D">
        <w:t>:</w:t>
      </w:r>
      <w:r w:rsidRPr="009C1168">
        <w:t xml:space="preserve"> </w:t>
      </w:r>
      <w:r w:rsidR="00896B6C">
        <w:t xml:space="preserve">firstly, </w:t>
      </w:r>
      <w:r w:rsidRPr="009C1168">
        <w:t>Stud</w:t>
      </w:r>
      <w:r>
        <w:t>y</w:t>
      </w:r>
      <w:r w:rsidRPr="009C1168">
        <w:t xml:space="preserve"> 311</w:t>
      </w:r>
      <w:r w:rsidR="00B70642">
        <w:t xml:space="preserve"> for adults</w:t>
      </w:r>
      <w:r w:rsidRPr="009C1168">
        <w:t xml:space="preserve"> and Study 312</w:t>
      </w:r>
      <w:r w:rsidR="00B70642">
        <w:t xml:space="preserve"> </w:t>
      </w:r>
      <w:r w:rsidR="00B70642" w:rsidRPr="009C1168">
        <w:t>for children</w:t>
      </w:r>
      <w:r>
        <w:t>,</w:t>
      </w:r>
      <w:r w:rsidRPr="009C1168">
        <w:t xml:space="preserve"> and </w:t>
      </w:r>
      <w:r w:rsidR="009A17EB">
        <w:t xml:space="preserve">secondly, </w:t>
      </w:r>
      <w:r>
        <w:t>from</w:t>
      </w:r>
      <w:r w:rsidRPr="009C1168">
        <w:t xml:space="preserve"> Australian</w:t>
      </w:r>
      <w:r w:rsidR="00896B6C">
        <w:t xml:space="preserve"> patients in the global Alexion</w:t>
      </w:r>
      <w:r w:rsidRPr="009C1168">
        <w:t xml:space="preserve"> aHUS Registry, although only </w:t>
      </w:r>
      <w:r w:rsidR="004C25A3">
        <w:t>4</w:t>
      </w:r>
      <w:r w:rsidR="004C25A3" w:rsidRPr="009C1168">
        <w:t xml:space="preserve"> </w:t>
      </w:r>
      <w:r w:rsidRPr="009C1168">
        <w:t>children in the registry had weight recorded.</w:t>
      </w:r>
      <w:r w:rsidRPr="003A48D2">
        <w:rPr>
          <w:iCs/>
        </w:rPr>
        <w:t xml:space="preserve"> </w:t>
      </w:r>
      <w:r w:rsidR="00EF41B5" w:rsidRPr="00D64D6F">
        <w:t xml:space="preserve">The evaluation conducted </w:t>
      </w:r>
      <w:r w:rsidR="009765CF" w:rsidRPr="00D64D6F">
        <w:t xml:space="preserve">an additional sensitivity analysis, </w:t>
      </w:r>
      <w:r w:rsidR="00EF41B5" w:rsidRPr="00D64D6F">
        <w:t xml:space="preserve">using weight data for the treated eculizumab patients based on </w:t>
      </w:r>
      <w:r w:rsidR="00896B6C">
        <w:t>a</w:t>
      </w:r>
      <w:r w:rsidR="007F0729">
        <w:t>n</w:t>
      </w:r>
      <w:r w:rsidR="00896B6C">
        <w:t xml:space="preserve"> analysis completed by the DUSC Secretariat using data extracted from the PBS database</w:t>
      </w:r>
      <w:r w:rsidR="007F0729">
        <w:t xml:space="preserve"> (</w:t>
      </w:r>
      <w:r w:rsidR="007F0729" w:rsidRPr="007F0729">
        <w:t xml:space="preserve">provided to the </w:t>
      </w:r>
      <w:r w:rsidR="007F0729">
        <w:t>evaluator</w:t>
      </w:r>
      <w:r w:rsidR="007F0729" w:rsidRPr="007F0729">
        <w:t xml:space="preserve"> </w:t>
      </w:r>
      <w:r w:rsidR="007F0729">
        <w:t>24 November</w:t>
      </w:r>
      <w:r w:rsidR="007F0729" w:rsidRPr="007F0729">
        <w:t xml:space="preserve"> 2022</w:t>
      </w:r>
      <w:r w:rsidR="007F0729">
        <w:t>)</w:t>
      </w:r>
      <w:r w:rsidR="008A7DD6" w:rsidRPr="00D64D6F">
        <w:t>.</w:t>
      </w:r>
      <w:r w:rsidR="00D30249" w:rsidRPr="00D64D6F">
        <w:t xml:space="preserve"> The different weight distributions are shown in </w:t>
      </w:r>
      <w:r w:rsidR="002E04AE" w:rsidRPr="00D64D6F">
        <w:fldChar w:fldCharType="begin" w:fldLock="1"/>
      </w:r>
      <w:r w:rsidR="002E04AE" w:rsidRPr="00D64D6F">
        <w:instrText xml:space="preserve"> REF _Ref122469328 \h  \* MERGEFORMAT </w:instrText>
      </w:r>
      <w:r w:rsidR="002E04AE" w:rsidRPr="00D64D6F">
        <w:fldChar w:fldCharType="separate"/>
      </w:r>
      <w:r w:rsidR="00916EDA">
        <w:t xml:space="preserve">Table </w:t>
      </w:r>
      <w:r w:rsidR="00916EDA">
        <w:rPr>
          <w:noProof/>
        </w:rPr>
        <w:t>10</w:t>
      </w:r>
      <w:r w:rsidR="002E04AE" w:rsidRPr="00D64D6F">
        <w:fldChar w:fldCharType="end"/>
      </w:r>
      <w:r w:rsidR="002E04AE" w:rsidRPr="00D64D6F">
        <w:t xml:space="preserve"> </w:t>
      </w:r>
      <w:r w:rsidR="00D30249" w:rsidRPr="00D64D6F">
        <w:t>below.</w:t>
      </w:r>
      <w:bookmarkEnd w:id="50"/>
      <w:r w:rsidR="00D30249" w:rsidRPr="00D64D6F">
        <w:t xml:space="preserve"> </w:t>
      </w:r>
    </w:p>
    <w:p w14:paraId="52F4D388" w14:textId="55143A5C" w:rsidR="00621310" w:rsidRPr="00D64D6F" w:rsidRDefault="001C7703" w:rsidP="00B306AF">
      <w:pPr>
        <w:pStyle w:val="3-BodyText"/>
      </w:pPr>
      <w:r w:rsidRPr="001C7703">
        <w:t>The</w:t>
      </w:r>
      <w:r>
        <w:t xml:space="preserve"> submission </w:t>
      </w:r>
      <w:r w:rsidR="00621310">
        <w:t>selected a one</w:t>
      </w:r>
      <w:r w:rsidR="00896B6C">
        <w:t>-</w:t>
      </w:r>
      <w:r w:rsidR="00621310">
        <w:t xml:space="preserve">year time horizon for estimating the equi-effective dose as the mean treatment duration with eculizumab from </w:t>
      </w:r>
      <w:r w:rsidR="002B2136">
        <w:t xml:space="preserve">a </w:t>
      </w:r>
      <w:r w:rsidR="00621310">
        <w:t xml:space="preserve">DUSC </w:t>
      </w:r>
      <w:r w:rsidR="007E5721">
        <w:t xml:space="preserve">Secretariat </w:t>
      </w:r>
      <w:r w:rsidR="00621310">
        <w:t>analysis (provided to the sponsor in October 2022) is 384.79 days</w:t>
      </w:r>
      <w:r w:rsidR="005D39EF">
        <w:t>.</w:t>
      </w:r>
      <w:r w:rsidR="00621310" w:rsidRPr="00621310">
        <w:t xml:space="preserve"> </w:t>
      </w:r>
      <w:r w:rsidR="00621310">
        <w:t xml:space="preserve">The submission also provided estimates for a </w:t>
      </w:r>
      <w:r w:rsidR="00896B6C">
        <w:t>2-</w:t>
      </w:r>
      <w:r w:rsidR="00621310">
        <w:t xml:space="preserve">year time horizon for adults only. </w:t>
      </w:r>
      <w:r w:rsidR="00621310" w:rsidRPr="00D64D6F">
        <w:t xml:space="preserve">The </w:t>
      </w:r>
      <w:proofErr w:type="gramStart"/>
      <w:r w:rsidR="004C25A3">
        <w:t>2</w:t>
      </w:r>
      <w:r w:rsidR="004C25A3" w:rsidRPr="00D64D6F">
        <w:t xml:space="preserve"> </w:t>
      </w:r>
      <w:r w:rsidR="00621310" w:rsidRPr="00D64D6F">
        <w:t>year</w:t>
      </w:r>
      <w:proofErr w:type="gramEnd"/>
      <w:r w:rsidR="00621310" w:rsidRPr="00D64D6F">
        <w:t xml:space="preserve"> time horizon corresponded to the PBAC’s advice for the PNH submission</w:t>
      </w:r>
      <w:r w:rsidR="00BA1E68" w:rsidRPr="00D64D6F">
        <w:t xml:space="preserve"> </w:t>
      </w:r>
      <w:r w:rsidR="00621310" w:rsidRPr="00D64D6F">
        <w:t xml:space="preserve">(July 2021) and also to the treatment duration in the requested restriction (see </w:t>
      </w:r>
      <w:r w:rsidR="00621310" w:rsidRPr="00D64D6F">
        <w:fldChar w:fldCharType="begin" w:fldLock="1"/>
      </w:r>
      <w:r w:rsidR="00621310" w:rsidRPr="00D64D6F">
        <w:instrText xml:space="preserve"> REF _Ref121907715 \h  \* MERGEFORMAT </w:instrText>
      </w:r>
      <w:r w:rsidR="00621310" w:rsidRPr="00D64D6F">
        <w:fldChar w:fldCharType="separate"/>
      </w:r>
      <w:r w:rsidR="00916EDA">
        <w:t xml:space="preserve">Table </w:t>
      </w:r>
      <w:r w:rsidR="00916EDA">
        <w:rPr>
          <w:noProof/>
        </w:rPr>
        <w:t>3</w:t>
      </w:r>
      <w:r w:rsidR="00621310" w:rsidRPr="00D64D6F">
        <w:fldChar w:fldCharType="end"/>
      </w:r>
      <w:r w:rsidR="00621310" w:rsidRPr="00D64D6F">
        <w:t>). However, as noted in the submission the one-year time horizon is more conservative.</w:t>
      </w:r>
    </w:p>
    <w:p w14:paraId="529BB5B0" w14:textId="2F9A3122" w:rsidR="004B6C5A" w:rsidRDefault="004B6C5A" w:rsidP="00B306AF">
      <w:pPr>
        <w:pStyle w:val="3-BodyText"/>
      </w:pPr>
      <w:r>
        <w:t xml:space="preserve">The following information, key calculations and results for the </w:t>
      </w:r>
      <w:r w:rsidR="00D46A54">
        <w:t>CMA</w:t>
      </w:r>
      <w:r>
        <w:t xml:space="preserve"> are provided in </w:t>
      </w:r>
      <w:r w:rsidR="00202631">
        <w:fldChar w:fldCharType="begin" w:fldLock="1"/>
      </w:r>
      <w:r w:rsidR="00202631">
        <w:instrText xml:space="preserve"> REF _Ref122469328 \h </w:instrText>
      </w:r>
      <w:r w:rsidR="00202631">
        <w:fldChar w:fldCharType="separate"/>
      </w:r>
      <w:r w:rsidR="00916EDA">
        <w:t xml:space="preserve">Table </w:t>
      </w:r>
      <w:r w:rsidR="00916EDA">
        <w:rPr>
          <w:noProof/>
        </w:rPr>
        <w:t>10</w:t>
      </w:r>
      <w:r w:rsidR="00202631">
        <w:fldChar w:fldCharType="end"/>
      </w:r>
      <w:r>
        <w:t xml:space="preserve">. </w:t>
      </w:r>
    </w:p>
    <w:p w14:paraId="3A95F575" w14:textId="6BFF2E56" w:rsidR="004B6C5A" w:rsidRDefault="004B6C5A" w:rsidP="001376A6">
      <w:pPr>
        <w:pStyle w:val="3-BodyText"/>
        <w:numPr>
          <w:ilvl w:val="0"/>
          <w:numId w:val="8"/>
        </w:numPr>
        <w:ind w:left="1080"/>
      </w:pPr>
      <w:r>
        <w:t>Dosing frequency, number and amount of loading and maintenance doses for ravulizumab and eculizumab</w:t>
      </w:r>
      <w:r w:rsidR="00CB4BDC">
        <w:t>.</w:t>
      </w:r>
    </w:p>
    <w:p w14:paraId="25F65F26" w14:textId="5C7E121B" w:rsidR="004B6C5A" w:rsidRDefault="004B6C5A" w:rsidP="001376A6">
      <w:pPr>
        <w:pStyle w:val="3-BodyText"/>
        <w:numPr>
          <w:ilvl w:val="0"/>
          <w:numId w:val="8"/>
        </w:numPr>
        <w:ind w:left="1080"/>
      </w:pPr>
      <w:r>
        <w:t>As discussed in paragraph</w:t>
      </w:r>
      <w:r w:rsidR="00D46A54">
        <w:t xml:space="preserve"> </w:t>
      </w:r>
      <w:r w:rsidR="00116EBF">
        <w:fldChar w:fldCharType="begin" w:fldLock="1"/>
      </w:r>
      <w:r w:rsidR="00116EBF">
        <w:instrText xml:space="preserve"> REF _Ref124769555 \r \h </w:instrText>
      </w:r>
      <w:r w:rsidR="00116EBF">
        <w:fldChar w:fldCharType="separate"/>
      </w:r>
      <w:r w:rsidR="00916EDA">
        <w:t>6.55</w:t>
      </w:r>
      <w:r w:rsidR="00116EBF">
        <w:fldChar w:fldCharType="end"/>
      </w:r>
      <w:r>
        <w:t xml:space="preserve">, weight distributions for </w:t>
      </w:r>
      <w:r w:rsidR="00BE3B5B">
        <w:t xml:space="preserve">Study </w:t>
      </w:r>
      <w:r>
        <w:t>311</w:t>
      </w:r>
      <w:r w:rsidR="001F0E9D">
        <w:t xml:space="preserve"> (base case)</w:t>
      </w:r>
      <w:r>
        <w:t>, the aHUS Registry and DUSC</w:t>
      </w:r>
      <w:r w:rsidR="00110EB3">
        <w:t xml:space="preserve"> </w:t>
      </w:r>
      <w:r w:rsidR="00031291">
        <w:t xml:space="preserve">Secretariat </w:t>
      </w:r>
      <w:r w:rsidR="002B2136">
        <w:t>analysis</w:t>
      </w:r>
      <w:r>
        <w:t>.</w:t>
      </w:r>
    </w:p>
    <w:p w14:paraId="77ACFFE1" w14:textId="4E2A3B0B" w:rsidR="004B6C5A" w:rsidRDefault="004B6C5A" w:rsidP="001376A6">
      <w:pPr>
        <w:pStyle w:val="3-BodyText"/>
        <w:numPr>
          <w:ilvl w:val="0"/>
          <w:numId w:val="8"/>
        </w:numPr>
        <w:ind w:left="1080"/>
      </w:pPr>
      <w:r>
        <w:t>Equi-effective doses</w:t>
      </w:r>
      <w:r w:rsidR="002B2136">
        <w:t xml:space="preserve"> </w:t>
      </w:r>
      <w:r>
        <w:t>based on</w:t>
      </w:r>
      <w:r w:rsidR="002B2136">
        <w:t xml:space="preserve"> </w:t>
      </w:r>
      <w:r w:rsidR="00BE3B5B">
        <w:t xml:space="preserve">Study </w:t>
      </w:r>
      <w:r>
        <w:t>311</w:t>
      </w:r>
      <w:r w:rsidR="001F0E9D">
        <w:t xml:space="preserve"> (base case)</w:t>
      </w:r>
      <w:r>
        <w:t xml:space="preserve">, as well as </w:t>
      </w:r>
      <w:r w:rsidR="002B2136">
        <w:t xml:space="preserve">the aHUS </w:t>
      </w:r>
      <w:r>
        <w:t>Registry and DUSC</w:t>
      </w:r>
      <w:r w:rsidR="002B2136">
        <w:t xml:space="preserve"> </w:t>
      </w:r>
      <w:r w:rsidR="00031291">
        <w:t xml:space="preserve">Secretariat </w:t>
      </w:r>
      <w:proofErr w:type="gramStart"/>
      <w:r w:rsidR="002B2136">
        <w:t>analysis</w:t>
      </w:r>
      <w:r>
        <w:t>;</w:t>
      </w:r>
      <w:proofErr w:type="gramEnd"/>
    </w:p>
    <w:p w14:paraId="42E15B17" w14:textId="77777777" w:rsidR="004B6C5A" w:rsidRDefault="004B6C5A" w:rsidP="001376A6">
      <w:pPr>
        <w:pStyle w:val="3-BodyText"/>
        <w:numPr>
          <w:ilvl w:val="0"/>
          <w:numId w:val="8"/>
        </w:numPr>
        <w:ind w:left="1080"/>
      </w:pPr>
      <w:r>
        <w:t xml:space="preserve">Drug and administration cost for eculizumab and resultant cost-minimised prices for </w:t>
      </w:r>
      <w:proofErr w:type="gramStart"/>
      <w:r>
        <w:t>ravulizumab;</w:t>
      </w:r>
      <w:proofErr w:type="gramEnd"/>
    </w:p>
    <w:p w14:paraId="0023AADF" w14:textId="4AB0D3A7" w:rsidR="004B6C5A" w:rsidRDefault="19A8BFB4" w:rsidP="001376A6">
      <w:pPr>
        <w:pStyle w:val="3-BodyText"/>
        <w:numPr>
          <w:ilvl w:val="0"/>
          <w:numId w:val="8"/>
        </w:numPr>
        <w:ind w:left="1080"/>
      </w:pPr>
      <w:r>
        <w:lastRenderedPageBreak/>
        <w:t xml:space="preserve">Costs for paediatric patients and weighted adult and paediatric pricing. The weighted adult and paediatric price, with the cost of the </w:t>
      </w:r>
      <w:proofErr w:type="gramStart"/>
      <w:r w:rsidR="00C47128" w:rsidRPr="00497513">
        <w:rPr>
          <w:color w:val="000000"/>
          <w:w w:val="15"/>
          <w:shd w:val="solid" w:color="000000" w:fill="000000"/>
          <w:fitText w:val="-20" w:id="-1236585972"/>
          <w14:textFill>
            <w14:solidFill>
              <w14:srgbClr w14:val="000000">
                <w14:alpha w14:val="100000"/>
              </w14:srgbClr>
            </w14:solidFill>
          </w14:textFill>
        </w:rPr>
        <w:t xml:space="preserve">|  </w:t>
      </w:r>
      <w:r w:rsidR="00C47128" w:rsidRPr="00497513">
        <w:rPr>
          <w:color w:val="000000"/>
          <w:spacing w:val="-69"/>
          <w:w w:val="15"/>
          <w:shd w:val="solid" w:color="000000" w:fill="000000"/>
          <w:fitText w:val="-20" w:id="-1236585972"/>
          <w14:textFill>
            <w14:solidFill>
              <w14:srgbClr w14:val="000000">
                <w14:alpha w14:val="100000"/>
              </w14:srgbClr>
            </w14:solidFill>
          </w14:textFill>
        </w:rPr>
        <w:t>|</w:t>
      </w:r>
      <w:proofErr w:type="gramEnd"/>
      <w:r>
        <w:t xml:space="preserve">, is the submission’s base case result and is the source of the requested drug price.  </w:t>
      </w:r>
    </w:p>
    <w:p w14:paraId="043E46BB" w14:textId="5C53AD85" w:rsidR="00D528BB" w:rsidRPr="003A48D2" w:rsidRDefault="19A8BFB4" w:rsidP="001376A6">
      <w:pPr>
        <w:pStyle w:val="3-BodyText"/>
        <w:numPr>
          <w:ilvl w:val="0"/>
          <w:numId w:val="8"/>
        </w:numPr>
        <w:ind w:left="1080"/>
      </w:pPr>
      <w:r>
        <w:t xml:space="preserve">Cost-minimised price with cost of the </w:t>
      </w:r>
      <w:r w:rsidR="003F6C25" w:rsidRPr="003F6C25">
        <w:rPr>
          <w:color w:val="000000"/>
          <w:w w:val="56"/>
          <w:shd w:val="solid" w:color="000000" w:fill="000000"/>
          <w:fitText w:val="1680" w:id="-1230827776"/>
          <w14:textFill>
            <w14:solidFill>
              <w14:srgbClr w14:val="000000">
                <w14:alpha w14:val="100000"/>
              </w14:srgbClr>
            </w14:solidFill>
          </w14:textFill>
        </w:rPr>
        <w:t>||||||||||||</w:t>
      </w:r>
      <w:proofErr w:type="gramStart"/>
      <w:r w:rsidR="003F6C25" w:rsidRPr="003F6C25">
        <w:rPr>
          <w:color w:val="000000"/>
          <w:w w:val="56"/>
          <w:shd w:val="solid" w:color="000000" w:fill="000000"/>
          <w:fitText w:val="1680" w:id="-1230827776"/>
          <w14:textFill>
            <w14:solidFill>
              <w14:srgbClr w14:val="000000">
                <w14:alpha w14:val="100000"/>
              </w14:srgbClr>
            </w14:solidFill>
          </w14:textFill>
        </w:rPr>
        <w:t>|  |</w:t>
      </w:r>
      <w:proofErr w:type="gramEnd"/>
      <w:r w:rsidR="003F6C25" w:rsidRPr="003F6C25">
        <w:rPr>
          <w:color w:val="000000"/>
          <w:w w:val="56"/>
          <w:shd w:val="solid" w:color="000000" w:fill="000000"/>
          <w:fitText w:val="1680" w:id="-1230827776"/>
          <w14:textFill>
            <w14:solidFill>
              <w14:srgbClr w14:val="000000">
                <w14:alpha w14:val="100000"/>
              </w14:srgbClr>
            </w14:solidFill>
          </w14:textFill>
        </w:rPr>
        <w:t>|||||||||||</w:t>
      </w:r>
      <w:r w:rsidR="003F6C25" w:rsidRPr="003F6C25">
        <w:rPr>
          <w:color w:val="000000"/>
          <w:spacing w:val="10"/>
          <w:w w:val="56"/>
          <w:shd w:val="solid" w:color="000000" w:fill="000000"/>
          <w:fitText w:val="1680" w:id="-1230827776"/>
          <w14:textFill>
            <w14:solidFill>
              <w14:srgbClr w14:val="000000">
                <w14:alpha w14:val="100000"/>
              </w14:srgbClr>
            </w14:solidFill>
          </w14:textFill>
        </w:rPr>
        <w:t>|</w:t>
      </w:r>
      <w:r w:rsidR="003F6C25">
        <w:t xml:space="preserve"> </w:t>
      </w:r>
      <w:r>
        <w:t xml:space="preserve">removed, which reduces the per vial price of ravulizumab by </w:t>
      </w:r>
      <w:r w:rsidR="00C47128" w:rsidRPr="00BF6B51">
        <w:rPr>
          <w:color w:val="000000"/>
          <w:w w:val="15"/>
          <w:shd w:val="solid" w:color="000000" w:fill="000000"/>
          <w:fitText w:val="-20" w:id="-1236585971"/>
          <w14:textFill>
            <w14:solidFill>
              <w14:srgbClr w14:val="000000">
                <w14:alpha w14:val="100000"/>
              </w14:srgbClr>
            </w14:solidFill>
          </w14:textFill>
        </w:rPr>
        <w:t xml:space="preserve">|  </w:t>
      </w:r>
      <w:r w:rsidR="00C47128" w:rsidRPr="00BF6B51">
        <w:rPr>
          <w:color w:val="000000"/>
          <w:spacing w:val="-69"/>
          <w:w w:val="15"/>
          <w:shd w:val="solid" w:color="000000" w:fill="000000"/>
          <w:fitText w:val="-20" w:id="-1236585971"/>
          <w14:textFill>
            <w14:solidFill>
              <w14:srgbClr w14:val="000000">
                <w14:alpha w14:val="100000"/>
              </w14:srgbClr>
            </w14:solidFill>
          </w14:textFill>
        </w:rPr>
        <w:t>|</w:t>
      </w:r>
      <w:r>
        <w:t xml:space="preserve">% over the one-year duration used in the CMA. This is equivalent to </w:t>
      </w:r>
      <w:proofErr w:type="gramStart"/>
      <w:r w:rsidR="00C47128" w:rsidRPr="00497513">
        <w:rPr>
          <w:color w:val="000000"/>
          <w:w w:val="15"/>
          <w:shd w:val="solid" w:color="000000" w:fill="000000"/>
          <w:fitText w:val="-20" w:id="-1236585970"/>
          <w14:textFill>
            <w14:solidFill>
              <w14:srgbClr w14:val="000000">
                <w14:alpha w14:val="100000"/>
              </w14:srgbClr>
            </w14:solidFill>
          </w14:textFill>
        </w:rPr>
        <w:t xml:space="preserve">|  </w:t>
      </w:r>
      <w:r w:rsidR="00C47128" w:rsidRPr="00497513">
        <w:rPr>
          <w:color w:val="000000"/>
          <w:spacing w:val="-69"/>
          <w:w w:val="15"/>
          <w:shd w:val="solid" w:color="000000" w:fill="000000"/>
          <w:fitText w:val="-20" w:id="-1236585970"/>
          <w14:textFill>
            <w14:solidFill>
              <w14:srgbClr w14:val="000000">
                <w14:alpha w14:val="100000"/>
              </w14:srgbClr>
            </w14:solidFill>
          </w14:textFill>
        </w:rPr>
        <w:t>|</w:t>
      </w:r>
      <w:proofErr w:type="gramEnd"/>
      <w:r>
        <w:t xml:space="preserve"> weeks of therapy, and, according to the sponsor, thus ensures that a large proportion of patients will not be inpatients at the time of the </w:t>
      </w:r>
      <w:r w:rsidR="00C47128" w:rsidRPr="00BF6B51">
        <w:rPr>
          <w:color w:val="000000"/>
          <w:w w:val="15"/>
          <w:shd w:val="solid" w:color="000000" w:fill="000000"/>
          <w:fitText w:val="-20" w:id="-1236585969"/>
          <w14:textFill>
            <w14:solidFill>
              <w14:srgbClr w14:val="000000">
                <w14:alpha w14:val="100000"/>
              </w14:srgbClr>
            </w14:solidFill>
          </w14:textFill>
        </w:rPr>
        <w:t xml:space="preserve">|  </w:t>
      </w:r>
      <w:r w:rsidR="00C47128" w:rsidRPr="00BF6B51">
        <w:rPr>
          <w:color w:val="000000"/>
          <w:spacing w:val="-69"/>
          <w:w w:val="15"/>
          <w:shd w:val="solid" w:color="000000" w:fill="000000"/>
          <w:fitText w:val="-20" w:id="-1236585969"/>
          <w14:textFill>
            <w14:solidFill>
              <w14:srgbClr w14:val="000000">
                <w14:alpha w14:val="100000"/>
              </w14:srgbClr>
            </w14:solidFill>
          </w14:textFill>
        </w:rPr>
        <w:t>|</w:t>
      </w:r>
      <w:r>
        <w:t xml:space="preserve"> dose. </w:t>
      </w:r>
    </w:p>
    <w:p w14:paraId="22BEE6ED" w14:textId="45EF5281" w:rsidR="00572874" w:rsidRDefault="0045010A" w:rsidP="00572874">
      <w:pPr>
        <w:pStyle w:val="TableFigureHeading"/>
      </w:pPr>
      <w:bookmarkStart w:id="51" w:name="_Ref122469328"/>
      <w:r>
        <w:lastRenderedPageBreak/>
        <w:t xml:space="preserve">Table </w:t>
      </w:r>
      <w:r>
        <w:fldChar w:fldCharType="begin" w:fldLock="1"/>
      </w:r>
      <w:r>
        <w:instrText>SEQ Table \* ARABIC</w:instrText>
      </w:r>
      <w:r>
        <w:fldChar w:fldCharType="separate"/>
      </w:r>
      <w:r w:rsidR="00916EDA">
        <w:rPr>
          <w:noProof/>
        </w:rPr>
        <w:t>10</w:t>
      </w:r>
      <w:r>
        <w:fldChar w:fldCharType="end"/>
      </w:r>
      <w:bookmarkEnd w:id="51"/>
      <w:r w:rsidR="00572874">
        <w:t xml:space="preserve">: </w:t>
      </w:r>
      <w:r w:rsidR="00AB7D62">
        <w:rPr>
          <w:rStyle w:val="CommentReference"/>
          <w:b/>
          <w:szCs w:val="24"/>
        </w:rPr>
        <w:t>Cost minimisation of eculizumab and ravulizumab – summary one year time horizon</w:t>
      </w:r>
      <w:r w:rsidR="00086B8A">
        <w:rPr>
          <w:rStyle w:val="CommentReference"/>
          <w:b/>
          <w:szCs w:val="24"/>
        </w:rPr>
        <w:t xml:space="preserve"> </w:t>
      </w:r>
      <w:r w:rsidR="007322C0">
        <w:rPr>
          <w:rStyle w:val="CommentReference"/>
          <w:b/>
          <w:szCs w:val="24"/>
        </w:rPr>
        <w:t xml:space="preserve"> </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30"/>
        <w:gridCol w:w="1430"/>
        <w:gridCol w:w="878"/>
        <w:gridCol w:w="878"/>
        <w:gridCol w:w="942"/>
        <w:gridCol w:w="3017"/>
      </w:tblGrid>
      <w:tr w:rsidR="0045010A" w:rsidRPr="00D64D6F" w14:paraId="68522A4F" w14:textId="77777777" w:rsidTr="00884BEB">
        <w:trPr>
          <w:cantSplit/>
          <w:tblHeader/>
        </w:trPr>
        <w:tc>
          <w:tcPr>
            <w:tcW w:w="1063" w:type="pct"/>
            <w:shd w:val="clear" w:color="auto" w:fill="auto"/>
            <w:vAlign w:val="center"/>
          </w:tcPr>
          <w:p w14:paraId="3B1FD722" w14:textId="77777777" w:rsidR="0045010A" w:rsidRPr="00D64D6F" w:rsidRDefault="0045010A" w:rsidP="00884BEB">
            <w:pPr>
              <w:pStyle w:val="TableText0"/>
              <w:tabs>
                <w:tab w:val="left" w:pos="102"/>
              </w:tabs>
              <w:rPr>
                <w:b/>
                <w:bCs w:val="0"/>
              </w:rPr>
            </w:pPr>
          </w:p>
        </w:tc>
        <w:tc>
          <w:tcPr>
            <w:tcW w:w="2274" w:type="pct"/>
            <w:gridSpan w:val="4"/>
            <w:shd w:val="clear" w:color="auto" w:fill="auto"/>
          </w:tcPr>
          <w:p w14:paraId="4F8D070C" w14:textId="77777777" w:rsidR="0045010A" w:rsidRPr="00D64D6F" w:rsidRDefault="0045010A" w:rsidP="00884BEB">
            <w:pPr>
              <w:pStyle w:val="TableText0"/>
              <w:jc w:val="center"/>
              <w:rPr>
                <w:b/>
                <w:bCs w:val="0"/>
              </w:rPr>
            </w:pPr>
            <w:r w:rsidRPr="00D64D6F">
              <w:rPr>
                <w:b/>
                <w:bCs w:val="0"/>
              </w:rPr>
              <w:t>Ravulizumab</w:t>
            </w:r>
          </w:p>
        </w:tc>
        <w:tc>
          <w:tcPr>
            <w:tcW w:w="1662" w:type="pct"/>
            <w:shd w:val="clear" w:color="auto" w:fill="auto"/>
          </w:tcPr>
          <w:p w14:paraId="70542D13" w14:textId="77777777" w:rsidR="0045010A" w:rsidRPr="00D64D6F" w:rsidRDefault="0045010A" w:rsidP="00884BEB">
            <w:pPr>
              <w:pStyle w:val="TableText0"/>
              <w:jc w:val="center"/>
              <w:rPr>
                <w:b/>
                <w:bCs w:val="0"/>
              </w:rPr>
            </w:pPr>
            <w:r w:rsidRPr="00D64D6F">
              <w:rPr>
                <w:b/>
                <w:bCs w:val="0"/>
              </w:rPr>
              <w:t>Eculizumab</w:t>
            </w:r>
          </w:p>
        </w:tc>
      </w:tr>
      <w:tr w:rsidR="0045010A" w:rsidRPr="00D64D6F" w14:paraId="086CE592" w14:textId="77777777" w:rsidTr="00884BEB">
        <w:trPr>
          <w:cantSplit/>
        </w:trPr>
        <w:tc>
          <w:tcPr>
            <w:tcW w:w="1063" w:type="pct"/>
            <w:shd w:val="clear" w:color="auto" w:fill="auto"/>
            <w:vAlign w:val="center"/>
          </w:tcPr>
          <w:p w14:paraId="332E1502" w14:textId="30E8E54C" w:rsidR="0045010A" w:rsidRPr="00D64D6F" w:rsidRDefault="0045010A" w:rsidP="00884BEB">
            <w:pPr>
              <w:pStyle w:val="TableText0"/>
              <w:tabs>
                <w:tab w:val="left" w:pos="102"/>
              </w:tabs>
              <w:rPr>
                <w:b/>
                <w:bCs w:val="0"/>
              </w:rPr>
            </w:pPr>
            <w:r w:rsidRPr="00D64D6F">
              <w:rPr>
                <w:b/>
                <w:bCs w:val="0"/>
              </w:rPr>
              <w:t xml:space="preserve">Dosing structure </w:t>
            </w:r>
            <w:r w:rsidR="00E80747">
              <w:rPr>
                <w:b/>
                <w:bCs w:val="0"/>
              </w:rPr>
              <w:t>- adults</w:t>
            </w:r>
          </w:p>
        </w:tc>
        <w:tc>
          <w:tcPr>
            <w:tcW w:w="2274" w:type="pct"/>
            <w:gridSpan w:val="4"/>
            <w:shd w:val="clear" w:color="auto" w:fill="auto"/>
          </w:tcPr>
          <w:p w14:paraId="09E8AE52" w14:textId="77777777" w:rsidR="0045010A" w:rsidRPr="00D64D6F" w:rsidRDefault="0045010A" w:rsidP="00884BEB">
            <w:pPr>
              <w:pStyle w:val="TableText0"/>
              <w:jc w:val="center"/>
            </w:pPr>
            <w:r w:rsidRPr="00D64D6F">
              <w:t>Weight-based</w:t>
            </w:r>
          </w:p>
        </w:tc>
        <w:tc>
          <w:tcPr>
            <w:tcW w:w="1662" w:type="pct"/>
            <w:shd w:val="clear" w:color="auto" w:fill="auto"/>
          </w:tcPr>
          <w:p w14:paraId="3E7422EE" w14:textId="6FED90FB" w:rsidR="0045010A" w:rsidRPr="00D64D6F" w:rsidRDefault="0045010A" w:rsidP="00884BEB">
            <w:pPr>
              <w:pStyle w:val="TableText0"/>
              <w:jc w:val="center"/>
            </w:pPr>
            <w:r w:rsidRPr="00D64D6F">
              <w:t>Fixed</w:t>
            </w:r>
          </w:p>
        </w:tc>
      </w:tr>
      <w:tr w:rsidR="0045010A" w:rsidRPr="00D64D6F" w14:paraId="79B8616D" w14:textId="77777777" w:rsidTr="00884BEB">
        <w:trPr>
          <w:cantSplit/>
        </w:trPr>
        <w:tc>
          <w:tcPr>
            <w:tcW w:w="1063" w:type="pct"/>
            <w:shd w:val="clear" w:color="auto" w:fill="auto"/>
            <w:vAlign w:val="center"/>
          </w:tcPr>
          <w:p w14:paraId="54AFD519" w14:textId="77777777" w:rsidR="0045010A" w:rsidRPr="00D64D6F" w:rsidRDefault="0045010A" w:rsidP="00884BEB">
            <w:pPr>
              <w:pStyle w:val="TableText0"/>
              <w:tabs>
                <w:tab w:val="left" w:pos="102"/>
              </w:tabs>
            </w:pPr>
            <w:r w:rsidRPr="00D64D6F">
              <w:t xml:space="preserve">Dosing frequency </w:t>
            </w:r>
          </w:p>
        </w:tc>
        <w:tc>
          <w:tcPr>
            <w:tcW w:w="2274" w:type="pct"/>
            <w:gridSpan w:val="4"/>
            <w:shd w:val="clear" w:color="auto" w:fill="auto"/>
          </w:tcPr>
          <w:p w14:paraId="788F0FB9" w14:textId="3ED0047C" w:rsidR="0045010A" w:rsidRPr="00D64D6F" w:rsidRDefault="0045010A" w:rsidP="00884BEB">
            <w:pPr>
              <w:pStyle w:val="TableText0"/>
            </w:pPr>
            <w:r w:rsidRPr="00D64D6F">
              <w:t xml:space="preserve">1 loading dose, </w:t>
            </w:r>
            <w:r w:rsidR="00761591">
              <w:t>8</w:t>
            </w:r>
            <w:r w:rsidR="00761591" w:rsidRPr="00D64D6F">
              <w:t xml:space="preserve"> </w:t>
            </w:r>
            <w:r w:rsidRPr="00D64D6F">
              <w:t>weekly maintenance starting 2 weeks after loading dose</w:t>
            </w:r>
          </w:p>
        </w:tc>
        <w:tc>
          <w:tcPr>
            <w:tcW w:w="1662" w:type="pct"/>
            <w:shd w:val="clear" w:color="auto" w:fill="auto"/>
            <w:vAlign w:val="center"/>
          </w:tcPr>
          <w:p w14:paraId="235B1EC6" w14:textId="77777777" w:rsidR="0045010A" w:rsidRPr="00D64D6F" w:rsidRDefault="0045010A" w:rsidP="00884BEB">
            <w:pPr>
              <w:pStyle w:val="TableText0"/>
            </w:pPr>
            <w:r w:rsidRPr="00D64D6F">
              <w:t>Loading dose weekly for 4 weeks, followed by fortnightly beginning week 5</w:t>
            </w:r>
          </w:p>
        </w:tc>
      </w:tr>
      <w:tr w:rsidR="0045010A" w:rsidRPr="00D64D6F" w14:paraId="385F982E" w14:textId="77777777" w:rsidTr="00884BEB">
        <w:trPr>
          <w:cantSplit/>
        </w:trPr>
        <w:tc>
          <w:tcPr>
            <w:tcW w:w="1063" w:type="pct"/>
            <w:vMerge w:val="restart"/>
            <w:shd w:val="clear" w:color="auto" w:fill="auto"/>
            <w:vAlign w:val="center"/>
          </w:tcPr>
          <w:p w14:paraId="317E8816" w14:textId="4D48DD31" w:rsidR="0045010A" w:rsidRPr="00D64D6F" w:rsidRDefault="0045010A" w:rsidP="00884BEB">
            <w:pPr>
              <w:pStyle w:val="TableText0"/>
              <w:tabs>
                <w:tab w:val="left" w:pos="102"/>
              </w:tabs>
            </w:pPr>
            <w:r w:rsidRPr="00D64D6F">
              <w:t xml:space="preserve">Dose </w:t>
            </w:r>
            <w:r w:rsidR="00761591">
              <w:t>–</w:t>
            </w:r>
            <w:r w:rsidRPr="00D64D6F">
              <w:t xml:space="preserve"> loading phase and maintenance phase</w:t>
            </w:r>
          </w:p>
        </w:tc>
        <w:tc>
          <w:tcPr>
            <w:tcW w:w="788" w:type="pct"/>
            <w:shd w:val="clear" w:color="auto" w:fill="auto"/>
          </w:tcPr>
          <w:p w14:paraId="5E3786A3" w14:textId="77777777" w:rsidR="0045010A" w:rsidRPr="00D64D6F" w:rsidRDefault="0045010A" w:rsidP="00884BEB">
            <w:pPr>
              <w:pStyle w:val="TableText0"/>
            </w:pPr>
          </w:p>
        </w:tc>
        <w:tc>
          <w:tcPr>
            <w:tcW w:w="484" w:type="pct"/>
            <w:shd w:val="clear" w:color="auto" w:fill="auto"/>
          </w:tcPr>
          <w:p w14:paraId="13350278" w14:textId="77777777" w:rsidR="0045010A" w:rsidRPr="00D64D6F" w:rsidRDefault="0045010A" w:rsidP="00884BEB">
            <w:pPr>
              <w:pStyle w:val="TableText0"/>
              <w:jc w:val="center"/>
              <w:rPr>
                <w:b/>
                <w:bCs w:val="0"/>
              </w:rPr>
            </w:pPr>
            <w:r w:rsidRPr="00D64D6F">
              <w:rPr>
                <w:b/>
                <w:bCs w:val="0"/>
              </w:rPr>
              <w:t>Loading</w:t>
            </w:r>
          </w:p>
        </w:tc>
        <w:tc>
          <w:tcPr>
            <w:tcW w:w="1003" w:type="pct"/>
            <w:gridSpan w:val="2"/>
            <w:shd w:val="clear" w:color="auto" w:fill="auto"/>
          </w:tcPr>
          <w:p w14:paraId="73AC749B" w14:textId="77777777" w:rsidR="0045010A" w:rsidRPr="00D64D6F" w:rsidRDefault="0045010A" w:rsidP="00884BEB">
            <w:pPr>
              <w:pStyle w:val="TableText0"/>
              <w:jc w:val="center"/>
              <w:rPr>
                <w:b/>
                <w:bCs w:val="0"/>
              </w:rPr>
            </w:pPr>
            <w:r w:rsidRPr="00D64D6F">
              <w:rPr>
                <w:b/>
                <w:bCs w:val="0"/>
              </w:rPr>
              <w:t>Maintenance</w:t>
            </w:r>
          </w:p>
        </w:tc>
        <w:tc>
          <w:tcPr>
            <w:tcW w:w="1662" w:type="pct"/>
            <w:vMerge w:val="restart"/>
            <w:shd w:val="clear" w:color="auto" w:fill="auto"/>
            <w:vAlign w:val="center"/>
          </w:tcPr>
          <w:p w14:paraId="3A02554C" w14:textId="77777777" w:rsidR="0045010A" w:rsidRPr="00D64D6F" w:rsidRDefault="0045010A" w:rsidP="00884BEB">
            <w:pPr>
              <w:pStyle w:val="TableText0"/>
            </w:pPr>
            <w:r w:rsidRPr="00D64D6F">
              <w:t>Loading: 900 mg weekly for 4 weeks</w:t>
            </w:r>
          </w:p>
          <w:p w14:paraId="068F092C" w14:textId="7FDF5C4B" w:rsidR="0045010A" w:rsidRPr="00D64D6F" w:rsidRDefault="0045010A" w:rsidP="00884BEB">
            <w:pPr>
              <w:pStyle w:val="TableText0"/>
            </w:pPr>
            <w:r w:rsidRPr="00D64D6F">
              <w:t>Maintena</w:t>
            </w:r>
            <w:r w:rsidR="003C6654" w:rsidRPr="00D64D6F">
              <w:t>n</w:t>
            </w:r>
            <w:r w:rsidRPr="00D64D6F">
              <w:t>ce: 1,200 mg fortnightly</w:t>
            </w:r>
          </w:p>
        </w:tc>
      </w:tr>
      <w:tr w:rsidR="0045010A" w:rsidRPr="00D64D6F" w14:paraId="6D2F53AD" w14:textId="77777777" w:rsidTr="00884BEB">
        <w:trPr>
          <w:cantSplit/>
        </w:trPr>
        <w:tc>
          <w:tcPr>
            <w:tcW w:w="1063" w:type="pct"/>
            <w:vMerge/>
            <w:shd w:val="clear" w:color="auto" w:fill="auto"/>
            <w:vAlign w:val="center"/>
          </w:tcPr>
          <w:p w14:paraId="465DE338" w14:textId="77777777" w:rsidR="0045010A" w:rsidRPr="00D64D6F" w:rsidRDefault="0045010A" w:rsidP="00884BEB">
            <w:pPr>
              <w:pStyle w:val="TableText0"/>
              <w:tabs>
                <w:tab w:val="left" w:pos="102"/>
              </w:tabs>
            </w:pPr>
          </w:p>
        </w:tc>
        <w:tc>
          <w:tcPr>
            <w:tcW w:w="788" w:type="pct"/>
            <w:shd w:val="clear" w:color="auto" w:fill="auto"/>
          </w:tcPr>
          <w:p w14:paraId="1AE2B243" w14:textId="4D05D86A" w:rsidR="0045010A" w:rsidRPr="00D64D6F" w:rsidRDefault="0045010A" w:rsidP="00884BEB">
            <w:pPr>
              <w:pStyle w:val="TableText0"/>
              <w:tabs>
                <w:tab w:val="left" w:pos="1608"/>
                <w:tab w:val="left" w:pos="2316"/>
                <w:tab w:val="left" w:pos="3025"/>
              </w:tabs>
            </w:pPr>
            <w:r w:rsidRPr="00D64D6F">
              <w:t>≥40</w:t>
            </w:r>
            <w:r w:rsidR="00761591">
              <w:t xml:space="preserve"> </w:t>
            </w:r>
            <w:r w:rsidRPr="00D64D6F">
              <w:t>kg to &lt;60</w:t>
            </w:r>
            <w:r w:rsidR="00761591">
              <w:t xml:space="preserve"> </w:t>
            </w:r>
            <w:r w:rsidRPr="00D64D6F">
              <w:t>kg:</w:t>
            </w:r>
          </w:p>
        </w:tc>
        <w:tc>
          <w:tcPr>
            <w:tcW w:w="484" w:type="pct"/>
            <w:shd w:val="clear" w:color="auto" w:fill="auto"/>
          </w:tcPr>
          <w:p w14:paraId="05DD82CB" w14:textId="77777777" w:rsidR="0045010A" w:rsidRPr="00D64D6F" w:rsidRDefault="0045010A" w:rsidP="00884BEB">
            <w:pPr>
              <w:pStyle w:val="TableText0"/>
              <w:jc w:val="center"/>
            </w:pPr>
            <w:r w:rsidRPr="00D64D6F">
              <w:t>2,400 mg</w:t>
            </w:r>
          </w:p>
        </w:tc>
        <w:tc>
          <w:tcPr>
            <w:tcW w:w="1003" w:type="pct"/>
            <w:gridSpan w:val="2"/>
            <w:shd w:val="clear" w:color="auto" w:fill="auto"/>
          </w:tcPr>
          <w:p w14:paraId="1DEF600B" w14:textId="77777777" w:rsidR="0045010A" w:rsidRPr="00D64D6F" w:rsidRDefault="0045010A" w:rsidP="00884BEB">
            <w:pPr>
              <w:pStyle w:val="TableText0"/>
              <w:jc w:val="center"/>
            </w:pPr>
            <w:r w:rsidRPr="00D64D6F">
              <w:t>3,000 mg</w:t>
            </w:r>
          </w:p>
        </w:tc>
        <w:tc>
          <w:tcPr>
            <w:tcW w:w="1662" w:type="pct"/>
            <w:vMerge/>
            <w:shd w:val="clear" w:color="auto" w:fill="auto"/>
            <w:vAlign w:val="center"/>
          </w:tcPr>
          <w:p w14:paraId="0344459D" w14:textId="77777777" w:rsidR="0045010A" w:rsidRPr="00D64D6F" w:rsidRDefault="0045010A" w:rsidP="00884BEB">
            <w:pPr>
              <w:pStyle w:val="TableText0"/>
            </w:pPr>
          </w:p>
        </w:tc>
      </w:tr>
      <w:tr w:rsidR="0045010A" w:rsidRPr="00D64D6F" w14:paraId="3C92EF28" w14:textId="77777777" w:rsidTr="00884BEB">
        <w:trPr>
          <w:cantSplit/>
        </w:trPr>
        <w:tc>
          <w:tcPr>
            <w:tcW w:w="1063" w:type="pct"/>
            <w:vMerge/>
            <w:shd w:val="clear" w:color="auto" w:fill="auto"/>
            <w:vAlign w:val="center"/>
          </w:tcPr>
          <w:p w14:paraId="4BAA042B" w14:textId="77777777" w:rsidR="0045010A" w:rsidRPr="00D64D6F" w:rsidRDefault="0045010A" w:rsidP="00884BEB">
            <w:pPr>
              <w:pStyle w:val="TableText0"/>
              <w:tabs>
                <w:tab w:val="left" w:pos="102"/>
              </w:tabs>
            </w:pPr>
          </w:p>
        </w:tc>
        <w:tc>
          <w:tcPr>
            <w:tcW w:w="788" w:type="pct"/>
            <w:shd w:val="clear" w:color="auto" w:fill="auto"/>
          </w:tcPr>
          <w:p w14:paraId="546EBAD0" w14:textId="2A41CEDA" w:rsidR="0045010A" w:rsidRPr="00D64D6F" w:rsidRDefault="0045010A" w:rsidP="00884BEB">
            <w:pPr>
              <w:pStyle w:val="TableText0"/>
              <w:tabs>
                <w:tab w:val="left" w:pos="1608"/>
                <w:tab w:val="left" w:pos="2316"/>
                <w:tab w:val="left" w:pos="3025"/>
              </w:tabs>
            </w:pPr>
            <w:r w:rsidRPr="00D64D6F">
              <w:t>≥60</w:t>
            </w:r>
            <w:r w:rsidR="00761591">
              <w:t xml:space="preserve"> </w:t>
            </w:r>
            <w:r w:rsidRPr="00D64D6F">
              <w:t>kg to &lt;100</w:t>
            </w:r>
            <w:r w:rsidR="00761591">
              <w:t xml:space="preserve"> </w:t>
            </w:r>
            <w:r w:rsidRPr="00D64D6F">
              <w:t>kg:</w:t>
            </w:r>
          </w:p>
        </w:tc>
        <w:tc>
          <w:tcPr>
            <w:tcW w:w="484" w:type="pct"/>
            <w:shd w:val="clear" w:color="auto" w:fill="auto"/>
          </w:tcPr>
          <w:p w14:paraId="3701AB8F" w14:textId="77777777" w:rsidR="0045010A" w:rsidRPr="00D64D6F" w:rsidRDefault="0045010A" w:rsidP="00884BEB">
            <w:pPr>
              <w:pStyle w:val="TableText0"/>
              <w:jc w:val="center"/>
            </w:pPr>
            <w:r w:rsidRPr="00D64D6F">
              <w:t>2,700 mg</w:t>
            </w:r>
          </w:p>
        </w:tc>
        <w:tc>
          <w:tcPr>
            <w:tcW w:w="1003" w:type="pct"/>
            <w:gridSpan w:val="2"/>
            <w:shd w:val="clear" w:color="auto" w:fill="auto"/>
          </w:tcPr>
          <w:p w14:paraId="561F594D" w14:textId="77777777" w:rsidR="0045010A" w:rsidRPr="00D64D6F" w:rsidRDefault="0045010A" w:rsidP="00884BEB">
            <w:pPr>
              <w:pStyle w:val="TableText0"/>
              <w:jc w:val="center"/>
            </w:pPr>
            <w:r w:rsidRPr="00D64D6F">
              <w:t>3,300 mg</w:t>
            </w:r>
          </w:p>
        </w:tc>
        <w:tc>
          <w:tcPr>
            <w:tcW w:w="1662" w:type="pct"/>
            <w:vMerge/>
            <w:shd w:val="clear" w:color="auto" w:fill="auto"/>
            <w:vAlign w:val="center"/>
          </w:tcPr>
          <w:p w14:paraId="0BB1BC56" w14:textId="77777777" w:rsidR="0045010A" w:rsidRPr="00D64D6F" w:rsidRDefault="0045010A" w:rsidP="00884BEB">
            <w:pPr>
              <w:pStyle w:val="TableText0"/>
            </w:pPr>
          </w:p>
        </w:tc>
      </w:tr>
      <w:tr w:rsidR="0045010A" w:rsidRPr="00D64D6F" w14:paraId="2AB99622" w14:textId="77777777" w:rsidTr="00884BEB">
        <w:trPr>
          <w:cantSplit/>
        </w:trPr>
        <w:tc>
          <w:tcPr>
            <w:tcW w:w="1063" w:type="pct"/>
            <w:vMerge/>
            <w:shd w:val="clear" w:color="auto" w:fill="auto"/>
            <w:vAlign w:val="center"/>
          </w:tcPr>
          <w:p w14:paraId="6BEDA90C" w14:textId="77777777" w:rsidR="0045010A" w:rsidRPr="00D64D6F" w:rsidRDefault="0045010A" w:rsidP="00884BEB">
            <w:pPr>
              <w:pStyle w:val="TableText0"/>
              <w:tabs>
                <w:tab w:val="left" w:pos="102"/>
              </w:tabs>
            </w:pPr>
          </w:p>
        </w:tc>
        <w:tc>
          <w:tcPr>
            <w:tcW w:w="788" w:type="pct"/>
            <w:shd w:val="clear" w:color="auto" w:fill="auto"/>
          </w:tcPr>
          <w:p w14:paraId="177B1132" w14:textId="39A94229" w:rsidR="0045010A" w:rsidRPr="00D64D6F" w:rsidRDefault="0045010A" w:rsidP="00884BEB">
            <w:pPr>
              <w:pStyle w:val="TableText0"/>
              <w:tabs>
                <w:tab w:val="left" w:pos="1608"/>
                <w:tab w:val="left" w:pos="2316"/>
                <w:tab w:val="left" w:pos="3025"/>
              </w:tabs>
            </w:pPr>
            <w:r w:rsidRPr="00D64D6F">
              <w:t>≥100</w:t>
            </w:r>
            <w:r w:rsidR="00761591">
              <w:t xml:space="preserve"> </w:t>
            </w:r>
            <w:r w:rsidRPr="00D64D6F">
              <w:t>kg:</w:t>
            </w:r>
          </w:p>
        </w:tc>
        <w:tc>
          <w:tcPr>
            <w:tcW w:w="484" w:type="pct"/>
            <w:shd w:val="clear" w:color="auto" w:fill="auto"/>
          </w:tcPr>
          <w:p w14:paraId="674F6AED" w14:textId="77777777" w:rsidR="0045010A" w:rsidRPr="00D64D6F" w:rsidRDefault="0045010A" w:rsidP="00884BEB">
            <w:pPr>
              <w:pStyle w:val="TableText0"/>
              <w:jc w:val="center"/>
            </w:pPr>
            <w:r w:rsidRPr="00D64D6F">
              <w:t>3,000 mg</w:t>
            </w:r>
          </w:p>
        </w:tc>
        <w:tc>
          <w:tcPr>
            <w:tcW w:w="1003" w:type="pct"/>
            <w:gridSpan w:val="2"/>
            <w:shd w:val="clear" w:color="auto" w:fill="auto"/>
          </w:tcPr>
          <w:p w14:paraId="6CC5F60A" w14:textId="77777777" w:rsidR="0045010A" w:rsidRPr="00D64D6F" w:rsidRDefault="0045010A" w:rsidP="00884BEB">
            <w:pPr>
              <w:pStyle w:val="TableText0"/>
              <w:jc w:val="center"/>
            </w:pPr>
            <w:r w:rsidRPr="00D64D6F">
              <w:t>3,600 mg</w:t>
            </w:r>
          </w:p>
        </w:tc>
        <w:tc>
          <w:tcPr>
            <w:tcW w:w="1662" w:type="pct"/>
            <w:vMerge/>
            <w:shd w:val="clear" w:color="auto" w:fill="auto"/>
            <w:vAlign w:val="center"/>
          </w:tcPr>
          <w:p w14:paraId="017CC5B6" w14:textId="77777777" w:rsidR="0045010A" w:rsidRPr="00D64D6F" w:rsidRDefault="0045010A" w:rsidP="00884BEB">
            <w:pPr>
              <w:pStyle w:val="TableText0"/>
            </w:pPr>
          </w:p>
        </w:tc>
      </w:tr>
      <w:tr w:rsidR="0045010A" w:rsidRPr="00D64D6F" w14:paraId="77163701" w14:textId="77777777" w:rsidTr="00884BEB">
        <w:trPr>
          <w:cantSplit/>
        </w:trPr>
        <w:tc>
          <w:tcPr>
            <w:tcW w:w="1063" w:type="pct"/>
            <w:vMerge w:val="restart"/>
            <w:shd w:val="clear" w:color="auto" w:fill="auto"/>
            <w:vAlign w:val="center"/>
          </w:tcPr>
          <w:p w14:paraId="2CC166FA" w14:textId="77777777" w:rsidR="0045010A" w:rsidRPr="00D64D6F" w:rsidRDefault="0045010A" w:rsidP="00884BEB">
            <w:pPr>
              <w:pStyle w:val="TableText0"/>
              <w:tabs>
                <w:tab w:val="left" w:pos="102"/>
              </w:tabs>
            </w:pPr>
            <w:r w:rsidRPr="00D64D6F">
              <w:t>Patient weight distribution</w:t>
            </w:r>
          </w:p>
        </w:tc>
        <w:tc>
          <w:tcPr>
            <w:tcW w:w="788" w:type="pct"/>
            <w:shd w:val="clear" w:color="auto" w:fill="auto"/>
          </w:tcPr>
          <w:p w14:paraId="129854E2" w14:textId="77777777" w:rsidR="0045010A" w:rsidRPr="00D64D6F" w:rsidRDefault="0045010A" w:rsidP="00884BEB">
            <w:pPr>
              <w:pStyle w:val="TableText0"/>
              <w:tabs>
                <w:tab w:val="left" w:pos="1608"/>
                <w:tab w:val="left" w:pos="2316"/>
                <w:tab w:val="left" w:pos="3025"/>
              </w:tabs>
            </w:pPr>
          </w:p>
        </w:tc>
        <w:tc>
          <w:tcPr>
            <w:tcW w:w="484" w:type="pct"/>
            <w:shd w:val="clear" w:color="auto" w:fill="auto"/>
          </w:tcPr>
          <w:p w14:paraId="78FD2BF1" w14:textId="77777777" w:rsidR="0045010A" w:rsidRPr="00D64D6F" w:rsidRDefault="0045010A" w:rsidP="00884BEB">
            <w:pPr>
              <w:pStyle w:val="TableText0"/>
              <w:jc w:val="center"/>
            </w:pPr>
            <w:r w:rsidRPr="00D64D6F">
              <w:rPr>
                <w:b/>
                <w:bCs w:val="0"/>
              </w:rPr>
              <w:t>Trial 311</w:t>
            </w:r>
          </w:p>
        </w:tc>
        <w:tc>
          <w:tcPr>
            <w:tcW w:w="484" w:type="pct"/>
            <w:shd w:val="clear" w:color="auto" w:fill="auto"/>
          </w:tcPr>
          <w:p w14:paraId="238BA9D6" w14:textId="77777777" w:rsidR="0045010A" w:rsidRPr="00D64D6F" w:rsidRDefault="0045010A" w:rsidP="00884BEB">
            <w:pPr>
              <w:pStyle w:val="TableText0"/>
              <w:jc w:val="center"/>
            </w:pPr>
            <w:r w:rsidRPr="00D64D6F">
              <w:rPr>
                <w:b/>
                <w:bCs w:val="0"/>
              </w:rPr>
              <w:t>Registry</w:t>
            </w:r>
          </w:p>
        </w:tc>
        <w:tc>
          <w:tcPr>
            <w:tcW w:w="519" w:type="pct"/>
            <w:shd w:val="clear" w:color="auto" w:fill="auto"/>
          </w:tcPr>
          <w:p w14:paraId="3FFF3A8D" w14:textId="77777777" w:rsidR="0045010A" w:rsidRPr="00D64D6F" w:rsidRDefault="0045010A" w:rsidP="00884BEB">
            <w:pPr>
              <w:pStyle w:val="TableText0"/>
              <w:jc w:val="center"/>
              <w:rPr>
                <w:b/>
                <w:bCs w:val="0"/>
              </w:rPr>
            </w:pPr>
            <w:r w:rsidRPr="00D64D6F">
              <w:rPr>
                <w:b/>
                <w:bCs w:val="0"/>
              </w:rPr>
              <w:t>DUSC</w:t>
            </w:r>
          </w:p>
        </w:tc>
        <w:tc>
          <w:tcPr>
            <w:tcW w:w="1662" w:type="pct"/>
            <w:vMerge w:val="restart"/>
            <w:shd w:val="clear" w:color="auto" w:fill="auto"/>
            <w:vAlign w:val="center"/>
          </w:tcPr>
          <w:p w14:paraId="3D761BD3" w14:textId="77777777" w:rsidR="0045010A" w:rsidRPr="00D64D6F" w:rsidRDefault="0045010A" w:rsidP="00884BEB">
            <w:pPr>
              <w:pStyle w:val="TableText0"/>
              <w:jc w:val="center"/>
            </w:pPr>
            <w:r w:rsidRPr="00D64D6F">
              <w:t>NA</w:t>
            </w:r>
          </w:p>
        </w:tc>
      </w:tr>
      <w:tr w:rsidR="0045010A" w:rsidRPr="00D64D6F" w14:paraId="7B27D778" w14:textId="77777777" w:rsidTr="00884BEB">
        <w:trPr>
          <w:cantSplit/>
        </w:trPr>
        <w:tc>
          <w:tcPr>
            <w:tcW w:w="1063" w:type="pct"/>
            <w:vMerge/>
            <w:shd w:val="clear" w:color="auto" w:fill="auto"/>
            <w:vAlign w:val="center"/>
          </w:tcPr>
          <w:p w14:paraId="2A491AE6" w14:textId="77777777" w:rsidR="0045010A" w:rsidRPr="00D64D6F" w:rsidRDefault="0045010A" w:rsidP="00884BEB">
            <w:pPr>
              <w:pStyle w:val="TableText0"/>
              <w:tabs>
                <w:tab w:val="left" w:pos="102"/>
              </w:tabs>
            </w:pPr>
          </w:p>
        </w:tc>
        <w:tc>
          <w:tcPr>
            <w:tcW w:w="788" w:type="pct"/>
            <w:shd w:val="clear" w:color="auto" w:fill="auto"/>
          </w:tcPr>
          <w:p w14:paraId="5199B502" w14:textId="3968583E" w:rsidR="0045010A" w:rsidRPr="00D64D6F" w:rsidRDefault="0045010A" w:rsidP="00884BEB">
            <w:pPr>
              <w:pStyle w:val="TableText0"/>
              <w:tabs>
                <w:tab w:val="left" w:pos="1608"/>
                <w:tab w:val="left" w:pos="2316"/>
                <w:tab w:val="left" w:pos="3025"/>
              </w:tabs>
            </w:pPr>
            <w:r w:rsidRPr="00D64D6F">
              <w:t>≥40</w:t>
            </w:r>
            <w:r w:rsidR="00761591">
              <w:t xml:space="preserve"> </w:t>
            </w:r>
            <w:r w:rsidRPr="00D64D6F">
              <w:t>kg to &lt;60</w:t>
            </w:r>
            <w:r w:rsidR="00761591">
              <w:t xml:space="preserve"> </w:t>
            </w:r>
            <w:r w:rsidRPr="00D64D6F">
              <w:t>kg:</w:t>
            </w:r>
          </w:p>
        </w:tc>
        <w:tc>
          <w:tcPr>
            <w:tcW w:w="484" w:type="pct"/>
            <w:shd w:val="clear" w:color="auto" w:fill="auto"/>
          </w:tcPr>
          <w:p w14:paraId="10C1E432" w14:textId="77777777" w:rsidR="0045010A" w:rsidRPr="00D64D6F" w:rsidRDefault="0045010A" w:rsidP="00884BEB">
            <w:pPr>
              <w:pStyle w:val="TableText0"/>
              <w:tabs>
                <w:tab w:val="left" w:pos="1608"/>
                <w:tab w:val="left" w:pos="2316"/>
                <w:tab w:val="left" w:pos="3025"/>
              </w:tabs>
              <w:jc w:val="center"/>
            </w:pPr>
            <w:r w:rsidRPr="00D64D6F">
              <w:t>19.3%</w:t>
            </w:r>
          </w:p>
        </w:tc>
        <w:tc>
          <w:tcPr>
            <w:tcW w:w="484" w:type="pct"/>
            <w:shd w:val="clear" w:color="auto" w:fill="auto"/>
          </w:tcPr>
          <w:p w14:paraId="795C1D2A" w14:textId="77777777" w:rsidR="0045010A" w:rsidRPr="00D64D6F" w:rsidRDefault="0045010A" w:rsidP="00884BEB">
            <w:pPr>
              <w:pStyle w:val="TableText0"/>
              <w:tabs>
                <w:tab w:val="left" w:pos="1608"/>
                <w:tab w:val="left" w:pos="2316"/>
                <w:tab w:val="left" w:pos="3025"/>
              </w:tabs>
              <w:jc w:val="center"/>
            </w:pPr>
            <w:r w:rsidRPr="00D64D6F">
              <w:t>38.82%</w:t>
            </w:r>
          </w:p>
        </w:tc>
        <w:tc>
          <w:tcPr>
            <w:tcW w:w="519" w:type="pct"/>
            <w:shd w:val="clear" w:color="auto" w:fill="auto"/>
          </w:tcPr>
          <w:p w14:paraId="5DD7CDA4" w14:textId="77777777" w:rsidR="0045010A" w:rsidRPr="00D64D6F" w:rsidRDefault="0045010A" w:rsidP="00884BEB">
            <w:pPr>
              <w:pStyle w:val="TableText0"/>
              <w:tabs>
                <w:tab w:val="left" w:pos="1608"/>
                <w:tab w:val="left" w:pos="2316"/>
                <w:tab w:val="left" w:pos="3025"/>
              </w:tabs>
              <w:jc w:val="center"/>
            </w:pPr>
            <w:r w:rsidRPr="00D64D6F">
              <w:t>23.4%</w:t>
            </w:r>
          </w:p>
        </w:tc>
        <w:tc>
          <w:tcPr>
            <w:tcW w:w="1662" w:type="pct"/>
            <w:vMerge/>
            <w:shd w:val="clear" w:color="auto" w:fill="auto"/>
            <w:vAlign w:val="center"/>
          </w:tcPr>
          <w:p w14:paraId="3AF8F04F" w14:textId="77777777" w:rsidR="0045010A" w:rsidRPr="00D64D6F" w:rsidRDefault="0045010A" w:rsidP="00884BEB">
            <w:pPr>
              <w:pStyle w:val="TableText0"/>
              <w:jc w:val="center"/>
            </w:pPr>
          </w:p>
        </w:tc>
      </w:tr>
      <w:tr w:rsidR="0045010A" w:rsidRPr="00D64D6F" w14:paraId="6F7DB5EF" w14:textId="77777777" w:rsidTr="00884BEB">
        <w:trPr>
          <w:cantSplit/>
        </w:trPr>
        <w:tc>
          <w:tcPr>
            <w:tcW w:w="1063" w:type="pct"/>
            <w:vMerge/>
            <w:shd w:val="clear" w:color="auto" w:fill="auto"/>
            <w:vAlign w:val="center"/>
          </w:tcPr>
          <w:p w14:paraId="42820F74" w14:textId="77777777" w:rsidR="0045010A" w:rsidRPr="00D64D6F" w:rsidRDefault="0045010A" w:rsidP="00884BEB">
            <w:pPr>
              <w:pStyle w:val="TableText0"/>
              <w:tabs>
                <w:tab w:val="left" w:pos="102"/>
              </w:tabs>
            </w:pPr>
          </w:p>
        </w:tc>
        <w:tc>
          <w:tcPr>
            <w:tcW w:w="788" w:type="pct"/>
            <w:shd w:val="clear" w:color="auto" w:fill="auto"/>
          </w:tcPr>
          <w:p w14:paraId="1297AE88" w14:textId="7C40F189" w:rsidR="0045010A" w:rsidRPr="00D64D6F" w:rsidRDefault="0045010A" w:rsidP="00884BEB">
            <w:pPr>
              <w:pStyle w:val="TableText0"/>
              <w:tabs>
                <w:tab w:val="left" w:pos="1608"/>
                <w:tab w:val="left" w:pos="2316"/>
                <w:tab w:val="left" w:pos="3025"/>
              </w:tabs>
            </w:pPr>
            <w:r w:rsidRPr="00D64D6F">
              <w:t>≥60</w:t>
            </w:r>
            <w:r w:rsidR="00761591">
              <w:t xml:space="preserve"> </w:t>
            </w:r>
            <w:r w:rsidRPr="00D64D6F">
              <w:t>kg to &lt;100</w:t>
            </w:r>
            <w:r w:rsidR="00761591">
              <w:t xml:space="preserve"> </w:t>
            </w:r>
            <w:r w:rsidRPr="00D64D6F">
              <w:t>kg:</w:t>
            </w:r>
          </w:p>
        </w:tc>
        <w:tc>
          <w:tcPr>
            <w:tcW w:w="484" w:type="pct"/>
            <w:shd w:val="clear" w:color="auto" w:fill="auto"/>
          </w:tcPr>
          <w:p w14:paraId="600F65A1" w14:textId="77777777" w:rsidR="0045010A" w:rsidRPr="00D64D6F" w:rsidRDefault="0045010A" w:rsidP="00884BEB">
            <w:pPr>
              <w:pStyle w:val="TableText0"/>
              <w:tabs>
                <w:tab w:val="left" w:pos="1608"/>
                <w:tab w:val="left" w:pos="2316"/>
                <w:tab w:val="left" w:pos="3025"/>
              </w:tabs>
              <w:jc w:val="center"/>
            </w:pPr>
            <w:r w:rsidRPr="00D64D6F">
              <w:t>71.9%</w:t>
            </w:r>
          </w:p>
        </w:tc>
        <w:tc>
          <w:tcPr>
            <w:tcW w:w="484" w:type="pct"/>
            <w:shd w:val="clear" w:color="auto" w:fill="auto"/>
          </w:tcPr>
          <w:p w14:paraId="49BAC39B" w14:textId="77777777" w:rsidR="0045010A" w:rsidRPr="00D64D6F" w:rsidRDefault="0045010A" w:rsidP="00884BEB">
            <w:pPr>
              <w:pStyle w:val="TableText0"/>
              <w:tabs>
                <w:tab w:val="left" w:pos="1608"/>
                <w:tab w:val="left" w:pos="2316"/>
                <w:tab w:val="left" w:pos="3025"/>
              </w:tabs>
              <w:jc w:val="center"/>
            </w:pPr>
            <w:r w:rsidRPr="00D64D6F">
              <w:t>58.82%</w:t>
            </w:r>
          </w:p>
        </w:tc>
        <w:tc>
          <w:tcPr>
            <w:tcW w:w="519" w:type="pct"/>
            <w:shd w:val="clear" w:color="auto" w:fill="auto"/>
          </w:tcPr>
          <w:p w14:paraId="1CEEDD4A" w14:textId="77777777" w:rsidR="0045010A" w:rsidRPr="00D64D6F" w:rsidRDefault="0045010A" w:rsidP="00884BEB">
            <w:pPr>
              <w:pStyle w:val="TableText0"/>
              <w:tabs>
                <w:tab w:val="left" w:pos="1608"/>
                <w:tab w:val="left" w:pos="2316"/>
                <w:tab w:val="left" w:pos="3025"/>
              </w:tabs>
              <w:jc w:val="center"/>
            </w:pPr>
            <w:r w:rsidRPr="00D64D6F">
              <w:t>65.2%</w:t>
            </w:r>
          </w:p>
        </w:tc>
        <w:tc>
          <w:tcPr>
            <w:tcW w:w="1662" w:type="pct"/>
            <w:vMerge/>
            <w:shd w:val="clear" w:color="auto" w:fill="auto"/>
            <w:vAlign w:val="center"/>
          </w:tcPr>
          <w:p w14:paraId="12AC1A68" w14:textId="77777777" w:rsidR="0045010A" w:rsidRPr="00D64D6F" w:rsidRDefault="0045010A" w:rsidP="00884BEB">
            <w:pPr>
              <w:pStyle w:val="TableText0"/>
              <w:jc w:val="center"/>
            </w:pPr>
          </w:p>
        </w:tc>
      </w:tr>
      <w:tr w:rsidR="0045010A" w:rsidRPr="00D64D6F" w14:paraId="7617352F" w14:textId="77777777" w:rsidTr="00884BEB">
        <w:trPr>
          <w:cantSplit/>
        </w:trPr>
        <w:tc>
          <w:tcPr>
            <w:tcW w:w="1063" w:type="pct"/>
            <w:vMerge/>
            <w:shd w:val="clear" w:color="auto" w:fill="auto"/>
            <w:vAlign w:val="center"/>
          </w:tcPr>
          <w:p w14:paraId="44B98DD5" w14:textId="77777777" w:rsidR="0045010A" w:rsidRPr="00D64D6F" w:rsidRDefault="0045010A" w:rsidP="00884BEB">
            <w:pPr>
              <w:pStyle w:val="TableText0"/>
              <w:tabs>
                <w:tab w:val="left" w:pos="102"/>
              </w:tabs>
            </w:pPr>
          </w:p>
        </w:tc>
        <w:tc>
          <w:tcPr>
            <w:tcW w:w="788" w:type="pct"/>
            <w:shd w:val="clear" w:color="auto" w:fill="auto"/>
          </w:tcPr>
          <w:p w14:paraId="1D82EF89" w14:textId="627F1379" w:rsidR="0045010A" w:rsidRPr="00D64D6F" w:rsidRDefault="0045010A" w:rsidP="00884BEB">
            <w:pPr>
              <w:pStyle w:val="TableText0"/>
              <w:tabs>
                <w:tab w:val="left" w:pos="1608"/>
                <w:tab w:val="left" w:pos="2316"/>
                <w:tab w:val="left" w:pos="3025"/>
              </w:tabs>
            </w:pPr>
            <w:r w:rsidRPr="00D64D6F">
              <w:t>≥100</w:t>
            </w:r>
            <w:r w:rsidR="00761591">
              <w:t xml:space="preserve"> </w:t>
            </w:r>
            <w:r w:rsidRPr="00D64D6F">
              <w:t>kg:</w:t>
            </w:r>
          </w:p>
        </w:tc>
        <w:tc>
          <w:tcPr>
            <w:tcW w:w="484" w:type="pct"/>
            <w:shd w:val="clear" w:color="auto" w:fill="auto"/>
          </w:tcPr>
          <w:p w14:paraId="432C155D" w14:textId="77777777" w:rsidR="0045010A" w:rsidRPr="00D64D6F" w:rsidRDefault="0045010A" w:rsidP="00884BEB">
            <w:pPr>
              <w:pStyle w:val="TableText0"/>
              <w:tabs>
                <w:tab w:val="left" w:pos="1608"/>
                <w:tab w:val="left" w:pos="2316"/>
                <w:tab w:val="left" w:pos="3025"/>
              </w:tabs>
              <w:jc w:val="center"/>
            </w:pPr>
            <w:r w:rsidRPr="00D64D6F">
              <w:t>8.8%</w:t>
            </w:r>
          </w:p>
        </w:tc>
        <w:tc>
          <w:tcPr>
            <w:tcW w:w="484" w:type="pct"/>
            <w:shd w:val="clear" w:color="auto" w:fill="auto"/>
          </w:tcPr>
          <w:p w14:paraId="0D3C6C47" w14:textId="77777777" w:rsidR="0045010A" w:rsidRPr="00D64D6F" w:rsidRDefault="0045010A" w:rsidP="00884BEB">
            <w:pPr>
              <w:pStyle w:val="TableText0"/>
              <w:tabs>
                <w:tab w:val="left" w:pos="1608"/>
                <w:tab w:val="left" w:pos="2316"/>
                <w:tab w:val="left" w:pos="3025"/>
              </w:tabs>
              <w:jc w:val="center"/>
            </w:pPr>
            <w:r w:rsidRPr="00D64D6F">
              <w:t>2.35%</w:t>
            </w:r>
          </w:p>
        </w:tc>
        <w:tc>
          <w:tcPr>
            <w:tcW w:w="519" w:type="pct"/>
            <w:shd w:val="clear" w:color="auto" w:fill="auto"/>
          </w:tcPr>
          <w:p w14:paraId="62128AF3" w14:textId="77777777" w:rsidR="0045010A" w:rsidRPr="00D64D6F" w:rsidRDefault="0045010A" w:rsidP="00884BEB">
            <w:pPr>
              <w:pStyle w:val="TableText0"/>
              <w:tabs>
                <w:tab w:val="left" w:pos="1608"/>
                <w:tab w:val="left" w:pos="2316"/>
                <w:tab w:val="left" w:pos="3025"/>
              </w:tabs>
              <w:jc w:val="center"/>
            </w:pPr>
            <w:r w:rsidRPr="00D64D6F">
              <w:t>11.3%</w:t>
            </w:r>
          </w:p>
        </w:tc>
        <w:tc>
          <w:tcPr>
            <w:tcW w:w="1662" w:type="pct"/>
            <w:vMerge/>
            <w:shd w:val="clear" w:color="auto" w:fill="auto"/>
            <w:vAlign w:val="center"/>
          </w:tcPr>
          <w:p w14:paraId="7C697E17" w14:textId="77777777" w:rsidR="0045010A" w:rsidRPr="00D64D6F" w:rsidRDefault="0045010A" w:rsidP="00884BEB">
            <w:pPr>
              <w:pStyle w:val="TableText0"/>
              <w:jc w:val="center"/>
            </w:pPr>
          </w:p>
        </w:tc>
      </w:tr>
      <w:tr w:rsidR="0045010A" w:rsidRPr="00D64D6F" w14:paraId="763E070C" w14:textId="77777777" w:rsidTr="00884BEB">
        <w:trPr>
          <w:cantSplit/>
        </w:trPr>
        <w:tc>
          <w:tcPr>
            <w:tcW w:w="1063" w:type="pct"/>
            <w:vMerge w:val="restart"/>
            <w:shd w:val="clear" w:color="auto" w:fill="auto"/>
            <w:vAlign w:val="center"/>
          </w:tcPr>
          <w:p w14:paraId="73603D96" w14:textId="401AE8CA" w:rsidR="0045010A" w:rsidRPr="00D64D6F" w:rsidRDefault="0045010A" w:rsidP="00884BEB">
            <w:pPr>
              <w:pStyle w:val="TableText0"/>
              <w:tabs>
                <w:tab w:val="left" w:pos="102"/>
              </w:tabs>
            </w:pPr>
            <w:bookmarkStart w:id="52" w:name="_Hlk124757371"/>
            <w:r w:rsidRPr="00D64D6F">
              <w:rPr>
                <w:b/>
                <w:bCs w:val="0"/>
              </w:rPr>
              <w:t>Total mg’s, 12 months</w:t>
            </w:r>
            <w:r w:rsidRPr="00D64D6F">
              <w:t xml:space="preserve"> (</w:t>
            </w:r>
            <w:r w:rsidR="00DF2B77">
              <w:t>r</w:t>
            </w:r>
            <w:r w:rsidR="00DF2B77" w:rsidRPr="00D64D6F">
              <w:t>av</w:t>
            </w:r>
            <w:r w:rsidR="00DF2B77">
              <w:t>ulizumab</w:t>
            </w:r>
            <w:r w:rsidR="00DF2B77" w:rsidRPr="00D64D6F">
              <w:t xml:space="preserve"> </w:t>
            </w:r>
            <w:r w:rsidRPr="00D64D6F">
              <w:t>= proportion × dose)</w:t>
            </w:r>
          </w:p>
        </w:tc>
        <w:tc>
          <w:tcPr>
            <w:tcW w:w="788" w:type="pct"/>
            <w:shd w:val="clear" w:color="auto" w:fill="auto"/>
          </w:tcPr>
          <w:p w14:paraId="4E27AAE3" w14:textId="77777777" w:rsidR="0045010A" w:rsidRPr="00D64D6F" w:rsidRDefault="0045010A" w:rsidP="00884BEB">
            <w:pPr>
              <w:pStyle w:val="TableText0"/>
              <w:tabs>
                <w:tab w:val="left" w:pos="1608"/>
                <w:tab w:val="left" w:pos="2316"/>
                <w:tab w:val="left" w:pos="3025"/>
              </w:tabs>
            </w:pPr>
            <w:r w:rsidRPr="00D64D6F">
              <w:t>Loading dose</w:t>
            </w:r>
          </w:p>
        </w:tc>
        <w:tc>
          <w:tcPr>
            <w:tcW w:w="484" w:type="pct"/>
            <w:shd w:val="clear" w:color="auto" w:fill="auto"/>
          </w:tcPr>
          <w:p w14:paraId="62D3A8FE" w14:textId="77777777" w:rsidR="0045010A" w:rsidRPr="00D64D6F" w:rsidRDefault="0045010A" w:rsidP="00884BEB">
            <w:pPr>
              <w:pStyle w:val="TableText0"/>
              <w:tabs>
                <w:tab w:val="left" w:pos="1608"/>
                <w:tab w:val="left" w:pos="2316"/>
                <w:tab w:val="left" w:pos="3025"/>
              </w:tabs>
              <w:jc w:val="center"/>
            </w:pPr>
            <w:r w:rsidRPr="00D64D6F">
              <w:t>2,669 mg</w:t>
            </w:r>
          </w:p>
        </w:tc>
        <w:tc>
          <w:tcPr>
            <w:tcW w:w="484" w:type="pct"/>
            <w:shd w:val="clear" w:color="auto" w:fill="auto"/>
          </w:tcPr>
          <w:p w14:paraId="6D071301" w14:textId="77777777" w:rsidR="0045010A" w:rsidRPr="00D64D6F" w:rsidRDefault="0045010A" w:rsidP="00884BEB">
            <w:pPr>
              <w:pStyle w:val="TableText0"/>
              <w:tabs>
                <w:tab w:val="left" w:pos="1608"/>
                <w:tab w:val="left" w:pos="2316"/>
                <w:tab w:val="left" w:pos="3025"/>
              </w:tabs>
              <w:jc w:val="center"/>
            </w:pPr>
            <w:r w:rsidRPr="00D64D6F">
              <w:t>2,591 mg</w:t>
            </w:r>
          </w:p>
        </w:tc>
        <w:tc>
          <w:tcPr>
            <w:tcW w:w="519" w:type="pct"/>
            <w:shd w:val="clear" w:color="auto" w:fill="auto"/>
          </w:tcPr>
          <w:p w14:paraId="4370FB6F" w14:textId="77777777" w:rsidR="0045010A" w:rsidRPr="00D64D6F" w:rsidRDefault="0045010A" w:rsidP="00884BEB">
            <w:pPr>
              <w:pStyle w:val="TableText0"/>
              <w:tabs>
                <w:tab w:val="left" w:pos="1608"/>
                <w:tab w:val="left" w:pos="2316"/>
                <w:tab w:val="left" w:pos="3025"/>
              </w:tabs>
              <w:jc w:val="center"/>
            </w:pPr>
            <w:r w:rsidRPr="00D64D6F">
              <w:t>2,661 mg</w:t>
            </w:r>
          </w:p>
        </w:tc>
        <w:tc>
          <w:tcPr>
            <w:tcW w:w="1662" w:type="pct"/>
            <w:shd w:val="clear" w:color="auto" w:fill="auto"/>
            <w:vAlign w:val="center"/>
          </w:tcPr>
          <w:p w14:paraId="606AA4B8" w14:textId="77777777" w:rsidR="0045010A" w:rsidRPr="00D64D6F" w:rsidRDefault="0045010A" w:rsidP="00884BEB">
            <w:pPr>
              <w:pStyle w:val="TableText0"/>
              <w:jc w:val="center"/>
            </w:pPr>
            <w:r w:rsidRPr="00D64D6F">
              <w:t>3,600 mg</w:t>
            </w:r>
          </w:p>
        </w:tc>
      </w:tr>
      <w:tr w:rsidR="0045010A" w:rsidRPr="00D64D6F" w14:paraId="3735F46E" w14:textId="77777777" w:rsidTr="00884BEB">
        <w:trPr>
          <w:cantSplit/>
        </w:trPr>
        <w:tc>
          <w:tcPr>
            <w:tcW w:w="1063" w:type="pct"/>
            <w:vMerge/>
            <w:shd w:val="clear" w:color="auto" w:fill="auto"/>
            <w:vAlign w:val="center"/>
          </w:tcPr>
          <w:p w14:paraId="44A16041" w14:textId="77777777" w:rsidR="0045010A" w:rsidRPr="00D64D6F" w:rsidRDefault="0045010A" w:rsidP="00884BEB">
            <w:pPr>
              <w:pStyle w:val="TableText0"/>
              <w:tabs>
                <w:tab w:val="left" w:pos="102"/>
              </w:tabs>
            </w:pPr>
          </w:p>
        </w:tc>
        <w:tc>
          <w:tcPr>
            <w:tcW w:w="788" w:type="pct"/>
            <w:shd w:val="clear" w:color="auto" w:fill="auto"/>
          </w:tcPr>
          <w:p w14:paraId="7DF6720E" w14:textId="77777777" w:rsidR="0045010A" w:rsidRPr="00D64D6F" w:rsidRDefault="0045010A" w:rsidP="00884BEB">
            <w:pPr>
              <w:pStyle w:val="TableText0"/>
              <w:tabs>
                <w:tab w:val="left" w:pos="1608"/>
                <w:tab w:val="left" w:pos="2316"/>
                <w:tab w:val="left" w:pos="3025"/>
              </w:tabs>
            </w:pPr>
            <w:r w:rsidRPr="00D64D6F">
              <w:t>Maintenance dose</w:t>
            </w:r>
          </w:p>
        </w:tc>
        <w:tc>
          <w:tcPr>
            <w:tcW w:w="484" w:type="pct"/>
            <w:shd w:val="clear" w:color="auto" w:fill="auto"/>
          </w:tcPr>
          <w:p w14:paraId="7282781F" w14:textId="77777777" w:rsidR="0045010A" w:rsidRPr="00D64D6F" w:rsidRDefault="0045010A" w:rsidP="00884BEB">
            <w:pPr>
              <w:pStyle w:val="TableText0"/>
              <w:tabs>
                <w:tab w:val="left" w:pos="1608"/>
                <w:tab w:val="left" w:pos="2316"/>
                <w:tab w:val="left" w:pos="3025"/>
              </w:tabs>
              <w:jc w:val="center"/>
            </w:pPr>
            <w:r w:rsidRPr="00D64D6F">
              <w:t>3,269 mg</w:t>
            </w:r>
          </w:p>
        </w:tc>
        <w:tc>
          <w:tcPr>
            <w:tcW w:w="484" w:type="pct"/>
            <w:shd w:val="clear" w:color="auto" w:fill="auto"/>
          </w:tcPr>
          <w:p w14:paraId="124732FA" w14:textId="77777777" w:rsidR="0045010A" w:rsidRPr="00D64D6F" w:rsidRDefault="0045010A" w:rsidP="00884BEB">
            <w:pPr>
              <w:pStyle w:val="TableText0"/>
              <w:tabs>
                <w:tab w:val="left" w:pos="1608"/>
                <w:tab w:val="left" w:pos="2316"/>
                <w:tab w:val="left" w:pos="3025"/>
              </w:tabs>
              <w:jc w:val="center"/>
            </w:pPr>
            <w:r w:rsidRPr="00D64D6F">
              <w:t>3,191 mg</w:t>
            </w:r>
          </w:p>
        </w:tc>
        <w:tc>
          <w:tcPr>
            <w:tcW w:w="519" w:type="pct"/>
            <w:shd w:val="clear" w:color="auto" w:fill="auto"/>
          </w:tcPr>
          <w:p w14:paraId="507B6215" w14:textId="77777777" w:rsidR="0045010A" w:rsidRPr="00D64D6F" w:rsidRDefault="0045010A" w:rsidP="00884BEB">
            <w:pPr>
              <w:pStyle w:val="TableText0"/>
              <w:tabs>
                <w:tab w:val="left" w:pos="1608"/>
                <w:tab w:val="left" w:pos="2316"/>
                <w:tab w:val="left" w:pos="3025"/>
              </w:tabs>
              <w:jc w:val="center"/>
            </w:pPr>
            <w:r w:rsidRPr="00D64D6F">
              <w:t>3,260 mg</w:t>
            </w:r>
          </w:p>
        </w:tc>
        <w:tc>
          <w:tcPr>
            <w:tcW w:w="1662" w:type="pct"/>
            <w:shd w:val="clear" w:color="auto" w:fill="auto"/>
            <w:vAlign w:val="center"/>
          </w:tcPr>
          <w:p w14:paraId="286EA17D" w14:textId="77777777" w:rsidR="0045010A" w:rsidRPr="00D64D6F" w:rsidRDefault="0045010A" w:rsidP="00884BEB">
            <w:pPr>
              <w:pStyle w:val="TableText0"/>
              <w:jc w:val="center"/>
            </w:pPr>
            <w:r w:rsidRPr="00D64D6F">
              <w:t>28,800 mg</w:t>
            </w:r>
          </w:p>
        </w:tc>
      </w:tr>
      <w:tr w:rsidR="0045010A" w:rsidRPr="00D64D6F" w14:paraId="3EA29543" w14:textId="77777777" w:rsidTr="00884BEB">
        <w:trPr>
          <w:cantSplit/>
        </w:trPr>
        <w:tc>
          <w:tcPr>
            <w:tcW w:w="1063" w:type="pct"/>
            <w:vMerge w:val="restart"/>
            <w:shd w:val="clear" w:color="auto" w:fill="auto"/>
            <w:vAlign w:val="center"/>
          </w:tcPr>
          <w:p w14:paraId="2BEEE665" w14:textId="77777777" w:rsidR="0045010A" w:rsidRPr="00D64D6F" w:rsidRDefault="0045010A" w:rsidP="00884BEB">
            <w:pPr>
              <w:pStyle w:val="TableText0"/>
              <w:tabs>
                <w:tab w:val="left" w:pos="102"/>
              </w:tabs>
              <w:rPr>
                <w:b/>
                <w:bCs w:val="0"/>
              </w:rPr>
            </w:pPr>
            <w:r w:rsidRPr="00D64D6F">
              <w:rPr>
                <w:b/>
                <w:bCs w:val="0"/>
              </w:rPr>
              <w:t>Total administrations, 12 months</w:t>
            </w:r>
          </w:p>
        </w:tc>
        <w:tc>
          <w:tcPr>
            <w:tcW w:w="788" w:type="pct"/>
            <w:shd w:val="clear" w:color="auto" w:fill="auto"/>
          </w:tcPr>
          <w:p w14:paraId="070980A5" w14:textId="77777777" w:rsidR="0045010A" w:rsidRPr="00D64D6F" w:rsidRDefault="0045010A" w:rsidP="00884BEB">
            <w:pPr>
              <w:pStyle w:val="TableText0"/>
              <w:tabs>
                <w:tab w:val="left" w:pos="1608"/>
                <w:tab w:val="left" w:pos="2316"/>
                <w:tab w:val="left" w:pos="3025"/>
              </w:tabs>
            </w:pPr>
            <w:r w:rsidRPr="00D64D6F">
              <w:t>Loading dose</w:t>
            </w:r>
          </w:p>
        </w:tc>
        <w:tc>
          <w:tcPr>
            <w:tcW w:w="484" w:type="pct"/>
            <w:shd w:val="clear" w:color="auto" w:fill="auto"/>
          </w:tcPr>
          <w:p w14:paraId="1298E627" w14:textId="77777777" w:rsidR="0045010A" w:rsidRPr="00D64D6F" w:rsidRDefault="0045010A" w:rsidP="00884BEB">
            <w:pPr>
              <w:pStyle w:val="TableText0"/>
              <w:tabs>
                <w:tab w:val="left" w:pos="1608"/>
                <w:tab w:val="left" w:pos="2316"/>
                <w:tab w:val="left" w:pos="3025"/>
              </w:tabs>
              <w:jc w:val="center"/>
            </w:pPr>
            <w:r w:rsidRPr="00D64D6F">
              <w:t>1</w:t>
            </w:r>
          </w:p>
        </w:tc>
        <w:tc>
          <w:tcPr>
            <w:tcW w:w="484" w:type="pct"/>
            <w:shd w:val="clear" w:color="auto" w:fill="auto"/>
          </w:tcPr>
          <w:p w14:paraId="0EC22017" w14:textId="77777777" w:rsidR="0045010A" w:rsidRPr="00D64D6F" w:rsidRDefault="0045010A" w:rsidP="00884BEB">
            <w:pPr>
              <w:pStyle w:val="TableText0"/>
              <w:tabs>
                <w:tab w:val="left" w:pos="1608"/>
                <w:tab w:val="left" w:pos="2316"/>
                <w:tab w:val="left" w:pos="3025"/>
              </w:tabs>
              <w:jc w:val="center"/>
            </w:pPr>
            <w:r w:rsidRPr="00D64D6F">
              <w:t>1</w:t>
            </w:r>
          </w:p>
        </w:tc>
        <w:tc>
          <w:tcPr>
            <w:tcW w:w="519" w:type="pct"/>
            <w:shd w:val="clear" w:color="auto" w:fill="auto"/>
          </w:tcPr>
          <w:p w14:paraId="4855D57E" w14:textId="77777777" w:rsidR="0045010A" w:rsidRPr="00D64D6F" w:rsidRDefault="0045010A" w:rsidP="00884BEB">
            <w:pPr>
              <w:pStyle w:val="TableText0"/>
              <w:tabs>
                <w:tab w:val="left" w:pos="1608"/>
                <w:tab w:val="left" w:pos="2316"/>
                <w:tab w:val="left" w:pos="3025"/>
              </w:tabs>
              <w:jc w:val="center"/>
            </w:pPr>
            <w:r w:rsidRPr="00D64D6F">
              <w:t>1</w:t>
            </w:r>
          </w:p>
        </w:tc>
        <w:tc>
          <w:tcPr>
            <w:tcW w:w="1662" w:type="pct"/>
            <w:shd w:val="clear" w:color="auto" w:fill="auto"/>
            <w:vAlign w:val="center"/>
          </w:tcPr>
          <w:p w14:paraId="1FEC1306" w14:textId="77777777" w:rsidR="0045010A" w:rsidRPr="00D64D6F" w:rsidRDefault="0045010A" w:rsidP="00884BEB">
            <w:pPr>
              <w:pStyle w:val="TableText0"/>
              <w:jc w:val="center"/>
            </w:pPr>
            <w:r w:rsidRPr="00D64D6F">
              <w:t>4</w:t>
            </w:r>
          </w:p>
        </w:tc>
      </w:tr>
      <w:tr w:rsidR="0045010A" w:rsidRPr="00D64D6F" w14:paraId="5D5F08B1" w14:textId="77777777" w:rsidTr="00884BEB">
        <w:trPr>
          <w:cantSplit/>
        </w:trPr>
        <w:tc>
          <w:tcPr>
            <w:tcW w:w="1063" w:type="pct"/>
            <w:vMerge/>
            <w:shd w:val="clear" w:color="auto" w:fill="auto"/>
            <w:vAlign w:val="center"/>
          </w:tcPr>
          <w:p w14:paraId="7E44FB23" w14:textId="77777777" w:rsidR="0045010A" w:rsidRPr="00D64D6F" w:rsidRDefault="0045010A" w:rsidP="00884BEB">
            <w:pPr>
              <w:pStyle w:val="TableText0"/>
              <w:tabs>
                <w:tab w:val="left" w:pos="102"/>
              </w:tabs>
              <w:rPr>
                <w:b/>
                <w:bCs w:val="0"/>
              </w:rPr>
            </w:pPr>
          </w:p>
        </w:tc>
        <w:tc>
          <w:tcPr>
            <w:tcW w:w="788" w:type="pct"/>
            <w:shd w:val="clear" w:color="auto" w:fill="auto"/>
          </w:tcPr>
          <w:p w14:paraId="376358B7" w14:textId="77777777" w:rsidR="0045010A" w:rsidRPr="00D64D6F" w:rsidRDefault="0045010A" w:rsidP="00884BEB">
            <w:pPr>
              <w:pStyle w:val="TableText0"/>
              <w:tabs>
                <w:tab w:val="left" w:pos="1608"/>
                <w:tab w:val="left" w:pos="2316"/>
                <w:tab w:val="left" w:pos="3025"/>
              </w:tabs>
            </w:pPr>
            <w:r w:rsidRPr="00D64D6F">
              <w:t>Maintenance dose</w:t>
            </w:r>
          </w:p>
        </w:tc>
        <w:tc>
          <w:tcPr>
            <w:tcW w:w="484" w:type="pct"/>
            <w:shd w:val="clear" w:color="auto" w:fill="auto"/>
          </w:tcPr>
          <w:p w14:paraId="794F26A4" w14:textId="77777777" w:rsidR="0045010A" w:rsidRPr="00D64D6F" w:rsidRDefault="0045010A" w:rsidP="00884BEB">
            <w:pPr>
              <w:pStyle w:val="TableText0"/>
              <w:tabs>
                <w:tab w:val="left" w:pos="1608"/>
                <w:tab w:val="left" w:pos="2316"/>
                <w:tab w:val="left" w:pos="3025"/>
              </w:tabs>
              <w:jc w:val="center"/>
            </w:pPr>
            <w:r w:rsidRPr="00D64D6F">
              <w:t>6.25</w:t>
            </w:r>
          </w:p>
        </w:tc>
        <w:tc>
          <w:tcPr>
            <w:tcW w:w="484" w:type="pct"/>
            <w:shd w:val="clear" w:color="auto" w:fill="auto"/>
          </w:tcPr>
          <w:p w14:paraId="6C8A4A53" w14:textId="77777777" w:rsidR="0045010A" w:rsidRPr="00D64D6F" w:rsidRDefault="0045010A" w:rsidP="00884BEB">
            <w:pPr>
              <w:pStyle w:val="TableText0"/>
              <w:tabs>
                <w:tab w:val="left" w:pos="1608"/>
                <w:tab w:val="left" w:pos="2316"/>
                <w:tab w:val="left" w:pos="3025"/>
              </w:tabs>
              <w:jc w:val="center"/>
            </w:pPr>
            <w:r w:rsidRPr="00D64D6F">
              <w:t>6.25</w:t>
            </w:r>
          </w:p>
        </w:tc>
        <w:tc>
          <w:tcPr>
            <w:tcW w:w="519" w:type="pct"/>
            <w:shd w:val="clear" w:color="auto" w:fill="auto"/>
          </w:tcPr>
          <w:p w14:paraId="10524FF6" w14:textId="77777777" w:rsidR="0045010A" w:rsidRPr="00D64D6F" w:rsidRDefault="0045010A" w:rsidP="00884BEB">
            <w:pPr>
              <w:pStyle w:val="TableText0"/>
              <w:tabs>
                <w:tab w:val="left" w:pos="1608"/>
                <w:tab w:val="left" w:pos="2316"/>
                <w:tab w:val="left" w:pos="3025"/>
              </w:tabs>
              <w:jc w:val="center"/>
            </w:pPr>
            <w:r w:rsidRPr="00D64D6F">
              <w:t>6.25</w:t>
            </w:r>
          </w:p>
        </w:tc>
        <w:tc>
          <w:tcPr>
            <w:tcW w:w="1662" w:type="pct"/>
            <w:shd w:val="clear" w:color="auto" w:fill="auto"/>
            <w:vAlign w:val="center"/>
          </w:tcPr>
          <w:p w14:paraId="40D242F2" w14:textId="77777777" w:rsidR="0045010A" w:rsidRPr="00D64D6F" w:rsidRDefault="0045010A" w:rsidP="00884BEB">
            <w:pPr>
              <w:pStyle w:val="TableText0"/>
              <w:jc w:val="center"/>
            </w:pPr>
            <w:r w:rsidRPr="00D64D6F">
              <w:t>24</w:t>
            </w:r>
          </w:p>
        </w:tc>
      </w:tr>
      <w:bookmarkEnd w:id="52"/>
      <w:tr w:rsidR="0045010A" w:rsidRPr="00D64D6F" w14:paraId="11CFBDA1" w14:textId="77777777" w:rsidTr="00884BEB">
        <w:trPr>
          <w:cantSplit/>
        </w:trPr>
        <w:tc>
          <w:tcPr>
            <w:tcW w:w="1063" w:type="pct"/>
            <w:shd w:val="clear" w:color="auto" w:fill="auto"/>
            <w:vAlign w:val="center"/>
          </w:tcPr>
          <w:p w14:paraId="21DD52C8" w14:textId="77777777" w:rsidR="0045010A" w:rsidRPr="00D64D6F" w:rsidRDefault="0045010A" w:rsidP="00884BEB">
            <w:pPr>
              <w:pStyle w:val="TableText0"/>
              <w:tabs>
                <w:tab w:val="left" w:pos="102"/>
              </w:tabs>
              <w:rPr>
                <w:b/>
                <w:bCs w:val="0"/>
              </w:rPr>
            </w:pPr>
            <w:r w:rsidRPr="00D64D6F">
              <w:rPr>
                <w:b/>
                <w:bCs w:val="0"/>
              </w:rPr>
              <w:t>Equi-effective dose</w:t>
            </w:r>
          </w:p>
        </w:tc>
        <w:tc>
          <w:tcPr>
            <w:tcW w:w="788" w:type="pct"/>
            <w:shd w:val="clear" w:color="auto" w:fill="auto"/>
          </w:tcPr>
          <w:p w14:paraId="42BD8C63" w14:textId="77777777" w:rsidR="0045010A" w:rsidRPr="00D64D6F" w:rsidRDefault="0045010A" w:rsidP="00884BEB">
            <w:pPr>
              <w:pStyle w:val="TableText0"/>
              <w:tabs>
                <w:tab w:val="left" w:pos="1608"/>
                <w:tab w:val="left" w:pos="2316"/>
                <w:tab w:val="left" w:pos="3025"/>
              </w:tabs>
            </w:pPr>
          </w:p>
        </w:tc>
        <w:tc>
          <w:tcPr>
            <w:tcW w:w="484" w:type="pct"/>
            <w:shd w:val="clear" w:color="auto" w:fill="auto"/>
          </w:tcPr>
          <w:p w14:paraId="7CBF819C" w14:textId="77777777" w:rsidR="0045010A" w:rsidRPr="00D64D6F" w:rsidRDefault="0045010A" w:rsidP="00884BEB">
            <w:pPr>
              <w:pStyle w:val="TableText0"/>
              <w:tabs>
                <w:tab w:val="left" w:pos="1608"/>
                <w:tab w:val="left" w:pos="2316"/>
                <w:tab w:val="left" w:pos="3025"/>
              </w:tabs>
              <w:jc w:val="center"/>
              <w:rPr>
                <w:b/>
                <w:bCs w:val="0"/>
              </w:rPr>
            </w:pPr>
            <w:r w:rsidRPr="00D64D6F">
              <w:rPr>
                <w:b/>
                <w:bCs w:val="0"/>
              </w:rPr>
              <w:t>23,097 mg</w:t>
            </w:r>
          </w:p>
        </w:tc>
        <w:tc>
          <w:tcPr>
            <w:tcW w:w="484" w:type="pct"/>
            <w:shd w:val="clear" w:color="auto" w:fill="auto"/>
          </w:tcPr>
          <w:p w14:paraId="59DC4118" w14:textId="77777777" w:rsidR="0045010A" w:rsidRPr="00D64D6F" w:rsidRDefault="0045010A" w:rsidP="00884BEB">
            <w:pPr>
              <w:pStyle w:val="TableText0"/>
              <w:tabs>
                <w:tab w:val="left" w:pos="1608"/>
                <w:tab w:val="left" w:pos="2316"/>
                <w:tab w:val="left" w:pos="3025"/>
              </w:tabs>
              <w:jc w:val="center"/>
              <w:rPr>
                <w:b/>
                <w:bCs w:val="0"/>
              </w:rPr>
            </w:pPr>
            <w:r w:rsidRPr="00D64D6F">
              <w:rPr>
                <w:b/>
                <w:bCs w:val="0"/>
              </w:rPr>
              <w:t>22,532 mg</w:t>
            </w:r>
          </w:p>
        </w:tc>
        <w:tc>
          <w:tcPr>
            <w:tcW w:w="519" w:type="pct"/>
            <w:shd w:val="clear" w:color="auto" w:fill="auto"/>
          </w:tcPr>
          <w:p w14:paraId="71BA26A2" w14:textId="77777777" w:rsidR="0045010A" w:rsidRPr="00D64D6F" w:rsidRDefault="0045010A" w:rsidP="00884BEB">
            <w:pPr>
              <w:pStyle w:val="TableText0"/>
              <w:tabs>
                <w:tab w:val="left" w:pos="1608"/>
                <w:tab w:val="left" w:pos="2316"/>
                <w:tab w:val="left" w:pos="3025"/>
              </w:tabs>
              <w:jc w:val="center"/>
              <w:rPr>
                <w:b/>
                <w:bCs w:val="0"/>
              </w:rPr>
            </w:pPr>
            <w:r w:rsidRPr="00D64D6F">
              <w:rPr>
                <w:b/>
                <w:bCs w:val="0"/>
              </w:rPr>
              <w:t>23,039 mg</w:t>
            </w:r>
          </w:p>
        </w:tc>
        <w:tc>
          <w:tcPr>
            <w:tcW w:w="1662" w:type="pct"/>
            <w:shd w:val="clear" w:color="auto" w:fill="auto"/>
            <w:vAlign w:val="center"/>
          </w:tcPr>
          <w:p w14:paraId="0D690ACB" w14:textId="77777777" w:rsidR="0045010A" w:rsidRPr="00D64D6F" w:rsidRDefault="0045010A" w:rsidP="00884BEB">
            <w:pPr>
              <w:pStyle w:val="TableText0"/>
              <w:jc w:val="center"/>
              <w:rPr>
                <w:b/>
                <w:bCs w:val="0"/>
              </w:rPr>
            </w:pPr>
            <w:r w:rsidRPr="00D64D6F">
              <w:rPr>
                <w:b/>
                <w:bCs w:val="0"/>
              </w:rPr>
              <w:t>32,400 mg</w:t>
            </w:r>
          </w:p>
        </w:tc>
      </w:tr>
      <w:tr w:rsidR="0045010A" w:rsidRPr="00D64D6F" w14:paraId="4CED7CE0" w14:textId="77777777" w:rsidTr="00884BEB">
        <w:trPr>
          <w:cantSplit/>
        </w:trPr>
        <w:tc>
          <w:tcPr>
            <w:tcW w:w="5000" w:type="pct"/>
            <w:gridSpan w:val="6"/>
            <w:shd w:val="clear" w:color="auto" w:fill="auto"/>
            <w:vAlign w:val="center"/>
          </w:tcPr>
          <w:p w14:paraId="69AA7F96" w14:textId="77777777" w:rsidR="0045010A" w:rsidRPr="00D64D6F" w:rsidRDefault="0045010A" w:rsidP="00884BEB">
            <w:pPr>
              <w:pStyle w:val="TableText0"/>
              <w:tabs>
                <w:tab w:val="left" w:pos="102"/>
              </w:tabs>
            </w:pPr>
            <w:r w:rsidRPr="00D64D6F">
              <w:rPr>
                <w:b/>
                <w:bCs w:val="0"/>
              </w:rPr>
              <w:t>Costing</w:t>
            </w:r>
          </w:p>
        </w:tc>
      </w:tr>
      <w:tr w:rsidR="0045010A" w:rsidRPr="00D64D6F" w14:paraId="70D42F65" w14:textId="77777777" w:rsidTr="00884BEB">
        <w:trPr>
          <w:cantSplit/>
        </w:trPr>
        <w:tc>
          <w:tcPr>
            <w:tcW w:w="1063" w:type="pct"/>
            <w:shd w:val="clear" w:color="auto" w:fill="auto"/>
            <w:vAlign w:val="center"/>
          </w:tcPr>
          <w:p w14:paraId="4DDC7FFB" w14:textId="77777777" w:rsidR="0045010A" w:rsidRPr="00D64D6F" w:rsidRDefault="0045010A" w:rsidP="00884BEB">
            <w:pPr>
              <w:pStyle w:val="TableText0"/>
              <w:tabs>
                <w:tab w:val="left" w:pos="102"/>
              </w:tabs>
            </w:pPr>
            <w:r w:rsidRPr="00D64D6F">
              <w:rPr>
                <w:b/>
                <w:bCs w:val="0"/>
              </w:rPr>
              <w:tab/>
            </w:r>
            <w:r w:rsidRPr="00D64D6F">
              <w:t>Drug cost</w:t>
            </w:r>
          </w:p>
        </w:tc>
        <w:tc>
          <w:tcPr>
            <w:tcW w:w="2274" w:type="pct"/>
            <w:gridSpan w:val="4"/>
            <w:vMerge w:val="restart"/>
            <w:shd w:val="clear" w:color="auto" w:fill="auto"/>
          </w:tcPr>
          <w:p w14:paraId="1F269B86" w14:textId="77777777" w:rsidR="0045010A" w:rsidRPr="00D64D6F" w:rsidRDefault="0045010A" w:rsidP="00884BEB">
            <w:pPr>
              <w:pStyle w:val="TableText0"/>
              <w:tabs>
                <w:tab w:val="left" w:pos="1608"/>
                <w:tab w:val="left" w:pos="2316"/>
                <w:tab w:val="left" w:pos="3025"/>
              </w:tabs>
              <w:jc w:val="center"/>
            </w:pPr>
          </w:p>
        </w:tc>
        <w:tc>
          <w:tcPr>
            <w:tcW w:w="1662" w:type="pct"/>
            <w:shd w:val="clear" w:color="auto" w:fill="auto"/>
            <w:vAlign w:val="center"/>
          </w:tcPr>
          <w:p w14:paraId="27292744" w14:textId="77777777" w:rsidR="0045010A" w:rsidRPr="00D64D6F" w:rsidRDefault="0045010A" w:rsidP="00884BEB">
            <w:pPr>
              <w:pStyle w:val="TableText0"/>
              <w:jc w:val="center"/>
            </w:pPr>
            <w:r w:rsidRPr="00D64D6F">
              <w:t>$5,640.63: 300 mg vial</w:t>
            </w:r>
          </w:p>
        </w:tc>
      </w:tr>
      <w:tr w:rsidR="0045010A" w:rsidRPr="00D64D6F" w14:paraId="7E79F611" w14:textId="77777777" w:rsidTr="00884BEB">
        <w:trPr>
          <w:cantSplit/>
        </w:trPr>
        <w:tc>
          <w:tcPr>
            <w:tcW w:w="1063" w:type="pct"/>
            <w:shd w:val="clear" w:color="auto" w:fill="auto"/>
            <w:vAlign w:val="center"/>
          </w:tcPr>
          <w:p w14:paraId="172B31C7" w14:textId="77777777" w:rsidR="0045010A" w:rsidRPr="00D64D6F" w:rsidRDefault="0045010A" w:rsidP="00884BEB">
            <w:pPr>
              <w:pStyle w:val="TableText0"/>
              <w:tabs>
                <w:tab w:val="left" w:pos="102"/>
              </w:tabs>
            </w:pPr>
            <w:r w:rsidRPr="00D64D6F">
              <w:tab/>
              <w:t>Administration cost</w:t>
            </w:r>
          </w:p>
        </w:tc>
        <w:tc>
          <w:tcPr>
            <w:tcW w:w="2274" w:type="pct"/>
            <w:gridSpan w:val="4"/>
            <w:vMerge/>
            <w:shd w:val="clear" w:color="auto" w:fill="auto"/>
          </w:tcPr>
          <w:p w14:paraId="6F214AF9" w14:textId="77777777" w:rsidR="0045010A" w:rsidRPr="00D64D6F" w:rsidRDefault="0045010A" w:rsidP="00884BEB">
            <w:pPr>
              <w:pStyle w:val="TableText0"/>
              <w:tabs>
                <w:tab w:val="left" w:pos="1608"/>
                <w:tab w:val="left" w:pos="2316"/>
                <w:tab w:val="left" w:pos="3025"/>
              </w:tabs>
              <w:jc w:val="center"/>
            </w:pPr>
          </w:p>
        </w:tc>
        <w:tc>
          <w:tcPr>
            <w:tcW w:w="1662" w:type="pct"/>
            <w:shd w:val="clear" w:color="auto" w:fill="auto"/>
            <w:vAlign w:val="center"/>
          </w:tcPr>
          <w:p w14:paraId="6B462EB0" w14:textId="77777777" w:rsidR="0045010A" w:rsidRPr="00D64D6F" w:rsidRDefault="0045010A" w:rsidP="00884BEB">
            <w:pPr>
              <w:pStyle w:val="TableText0"/>
              <w:jc w:val="center"/>
            </w:pPr>
            <w:r w:rsidRPr="00D64D6F">
              <w:t>$46.15: MBS item 105</w:t>
            </w:r>
          </w:p>
        </w:tc>
      </w:tr>
      <w:tr w:rsidR="0045010A" w:rsidRPr="00D64D6F" w14:paraId="14138641" w14:textId="77777777" w:rsidTr="00884BEB">
        <w:trPr>
          <w:cantSplit/>
        </w:trPr>
        <w:tc>
          <w:tcPr>
            <w:tcW w:w="1063" w:type="pct"/>
            <w:shd w:val="clear" w:color="auto" w:fill="auto"/>
            <w:vAlign w:val="center"/>
          </w:tcPr>
          <w:p w14:paraId="27E1EC2E" w14:textId="77777777" w:rsidR="0045010A" w:rsidRPr="00D64D6F" w:rsidRDefault="0045010A" w:rsidP="00884BEB">
            <w:pPr>
              <w:pStyle w:val="TableText0"/>
              <w:tabs>
                <w:tab w:val="left" w:pos="102"/>
              </w:tabs>
            </w:pPr>
            <w:r w:rsidRPr="00D64D6F">
              <w:tab/>
              <w:t>Total drug cost</w:t>
            </w:r>
          </w:p>
        </w:tc>
        <w:tc>
          <w:tcPr>
            <w:tcW w:w="2274" w:type="pct"/>
            <w:gridSpan w:val="4"/>
            <w:shd w:val="clear" w:color="auto" w:fill="auto"/>
          </w:tcPr>
          <w:p w14:paraId="212E59E2" w14:textId="4BA4A0FC" w:rsidR="0045010A" w:rsidRPr="00D64D6F" w:rsidRDefault="0045010A" w:rsidP="00884BEB">
            <w:pPr>
              <w:pStyle w:val="TableText0"/>
              <w:tabs>
                <w:tab w:val="left" w:pos="1608"/>
                <w:tab w:val="left" w:pos="2316"/>
                <w:tab w:val="left" w:pos="3025"/>
              </w:tabs>
              <w:jc w:val="center"/>
            </w:pPr>
            <w:r w:rsidRPr="00D64D6F">
              <w:t>Cost-minimised: $</w:t>
            </w:r>
            <w:r w:rsidR="00C47128" w:rsidRPr="00C47128">
              <w:rPr>
                <w:color w:val="000000"/>
                <w:shd w:val="solid" w:color="000000" w:fill="000000"/>
                <w14:textFill>
                  <w14:solidFill>
                    <w14:srgbClr w14:val="000000">
                      <w14:alpha w14:val="100000"/>
                    </w14:srgbClr>
                  </w14:solidFill>
                </w14:textFill>
              </w:rPr>
              <w:t>|</w:t>
            </w:r>
          </w:p>
        </w:tc>
        <w:tc>
          <w:tcPr>
            <w:tcW w:w="1662" w:type="pct"/>
            <w:shd w:val="clear" w:color="auto" w:fill="auto"/>
            <w:vAlign w:val="center"/>
          </w:tcPr>
          <w:p w14:paraId="0A3AFD49" w14:textId="77777777" w:rsidR="0045010A" w:rsidRPr="00D64D6F" w:rsidRDefault="0045010A" w:rsidP="00884BEB">
            <w:pPr>
              <w:pStyle w:val="TableText0"/>
              <w:jc w:val="center"/>
            </w:pPr>
            <w:r w:rsidRPr="00D64D6F">
              <w:t>$609,188</w:t>
            </w:r>
          </w:p>
        </w:tc>
      </w:tr>
      <w:tr w:rsidR="0045010A" w:rsidRPr="00D64D6F" w14:paraId="14D94CD3" w14:textId="77777777" w:rsidTr="00884BEB">
        <w:trPr>
          <w:cantSplit/>
        </w:trPr>
        <w:tc>
          <w:tcPr>
            <w:tcW w:w="1063" w:type="pct"/>
            <w:shd w:val="clear" w:color="auto" w:fill="auto"/>
            <w:vAlign w:val="center"/>
          </w:tcPr>
          <w:p w14:paraId="4C122FF3" w14:textId="77777777" w:rsidR="0045010A" w:rsidRPr="00D64D6F" w:rsidRDefault="0045010A" w:rsidP="00884BEB">
            <w:pPr>
              <w:pStyle w:val="TableText0"/>
              <w:tabs>
                <w:tab w:val="left" w:pos="102"/>
              </w:tabs>
            </w:pPr>
            <w:r w:rsidRPr="00D64D6F">
              <w:tab/>
              <w:t>Total admin cost</w:t>
            </w:r>
          </w:p>
        </w:tc>
        <w:tc>
          <w:tcPr>
            <w:tcW w:w="2274" w:type="pct"/>
            <w:gridSpan w:val="4"/>
            <w:shd w:val="clear" w:color="auto" w:fill="auto"/>
          </w:tcPr>
          <w:p w14:paraId="70C649ED" w14:textId="77777777" w:rsidR="0045010A" w:rsidRPr="00D64D6F" w:rsidRDefault="0045010A" w:rsidP="00884BEB">
            <w:pPr>
              <w:pStyle w:val="TableText0"/>
              <w:tabs>
                <w:tab w:val="left" w:pos="2293"/>
              </w:tabs>
            </w:pPr>
            <w:r w:rsidRPr="00D64D6F">
              <w:tab/>
              <w:t>$334</w:t>
            </w:r>
          </w:p>
        </w:tc>
        <w:tc>
          <w:tcPr>
            <w:tcW w:w="1662" w:type="pct"/>
            <w:shd w:val="clear" w:color="auto" w:fill="auto"/>
            <w:vAlign w:val="center"/>
          </w:tcPr>
          <w:p w14:paraId="020F0256" w14:textId="77777777" w:rsidR="0045010A" w:rsidRPr="00D64D6F" w:rsidRDefault="0045010A" w:rsidP="00884BEB">
            <w:pPr>
              <w:pStyle w:val="TableText0"/>
              <w:jc w:val="center"/>
            </w:pPr>
            <w:r w:rsidRPr="00D64D6F">
              <w:t>$1,292</w:t>
            </w:r>
          </w:p>
        </w:tc>
      </w:tr>
      <w:tr w:rsidR="0045010A" w:rsidRPr="00D64D6F" w14:paraId="2DFE7A2A" w14:textId="77777777" w:rsidTr="00884BEB">
        <w:trPr>
          <w:cantSplit/>
        </w:trPr>
        <w:tc>
          <w:tcPr>
            <w:tcW w:w="1063" w:type="pct"/>
            <w:shd w:val="clear" w:color="auto" w:fill="auto"/>
            <w:vAlign w:val="center"/>
          </w:tcPr>
          <w:p w14:paraId="6F64FB3E" w14:textId="77777777" w:rsidR="0045010A" w:rsidRPr="00D64D6F" w:rsidRDefault="0045010A" w:rsidP="00884BEB">
            <w:pPr>
              <w:pStyle w:val="TableText0"/>
              <w:tabs>
                <w:tab w:val="left" w:pos="102"/>
              </w:tabs>
            </w:pPr>
            <w:r w:rsidRPr="00D64D6F">
              <w:tab/>
              <w:t>Total cost</w:t>
            </w:r>
          </w:p>
        </w:tc>
        <w:tc>
          <w:tcPr>
            <w:tcW w:w="2274" w:type="pct"/>
            <w:gridSpan w:val="4"/>
            <w:shd w:val="clear" w:color="auto" w:fill="auto"/>
          </w:tcPr>
          <w:p w14:paraId="10075A09" w14:textId="1AFE239E" w:rsidR="0045010A" w:rsidRPr="00D64D6F" w:rsidRDefault="0045010A" w:rsidP="00884BEB">
            <w:pPr>
              <w:pStyle w:val="TableText0"/>
              <w:tabs>
                <w:tab w:val="left" w:pos="1608"/>
                <w:tab w:val="left" w:pos="2316"/>
                <w:tab w:val="left" w:pos="3025"/>
              </w:tabs>
              <w:jc w:val="center"/>
            </w:pPr>
            <w:r w:rsidRPr="00D64D6F">
              <w:t>Admin removed: $</w:t>
            </w:r>
            <w:r w:rsidR="00C47128" w:rsidRPr="00C47128">
              <w:rPr>
                <w:color w:val="000000"/>
                <w:shd w:val="solid" w:color="000000" w:fill="000000"/>
                <w14:textFill>
                  <w14:solidFill>
                    <w14:srgbClr w14:val="000000">
                      <w14:alpha w14:val="100000"/>
                    </w14:srgbClr>
                  </w14:solidFill>
                </w14:textFill>
              </w:rPr>
              <w:t>|</w:t>
            </w:r>
          </w:p>
        </w:tc>
        <w:tc>
          <w:tcPr>
            <w:tcW w:w="1662" w:type="pct"/>
            <w:shd w:val="clear" w:color="auto" w:fill="auto"/>
            <w:vAlign w:val="center"/>
          </w:tcPr>
          <w:p w14:paraId="0515BCF3" w14:textId="77777777" w:rsidR="0045010A" w:rsidRPr="00D64D6F" w:rsidRDefault="0045010A" w:rsidP="00884BEB">
            <w:pPr>
              <w:pStyle w:val="TableText0"/>
              <w:jc w:val="center"/>
            </w:pPr>
            <w:r w:rsidRPr="00D64D6F">
              <w:t>$610,480</w:t>
            </w:r>
          </w:p>
        </w:tc>
      </w:tr>
      <w:tr w:rsidR="0045010A" w:rsidRPr="00D64D6F" w14:paraId="48E4A877" w14:textId="77777777" w:rsidTr="00884BEB">
        <w:trPr>
          <w:cantSplit/>
        </w:trPr>
        <w:tc>
          <w:tcPr>
            <w:tcW w:w="5000" w:type="pct"/>
            <w:gridSpan w:val="6"/>
            <w:shd w:val="clear" w:color="auto" w:fill="auto"/>
            <w:vAlign w:val="center"/>
          </w:tcPr>
          <w:p w14:paraId="16A16677" w14:textId="77777777" w:rsidR="0045010A" w:rsidRPr="00D64D6F" w:rsidRDefault="0045010A" w:rsidP="00884BEB">
            <w:pPr>
              <w:pStyle w:val="TableText0"/>
            </w:pPr>
            <w:r w:rsidRPr="00D64D6F">
              <w:rPr>
                <w:b/>
                <w:bCs w:val="0"/>
              </w:rPr>
              <w:t>Cost-minimised pricing</w:t>
            </w:r>
          </w:p>
        </w:tc>
      </w:tr>
      <w:tr w:rsidR="0045010A" w:rsidRPr="00D64D6F" w14:paraId="34357C08" w14:textId="77777777" w:rsidTr="00884BEB">
        <w:trPr>
          <w:cantSplit/>
        </w:trPr>
        <w:tc>
          <w:tcPr>
            <w:tcW w:w="1063" w:type="pct"/>
            <w:shd w:val="clear" w:color="auto" w:fill="auto"/>
            <w:vAlign w:val="center"/>
          </w:tcPr>
          <w:p w14:paraId="071FB0C8" w14:textId="77777777" w:rsidR="0045010A" w:rsidRPr="00D64D6F" w:rsidRDefault="0045010A" w:rsidP="00884BEB">
            <w:pPr>
              <w:pStyle w:val="TableText0"/>
              <w:tabs>
                <w:tab w:val="left" w:pos="102"/>
              </w:tabs>
            </w:pPr>
          </w:p>
        </w:tc>
        <w:tc>
          <w:tcPr>
            <w:tcW w:w="788" w:type="pct"/>
            <w:shd w:val="clear" w:color="auto" w:fill="auto"/>
          </w:tcPr>
          <w:p w14:paraId="65CD8A13" w14:textId="77777777" w:rsidR="0045010A" w:rsidRPr="00D64D6F" w:rsidRDefault="0045010A" w:rsidP="00884BEB">
            <w:pPr>
              <w:pStyle w:val="TableText0"/>
              <w:tabs>
                <w:tab w:val="left" w:pos="1608"/>
                <w:tab w:val="left" w:pos="2316"/>
                <w:tab w:val="left" w:pos="3025"/>
              </w:tabs>
            </w:pPr>
          </w:p>
        </w:tc>
        <w:tc>
          <w:tcPr>
            <w:tcW w:w="484" w:type="pct"/>
            <w:shd w:val="clear" w:color="auto" w:fill="auto"/>
          </w:tcPr>
          <w:p w14:paraId="1936D532" w14:textId="6361736F" w:rsidR="0045010A" w:rsidRPr="00D64D6F" w:rsidRDefault="00BE3B5B" w:rsidP="00884BEB">
            <w:pPr>
              <w:pStyle w:val="TableText0"/>
              <w:jc w:val="center"/>
            </w:pPr>
            <w:r>
              <w:rPr>
                <w:b/>
                <w:bCs w:val="0"/>
              </w:rPr>
              <w:t>Study</w:t>
            </w:r>
            <w:r w:rsidRPr="00D64D6F">
              <w:rPr>
                <w:b/>
                <w:bCs w:val="0"/>
              </w:rPr>
              <w:t xml:space="preserve"> </w:t>
            </w:r>
            <w:r w:rsidR="0045010A" w:rsidRPr="00D64D6F">
              <w:rPr>
                <w:b/>
                <w:bCs w:val="0"/>
              </w:rPr>
              <w:t>311</w:t>
            </w:r>
          </w:p>
        </w:tc>
        <w:tc>
          <w:tcPr>
            <w:tcW w:w="484" w:type="pct"/>
            <w:shd w:val="clear" w:color="auto" w:fill="auto"/>
          </w:tcPr>
          <w:p w14:paraId="679D8DEB" w14:textId="77777777" w:rsidR="0045010A" w:rsidRPr="00D64D6F" w:rsidRDefault="0045010A" w:rsidP="00884BEB">
            <w:pPr>
              <w:pStyle w:val="TableText0"/>
              <w:jc w:val="center"/>
            </w:pPr>
            <w:r w:rsidRPr="00D64D6F">
              <w:rPr>
                <w:b/>
                <w:bCs w:val="0"/>
              </w:rPr>
              <w:t>Registry</w:t>
            </w:r>
          </w:p>
        </w:tc>
        <w:tc>
          <w:tcPr>
            <w:tcW w:w="519" w:type="pct"/>
            <w:shd w:val="clear" w:color="auto" w:fill="auto"/>
          </w:tcPr>
          <w:p w14:paraId="225A5766" w14:textId="77777777" w:rsidR="0045010A" w:rsidRPr="00D64D6F" w:rsidRDefault="0045010A" w:rsidP="00884BEB">
            <w:pPr>
              <w:pStyle w:val="TableText0"/>
              <w:jc w:val="center"/>
              <w:rPr>
                <w:b/>
                <w:bCs w:val="0"/>
              </w:rPr>
            </w:pPr>
            <w:r w:rsidRPr="00D64D6F">
              <w:rPr>
                <w:b/>
                <w:bCs w:val="0"/>
              </w:rPr>
              <w:t>DUSC</w:t>
            </w:r>
          </w:p>
        </w:tc>
        <w:tc>
          <w:tcPr>
            <w:tcW w:w="1662" w:type="pct"/>
            <w:shd w:val="clear" w:color="auto" w:fill="auto"/>
            <w:vAlign w:val="center"/>
          </w:tcPr>
          <w:p w14:paraId="7ED7B486" w14:textId="77777777" w:rsidR="0045010A" w:rsidRPr="00D64D6F" w:rsidRDefault="0045010A" w:rsidP="00884BEB">
            <w:pPr>
              <w:pStyle w:val="TableText0"/>
            </w:pPr>
          </w:p>
        </w:tc>
      </w:tr>
      <w:tr w:rsidR="0045010A" w:rsidRPr="00D64D6F" w14:paraId="7F4898F9" w14:textId="77777777" w:rsidTr="00884BEB">
        <w:trPr>
          <w:cantSplit/>
        </w:trPr>
        <w:tc>
          <w:tcPr>
            <w:tcW w:w="1063" w:type="pct"/>
            <w:shd w:val="clear" w:color="auto" w:fill="auto"/>
            <w:vAlign w:val="center"/>
          </w:tcPr>
          <w:p w14:paraId="02E4026C" w14:textId="77777777" w:rsidR="0045010A" w:rsidRPr="00D64D6F" w:rsidRDefault="0045010A" w:rsidP="00884BEB">
            <w:pPr>
              <w:pStyle w:val="TableText0"/>
              <w:tabs>
                <w:tab w:val="left" w:pos="102"/>
              </w:tabs>
            </w:pPr>
            <w:r w:rsidRPr="00D64D6F">
              <w:tab/>
              <w:t>Per mg</w:t>
            </w:r>
          </w:p>
        </w:tc>
        <w:tc>
          <w:tcPr>
            <w:tcW w:w="788" w:type="pct"/>
            <w:shd w:val="clear" w:color="auto" w:fill="auto"/>
          </w:tcPr>
          <w:p w14:paraId="003D8F9A" w14:textId="77777777" w:rsidR="0045010A" w:rsidRPr="00D64D6F" w:rsidRDefault="0045010A" w:rsidP="00884BEB">
            <w:pPr>
              <w:pStyle w:val="TableText0"/>
              <w:tabs>
                <w:tab w:val="left" w:pos="1608"/>
                <w:tab w:val="left" w:pos="2316"/>
                <w:tab w:val="left" w:pos="3025"/>
              </w:tabs>
            </w:pPr>
          </w:p>
        </w:tc>
        <w:tc>
          <w:tcPr>
            <w:tcW w:w="484" w:type="pct"/>
            <w:shd w:val="clear" w:color="auto" w:fill="auto"/>
          </w:tcPr>
          <w:p w14:paraId="54BABA6C" w14:textId="7D8825B6" w:rsidR="0045010A" w:rsidRPr="00D64D6F" w:rsidRDefault="0045010A" w:rsidP="00884BEB">
            <w:pPr>
              <w:pStyle w:val="TableText0"/>
              <w:tabs>
                <w:tab w:val="left" w:pos="1608"/>
                <w:tab w:val="left" w:pos="2316"/>
                <w:tab w:val="left" w:pos="3025"/>
              </w:tabs>
              <w:jc w:val="center"/>
            </w:pPr>
            <w:r w:rsidRPr="00D64D6F">
              <w:t>$</w:t>
            </w:r>
            <w:r w:rsidR="00C47128" w:rsidRPr="00DB7A5A">
              <w:rPr>
                <w:color w:val="000000"/>
                <w:spacing w:val="50"/>
                <w:shd w:val="solid" w:color="000000" w:fill="000000"/>
                <w:fitText w:val="508" w:id="-1236585968"/>
                <w14:textFill>
                  <w14:solidFill>
                    <w14:srgbClr w14:val="000000">
                      <w14:alpha w14:val="100000"/>
                    </w14:srgbClr>
                  </w14:solidFill>
                </w14:textFill>
              </w:rPr>
              <w:t>|||||</w:t>
            </w:r>
            <w:r w:rsidR="00C47128" w:rsidRPr="00DB7A5A">
              <w:rPr>
                <w:color w:val="000000"/>
                <w:spacing w:val="3"/>
                <w:shd w:val="solid" w:color="000000" w:fill="000000"/>
                <w:fitText w:val="508" w:id="-1236585968"/>
                <w14:textFill>
                  <w14:solidFill>
                    <w14:srgbClr w14:val="000000">
                      <w14:alpha w14:val="100000"/>
                    </w14:srgbClr>
                  </w14:solidFill>
                </w14:textFill>
              </w:rPr>
              <w:t>|</w:t>
            </w:r>
          </w:p>
        </w:tc>
        <w:tc>
          <w:tcPr>
            <w:tcW w:w="484" w:type="pct"/>
            <w:shd w:val="clear" w:color="auto" w:fill="auto"/>
          </w:tcPr>
          <w:p w14:paraId="1A8EA9E8" w14:textId="4FE9DCFD" w:rsidR="0045010A" w:rsidRPr="00D64D6F" w:rsidRDefault="0045010A" w:rsidP="00884BEB">
            <w:pPr>
              <w:pStyle w:val="TableText0"/>
              <w:tabs>
                <w:tab w:val="left" w:pos="1608"/>
                <w:tab w:val="left" w:pos="2316"/>
                <w:tab w:val="left" w:pos="3025"/>
              </w:tabs>
              <w:jc w:val="center"/>
            </w:pPr>
            <w:r w:rsidRPr="00D64D6F">
              <w:t>$</w:t>
            </w:r>
            <w:r w:rsidR="00C47128" w:rsidRPr="00DB7A5A">
              <w:rPr>
                <w:color w:val="000000"/>
                <w:spacing w:val="50"/>
                <w:shd w:val="solid" w:color="000000" w:fill="000000"/>
                <w:fitText w:val="508" w:id="-1236585984"/>
                <w14:textFill>
                  <w14:solidFill>
                    <w14:srgbClr w14:val="000000">
                      <w14:alpha w14:val="100000"/>
                    </w14:srgbClr>
                  </w14:solidFill>
                </w14:textFill>
              </w:rPr>
              <w:t>|||||</w:t>
            </w:r>
            <w:r w:rsidR="00C47128" w:rsidRPr="00DB7A5A">
              <w:rPr>
                <w:color w:val="000000"/>
                <w:spacing w:val="3"/>
                <w:shd w:val="solid" w:color="000000" w:fill="000000"/>
                <w:fitText w:val="508" w:id="-1236585984"/>
                <w14:textFill>
                  <w14:solidFill>
                    <w14:srgbClr w14:val="000000">
                      <w14:alpha w14:val="100000"/>
                    </w14:srgbClr>
                  </w14:solidFill>
                </w14:textFill>
              </w:rPr>
              <w:t>|</w:t>
            </w:r>
          </w:p>
        </w:tc>
        <w:tc>
          <w:tcPr>
            <w:tcW w:w="519" w:type="pct"/>
            <w:shd w:val="clear" w:color="auto" w:fill="auto"/>
          </w:tcPr>
          <w:p w14:paraId="6E18E958" w14:textId="6DDC589B" w:rsidR="0045010A" w:rsidRPr="00D64D6F" w:rsidRDefault="0045010A" w:rsidP="00884BEB">
            <w:pPr>
              <w:pStyle w:val="TableText0"/>
              <w:tabs>
                <w:tab w:val="left" w:pos="1608"/>
                <w:tab w:val="left" w:pos="2316"/>
                <w:tab w:val="left" w:pos="3025"/>
              </w:tabs>
              <w:jc w:val="center"/>
            </w:pPr>
            <w:r w:rsidRPr="00D64D6F">
              <w:t>$</w:t>
            </w:r>
            <w:r w:rsidR="00C47128" w:rsidRPr="00DB7A5A">
              <w:rPr>
                <w:color w:val="000000"/>
                <w:spacing w:val="45"/>
                <w:shd w:val="solid" w:color="000000" w:fill="000000"/>
                <w:fitText w:val="483" w:id="-1236585983"/>
                <w14:textFill>
                  <w14:solidFill>
                    <w14:srgbClr w14:val="000000">
                      <w14:alpha w14:val="100000"/>
                    </w14:srgbClr>
                  </w14:solidFill>
                </w14:textFill>
              </w:rPr>
              <w:t>|||||</w:t>
            </w:r>
            <w:r w:rsidR="00C47128" w:rsidRPr="00DB7A5A">
              <w:rPr>
                <w:color w:val="000000"/>
                <w:spacing w:val="3"/>
                <w:shd w:val="solid" w:color="000000" w:fill="000000"/>
                <w:fitText w:val="483" w:id="-1236585983"/>
                <w14:textFill>
                  <w14:solidFill>
                    <w14:srgbClr w14:val="000000">
                      <w14:alpha w14:val="100000"/>
                    </w14:srgbClr>
                  </w14:solidFill>
                </w14:textFill>
              </w:rPr>
              <w:t>|</w:t>
            </w:r>
          </w:p>
        </w:tc>
        <w:tc>
          <w:tcPr>
            <w:tcW w:w="1662" w:type="pct"/>
            <w:shd w:val="clear" w:color="auto" w:fill="auto"/>
            <w:vAlign w:val="center"/>
          </w:tcPr>
          <w:p w14:paraId="4CBCBA6C" w14:textId="77777777" w:rsidR="0045010A" w:rsidRPr="00D64D6F" w:rsidRDefault="0045010A" w:rsidP="00884BEB">
            <w:pPr>
              <w:pStyle w:val="TableText0"/>
              <w:jc w:val="center"/>
            </w:pPr>
            <w:r w:rsidRPr="00D64D6F">
              <w:t>$18.80</w:t>
            </w:r>
          </w:p>
        </w:tc>
      </w:tr>
      <w:tr w:rsidR="0045010A" w:rsidRPr="00D64D6F" w14:paraId="22555EEF" w14:textId="77777777" w:rsidTr="00884BEB">
        <w:trPr>
          <w:cantSplit/>
        </w:trPr>
        <w:tc>
          <w:tcPr>
            <w:tcW w:w="1063" w:type="pct"/>
            <w:vMerge w:val="restart"/>
            <w:shd w:val="clear" w:color="auto" w:fill="auto"/>
            <w:vAlign w:val="center"/>
          </w:tcPr>
          <w:p w14:paraId="1F217D33" w14:textId="77777777" w:rsidR="0045010A" w:rsidRPr="00D64D6F" w:rsidRDefault="0045010A" w:rsidP="00884BEB">
            <w:pPr>
              <w:pStyle w:val="TableText0"/>
              <w:tabs>
                <w:tab w:val="left" w:pos="102"/>
              </w:tabs>
            </w:pPr>
            <w:r w:rsidRPr="00D64D6F">
              <w:tab/>
              <w:t>Per vial</w:t>
            </w:r>
          </w:p>
        </w:tc>
        <w:tc>
          <w:tcPr>
            <w:tcW w:w="788" w:type="pct"/>
            <w:shd w:val="clear" w:color="auto" w:fill="auto"/>
          </w:tcPr>
          <w:p w14:paraId="62CCC100" w14:textId="77777777" w:rsidR="0045010A" w:rsidRPr="00D64D6F" w:rsidRDefault="0045010A" w:rsidP="00884BEB">
            <w:pPr>
              <w:pStyle w:val="TableText0"/>
              <w:tabs>
                <w:tab w:val="left" w:pos="1608"/>
                <w:tab w:val="left" w:pos="2316"/>
                <w:tab w:val="left" w:pos="3025"/>
              </w:tabs>
            </w:pPr>
            <w:r w:rsidRPr="00D64D6F">
              <w:t>300 mg vial</w:t>
            </w:r>
          </w:p>
        </w:tc>
        <w:tc>
          <w:tcPr>
            <w:tcW w:w="484" w:type="pct"/>
            <w:shd w:val="clear" w:color="auto" w:fill="auto"/>
            <w:vAlign w:val="bottom"/>
          </w:tcPr>
          <w:p w14:paraId="64151509" w14:textId="0F4C588A" w:rsidR="0045010A" w:rsidRPr="00D64D6F" w:rsidRDefault="0045010A" w:rsidP="00884BEB">
            <w:pPr>
              <w:jc w:val="center"/>
              <w:rPr>
                <w:rFonts w:ascii="Arial Narrow" w:hAnsi="Arial Narrow" w:cs="Calibri"/>
                <w:color w:val="000000"/>
                <w:sz w:val="20"/>
                <w:szCs w:val="20"/>
              </w:rPr>
            </w:pPr>
            <w:r w:rsidRPr="00D64D6F">
              <w:rPr>
                <w:rFonts w:ascii="Arial Narrow" w:hAnsi="Arial Narrow" w:cs="Calibri"/>
                <w:color w:val="000000"/>
                <w:sz w:val="20"/>
                <w:szCs w:val="20"/>
              </w:rPr>
              <w:t>$</w:t>
            </w:r>
            <w:r w:rsidR="00C47128" w:rsidRPr="00DB7A5A">
              <w:rPr>
                <w:rFonts w:ascii="Arial Narrow" w:hAnsi="Arial Narrow" w:cs="Calibri"/>
                <w:color w:val="000000"/>
                <w:spacing w:val="50"/>
                <w:sz w:val="20"/>
                <w:szCs w:val="20"/>
                <w:shd w:val="solid" w:color="000000" w:fill="000000"/>
                <w:fitText w:val="508" w:id="-1236585982"/>
                <w14:textFill>
                  <w14:solidFill>
                    <w14:srgbClr w14:val="000000">
                      <w14:alpha w14:val="100000"/>
                    </w14:srgbClr>
                  </w14:solidFill>
                </w14:textFill>
              </w:rPr>
              <w:t>|||||</w:t>
            </w:r>
            <w:r w:rsidR="00C47128" w:rsidRPr="00DB7A5A">
              <w:rPr>
                <w:rFonts w:ascii="Arial Narrow" w:hAnsi="Arial Narrow" w:cs="Calibri"/>
                <w:color w:val="000000"/>
                <w:spacing w:val="3"/>
                <w:sz w:val="20"/>
                <w:szCs w:val="20"/>
                <w:shd w:val="solid" w:color="000000" w:fill="000000"/>
                <w:fitText w:val="508" w:id="-1236585982"/>
                <w14:textFill>
                  <w14:solidFill>
                    <w14:srgbClr w14:val="000000">
                      <w14:alpha w14:val="100000"/>
                    </w14:srgbClr>
                  </w14:solidFill>
                </w14:textFill>
              </w:rPr>
              <w:t>|</w:t>
            </w:r>
          </w:p>
        </w:tc>
        <w:tc>
          <w:tcPr>
            <w:tcW w:w="484" w:type="pct"/>
            <w:shd w:val="clear" w:color="auto" w:fill="auto"/>
          </w:tcPr>
          <w:p w14:paraId="17D4D3A9" w14:textId="7B1254EC" w:rsidR="0045010A" w:rsidRPr="00D64D6F" w:rsidRDefault="0045010A" w:rsidP="00884BEB">
            <w:pPr>
              <w:pStyle w:val="TableText0"/>
              <w:tabs>
                <w:tab w:val="left" w:pos="1608"/>
                <w:tab w:val="left" w:pos="2316"/>
                <w:tab w:val="left" w:pos="3025"/>
              </w:tabs>
              <w:jc w:val="center"/>
            </w:pPr>
            <w:r w:rsidRPr="00D64D6F">
              <w:t>$</w:t>
            </w:r>
            <w:r w:rsidR="00C47128" w:rsidRPr="00DB7A5A">
              <w:rPr>
                <w:color w:val="000000"/>
                <w:spacing w:val="50"/>
                <w:shd w:val="solid" w:color="000000" w:fill="000000"/>
                <w:fitText w:val="508" w:id="-1236585981"/>
                <w14:textFill>
                  <w14:solidFill>
                    <w14:srgbClr w14:val="000000">
                      <w14:alpha w14:val="100000"/>
                    </w14:srgbClr>
                  </w14:solidFill>
                </w14:textFill>
              </w:rPr>
              <w:t>|||||</w:t>
            </w:r>
            <w:r w:rsidR="00C47128" w:rsidRPr="00DB7A5A">
              <w:rPr>
                <w:color w:val="000000"/>
                <w:spacing w:val="3"/>
                <w:shd w:val="solid" w:color="000000" w:fill="000000"/>
                <w:fitText w:val="508" w:id="-1236585981"/>
                <w14:textFill>
                  <w14:solidFill>
                    <w14:srgbClr w14:val="000000">
                      <w14:alpha w14:val="100000"/>
                    </w14:srgbClr>
                  </w14:solidFill>
                </w14:textFill>
              </w:rPr>
              <w:t>|</w:t>
            </w:r>
          </w:p>
        </w:tc>
        <w:tc>
          <w:tcPr>
            <w:tcW w:w="519" w:type="pct"/>
            <w:shd w:val="clear" w:color="auto" w:fill="auto"/>
          </w:tcPr>
          <w:p w14:paraId="5AC8C89E" w14:textId="73C384C2" w:rsidR="0045010A" w:rsidRPr="00D64D6F" w:rsidRDefault="0045010A" w:rsidP="00884BEB">
            <w:pPr>
              <w:pStyle w:val="TableText0"/>
              <w:tabs>
                <w:tab w:val="left" w:pos="1608"/>
                <w:tab w:val="left" w:pos="2316"/>
                <w:tab w:val="left" w:pos="3025"/>
              </w:tabs>
              <w:jc w:val="center"/>
            </w:pPr>
            <w:r w:rsidRPr="00D64D6F">
              <w:t>$</w:t>
            </w:r>
            <w:r w:rsidR="00C47128" w:rsidRPr="00DB7A5A">
              <w:rPr>
                <w:color w:val="000000"/>
                <w:spacing w:val="45"/>
                <w:shd w:val="solid" w:color="000000" w:fill="000000"/>
                <w:fitText w:val="483" w:id="-1236585980"/>
                <w14:textFill>
                  <w14:solidFill>
                    <w14:srgbClr w14:val="000000">
                      <w14:alpha w14:val="100000"/>
                    </w14:srgbClr>
                  </w14:solidFill>
                </w14:textFill>
              </w:rPr>
              <w:t>|||||</w:t>
            </w:r>
            <w:r w:rsidR="00C47128" w:rsidRPr="00DB7A5A">
              <w:rPr>
                <w:color w:val="000000"/>
                <w:spacing w:val="3"/>
                <w:shd w:val="solid" w:color="000000" w:fill="000000"/>
                <w:fitText w:val="483" w:id="-1236585980"/>
                <w14:textFill>
                  <w14:solidFill>
                    <w14:srgbClr w14:val="000000">
                      <w14:alpha w14:val="100000"/>
                    </w14:srgbClr>
                  </w14:solidFill>
                </w14:textFill>
              </w:rPr>
              <w:t>|</w:t>
            </w:r>
          </w:p>
        </w:tc>
        <w:tc>
          <w:tcPr>
            <w:tcW w:w="1662" w:type="pct"/>
            <w:vMerge w:val="restart"/>
            <w:shd w:val="clear" w:color="auto" w:fill="auto"/>
            <w:vAlign w:val="center"/>
          </w:tcPr>
          <w:p w14:paraId="63C54783" w14:textId="77777777" w:rsidR="0045010A" w:rsidRPr="00D64D6F" w:rsidRDefault="0045010A" w:rsidP="00884BEB">
            <w:pPr>
              <w:pStyle w:val="TableText0"/>
            </w:pPr>
          </w:p>
        </w:tc>
      </w:tr>
      <w:tr w:rsidR="0045010A" w:rsidRPr="00D64D6F" w14:paraId="31B0C849" w14:textId="77777777" w:rsidTr="00884BEB">
        <w:trPr>
          <w:cantSplit/>
        </w:trPr>
        <w:tc>
          <w:tcPr>
            <w:tcW w:w="1063" w:type="pct"/>
            <w:vMerge/>
            <w:shd w:val="clear" w:color="auto" w:fill="auto"/>
            <w:vAlign w:val="center"/>
          </w:tcPr>
          <w:p w14:paraId="4027B158" w14:textId="77777777" w:rsidR="0045010A" w:rsidRPr="00D64D6F" w:rsidRDefault="0045010A" w:rsidP="00884BEB">
            <w:pPr>
              <w:pStyle w:val="TableText0"/>
              <w:tabs>
                <w:tab w:val="left" w:pos="102"/>
              </w:tabs>
            </w:pPr>
          </w:p>
        </w:tc>
        <w:tc>
          <w:tcPr>
            <w:tcW w:w="788" w:type="pct"/>
            <w:shd w:val="clear" w:color="auto" w:fill="auto"/>
          </w:tcPr>
          <w:p w14:paraId="4DCB517D" w14:textId="77777777" w:rsidR="0045010A" w:rsidRPr="00D64D6F" w:rsidRDefault="0045010A" w:rsidP="00884BEB">
            <w:pPr>
              <w:pStyle w:val="TableText0"/>
              <w:tabs>
                <w:tab w:val="left" w:pos="1608"/>
                <w:tab w:val="left" w:pos="2316"/>
                <w:tab w:val="left" w:pos="3025"/>
              </w:tabs>
            </w:pPr>
            <w:r w:rsidRPr="00D64D6F">
              <w:t>1,100 mg vial</w:t>
            </w:r>
          </w:p>
        </w:tc>
        <w:tc>
          <w:tcPr>
            <w:tcW w:w="484" w:type="pct"/>
            <w:shd w:val="clear" w:color="auto" w:fill="auto"/>
            <w:vAlign w:val="bottom"/>
          </w:tcPr>
          <w:p w14:paraId="0C01FE0F" w14:textId="21DE7499" w:rsidR="0045010A" w:rsidRPr="00D64D6F" w:rsidRDefault="0045010A" w:rsidP="00884BEB">
            <w:pPr>
              <w:jc w:val="center"/>
              <w:rPr>
                <w:rFonts w:ascii="Arial Narrow" w:hAnsi="Arial Narrow" w:cs="Calibri"/>
                <w:color w:val="000000"/>
                <w:sz w:val="20"/>
                <w:szCs w:val="20"/>
              </w:rPr>
            </w:pPr>
            <w:r w:rsidRPr="00D64D6F">
              <w:rPr>
                <w:rFonts w:ascii="Arial Narrow" w:hAnsi="Arial Narrow" w:cs="Calibri"/>
                <w:color w:val="000000"/>
                <w:sz w:val="20"/>
                <w:szCs w:val="20"/>
              </w:rPr>
              <w:t>$</w:t>
            </w:r>
            <w:r w:rsidR="00C47128" w:rsidRPr="00DB7A5A">
              <w:rPr>
                <w:rFonts w:ascii="Arial Narrow" w:hAnsi="Arial Narrow" w:cs="Calibri"/>
                <w:color w:val="000000"/>
                <w:spacing w:val="50"/>
                <w:sz w:val="20"/>
                <w:szCs w:val="20"/>
                <w:shd w:val="solid" w:color="000000" w:fill="000000"/>
                <w:fitText w:val="508" w:id="-1236585979"/>
                <w14:textFill>
                  <w14:solidFill>
                    <w14:srgbClr w14:val="000000">
                      <w14:alpha w14:val="100000"/>
                    </w14:srgbClr>
                  </w14:solidFill>
                </w14:textFill>
              </w:rPr>
              <w:t>|||||</w:t>
            </w:r>
            <w:r w:rsidR="00C47128" w:rsidRPr="00DB7A5A">
              <w:rPr>
                <w:rFonts w:ascii="Arial Narrow" w:hAnsi="Arial Narrow" w:cs="Calibri"/>
                <w:color w:val="000000"/>
                <w:spacing w:val="3"/>
                <w:sz w:val="20"/>
                <w:szCs w:val="20"/>
                <w:shd w:val="solid" w:color="000000" w:fill="000000"/>
                <w:fitText w:val="508" w:id="-1236585979"/>
                <w14:textFill>
                  <w14:solidFill>
                    <w14:srgbClr w14:val="000000">
                      <w14:alpha w14:val="100000"/>
                    </w14:srgbClr>
                  </w14:solidFill>
                </w14:textFill>
              </w:rPr>
              <w:t>|</w:t>
            </w:r>
          </w:p>
        </w:tc>
        <w:tc>
          <w:tcPr>
            <w:tcW w:w="484" w:type="pct"/>
            <w:shd w:val="clear" w:color="auto" w:fill="auto"/>
          </w:tcPr>
          <w:p w14:paraId="437C2A2A" w14:textId="2B4585A7" w:rsidR="0045010A" w:rsidRPr="00D64D6F" w:rsidRDefault="0045010A" w:rsidP="00884BEB">
            <w:pPr>
              <w:pStyle w:val="TableText0"/>
              <w:tabs>
                <w:tab w:val="left" w:pos="1608"/>
                <w:tab w:val="left" w:pos="2316"/>
                <w:tab w:val="left" w:pos="3025"/>
              </w:tabs>
              <w:jc w:val="center"/>
            </w:pPr>
            <w:r w:rsidRPr="00D64D6F">
              <w:t>$</w:t>
            </w:r>
            <w:r w:rsidR="00C47128" w:rsidRPr="00DB7A5A">
              <w:rPr>
                <w:color w:val="000000"/>
                <w:spacing w:val="50"/>
                <w:shd w:val="solid" w:color="000000" w:fill="000000"/>
                <w:fitText w:val="508" w:id="-1236585978"/>
                <w14:textFill>
                  <w14:solidFill>
                    <w14:srgbClr w14:val="000000">
                      <w14:alpha w14:val="100000"/>
                    </w14:srgbClr>
                  </w14:solidFill>
                </w14:textFill>
              </w:rPr>
              <w:t>|||||</w:t>
            </w:r>
            <w:r w:rsidR="00C47128" w:rsidRPr="00DB7A5A">
              <w:rPr>
                <w:color w:val="000000"/>
                <w:spacing w:val="3"/>
                <w:shd w:val="solid" w:color="000000" w:fill="000000"/>
                <w:fitText w:val="508" w:id="-1236585978"/>
                <w14:textFill>
                  <w14:solidFill>
                    <w14:srgbClr w14:val="000000">
                      <w14:alpha w14:val="100000"/>
                    </w14:srgbClr>
                  </w14:solidFill>
                </w14:textFill>
              </w:rPr>
              <w:t>|</w:t>
            </w:r>
          </w:p>
        </w:tc>
        <w:tc>
          <w:tcPr>
            <w:tcW w:w="519" w:type="pct"/>
            <w:shd w:val="clear" w:color="auto" w:fill="auto"/>
          </w:tcPr>
          <w:p w14:paraId="0D6A6740" w14:textId="038CA861" w:rsidR="0045010A" w:rsidRPr="00D64D6F" w:rsidRDefault="0045010A" w:rsidP="00884BEB">
            <w:pPr>
              <w:pStyle w:val="TableText0"/>
              <w:tabs>
                <w:tab w:val="left" w:pos="1608"/>
                <w:tab w:val="left" w:pos="2316"/>
                <w:tab w:val="left" w:pos="3025"/>
              </w:tabs>
              <w:jc w:val="center"/>
            </w:pPr>
            <w:r w:rsidRPr="00D64D6F">
              <w:t>$</w:t>
            </w:r>
            <w:r w:rsidR="00C47128" w:rsidRPr="00DB7A5A">
              <w:rPr>
                <w:color w:val="000000"/>
                <w:spacing w:val="45"/>
                <w:shd w:val="solid" w:color="000000" w:fill="000000"/>
                <w:fitText w:val="483" w:id="-1236585977"/>
                <w14:textFill>
                  <w14:solidFill>
                    <w14:srgbClr w14:val="000000">
                      <w14:alpha w14:val="100000"/>
                    </w14:srgbClr>
                  </w14:solidFill>
                </w14:textFill>
              </w:rPr>
              <w:t>|||||</w:t>
            </w:r>
            <w:r w:rsidR="00C47128" w:rsidRPr="00DB7A5A">
              <w:rPr>
                <w:color w:val="000000"/>
                <w:spacing w:val="3"/>
                <w:shd w:val="solid" w:color="000000" w:fill="000000"/>
                <w:fitText w:val="483" w:id="-1236585977"/>
                <w14:textFill>
                  <w14:solidFill>
                    <w14:srgbClr w14:val="000000">
                      <w14:alpha w14:val="100000"/>
                    </w14:srgbClr>
                  </w14:solidFill>
                </w14:textFill>
              </w:rPr>
              <w:t>|</w:t>
            </w:r>
          </w:p>
        </w:tc>
        <w:tc>
          <w:tcPr>
            <w:tcW w:w="1662" w:type="pct"/>
            <w:vMerge/>
            <w:shd w:val="clear" w:color="auto" w:fill="auto"/>
            <w:vAlign w:val="center"/>
          </w:tcPr>
          <w:p w14:paraId="4607BB7F" w14:textId="77777777" w:rsidR="0045010A" w:rsidRPr="00D64D6F" w:rsidRDefault="0045010A" w:rsidP="00884BEB">
            <w:pPr>
              <w:pStyle w:val="TableText0"/>
            </w:pPr>
          </w:p>
        </w:tc>
      </w:tr>
      <w:tr w:rsidR="0045010A" w:rsidRPr="00D64D6F" w14:paraId="388F37D9" w14:textId="77777777" w:rsidTr="00884BEB">
        <w:trPr>
          <w:cantSplit/>
        </w:trPr>
        <w:tc>
          <w:tcPr>
            <w:tcW w:w="5000" w:type="pct"/>
            <w:gridSpan w:val="6"/>
            <w:shd w:val="clear" w:color="auto" w:fill="auto"/>
            <w:vAlign w:val="center"/>
          </w:tcPr>
          <w:p w14:paraId="6600677E" w14:textId="77777777" w:rsidR="0045010A" w:rsidRPr="00D64D6F" w:rsidRDefault="0045010A" w:rsidP="00884BEB">
            <w:pPr>
              <w:pStyle w:val="TableText0"/>
            </w:pPr>
            <w:r w:rsidRPr="00D64D6F">
              <w:rPr>
                <w:b/>
                <w:bCs w:val="0"/>
              </w:rPr>
              <w:t>Paediatric patients</w:t>
            </w:r>
          </w:p>
        </w:tc>
      </w:tr>
      <w:tr w:rsidR="0045010A" w:rsidRPr="00D64D6F" w14:paraId="345D7EBE" w14:textId="77777777" w:rsidTr="00884BEB">
        <w:trPr>
          <w:cantSplit/>
        </w:trPr>
        <w:tc>
          <w:tcPr>
            <w:tcW w:w="1063" w:type="pct"/>
            <w:shd w:val="clear" w:color="auto" w:fill="auto"/>
            <w:vAlign w:val="center"/>
          </w:tcPr>
          <w:p w14:paraId="695E48F6" w14:textId="77777777" w:rsidR="0045010A" w:rsidRPr="00D64D6F" w:rsidRDefault="0045010A" w:rsidP="00884BEB">
            <w:pPr>
              <w:pStyle w:val="TableText0"/>
              <w:tabs>
                <w:tab w:val="left" w:pos="102"/>
              </w:tabs>
            </w:pPr>
            <w:r w:rsidRPr="00D64D6F">
              <w:tab/>
              <w:t>Cost</w:t>
            </w:r>
          </w:p>
        </w:tc>
        <w:tc>
          <w:tcPr>
            <w:tcW w:w="2274" w:type="pct"/>
            <w:gridSpan w:val="4"/>
            <w:shd w:val="clear" w:color="auto" w:fill="auto"/>
          </w:tcPr>
          <w:p w14:paraId="6121E9FF" w14:textId="50ECCE37" w:rsidR="0045010A" w:rsidRPr="00D64D6F" w:rsidRDefault="0045010A" w:rsidP="00884BEB">
            <w:pPr>
              <w:pStyle w:val="TableText0"/>
              <w:tabs>
                <w:tab w:val="left" w:pos="1608"/>
                <w:tab w:val="left" w:pos="2316"/>
                <w:tab w:val="left" w:pos="3025"/>
              </w:tabs>
              <w:jc w:val="center"/>
            </w:pPr>
            <w:r w:rsidRPr="00D64D6F">
              <w:t>Admin removed: $</w:t>
            </w:r>
            <w:r w:rsidR="00C47128" w:rsidRPr="00C47128">
              <w:rPr>
                <w:color w:val="000000"/>
                <w:shd w:val="solid" w:color="000000" w:fill="000000"/>
                <w14:textFill>
                  <w14:solidFill>
                    <w14:srgbClr w14:val="000000">
                      <w14:alpha w14:val="100000"/>
                    </w14:srgbClr>
                  </w14:solidFill>
                </w14:textFill>
              </w:rPr>
              <w:t>|</w:t>
            </w:r>
          </w:p>
        </w:tc>
        <w:tc>
          <w:tcPr>
            <w:tcW w:w="1662" w:type="pct"/>
            <w:shd w:val="clear" w:color="auto" w:fill="auto"/>
            <w:vAlign w:val="center"/>
          </w:tcPr>
          <w:p w14:paraId="6D1AB34D" w14:textId="77777777" w:rsidR="0045010A" w:rsidRPr="00D64D6F" w:rsidRDefault="0045010A" w:rsidP="00884BEB">
            <w:pPr>
              <w:pStyle w:val="TableText0"/>
              <w:jc w:val="center"/>
            </w:pPr>
            <w:r w:rsidRPr="00D64D6F">
              <w:t>$252,850</w:t>
            </w:r>
          </w:p>
        </w:tc>
      </w:tr>
      <w:tr w:rsidR="0045010A" w:rsidRPr="00D64D6F" w14:paraId="0DB92650" w14:textId="77777777" w:rsidTr="00884BEB">
        <w:trPr>
          <w:cantSplit/>
        </w:trPr>
        <w:tc>
          <w:tcPr>
            <w:tcW w:w="1063" w:type="pct"/>
            <w:shd w:val="clear" w:color="auto" w:fill="auto"/>
            <w:vAlign w:val="center"/>
          </w:tcPr>
          <w:p w14:paraId="01D41CEA" w14:textId="77777777" w:rsidR="0045010A" w:rsidRPr="00D64D6F" w:rsidRDefault="0045010A" w:rsidP="00884BEB">
            <w:pPr>
              <w:pStyle w:val="TableText0"/>
              <w:tabs>
                <w:tab w:val="left" w:pos="102"/>
              </w:tabs>
            </w:pPr>
            <w:r w:rsidRPr="00D64D6F">
              <w:tab/>
              <w:t>Per mg</w:t>
            </w:r>
          </w:p>
        </w:tc>
        <w:tc>
          <w:tcPr>
            <w:tcW w:w="788" w:type="pct"/>
            <w:shd w:val="clear" w:color="auto" w:fill="auto"/>
          </w:tcPr>
          <w:p w14:paraId="4165E0F9" w14:textId="77777777" w:rsidR="0045010A" w:rsidRPr="00D64D6F" w:rsidRDefault="0045010A" w:rsidP="00884BEB">
            <w:pPr>
              <w:pStyle w:val="TableText0"/>
              <w:tabs>
                <w:tab w:val="left" w:pos="1608"/>
                <w:tab w:val="left" w:pos="2316"/>
                <w:tab w:val="left" w:pos="3025"/>
              </w:tabs>
            </w:pPr>
          </w:p>
        </w:tc>
        <w:tc>
          <w:tcPr>
            <w:tcW w:w="484" w:type="pct"/>
            <w:shd w:val="clear" w:color="auto" w:fill="auto"/>
            <w:vAlign w:val="bottom"/>
          </w:tcPr>
          <w:p w14:paraId="7C74917D" w14:textId="2BC880FE" w:rsidR="0045010A" w:rsidRPr="00D64D6F" w:rsidRDefault="0045010A" w:rsidP="00884BEB">
            <w:pPr>
              <w:jc w:val="center"/>
              <w:rPr>
                <w:rFonts w:ascii="Arial Narrow" w:hAnsi="Arial Narrow" w:cs="Calibri"/>
                <w:color w:val="000000"/>
                <w:sz w:val="20"/>
                <w:szCs w:val="20"/>
              </w:rPr>
            </w:pPr>
            <w:r w:rsidRPr="00D64D6F">
              <w:rPr>
                <w:rFonts w:ascii="Arial Narrow" w:hAnsi="Arial Narrow" w:cs="Calibri"/>
                <w:color w:val="000000"/>
                <w:sz w:val="20"/>
                <w:szCs w:val="20"/>
              </w:rPr>
              <w:t>$</w:t>
            </w:r>
            <w:r w:rsidR="00C47128" w:rsidRPr="00DB7A5A">
              <w:rPr>
                <w:rFonts w:ascii="Arial Narrow" w:hAnsi="Arial Narrow" w:cs="Calibri"/>
                <w:color w:val="000000"/>
                <w:spacing w:val="50"/>
                <w:sz w:val="20"/>
                <w:szCs w:val="20"/>
                <w:shd w:val="solid" w:color="000000" w:fill="000000"/>
                <w:fitText w:val="508" w:id="-1236585976"/>
                <w14:textFill>
                  <w14:solidFill>
                    <w14:srgbClr w14:val="000000">
                      <w14:alpha w14:val="100000"/>
                    </w14:srgbClr>
                  </w14:solidFill>
                </w14:textFill>
              </w:rPr>
              <w:t>|||||</w:t>
            </w:r>
            <w:r w:rsidR="00C47128" w:rsidRPr="00DB7A5A">
              <w:rPr>
                <w:rFonts w:ascii="Arial Narrow" w:hAnsi="Arial Narrow" w:cs="Calibri"/>
                <w:color w:val="000000"/>
                <w:spacing w:val="3"/>
                <w:sz w:val="20"/>
                <w:szCs w:val="20"/>
                <w:shd w:val="solid" w:color="000000" w:fill="000000"/>
                <w:fitText w:val="508" w:id="-1236585976"/>
                <w14:textFill>
                  <w14:solidFill>
                    <w14:srgbClr w14:val="000000">
                      <w14:alpha w14:val="100000"/>
                    </w14:srgbClr>
                  </w14:solidFill>
                </w14:textFill>
              </w:rPr>
              <w:t>|</w:t>
            </w:r>
          </w:p>
        </w:tc>
        <w:tc>
          <w:tcPr>
            <w:tcW w:w="484" w:type="pct"/>
            <w:shd w:val="clear" w:color="auto" w:fill="auto"/>
          </w:tcPr>
          <w:p w14:paraId="1EFE61DF" w14:textId="4C31DEF1" w:rsidR="0045010A" w:rsidRPr="00D64D6F" w:rsidRDefault="0045010A" w:rsidP="00884BEB">
            <w:pPr>
              <w:pStyle w:val="TableText0"/>
              <w:tabs>
                <w:tab w:val="left" w:pos="1608"/>
                <w:tab w:val="left" w:pos="2316"/>
                <w:tab w:val="left" w:pos="3025"/>
              </w:tabs>
              <w:jc w:val="center"/>
            </w:pPr>
            <w:r w:rsidRPr="00D64D6F">
              <w:t>$</w:t>
            </w:r>
            <w:r w:rsidR="00C47128" w:rsidRPr="00DB7A5A">
              <w:rPr>
                <w:color w:val="000000"/>
                <w:spacing w:val="50"/>
                <w:shd w:val="solid" w:color="000000" w:fill="000000"/>
                <w:fitText w:val="508" w:id="-1236585975"/>
                <w14:textFill>
                  <w14:solidFill>
                    <w14:srgbClr w14:val="000000">
                      <w14:alpha w14:val="100000"/>
                    </w14:srgbClr>
                  </w14:solidFill>
                </w14:textFill>
              </w:rPr>
              <w:t>|||||</w:t>
            </w:r>
            <w:r w:rsidR="00C47128" w:rsidRPr="00DB7A5A">
              <w:rPr>
                <w:color w:val="000000"/>
                <w:spacing w:val="3"/>
                <w:shd w:val="solid" w:color="000000" w:fill="000000"/>
                <w:fitText w:val="508" w:id="-1236585975"/>
                <w14:textFill>
                  <w14:solidFill>
                    <w14:srgbClr w14:val="000000">
                      <w14:alpha w14:val="100000"/>
                    </w14:srgbClr>
                  </w14:solidFill>
                </w14:textFill>
              </w:rPr>
              <w:t>|</w:t>
            </w:r>
          </w:p>
        </w:tc>
        <w:tc>
          <w:tcPr>
            <w:tcW w:w="519" w:type="pct"/>
            <w:shd w:val="clear" w:color="auto" w:fill="auto"/>
          </w:tcPr>
          <w:p w14:paraId="1FFD6C6C" w14:textId="77777777" w:rsidR="0045010A" w:rsidRPr="00D64D6F" w:rsidRDefault="0045010A" w:rsidP="00884BEB">
            <w:pPr>
              <w:pStyle w:val="TableText0"/>
              <w:tabs>
                <w:tab w:val="left" w:pos="1608"/>
                <w:tab w:val="left" w:pos="2316"/>
                <w:tab w:val="left" w:pos="3025"/>
              </w:tabs>
              <w:jc w:val="center"/>
            </w:pPr>
            <w:r w:rsidRPr="00D64D6F">
              <w:t>NR</w:t>
            </w:r>
          </w:p>
        </w:tc>
        <w:tc>
          <w:tcPr>
            <w:tcW w:w="1662" w:type="pct"/>
            <w:vMerge w:val="restart"/>
            <w:shd w:val="clear" w:color="auto" w:fill="auto"/>
            <w:vAlign w:val="center"/>
          </w:tcPr>
          <w:p w14:paraId="58353EDA" w14:textId="77777777" w:rsidR="0045010A" w:rsidRPr="00D64D6F" w:rsidRDefault="0045010A" w:rsidP="00884BEB">
            <w:pPr>
              <w:pStyle w:val="TableText0"/>
            </w:pPr>
          </w:p>
        </w:tc>
      </w:tr>
      <w:tr w:rsidR="0045010A" w:rsidRPr="00D64D6F" w14:paraId="44557BE5" w14:textId="77777777" w:rsidTr="00884BEB">
        <w:trPr>
          <w:cantSplit/>
        </w:trPr>
        <w:tc>
          <w:tcPr>
            <w:tcW w:w="1063" w:type="pct"/>
            <w:vMerge w:val="restart"/>
            <w:shd w:val="clear" w:color="auto" w:fill="auto"/>
            <w:vAlign w:val="center"/>
          </w:tcPr>
          <w:p w14:paraId="12FF7ADF" w14:textId="77777777" w:rsidR="0045010A" w:rsidRPr="00D64D6F" w:rsidRDefault="0045010A" w:rsidP="00884BEB">
            <w:pPr>
              <w:pStyle w:val="TableText0"/>
              <w:tabs>
                <w:tab w:val="left" w:pos="102"/>
              </w:tabs>
            </w:pPr>
            <w:r w:rsidRPr="00D64D6F">
              <w:tab/>
              <w:t>Per vial</w:t>
            </w:r>
          </w:p>
        </w:tc>
        <w:tc>
          <w:tcPr>
            <w:tcW w:w="788" w:type="pct"/>
            <w:shd w:val="clear" w:color="auto" w:fill="auto"/>
          </w:tcPr>
          <w:p w14:paraId="6E196C24" w14:textId="77777777" w:rsidR="0045010A" w:rsidRPr="00D64D6F" w:rsidRDefault="0045010A" w:rsidP="00884BEB">
            <w:pPr>
              <w:pStyle w:val="TableText0"/>
              <w:tabs>
                <w:tab w:val="left" w:pos="1608"/>
                <w:tab w:val="left" w:pos="2316"/>
                <w:tab w:val="left" w:pos="3025"/>
              </w:tabs>
            </w:pPr>
            <w:r w:rsidRPr="00D64D6F">
              <w:t>300 mg vial</w:t>
            </w:r>
          </w:p>
        </w:tc>
        <w:tc>
          <w:tcPr>
            <w:tcW w:w="484" w:type="pct"/>
            <w:shd w:val="clear" w:color="auto" w:fill="auto"/>
            <w:vAlign w:val="bottom"/>
          </w:tcPr>
          <w:p w14:paraId="60568495" w14:textId="56AD5DF4" w:rsidR="0045010A" w:rsidRPr="00D64D6F" w:rsidRDefault="0045010A" w:rsidP="00884BEB">
            <w:pPr>
              <w:jc w:val="center"/>
              <w:rPr>
                <w:rFonts w:ascii="Arial Narrow" w:hAnsi="Arial Narrow" w:cs="Calibri"/>
                <w:color w:val="000000"/>
                <w:sz w:val="20"/>
                <w:szCs w:val="20"/>
              </w:rPr>
            </w:pPr>
            <w:r w:rsidRPr="00D64D6F">
              <w:rPr>
                <w:rFonts w:ascii="Arial Narrow" w:hAnsi="Arial Narrow" w:cs="Calibri"/>
                <w:color w:val="000000"/>
                <w:sz w:val="20"/>
                <w:szCs w:val="20"/>
              </w:rPr>
              <w:t>$</w:t>
            </w:r>
            <w:r w:rsidR="00C47128" w:rsidRPr="00DB7A5A">
              <w:rPr>
                <w:rFonts w:ascii="Arial Narrow" w:hAnsi="Arial Narrow" w:cs="Calibri"/>
                <w:color w:val="000000"/>
                <w:spacing w:val="50"/>
                <w:sz w:val="20"/>
                <w:szCs w:val="20"/>
                <w:shd w:val="solid" w:color="000000" w:fill="000000"/>
                <w:fitText w:val="508" w:id="-1236585974"/>
                <w14:textFill>
                  <w14:solidFill>
                    <w14:srgbClr w14:val="000000">
                      <w14:alpha w14:val="100000"/>
                    </w14:srgbClr>
                  </w14:solidFill>
                </w14:textFill>
              </w:rPr>
              <w:t>|||||</w:t>
            </w:r>
            <w:r w:rsidR="00C47128" w:rsidRPr="00DB7A5A">
              <w:rPr>
                <w:rFonts w:ascii="Arial Narrow" w:hAnsi="Arial Narrow" w:cs="Calibri"/>
                <w:color w:val="000000"/>
                <w:spacing w:val="3"/>
                <w:sz w:val="20"/>
                <w:szCs w:val="20"/>
                <w:shd w:val="solid" w:color="000000" w:fill="000000"/>
                <w:fitText w:val="508" w:id="-1236585974"/>
                <w14:textFill>
                  <w14:solidFill>
                    <w14:srgbClr w14:val="000000">
                      <w14:alpha w14:val="100000"/>
                    </w14:srgbClr>
                  </w14:solidFill>
                </w14:textFill>
              </w:rPr>
              <w:t>|</w:t>
            </w:r>
          </w:p>
        </w:tc>
        <w:tc>
          <w:tcPr>
            <w:tcW w:w="484" w:type="pct"/>
            <w:shd w:val="clear" w:color="auto" w:fill="auto"/>
          </w:tcPr>
          <w:p w14:paraId="72292A5B" w14:textId="0D056849" w:rsidR="0045010A" w:rsidRPr="00D64D6F" w:rsidRDefault="0045010A" w:rsidP="00884BEB">
            <w:pPr>
              <w:pStyle w:val="TableText0"/>
              <w:tabs>
                <w:tab w:val="left" w:pos="1608"/>
                <w:tab w:val="left" w:pos="2316"/>
                <w:tab w:val="left" w:pos="3025"/>
              </w:tabs>
              <w:jc w:val="center"/>
            </w:pPr>
            <w:r w:rsidRPr="00D64D6F">
              <w:t>$</w:t>
            </w:r>
            <w:r w:rsidR="00C47128" w:rsidRPr="00DB7A5A">
              <w:rPr>
                <w:color w:val="000000"/>
                <w:spacing w:val="50"/>
                <w:shd w:val="solid" w:color="000000" w:fill="000000"/>
                <w:fitText w:val="508" w:id="-1236585973"/>
                <w14:textFill>
                  <w14:solidFill>
                    <w14:srgbClr w14:val="000000">
                      <w14:alpha w14:val="100000"/>
                    </w14:srgbClr>
                  </w14:solidFill>
                </w14:textFill>
              </w:rPr>
              <w:t>|||||</w:t>
            </w:r>
            <w:r w:rsidR="00C47128" w:rsidRPr="00DB7A5A">
              <w:rPr>
                <w:color w:val="000000"/>
                <w:spacing w:val="3"/>
                <w:shd w:val="solid" w:color="000000" w:fill="000000"/>
                <w:fitText w:val="508" w:id="-1236585973"/>
                <w14:textFill>
                  <w14:solidFill>
                    <w14:srgbClr w14:val="000000">
                      <w14:alpha w14:val="100000"/>
                    </w14:srgbClr>
                  </w14:solidFill>
                </w14:textFill>
              </w:rPr>
              <w:t>|</w:t>
            </w:r>
          </w:p>
        </w:tc>
        <w:tc>
          <w:tcPr>
            <w:tcW w:w="519" w:type="pct"/>
            <w:vMerge w:val="restart"/>
            <w:shd w:val="clear" w:color="auto" w:fill="auto"/>
          </w:tcPr>
          <w:p w14:paraId="304AEA48" w14:textId="77777777" w:rsidR="0045010A" w:rsidRPr="00D64D6F" w:rsidRDefault="0045010A" w:rsidP="00884BEB">
            <w:pPr>
              <w:pStyle w:val="TableText0"/>
              <w:tabs>
                <w:tab w:val="left" w:pos="1608"/>
                <w:tab w:val="left" w:pos="2316"/>
                <w:tab w:val="left" w:pos="3025"/>
              </w:tabs>
              <w:jc w:val="center"/>
            </w:pPr>
          </w:p>
        </w:tc>
        <w:tc>
          <w:tcPr>
            <w:tcW w:w="1662" w:type="pct"/>
            <w:vMerge/>
            <w:shd w:val="clear" w:color="auto" w:fill="auto"/>
            <w:vAlign w:val="center"/>
          </w:tcPr>
          <w:p w14:paraId="450AA47F" w14:textId="77777777" w:rsidR="0045010A" w:rsidRPr="00D64D6F" w:rsidRDefault="0045010A" w:rsidP="00884BEB">
            <w:pPr>
              <w:pStyle w:val="TableText0"/>
            </w:pPr>
          </w:p>
        </w:tc>
      </w:tr>
      <w:tr w:rsidR="0045010A" w:rsidRPr="00D64D6F" w14:paraId="05315DD8" w14:textId="77777777" w:rsidTr="00884BEB">
        <w:trPr>
          <w:cantSplit/>
        </w:trPr>
        <w:tc>
          <w:tcPr>
            <w:tcW w:w="1063" w:type="pct"/>
            <w:vMerge/>
            <w:shd w:val="clear" w:color="auto" w:fill="auto"/>
            <w:vAlign w:val="center"/>
          </w:tcPr>
          <w:p w14:paraId="1E7EDF47" w14:textId="77777777" w:rsidR="0045010A" w:rsidRPr="00D64D6F" w:rsidRDefault="0045010A" w:rsidP="00884BEB">
            <w:pPr>
              <w:pStyle w:val="TableText0"/>
              <w:tabs>
                <w:tab w:val="left" w:pos="102"/>
              </w:tabs>
            </w:pPr>
          </w:p>
        </w:tc>
        <w:tc>
          <w:tcPr>
            <w:tcW w:w="788" w:type="pct"/>
            <w:shd w:val="clear" w:color="auto" w:fill="auto"/>
          </w:tcPr>
          <w:p w14:paraId="04486D87" w14:textId="77777777" w:rsidR="0045010A" w:rsidRPr="00D64D6F" w:rsidRDefault="0045010A" w:rsidP="00884BEB">
            <w:pPr>
              <w:pStyle w:val="TableText0"/>
              <w:tabs>
                <w:tab w:val="left" w:pos="1608"/>
                <w:tab w:val="left" w:pos="2316"/>
                <w:tab w:val="left" w:pos="3025"/>
              </w:tabs>
            </w:pPr>
            <w:r w:rsidRPr="00D64D6F">
              <w:t>1,100 mg vial</w:t>
            </w:r>
          </w:p>
        </w:tc>
        <w:tc>
          <w:tcPr>
            <w:tcW w:w="484" w:type="pct"/>
            <w:shd w:val="clear" w:color="auto" w:fill="auto"/>
            <w:vAlign w:val="bottom"/>
          </w:tcPr>
          <w:p w14:paraId="699E9980" w14:textId="7DC953DF" w:rsidR="0045010A" w:rsidRPr="00D64D6F" w:rsidRDefault="0045010A" w:rsidP="00884BEB">
            <w:pPr>
              <w:jc w:val="center"/>
              <w:rPr>
                <w:rFonts w:ascii="Arial Narrow" w:hAnsi="Arial Narrow" w:cs="Calibri"/>
                <w:color w:val="000000"/>
                <w:sz w:val="20"/>
                <w:szCs w:val="20"/>
              </w:rPr>
            </w:pPr>
            <w:r w:rsidRPr="00D64D6F">
              <w:rPr>
                <w:rFonts w:ascii="Arial Narrow" w:hAnsi="Arial Narrow" w:cs="Calibri"/>
                <w:color w:val="000000"/>
                <w:sz w:val="20"/>
                <w:szCs w:val="20"/>
              </w:rPr>
              <w:t>$</w:t>
            </w:r>
            <w:r w:rsidR="00C47128" w:rsidRPr="00DB7A5A">
              <w:rPr>
                <w:rFonts w:ascii="Arial Narrow" w:hAnsi="Arial Narrow" w:cs="Calibri"/>
                <w:color w:val="000000"/>
                <w:spacing w:val="50"/>
                <w:sz w:val="20"/>
                <w:szCs w:val="20"/>
                <w:shd w:val="solid" w:color="000000" w:fill="000000"/>
                <w:fitText w:val="508" w:id="-1236585972"/>
                <w14:textFill>
                  <w14:solidFill>
                    <w14:srgbClr w14:val="000000">
                      <w14:alpha w14:val="100000"/>
                    </w14:srgbClr>
                  </w14:solidFill>
                </w14:textFill>
              </w:rPr>
              <w:t>|||||</w:t>
            </w:r>
            <w:r w:rsidR="00C47128" w:rsidRPr="00DB7A5A">
              <w:rPr>
                <w:rFonts w:ascii="Arial Narrow" w:hAnsi="Arial Narrow" w:cs="Calibri"/>
                <w:color w:val="000000"/>
                <w:spacing w:val="3"/>
                <w:sz w:val="20"/>
                <w:szCs w:val="20"/>
                <w:shd w:val="solid" w:color="000000" w:fill="000000"/>
                <w:fitText w:val="508" w:id="-1236585972"/>
                <w14:textFill>
                  <w14:solidFill>
                    <w14:srgbClr w14:val="000000">
                      <w14:alpha w14:val="100000"/>
                    </w14:srgbClr>
                  </w14:solidFill>
                </w14:textFill>
              </w:rPr>
              <w:t>|</w:t>
            </w:r>
          </w:p>
        </w:tc>
        <w:tc>
          <w:tcPr>
            <w:tcW w:w="484" w:type="pct"/>
            <w:shd w:val="clear" w:color="auto" w:fill="auto"/>
          </w:tcPr>
          <w:p w14:paraId="0473ABF4" w14:textId="4938D060" w:rsidR="0045010A" w:rsidRPr="00D64D6F" w:rsidRDefault="0045010A" w:rsidP="00884BEB">
            <w:pPr>
              <w:pStyle w:val="TableText0"/>
              <w:tabs>
                <w:tab w:val="left" w:pos="1608"/>
                <w:tab w:val="left" w:pos="2316"/>
                <w:tab w:val="left" w:pos="3025"/>
              </w:tabs>
              <w:jc w:val="center"/>
            </w:pPr>
            <w:r w:rsidRPr="00D64D6F">
              <w:t>$</w:t>
            </w:r>
            <w:r w:rsidR="00C47128" w:rsidRPr="00DB7A5A">
              <w:rPr>
                <w:color w:val="000000"/>
                <w:spacing w:val="50"/>
                <w:shd w:val="solid" w:color="000000" w:fill="000000"/>
                <w:fitText w:val="508" w:id="-1236585971"/>
                <w14:textFill>
                  <w14:solidFill>
                    <w14:srgbClr w14:val="000000">
                      <w14:alpha w14:val="100000"/>
                    </w14:srgbClr>
                  </w14:solidFill>
                </w14:textFill>
              </w:rPr>
              <w:t>|||||</w:t>
            </w:r>
            <w:r w:rsidR="00C47128" w:rsidRPr="00DB7A5A">
              <w:rPr>
                <w:color w:val="000000"/>
                <w:spacing w:val="3"/>
                <w:shd w:val="solid" w:color="000000" w:fill="000000"/>
                <w:fitText w:val="508" w:id="-1236585971"/>
                <w14:textFill>
                  <w14:solidFill>
                    <w14:srgbClr w14:val="000000">
                      <w14:alpha w14:val="100000"/>
                    </w14:srgbClr>
                  </w14:solidFill>
                </w14:textFill>
              </w:rPr>
              <w:t>|</w:t>
            </w:r>
          </w:p>
        </w:tc>
        <w:tc>
          <w:tcPr>
            <w:tcW w:w="519" w:type="pct"/>
            <w:vMerge/>
            <w:shd w:val="clear" w:color="auto" w:fill="auto"/>
          </w:tcPr>
          <w:p w14:paraId="64986B0F" w14:textId="77777777" w:rsidR="0045010A" w:rsidRPr="00D64D6F" w:rsidRDefault="0045010A" w:rsidP="00884BEB">
            <w:pPr>
              <w:pStyle w:val="TableText0"/>
              <w:tabs>
                <w:tab w:val="left" w:pos="1608"/>
                <w:tab w:val="left" w:pos="2316"/>
                <w:tab w:val="left" w:pos="3025"/>
              </w:tabs>
              <w:jc w:val="center"/>
            </w:pPr>
          </w:p>
        </w:tc>
        <w:tc>
          <w:tcPr>
            <w:tcW w:w="1662" w:type="pct"/>
            <w:vMerge/>
            <w:shd w:val="clear" w:color="auto" w:fill="auto"/>
            <w:vAlign w:val="center"/>
          </w:tcPr>
          <w:p w14:paraId="464FF9DD" w14:textId="77777777" w:rsidR="0045010A" w:rsidRPr="00D64D6F" w:rsidRDefault="0045010A" w:rsidP="00884BEB">
            <w:pPr>
              <w:pStyle w:val="TableText0"/>
            </w:pPr>
          </w:p>
        </w:tc>
      </w:tr>
      <w:tr w:rsidR="0045010A" w:rsidRPr="00D64D6F" w14:paraId="11F7794F" w14:textId="77777777" w:rsidTr="00884BEB">
        <w:trPr>
          <w:cantSplit/>
        </w:trPr>
        <w:tc>
          <w:tcPr>
            <w:tcW w:w="5000" w:type="pct"/>
            <w:gridSpan w:val="6"/>
            <w:shd w:val="clear" w:color="auto" w:fill="auto"/>
            <w:vAlign w:val="center"/>
          </w:tcPr>
          <w:p w14:paraId="51E9D0AE" w14:textId="2A60D61D" w:rsidR="0045010A" w:rsidRPr="00D64D6F" w:rsidRDefault="0045010A" w:rsidP="00884BEB">
            <w:pPr>
              <w:pStyle w:val="TableText0"/>
              <w:rPr>
                <w:b/>
                <w:bCs w:val="0"/>
              </w:rPr>
            </w:pPr>
            <w:r w:rsidRPr="00D64D6F">
              <w:rPr>
                <w:b/>
                <w:bCs w:val="0"/>
              </w:rPr>
              <w:t>Weighted adult and paediatric pricing (adults 90.4%</w:t>
            </w:r>
            <w:r w:rsidR="006069E7">
              <w:rPr>
                <w:b/>
                <w:bCs w:val="0"/>
              </w:rPr>
              <w:t>,</w:t>
            </w:r>
            <w:r w:rsidRPr="00D64D6F">
              <w:rPr>
                <w:b/>
                <w:bCs w:val="0"/>
              </w:rPr>
              <w:t xml:space="preserve"> paediatric 9.6%</w:t>
            </w:r>
            <w:r w:rsidR="006069E7">
              <w:rPr>
                <w:b/>
                <w:bCs w:val="0"/>
              </w:rPr>
              <w:t>; weighted = $</w:t>
            </w:r>
            <w:r w:rsidR="00C47128" w:rsidRPr="00C47128">
              <w:rPr>
                <w:b/>
                <w:bCs w:val="0"/>
                <w:color w:val="000000"/>
                <w:spacing w:val="31"/>
                <w:shd w:val="solid" w:color="000000" w:fill="000000"/>
                <w:fitText w:val="591" w:id="-1236585970"/>
                <w14:textFill>
                  <w14:solidFill>
                    <w14:srgbClr w14:val="000000">
                      <w14:alpha w14:val="100000"/>
                    </w14:srgbClr>
                  </w14:solidFill>
                </w14:textFill>
              </w:rPr>
              <w:t>|||||||</w:t>
            </w:r>
            <w:r w:rsidR="00C47128" w:rsidRPr="00C47128">
              <w:rPr>
                <w:b/>
                <w:bCs w:val="0"/>
                <w:color w:val="000000"/>
                <w:spacing w:val="7"/>
                <w:shd w:val="solid" w:color="000000" w:fill="000000"/>
                <w:fitText w:val="591" w:id="-1236585970"/>
                <w14:textFill>
                  <w14:solidFill>
                    <w14:srgbClr w14:val="000000">
                      <w14:alpha w14:val="100000"/>
                    </w14:srgbClr>
                  </w14:solidFill>
                </w14:textFill>
              </w:rPr>
              <w:t>|</w:t>
            </w:r>
            <w:r w:rsidR="006069E7">
              <w:rPr>
                <w:b/>
                <w:bCs w:val="0"/>
              </w:rPr>
              <w:t xml:space="preserve"> per mg</w:t>
            </w:r>
            <w:r w:rsidRPr="00D64D6F">
              <w:rPr>
                <w:b/>
                <w:bCs w:val="0"/>
              </w:rPr>
              <w:t>)</w:t>
            </w:r>
          </w:p>
        </w:tc>
      </w:tr>
      <w:tr w:rsidR="0045010A" w:rsidRPr="00D64D6F" w14:paraId="4C4C46CB" w14:textId="77777777" w:rsidTr="00884BEB">
        <w:trPr>
          <w:cantSplit/>
        </w:trPr>
        <w:tc>
          <w:tcPr>
            <w:tcW w:w="1063" w:type="pct"/>
            <w:vMerge w:val="restart"/>
            <w:shd w:val="clear" w:color="auto" w:fill="auto"/>
            <w:vAlign w:val="center"/>
          </w:tcPr>
          <w:p w14:paraId="5DF573DC" w14:textId="77777777" w:rsidR="0045010A" w:rsidRPr="00D64D6F" w:rsidRDefault="0045010A" w:rsidP="00884BEB">
            <w:pPr>
              <w:pStyle w:val="TableText0"/>
              <w:tabs>
                <w:tab w:val="left" w:pos="102"/>
              </w:tabs>
            </w:pPr>
            <w:r w:rsidRPr="00D64D6F">
              <w:tab/>
              <w:t>Per mg</w:t>
            </w:r>
          </w:p>
        </w:tc>
        <w:tc>
          <w:tcPr>
            <w:tcW w:w="788" w:type="pct"/>
            <w:shd w:val="clear" w:color="auto" w:fill="auto"/>
          </w:tcPr>
          <w:p w14:paraId="2C6AA68D" w14:textId="77777777" w:rsidR="0045010A" w:rsidRPr="00D64D6F" w:rsidRDefault="0045010A" w:rsidP="00884BEB">
            <w:pPr>
              <w:pStyle w:val="TableText0"/>
              <w:tabs>
                <w:tab w:val="left" w:pos="1608"/>
                <w:tab w:val="left" w:pos="2316"/>
                <w:tab w:val="left" w:pos="3025"/>
              </w:tabs>
            </w:pPr>
            <w:r w:rsidRPr="00D64D6F">
              <w:t>Adult</w:t>
            </w:r>
          </w:p>
        </w:tc>
        <w:tc>
          <w:tcPr>
            <w:tcW w:w="484" w:type="pct"/>
            <w:shd w:val="clear" w:color="auto" w:fill="auto"/>
            <w:vAlign w:val="bottom"/>
          </w:tcPr>
          <w:p w14:paraId="12842AB8" w14:textId="4F306FFD" w:rsidR="0045010A" w:rsidRPr="00D64D6F" w:rsidRDefault="0045010A" w:rsidP="00884BEB">
            <w:pPr>
              <w:jc w:val="center"/>
              <w:rPr>
                <w:rFonts w:ascii="Arial Narrow" w:hAnsi="Arial Narrow" w:cs="Calibri"/>
                <w:color w:val="000000"/>
                <w:sz w:val="20"/>
                <w:szCs w:val="20"/>
              </w:rPr>
            </w:pPr>
            <w:r w:rsidRPr="00D64D6F">
              <w:rPr>
                <w:rFonts w:ascii="Arial Narrow" w:hAnsi="Arial Narrow" w:cs="Calibri"/>
                <w:color w:val="000000"/>
                <w:sz w:val="20"/>
                <w:szCs w:val="20"/>
              </w:rPr>
              <w:t>$</w:t>
            </w:r>
            <w:r w:rsidR="00C47128" w:rsidRPr="00DB7A5A">
              <w:rPr>
                <w:rFonts w:ascii="Arial Narrow" w:hAnsi="Arial Narrow" w:cs="Calibri"/>
                <w:color w:val="000000"/>
                <w:spacing w:val="50"/>
                <w:sz w:val="20"/>
                <w:szCs w:val="20"/>
                <w:shd w:val="solid" w:color="000000" w:fill="000000"/>
                <w:fitText w:val="508" w:id="-1236585969"/>
                <w14:textFill>
                  <w14:solidFill>
                    <w14:srgbClr w14:val="000000">
                      <w14:alpha w14:val="100000"/>
                    </w14:srgbClr>
                  </w14:solidFill>
                </w14:textFill>
              </w:rPr>
              <w:t>|||||</w:t>
            </w:r>
            <w:r w:rsidR="00C47128" w:rsidRPr="00DB7A5A">
              <w:rPr>
                <w:rFonts w:ascii="Arial Narrow" w:hAnsi="Arial Narrow" w:cs="Calibri"/>
                <w:color w:val="000000"/>
                <w:spacing w:val="3"/>
                <w:sz w:val="20"/>
                <w:szCs w:val="20"/>
                <w:shd w:val="solid" w:color="000000" w:fill="000000"/>
                <w:fitText w:val="508" w:id="-1236585969"/>
                <w14:textFill>
                  <w14:solidFill>
                    <w14:srgbClr w14:val="000000">
                      <w14:alpha w14:val="100000"/>
                    </w14:srgbClr>
                  </w14:solidFill>
                </w14:textFill>
              </w:rPr>
              <w:t>|</w:t>
            </w:r>
          </w:p>
        </w:tc>
        <w:tc>
          <w:tcPr>
            <w:tcW w:w="1003" w:type="pct"/>
            <w:gridSpan w:val="2"/>
            <w:vMerge w:val="restart"/>
            <w:shd w:val="clear" w:color="auto" w:fill="auto"/>
          </w:tcPr>
          <w:p w14:paraId="736790DC" w14:textId="77777777" w:rsidR="0045010A" w:rsidRPr="00D64D6F" w:rsidRDefault="0045010A" w:rsidP="00884BEB">
            <w:pPr>
              <w:pStyle w:val="TableText0"/>
              <w:tabs>
                <w:tab w:val="left" w:pos="1608"/>
                <w:tab w:val="left" w:pos="2316"/>
                <w:tab w:val="left" w:pos="3025"/>
              </w:tabs>
              <w:jc w:val="center"/>
            </w:pPr>
          </w:p>
        </w:tc>
        <w:tc>
          <w:tcPr>
            <w:tcW w:w="1662" w:type="pct"/>
            <w:vMerge w:val="restart"/>
            <w:shd w:val="clear" w:color="auto" w:fill="auto"/>
            <w:vAlign w:val="center"/>
          </w:tcPr>
          <w:p w14:paraId="672D34B7" w14:textId="77777777" w:rsidR="0045010A" w:rsidRPr="00D64D6F" w:rsidRDefault="0045010A" w:rsidP="00884BEB">
            <w:pPr>
              <w:pStyle w:val="TableText0"/>
            </w:pPr>
          </w:p>
        </w:tc>
      </w:tr>
      <w:tr w:rsidR="0045010A" w:rsidRPr="00D64D6F" w14:paraId="090FE4D2" w14:textId="77777777" w:rsidTr="00884BEB">
        <w:trPr>
          <w:cantSplit/>
        </w:trPr>
        <w:tc>
          <w:tcPr>
            <w:tcW w:w="1063" w:type="pct"/>
            <w:vMerge/>
            <w:shd w:val="clear" w:color="auto" w:fill="auto"/>
            <w:vAlign w:val="center"/>
          </w:tcPr>
          <w:p w14:paraId="2544AC52" w14:textId="77777777" w:rsidR="0045010A" w:rsidRPr="00D64D6F" w:rsidRDefault="0045010A" w:rsidP="00884BEB">
            <w:pPr>
              <w:pStyle w:val="TableText0"/>
              <w:tabs>
                <w:tab w:val="left" w:pos="102"/>
              </w:tabs>
            </w:pPr>
          </w:p>
        </w:tc>
        <w:tc>
          <w:tcPr>
            <w:tcW w:w="788" w:type="pct"/>
            <w:shd w:val="clear" w:color="auto" w:fill="auto"/>
          </w:tcPr>
          <w:p w14:paraId="56937FB5" w14:textId="77777777" w:rsidR="0045010A" w:rsidRPr="00D64D6F" w:rsidRDefault="0045010A" w:rsidP="00884BEB">
            <w:pPr>
              <w:pStyle w:val="TableText0"/>
              <w:tabs>
                <w:tab w:val="left" w:pos="1608"/>
                <w:tab w:val="left" w:pos="2316"/>
                <w:tab w:val="left" w:pos="3025"/>
              </w:tabs>
            </w:pPr>
            <w:r w:rsidRPr="00D64D6F">
              <w:t>Paediatric</w:t>
            </w:r>
          </w:p>
        </w:tc>
        <w:tc>
          <w:tcPr>
            <w:tcW w:w="484" w:type="pct"/>
            <w:shd w:val="clear" w:color="auto" w:fill="auto"/>
            <w:vAlign w:val="bottom"/>
          </w:tcPr>
          <w:p w14:paraId="73972C40" w14:textId="31B45BBB" w:rsidR="0045010A" w:rsidRPr="00D64D6F" w:rsidRDefault="0045010A" w:rsidP="00884BEB">
            <w:pPr>
              <w:jc w:val="center"/>
              <w:rPr>
                <w:rFonts w:ascii="Arial Narrow" w:hAnsi="Arial Narrow" w:cs="Calibri"/>
                <w:color w:val="000000"/>
                <w:sz w:val="20"/>
                <w:szCs w:val="20"/>
              </w:rPr>
            </w:pPr>
            <w:r w:rsidRPr="00D64D6F">
              <w:rPr>
                <w:rFonts w:ascii="Arial Narrow" w:hAnsi="Arial Narrow" w:cs="Calibri"/>
                <w:color w:val="000000"/>
                <w:sz w:val="20"/>
                <w:szCs w:val="20"/>
              </w:rPr>
              <w:t>$</w:t>
            </w:r>
            <w:r w:rsidR="00C47128" w:rsidRPr="00DB7A5A">
              <w:rPr>
                <w:rFonts w:ascii="Arial Narrow" w:hAnsi="Arial Narrow" w:cs="Calibri"/>
                <w:color w:val="000000"/>
                <w:spacing w:val="50"/>
                <w:sz w:val="20"/>
                <w:szCs w:val="20"/>
                <w:shd w:val="solid" w:color="000000" w:fill="000000"/>
                <w:fitText w:val="508" w:id="-1236585968"/>
                <w14:textFill>
                  <w14:solidFill>
                    <w14:srgbClr w14:val="000000">
                      <w14:alpha w14:val="100000"/>
                    </w14:srgbClr>
                  </w14:solidFill>
                </w14:textFill>
              </w:rPr>
              <w:t>|||||</w:t>
            </w:r>
            <w:r w:rsidR="00C47128" w:rsidRPr="00DB7A5A">
              <w:rPr>
                <w:rFonts w:ascii="Arial Narrow" w:hAnsi="Arial Narrow" w:cs="Calibri"/>
                <w:color w:val="000000"/>
                <w:spacing w:val="3"/>
                <w:sz w:val="20"/>
                <w:szCs w:val="20"/>
                <w:shd w:val="solid" w:color="000000" w:fill="000000"/>
                <w:fitText w:val="508" w:id="-1236585968"/>
                <w14:textFill>
                  <w14:solidFill>
                    <w14:srgbClr w14:val="000000">
                      <w14:alpha w14:val="100000"/>
                    </w14:srgbClr>
                  </w14:solidFill>
                </w14:textFill>
              </w:rPr>
              <w:t>|</w:t>
            </w:r>
          </w:p>
        </w:tc>
        <w:tc>
          <w:tcPr>
            <w:tcW w:w="1003" w:type="pct"/>
            <w:gridSpan w:val="2"/>
            <w:vMerge/>
            <w:shd w:val="clear" w:color="auto" w:fill="auto"/>
          </w:tcPr>
          <w:p w14:paraId="098989DD" w14:textId="77777777" w:rsidR="0045010A" w:rsidRPr="00D64D6F" w:rsidRDefault="0045010A" w:rsidP="00884BEB">
            <w:pPr>
              <w:pStyle w:val="TableText0"/>
              <w:tabs>
                <w:tab w:val="left" w:pos="1608"/>
                <w:tab w:val="left" w:pos="2316"/>
                <w:tab w:val="left" w:pos="3025"/>
              </w:tabs>
              <w:jc w:val="center"/>
            </w:pPr>
          </w:p>
        </w:tc>
        <w:tc>
          <w:tcPr>
            <w:tcW w:w="1662" w:type="pct"/>
            <w:vMerge/>
            <w:shd w:val="clear" w:color="auto" w:fill="auto"/>
            <w:vAlign w:val="center"/>
          </w:tcPr>
          <w:p w14:paraId="7C7AAB70" w14:textId="77777777" w:rsidR="0045010A" w:rsidRPr="00D64D6F" w:rsidRDefault="0045010A" w:rsidP="00884BEB">
            <w:pPr>
              <w:pStyle w:val="TableText0"/>
            </w:pPr>
          </w:p>
        </w:tc>
      </w:tr>
      <w:tr w:rsidR="0045010A" w:rsidRPr="00D64D6F" w14:paraId="6CFE16E1" w14:textId="77777777" w:rsidTr="00884BEB">
        <w:trPr>
          <w:cantSplit/>
        </w:trPr>
        <w:tc>
          <w:tcPr>
            <w:tcW w:w="1063" w:type="pct"/>
            <w:vMerge w:val="restart"/>
            <w:shd w:val="clear" w:color="auto" w:fill="auto"/>
            <w:vAlign w:val="center"/>
          </w:tcPr>
          <w:p w14:paraId="41CA0CF4" w14:textId="77777777" w:rsidR="0045010A" w:rsidRPr="00D64D6F" w:rsidRDefault="0045010A" w:rsidP="00884BEB">
            <w:pPr>
              <w:pStyle w:val="TableText0"/>
              <w:tabs>
                <w:tab w:val="left" w:pos="102"/>
              </w:tabs>
            </w:pPr>
            <w:r w:rsidRPr="00D64D6F">
              <w:tab/>
              <w:t>Per vial</w:t>
            </w:r>
          </w:p>
        </w:tc>
        <w:tc>
          <w:tcPr>
            <w:tcW w:w="788" w:type="pct"/>
            <w:shd w:val="clear" w:color="auto" w:fill="auto"/>
          </w:tcPr>
          <w:p w14:paraId="7F5FBD1C" w14:textId="77777777" w:rsidR="0045010A" w:rsidRPr="00D64D6F" w:rsidRDefault="0045010A" w:rsidP="00884BEB">
            <w:pPr>
              <w:pStyle w:val="TableText0"/>
              <w:tabs>
                <w:tab w:val="left" w:pos="1608"/>
                <w:tab w:val="left" w:pos="2316"/>
                <w:tab w:val="left" w:pos="3025"/>
              </w:tabs>
            </w:pPr>
            <w:r w:rsidRPr="00D64D6F">
              <w:t>300 mg vial</w:t>
            </w:r>
          </w:p>
        </w:tc>
        <w:tc>
          <w:tcPr>
            <w:tcW w:w="484" w:type="pct"/>
            <w:shd w:val="clear" w:color="auto" w:fill="auto"/>
            <w:vAlign w:val="bottom"/>
          </w:tcPr>
          <w:p w14:paraId="16E6DE86" w14:textId="1FD1CD04" w:rsidR="0045010A" w:rsidRPr="00D64D6F" w:rsidRDefault="0045010A" w:rsidP="00884BEB">
            <w:pPr>
              <w:jc w:val="center"/>
              <w:rPr>
                <w:rFonts w:ascii="Arial Narrow" w:hAnsi="Arial Narrow" w:cs="Calibri"/>
                <w:color w:val="000000"/>
                <w:sz w:val="20"/>
                <w:szCs w:val="20"/>
              </w:rPr>
            </w:pPr>
            <w:r w:rsidRPr="00D64D6F">
              <w:rPr>
                <w:rFonts w:ascii="Arial Narrow" w:hAnsi="Arial Narrow" w:cs="Calibri"/>
                <w:color w:val="000000"/>
                <w:sz w:val="20"/>
                <w:szCs w:val="20"/>
              </w:rPr>
              <w:t>$</w:t>
            </w:r>
            <w:r w:rsidR="00C47128" w:rsidRPr="00DB7A5A">
              <w:rPr>
                <w:rFonts w:ascii="Arial Narrow" w:hAnsi="Arial Narrow" w:cs="Calibri"/>
                <w:color w:val="000000"/>
                <w:spacing w:val="50"/>
                <w:sz w:val="20"/>
                <w:szCs w:val="20"/>
                <w:shd w:val="solid" w:color="000000" w:fill="000000"/>
                <w:fitText w:val="508" w:id="-1236585984"/>
                <w14:textFill>
                  <w14:solidFill>
                    <w14:srgbClr w14:val="000000">
                      <w14:alpha w14:val="100000"/>
                    </w14:srgbClr>
                  </w14:solidFill>
                </w14:textFill>
              </w:rPr>
              <w:t>|||||</w:t>
            </w:r>
            <w:r w:rsidR="00C47128" w:rsidRPr="00DB7A5A">
              <w:rPr>
                <w:rFonts w:ascii="Arial Narrow" w:hAnsi="Arial Narrow" w:cs="Calibri"/>
                <w:color w:val="000000"/>
                <w:spacing w:val="3"/>
                <w:sz w:val="20"/>
                <w:szCs w:val="20"/>
                <w:shd w:val="solid" w:color="000000" w:fill="000000"/>
                <w:fitText w:val="508" w:id="-1236585984"/>
                <w14:textFill>
                  <w14:solidFill>
                    <w14:srgbClr w14:val="000000">
                      <w14:alpha w14:val="100000"/>
                    </w14:srgbClr>
                  </w14:solidFill>
                </w14:textFill>
              </w:rPr>
              <w:t>|</w:t>
            </w:r>
          </w:p>
        </w:tc>
        <w:tc>
          <w:tcPr>
            <w:tcW w:w="1003" w:type="pct"/>
            <w:gridSpan w:val="2"/>
            <w:vMerge/>
            <w:shd w:val="clear" w:color="auto" w:fill="auto"/>
          </w:tcPr>
          <w:p w14:paraId="31F37E31" w14:textId="77777777" w:rsidR="0045010A" w:rsidRPr="00D64D6F" w:rsidRDefault="0045010A" w:rsidP="00884BEB">
            <w:pPr>
              <w:pStyle w:val="TableText0"/>
              <w:tabs>
                <w:tab w:val="left" w:pos="1608"/>
                <w:tab w:val="left" w:pos="2316"/>
                <w:tab w:val="left" w:pos="3025"/>
              </w:tabs>
              <w:jc w:val="center"/>
            </w:pPr>
          </w:p>
        </w:tc>
        <w:tc>
          <w:tcPr>
            <w:tcW w:w="1662" w:type="pct"/>
            <w:vMerge/>
            <w:shd w:val="clear" w:color="auto" w:fill="auto"/>
            <w:vAlign w:val="center"/>
          </w:tcPr>
          <w:p w14:paraId="653CEA87" w14:textId="77777777" w:rsidR="0045010A" w:rsidRPr="00D64D6F" w:rsidRDefault="0045010A" w:rsidP="00884BEB">
            <w:pPr>
              <w:pStyle w:val="TableText0"/>
            </w:pPr>
          </w:p>
        </w:tc>
      </w:tr>
      <w:tr w:rsidR="0045010A" w:rsidRPr="00D64D6F" w14:paraId="287646B5" w14:textId="77777777" w:rsidTr="00884BEB">
        <w:trPr>
          <w:cantSplit/>
        </w:trPr>
        <w:tc>
          <w:tcPr>
            <w:tcW w:w="1063" w:type="pct"/>
            <w:vMerge/>
            <w:shd w:val="clear" w:color="auto" w:fill="auto"/>
            <w:vAlign w:val="center"/>
          </w:tcPr>
          <w:p w14:paraId="6AC0ADC5" w14:textId="77777777" w:rsidR="0045010A" w:rsidRPr="00D64D6F" w:rsidRDefault="0045010A" w:rsidP="00884BEB">
            <w:pPr>
              <w:pStyle w:val="TableText0"/>
              <w:tabs>
                <w:tab w:val="left" w:pos="102"/>
              </w:tabs>
            </w:pPr>
          </w:p>
        </w:tc>
        <w:tc>
          <w:tcPr>
            <w:tcW w:w="788" w:type="pct"/>
            <w:shd w:val="clear" w:color="auto" w:fill="auto"/>
          </w:tcPr>
          <w:p w14:paraId="7CD75E77" w14:textId="77777777" w:rsidR="0045010A" w:rsidRPr="00D64D6F" w:rsidRDefault="0045010A" w:rsidP="00884BEB">
            <w:pPr>
              <w:pStyle w:val="TableText0"/>
              <w:tabs>
                <w:tab w:val="left" w:pos="1608"/>
                <w:tab w:val="left" w:pos="2316"/>
                <w:tab w:val="left" w:pos="3025"/>
              </w:tabs>
            </w:pPr>
            <w:r w:rsidRPr="00D64D6F">
              <w:t>1,100 mg vial</w:t>
            </w:r>
          </w:p>
        </w:tc>
        <w:tc>
          <w:tcPr>
            <w:tcW w:w="484" w:type="pct"/>
            <w:shd w:val="clear" w:color="auto" w:fill="auto"/>
            <w:vAlign w:val="bottom"/>
          </w:tcPr>
          <w:p w14:paraId="6D4FFDC1" w14:textId="4F0475A3" w:rsidR="0045010A" w:rsidRPr="00D64D6F" w:rsidRDefault="0045010A" w:rsidP="00884BEB">
            <w:pPr>
              <w:jc w:val="center"/>
              <w:rPr>
                <w:rFonts w:ascii="Arial Narrow" w:hAnsi="Arial Narrow" w:cs="Calibri"/>
                <w:color w:val="000000"/>
                <w:sz w:val="20"/>
                <w:szCs w:val="20"/>
              </w:rPr>
            </w:pPr>
            <w:r w:rsidRPr="00D64D6F">
              <w:rPr>
                <w:rFonts w:ascii="Arial Narrow" w:hAnsi="Arial Narrow" w:cs="Calibri"/>
                <w:color w:val="000000"/>
                <w:sz w:val="20"/>
                <w:szCs w:val="20"/>
              </w:rPr>
              <w:t>$</w:t>
            </w:r>
            <w:r w:rsidR="00C47128" w:rsidRPr="00DB7A5A">
              <w:rPr>
                <w:rFonts w:ascii="Arial Narrow" w:hAnsi="Arial Narrow" w:cs="Calibri"/>
                <w:color w:val="000000"/>
                <w:spacing w:val="50"/>
                <w:sz w:val="20"/>
                <w:szCs w:val="20"/>
                <w:shd w:val="solid" w:color="000000" w:fill="000000"/>
                <w:fitText w:val="508" w:id="-1236585983"/>
                <w14:textFill>
                  <w14:solidFill>
                    <w14:srgbClr w14:val="000000">
                      <w14:alpha w14:val="100000"/>
                    </w14:srgbClr>
                  </w14:solidFill>
                </w14:textFill>
              </w:rPr>
              <w:t>|||||</w:t>
            </w:r>
            <w:r w:rsidR="00C47128" w:rsidRPr="00DB7A5A">
              <w:rPr>
                <w:rFonts w:ascii="Arial Narrow" w:hAnsi="Arial Narrow" w:cs="Calibri"/>
                <w:color w:val="000000"/>
                <w:spacing w:val="3"/>
                <w:sz w:val="20"/>
                <w:szCs w:val="20"/>
                <w:shd w:val="solid" w:color="000000" w:fill="000000"/>
                <w:fitText w:val="508" w:id="-1236585983"/>
                <w14:textFill>
                  <w14:solidFill>
                    <w14:srgbClr w14:val="000000">
                      <w14:alpha w14:val="100000"/>
                    </w14:srgbClr>
                  </w14:solidFill>
                </w14:textFill>
              </w:rPr>
              <w:t>|</w:t>
            </w:r>
          </w:p>
        </w:tc>
        <w:tc>
          <w:tcPr>
            <w:tcW w:w="1003" w:type="pct"/>
            <w:gridSpan w:val="2"/>
            <w:vMerge/>
            <w:shd w:val="clear" w:color="auto" w:fill="auto"/>
          </w:tcPr>
          <w:p w14:paraId="30C6BF23" w14:textId="77777777" w:rsidR="0045010A" w:rsidRPr="00D64D6F" w:rsidRDefault="0045010A" w:rsidP="00884BEB">
            <w:pPr>
              <w:pStyle w:val="TableText0"/>
              <w:tabs>
                <w:tab w:val="left" w:pos="1608"/>
                <w:tab w:val="left" w:pos="2316"/>
                <w:tab w:val="left" w:pos="3025"/>
              </w:tabs>
              <w:jc w:val="center"/>
            </w:pPr>
          </w:p>
        </w:tc>
        <w:tc>
          <w:tcPr>
            <w:tcW w:w="1662" w:type="pct"/>
            <w:vMerge/>
            <w:shd w:val="clear" w:color="auto" w:fill="auto"/>
            <w:vAlign w:val="center"/>
          </w:tcPr>
          <w:p w14:paraId="539F7C74" w14:textId="77777777" w:rsidR="0045010A" w:rsidRPr="00D64D6F" w:rsidRDefault="0045010A" w:rsidP="00884BEB">
            <w:pPr>
              <w:pStyle w:val="TableText0"/>
            </w:pPr>
          </w:p>
        </w:tc>
      </w:tr>
      <w:tr w:rsidR="0045010A" w:rsidRPr="00D64D6F" w14:paraId="366F57CF" w14:textId="77777777" w:rsidTr="00884BEB">
        <w:trPr>
          <w:cantSplit/>
        </w:trPr>
        <w:tc>
          <w:tcPr>
            <w:tcW w:w="5000" w:type="pct"/>
            <w:gridSpan w:val="6"/>
            <w:shd w:val="clear" w:color="auto" w:fill="auto"/>
            <w:vAlign w:val="center"/>
          </w:tcPr>
          <w:p w14:paraId="5C835C0D" w14:textId="013781D2" w:rsidR="0045010A" w:rsidRPr="00D64D6F" w:rsidRDefault="0045010A" w:rsidP="00884BEB">
            <w:pPr>
              <w:pStyle w:val="TableText0"/>
              <w:rPr>
                <w:b/>
                <w:bCs w:val="0"/>
              </w:rPr>
            </w:pPr>
            <w:r w:rsidRPr="00D64D6F">
              <w:rPr>
                <w:b/>
                <w:bCs w:val="0"/>
              </w:rPr>
              <w:t xml:space="preserve">Price reduction – </w:t>
            </w:r>
            <w:r w:rsidR="003F6C25" w:rsidRPr="003F6C25">
              <w:rPr>
                <w:b/>
                <w:bCs w:val="0"/>
                <w:color w:val="000000"/>
                <w:spacing w:val="18"/>
                <w:shd w:val="solid" w:color="000000" w:fill="000000"/>
                <w:fitText w:val="1920" w:id="-1230827264"/>
                <w14:textFill>
                  <w14:solidFill>
                    <w14:srgbClr w14:val="000000">
                      <w14:alpha w14:val="100000"/>
                    </w14:srgbClr>
                  </w14:solidFill>
                </w14:textFill>
              </w:rPr>
              <w:t>||||||||||||||||||||||||||||||</w:t>
            </w:r>
            <w:r w:rsidR="003F6C25">
              <w:rPr>
                <w:b/>
                <w:bCs w:val="0"/>
              </w:rPr>
              <w:t xml:space="preserve"> </w:t>
            </w:r>
            <w:r w:rsidRPr="00D64D6F">
              <w:rPr>
                <w:b/>
                <w:bCs w:val="0"/>
              </w:rPr>
              <w:t>removed</w:t>
            </w:r>
            <w:r w:rsidR="007322C0" w:rsidRPr="00D64D6F">
              <w:rPr>
                <w:b/>
                <w:bCs w:val="0"/>
              </w:rPr>
              <w:t xml:space="preserve"> </w:t>
            </w:r>
            <w:r w:rsidR="007322C0" w:rsidRPr="00D64D6F">
              <w:rPr>
                <w:rStyle w:val="CommentReference"/>
                <w:szCs w:val="24"/>
              </w:rPr>
              <w:t>(base case proposed in submission)</w:t>
            </w:r>
          </w:p>
        </w:tc>
      </w:tr>
      <w:tr w:rsidR="0045010A" w:rsidRPr="00D64D6F" w14:paraId="400FCE06" w14:textId="77777777" w:rsidTr="00884BEB">
        <w:trPr>
          <w:cantSplit/>
        </w:trPr>
        <w:tc>
          <w:tcPr>
            <w:tcW w:w="1063" w:type="pct"/>
            <w:shd w:val="clear" w:color="auto" w:fill="auto"/>
            <w:vAlign w:val="center"/>
          </w:tcPr>
          <w:p w14:paraId="6888680E" w14:textId="77777777" w:rsidR="0045010A" w:rsidRPr="00D64D6F" w:rsidRDefault="0045010A" w:rsidP="00884BEB">
            <w:pPr>
              <w:pStyle w:val="TableText0"/>
              <w:tabs>
                <w:tab w:val="left" w:pos="102"/>
              </w:tabs>
            </w:pPr>
          </w:p>
        </w:tc>
        <w:tc>
          <w:tcPr>
            <w:tcW w:w="788" w:type="pct"/>
            <w:shd w:val="clear" w:color="auto" w:fill="auto"/>
          </w:tcPr>
          <w:p w14:paraId="540CC258" w14:textId="77777777" w:rsidR="0045010A" w:rsidRPr="00D64D6F" w:rsidRDefault="0045010A" w:rsidP="00884BEB">
            <w:pPr>
              <w:pStyle w:val="TableText0"/>
              <w:tabs>
                <w:tab w:val="left" w:pos="1608"/>
                <w:tab w:val="left" w:pos="2316"/>
                <w:tab w:val="left" w:pos="3025"/>
              </w:tabs>
            </w:pPr>
          </w:p>
        </w:tc>
        <w:tc>
          <w:tcPr>
            <w:tcW w:w="484" w:type="pct"/>
            <w:shd w:val="clear" w:color="auto" w:fill="auto"/>
            <w:vAlign w:val="bottom"/>
          </w:tcPr>
          <w:p w14:paraId="08887AF8" w14:textId="77777777" w:rsidR="0045010A" w:rsidRPr="00D64D6F" w:rsidRDefault="0045010A" w:rsidP="00884BEB">
            <w:pPr>
              <w:jc w:val="center"/>
              <w:rPr>
                <w:rFonts w:ascii="Arial Narrow" w:hAnsi="Arial Narrow" w:cs="Calibri"/>
                <w:b/>
                <w:bCs/>
                <w:color w:val="000000"/>
                <w:sz w:val="20"/>
                <w:szCs w:val="20"/>
              </w:rPr>
            </w:pPr>
            <w:r w:rsidRPr="00D64D6F">
              <w:rPr>
                <w:rFonts w:ascii="Arial Narrow" w:hAnsi="Arial Narrow" w:cs="Calibri"/>
                <w:b/>
                <w:bCs/>
                <w:color w:val="000000"/>
                <w:sz w:val="20"/>
                <w:szCs w:val="20"/>
              </w:rPr>
              <w:t>Adult</w:t>
            </w:r>
          </w:p>
        </w:tc>
        <w:tc>
          <w:tcPr>
            <w:tcW w:w="484" w:type="pct"/>
            <w:shd w:val="clear" w:color="auto" w:fill="auto"/>
          </w:tcPr>
          <w:p w14:paraId="76E23D21" w14:textId="77777777" w:rsidR="0045010A" w:rsidRPr="00D64D6F" w:rsidRDefault="0045010A" w:rsidP="00884BEB">
            <w:pPr>
              <w:pStyle w:val="TableText0"/>
              <w:tabs>
                <w:tab w:val="left" w:pos="1608"/>
                <w:tab w:val="left" w:pos="2316"/>
                <w:tab w:val="left" w:pos="3025"/>
              </w:tabs>
              <w:jc w:val="center"/>
              <w:rPr>
                <w:b/>
              </w:rPr>
            </w:pPr>
            <w:r w:rsidRPr="00D64D6F">
              <w:rPr>
                <w:b/>
              </w:rPr>
              <w:t>Paediatric</w:t>
            </w:r>
          </w:p>
        </w:tc>
        <w:tc>
          <w:tcPr>
            <w:tcW w:w="519" w:type="pct"/>
            <w:shd w:val="clear" w:color="auto" w:fill="auto"/>
          </w:tcPr>
          <w:p w14:paraId="60500E4D" w14:textId="77777777" w:rsidR="0045010A" w:rsidRPr="00D64D6F" w:rsidRDefault="0045010A" w:rsidP="00884BEB">
            <w:pPr>
              <w:pStyle w:val="TableText0"/>
              <w:tabs>
                <w:tab w:val="left" w:pos="1608"/>
                <w:tab w:val="left" w:pos="2316"/>
                <w:tab w:val="left" w:pos="3025"/>
              </w:tabs>
              <w:jc w:val="center"/>
              <w:rPr>
                <w:b/>
                <w:bCs w:val="0"/>
              </w:rPr>
            </w:pPr>
            <w:r w:rsidRPr="00D64D6F">
              <w:rPr>
                <w:b/>
                <w:bCs w:val="0"/>
              </w:rPr>
              <w:t>Weighted</w:t>
            </w:r>
          </w:p>
        </w:tc>
        <w:tc>
          <w:tcPr>
            <w:tcW w:w="1662" w:type="pct"/>
            <w:vMerge w:val="restart"/>
            <w:shd w:val="clear" w:color="auto" w:fill="auto"/>
            <w:vAlign w:val="center"/>
          </w:tcPr>
          <w:p w14:paraId="7A418ECA" w14:textId="77777777" w:rsidR="0045010A" w:rsidRPr="00D64D6F" w:rsidRDefault="0045010A" w:rsidP="00884BEB">
            <w:pPr>
              <w:pStyle w:val="TableText0"/>
            </w:pPr>
          </w:p>
        </w:tc>
      </w:tr>
      <w:tr w:rsidR="0045010A" w:rsidRPr="00D64D6F" w14:paraId="351797CF" w14:textId="77777777" w:rsidTr="00884BEB">
        <w:trPr>
          <w:cantSplit/>
        </w:trPr>
        <w:tc>
          <w:tcPr>
            <w:tcW w:w="1063" w:type="pct"/>
            <w:shd w:val="clear" w:color="auto" w:fill="auto"/>
            <w:vAlign w:val="center"/>
          </w:tcPr>
          <w:p w14:paraId="395F92B9" w14:textId="77777777" w:rsidR="0045010A" w:rsidRPr="00D64D6F" w:rsidRDefault="0045010A" w:rsidP="00884BEB">
            <w:pPr>
              <w:pStyle w:val="TableText0"/>
              <w:tabs>
                <w:tab w:val="left" w:pos="102"/>
              </w:tabs>
            </w:pPr>
            <w:r w:rsidRPr="00D64D6F">
              <w:tab/>
              <w:t>Cost-minimised price</w:t>
            </w:r>
          </w:p>
        </w:tc>
        <w:tc>
          <w:tcPr>
            <w:tcW w:w="788" w:type="pct"/>
            <w:shd w:val="clear" w:color="auto" w:fill="auto"/>
          </w:tcPr>
          <w:p w14:paraId="228C952E" w14:textId="77777777" w:rsidR="0045010A" w:rsidRPr="00D64D6F" w:rsidRDefault="0045010A" w:rsidP="00884BEB">
            <w:pPr>
              <w:pStyle w:val="TableText0"/>
              <w:tabs>
                <w:tab w:val="left" w:pos="1608"/>
                <w:tab w:val="left" w:pos="2316"/>
                <w:tab w:val="left" w:pos="3025"/>
              </w:tabs>
            </w:pPr>
          </w:p>
        </w:tc>
        <w:tc>
          <w:tcPr>
            <w:tcW w:w="484" w:type="pct"/>
            <w:shd w:val="clear" w:color="auto" w:fill="auto"/>
            <w:vAlign w:val="bottom"/>
          </w:tcPr>
          <w:p w14:paraId="0643D49D" w14:textId="5C8CC517" w:rsidR="0045010A" w:rsidRPr="00D64D6F" w:rsidRDefault="0045010A" w:rsidP="00884BEB">
            <w:pPr>
              <w:jc w:val="center"/>
              <w:rPr>
                <w:rFonts w:ascii="Arial Narrow" w:hAnsi="Arial Narrow" w:cs="Calibri"/>
                <w:color w:val="000000"/>
                <w:sz w:val="20"/>
                <w:szCs w:val="20"/>
              </w:rPr>
            </w:pPr>
            <w:r w:rsidRPr="00D64D6F">
              <w:rPr>
                <w:rFonts w:ascii="Arial Narrow" w:hAnsi="Arial Narrow" w:cs="Calibri"/>
                <w:color w:val="000000"/>
                <w:sz w:val="20"/>
                <w:szCs w:val="20"/>
              </w:rPr>
              <w:t>$</w:t>
            </w:r>
            <w:r w:rsidR="00C47128" w:rsidRPr="00DB7A5A">
              <w:rPr>
                <w:rFonts w:ascii="Arial Narrow" w:hAnsi="Arial Narrow" w:cs="Calibri"/>
                <w:color w:val="000000"/>
                <w:spacing w:val="50"/>
                <w:sz w:val="20"/>
                <w:szCs w:val="20"/>
                <w:shd w:val="solid" w:color="000000" w:fill="000000"/>
                <w:fitText w:val="508" w:id="-1236585982"/>
                <w14:textFill>
                  <w14:solidFill>
                    <w14:srgbClr w14:val="000000">
                      <w14:alpha w14:val="100000"/>
                    </w14:srgbClr>
                  </w14:solidFill>
                </w14:textFill>
              </w:rPr>
              <w:t>|||||</w:t>
            </w:r>
            <w:r w:rsidR="00C47128" w:rsidRPr="00DB7A5A">
              <w:rPr>
                <w:rFonts w:ascii="Arial Narrow" w:hAnsi="Arial Narrow" w:cs="Calibri"/>
                <w:color w:val="000000"/>
                <w:spacing w:val="3"/>
                <w:sz w:val="20"/>
                <w:szCs w:val="20"/>
                <w:shd w:val="solid" w:color="000000" w:fill="000000"/>
                <w:fitText w:val="508" w:id="-1236585982"/>
                <w14:textFill>
                  <w14:solidFill>
                    <w14:srgbClr w14:val="000000">
                      <w14:alpha w14:val="100000"/>
                    </w14:srgbClr>
                  </w14:solidFill>
                </w14:textFill>
              </w:rPr>
              <w:t>|</w:t>
            </w:r>
          </w:p>
        </w:tc>
        <w:tc>
          <w:tcPr>
            <w:tcW w:w="484" w:type="pct"/>
            <w:shd w:val="clear" w:color="auto" w:fill="auto"/>
          </w:tcPr>
          <w:p w14:paraId="734048C6" w14:textId="41F90EF8" w:rsidR="0045010A" w:rsidRPr="00D64D6F" w:rsidRDefault="0045010A" w:rsidP="00884BEB">
            <w:pPr>
              <w:pStyle w:val="TableText0"/>
              <w:tabs>
                <w:tab w:val="left" w:pos="1608"/>
                <w:tab w:val="left" w:pos="2316"/>
                <w:tab w:val="left" w:pos="3025"/>
              </w:tabs>
              <w:jc w:val="center"/>
            </w:pPr>
            <w:r w:rsidRPr="00D64D6F">
              <w:t>$</w:t>
            </w:r>
            <w:r w:rsidR="00C47128" w:rsidRPr="00DB7A5A">
              <w:rPr>
                <w:color w:val="000000"/>
                <w:spacing w:val="50"/>
                <w:shd w:val="solid" w:color="000000" w:fill="000000"/>
                <w:fitText w:val="508" w:id="-1236585981"/>
                <w14:textFill>
                  <w14:solidFill>
                    <w14:srgbClr w14:val="000000">
                      <w14:alpha w14:val="100000"/>
                    </w14:srgbClr>
                  </w14:solidFill>
                </w14:textFill>
              </w:rPr>
              <w:t>|||||</w:t>
            </w:r>
            <w:r w:rsidR="00C47128" w:rsidRPr="00DB7A5A">
              <w:rPr>
                <w:color w:val="000000"/>
                <w:spacing w:val="3"/>
                <w:shd w:val="solid" w:color="000000" w:fill="000000"/>
                <w:fitText w:val="508" w:id="-1236585981"/>
                <w14:textFill>
                  <w14:solidFill>
                    <w14:srgbClr w14:val="000000">
                      <w14:alpha w14:val="100000"/>
                    </w14:srgbClr>
                  </w14:solidFill>
                </w14:textFill>
              </w:rPr>
              <w:t>|</w:t>
            </w:r>
          </w:p>
        </w:tc>
        <w:tc>
          <w:tcPr>
            <w:tcW w:w="519" w:type="pct"/>
            <w:shd w:val="clear" w:color="auto" w:fill="auto"/>
          </w:tcPr>
          <w:p w14:paraId="0434C78C" w14:textId="77777777" w:rsidR="0045010A" w:rsidRPr="00D64D6F" w:rsidRDefault="0045010A" w:rsidP="00884BEB">
            <w:pPr>
              <w:pStyle w:val="TableText0"/>
              <w:tabs>
                <w:tab w:val="left" w:pos="1608"/>
                <w:tab w:val="left" w:pos="2316"/>
                <w:tab w:val="left" w:pos="3025"/>
              </w:tabs>
              <w:jc w:val="center"/>
            </w:pPr>
            <w:r w:rsidRPr="00D64D6F">
              <w:t>-</w:t>
            </w:r>
          </w:p>
        </w:tc>
        <w:tc>
          <w:tcPr>
            <w:tcW w:w="1662" w:type="pct"/>
            <w:vMerge/>
            <w:shd w:val="clear" w:color="auto" w:fill="auto"/>
            <w:vAlign w:val="center"/>
          </w:tcPr>
          <w:p w14:paraId="77D803D2" w14:textId="77777777" w:rsidR="0045010A" w:rsidRPr="00D64D6F" w:rsidRDefault="0045010A" w:rsidP="00884BEB">
            <w:pPr>
              <w:pStyle w:val="TableText0"/>
            </w:pPr>
          </w:p>
        </w:tc>
      </w:tr>
      <w:tr w:rsidR="0045010A" w:rsidRPr="00D64D6F" w14:paraId="691C4F83" w14:textId="77777777" w:rsidTr="00884BEB">
        <w:trPr>
          <w:cantSplit/>
        </w:trPr>
        <w:tc>
          <w:tcPr>
            <w:tcW w:w="1063" w:type="pct"/>
            <w:shd w:val="clear" w:color="auto" w:fill="auto"/>
            <w:vAlign w:val="center"/>
          </w:tcPr>
          <w:p w14:paraId="6527B83D" w14:textId="77777777" w:rsidR="0045010A" w:rsidRPr="00D64D6F" w:rsidRDefault="0045010A" w:rsidP="00884BEB">
            <w:pPr>
              <w:pStyle w:val="TableText0"/>
              <w:tabs>
                <w:tab w:val="left" w:pos="102"/>
              </w:tabs>
            </w:pPr>
            <w:r w:rsidRPr="00D64D6F">
              <w:tab/>
              <w:t>Per mg</w:t>
            </w:r>
          </w:p>
        </w:tc>
        <w:tc>
          <w:tcPr>
            <w:tcW w:w="788" w:type="pct"/>
            <w:shd w:val="clear" w:color="auto" w:fill="auto"/>
          </w:tcPr>
          <w:p w14:paraId="3FD3E669" w14:textId="77777777" w:rsidR="0045010A" w:rsidRPr="00D64D6F" w:rsidRDefault="0045010A" w:rsidP="00884BEB">
            <w:pPr>
              <w:pStyle w:val="TableText0"/>
              <w:tabs>
                <w:tab w:val="left" w:pos="1608"/>
                <w:tab w:val="left" w:pos="2316"/>
                <w:tab w:val="left" w:pos="3025"/>
              </w:tabs>
            </w:pPr>
          </w:p>
        </w:tc>
        <w:tc>
          <w:tcPr>
            <w:tcW w:w="484" w:type="pct"/>
            <w:shd w:val="clear" w:color="auto" w:fill="auto"/>
            <w:vAlign w:val="bottom"/>
          </w:tcPr>
          <w:p w14:paraId="3F3B135A" w14:textId="7D47C105" w:rsidR="0045010A" w:rsidRPr="00D64D6F" w:rsidRDefault="0045010A" w:rsidP="00884BEB">
            <w:pPr>
              <w:jc w:val="center"/>
              <w:rPr>
                <w:rFonts w:ascii="Arial Narrow" w:hAnsi="Arial Narrow" w:cs="Calibri"/>
                <w:color w:val="000000"/>
                <w:sz w:val="20"/>
                <w:szCs w:val="20"/>
              </w:rPr>
            </w:pPr>
            <w:r w:rsidRPr="00D64D6F">
              <w:rPr>
                <w:rFonts w:ascii="Arial Narrow" w:hAnsi="Arial Narrow" w:cs="Calibri"/>
                <w:color w:val="000000"/>
                <w:sz w:val="20"/>
                <w:szCs w:val="20"/>
              </w:rPr>
              <w:t>$</w:t>
            </w:r>
            <w:r w:rsidR="00C47128" w:rsidRPr="00DB7A5A">
              <w:rPr>
                <w:rFonts w:ascii="Arial Narrow" w:hAnsi="Arial Narrow" w:cs="Calibri"/>
                <w:color w:val="000000"/>
                <w:spacing w:val="50"/>
                <w:sz w:val="20"/>
                <w:szCs w:val="20"/>
                <w:shd w:val="solid" w:color="000000" w:fill="000000"/>
                <w:fitText w:val="508" w:id="-1236585980"/>
                <w14:textFill>
                  <w14:solidFill>
                    <w14:srgbClr w14:val="000000">
                      <w14:alpha w14:val="100000"/>
                    </w14:srgbClr>
                  </w14:solidFill>
                </w14:textFill>
              </w:rPr>
              <w:t>|||||</w:t>
            </w:r>
            <w:r w:rsidR="00C47128" w:rsidRPr="00DB7A5A">
              <w:rPr>
                <w:rFonts w:ascii="Arial Narrow" w:hAnsi="Arial Narrow" w:cs="Calibri"/>
                <w:color w:val="000000"/>
                <w:spacing w:val="3"/>
                <w:sz w:val="20"/>
                <w:szCs w:val="20"/>
                <w:shd w:val="solid" w:color="000000" w:fill="000000"/>
                <w:fitText w:val="508" w:id="-1236585980"/>
                <w14:textFill>
                  <w14:solidFill>
                    <w14:srgbClr w14:val="000000">
                      <w14:alpha w14:val="100000"/>
                    </w14:srgbClr>
                  </w14:solidFill>
                </w14:textFill>
              </w:rPr>
              <w:t>|</w:t>
            </w:r>
          </w:p>
        </w:tc>
        <w:tc>
          <w:tcPr>
            <w:tcW w:w="484" w:type="pct"/>
            <w:shd w:val="clear" w:color="auto" w:fill="auto"/>
          </w:tcPr>
          <w:p w14:paraId="586228EE" w14:textId="6629560F" w:rsidR="0045010A" w:rsidRPr="00D64D6F" w:rsidRDefault="0045010A" w:rsidP="00884BEB">
            <w:pPr>
              <w:pStyle w:val="TableText0"/>
              <w:tabs>
                <w:tab w:val="left" w:pos="1608"/>
                <w:tab w:val="left" w:pos="2316"/>
                <w:tab w:val="left" w:pos="3025"/>
              </w:tabs>
              <w:jc w:val="center"/>
            </w:pPr>
            <w:r w:rsidRPr="00D64D6F">
              <w:t>$</w:t>
            </w:r>
            <w:r w:rsidR="00C47128" w:rsidRPr="00DB7A5A">
              <w:rPr>
                <w:color w:val="000000"/>
                <w:spacing w:val="50"/>
                <w:shd w:val="solid" w:color="000000" w:fill="000000"/>
                <w:fitText w:val="508" w:id="-1236585979"/>
                <w14:textFill>
                  <w14:solidFill>
                    <w14:srgbClr w14:val="000000">
                      <w14:alpha w14:val="100000"/>
                    </w14:srgbClr>
                  </w14:solidFill>
                </w14:textFill>
              </w:rPr>
              <w:t>|||||</w:t>
            </w:r>
            <w:r w:rsidR="00C47128" w:rsidRPr="00DB7A5A">
              <w:rPr>
                <w:color w:val="000000"/>
                <w:spacing w:val="3"/>
                <w:shd w:val="solid" w:color="000000" w:fill="000000"/>
                <w:fitText w:val="508" w:id="-1236585979"/>
                <w14:textFill>
                  <w14:solidFill>
                    <w14:srgbClr w14:val="000000">
                      <w14:alpha w14:val="100000"/>
                    </w14:srgbClr>
                  </w14:solidFill>
                </w14:textFill>
              </w:rPr>
              <w:t>|</w:t>
            </w:r>
          </w:p>
        </w:tc>
        <w:tc>
          <w:tcPr>
            <w:tcW w:w="519" w:type="pct"/>
            <w:shd w:val="clear" w:color="auto" w:fill="auto"/>
          </w:tcPr>
          <w:p w14:paraId="48C90601" w14:textId="162B8FF9" w:rsidR="0045010A" w:rsidRPr="001F0E9D" w:rsidRDefault="0045010A" w:rsidP="00884BEB">
            <w:pPr>
              <w:pStyle w:val="TableText0"/>
              <w:tabs>
                <w:tab w:val="left" w:pos="1608"/>
                <w:tab w:val="left" w:pos="2316"/>
                <w:tab w:val="left" w:pos="3025"/>
              </w:tabs>
              <w:jc w:val="center"/>
              <w:rPr>
                <w:b/>
                <w:bCs w:val="0"/>
              </w:rPr>
            </w:pPr>
            <w:r w:rsidRPr="001F0E9D">
              <w:rPr>
                <w:b/>
                <w:bCs w:val="0"/>
              </w:rPr>
              <w:t>$</w:t>
            </w:r>
            <w:r w:rsidR="00C47128" w:rsidRPr="00DB7A5A">
              <w:rPr>
                <w:b/>
                <w:bCs w:val="0"/>
                <w:color w:val="000000"/>
                <w:spacing w:val="25"/>
                <w:shd w:val="solid" w:color="000000" w:fill="000000"/>
                <w:fitText w:val="549" w:id="-1236585978"/>
                <w14:textFill>
                  <w14:solidFill>
                    <w14:srgbClr w14:val="000000">
                      <w14:alpha w14:val="100000"/>
                    </w14:srgbClr>
                  </w14:solidFill>
                </w14:textFill>
              </w:rPr>
              <w:t>|||||||</w:t>
            </w:r>
            <w:r w:rsidR="00C47128" w:rsidRPr="00DB7A5A">
              <w:rPr>
                <w:b/>
                <w:bCs w:val="0"/>
                <w:color w:val="000000"/>
                <w:spacing w:val="7"/>
                <w:shd w:val="solid" w:color="000000" w:fill="000000"/>
                <w:fitText w:val="549" w:id="-1236585978"/>
                <w14:textFill>
                  <w14:solidFill>
                    <w14:srgbClr w14:val="000000">
                      <w14:alpha w14:val="100000"/>
                    </w14:srgbClr>
                  </w14:solidFill>
                </w14:textFill>
              </w:rPr>
              <w:t>|</w:t>
            </w:r>
          </w:p>
        </w:tc>
        <w:tc>
          <w:tcPr>
            <w:tcW w:w="1662" w:type="pct"/>
            <w:vMerge/>
            <w:shd w:val="clear" w:color="auto" w:fill="auto"/>
            <w:vAlign w:val="center"/>
          </w:tcPr>
          <w:p w14:paraId="62F84282" w14:textId="77777777" w:rsidR="0045010A" w:rsidRPr="00D64D6F" w:rsidRDefault="0045010A" w:rsidP="00884BEB">
            <w:pPr>
              <w:pStyle w:val="TableText0"/>
            </w:pPr>
          </w:p>
        </w:tc>
      </w:tr>
      <w:tr w:rsidR="0045010A" w:rsidRPr="00D64D6F" w14:paraId="25DB9F13" w14:textId="77777777" w:rsidTr="00884BEB">
        <w:trPr>
          <w:cantSplit/>
        </w:trPr>
        <w:tc>
          <w:tcPr>
            <w:tcW w:w="1063" w:type="pct"/>
            <w:vMerge w:val="restart"/>
            <w:shd w:val="clear" w:color="auto" w:fill="auto"/>
            <w:vAlign w:val="center"/>
          </w:tcPr>
          <w:p w14:paraId="7E235011" w14:textId="77777777" w:rsidR="0045010A" w:rsidRPr="00D64D6F" w:rsidRDefault="0045010A" w:rsidP="00884BEB">
            <w:pPr>
              <w:pStyle w:val="TableText0"/>
              <w:tabs>
                <w:tab w:val="left" w:pos="102"/>
              </w:tabs>
            </w:pPr>
            <w:r w:rsidRPr="00D64D6F">
              <w:tab/>
              <w:t>Per vial</w:t>
            </w:r>
          </w:p>
        </w:tc>
        <w:tc>
          <w:tcPr>
            <w:tcW w:w="1755" w:type="pct"/>
            <w:gridSpan w:val="3"/>
            <w:shd w:val="clear" w:color="auto" w:fill="auto"/>
          </w:tcPr>
          <w:p w14:paraId="2BC3A991" w14:textId="77777777" w:rsidR="0045010A" w:rsidRPr="00D64D6F" w:rsidRDefault="0045010A" w:rsidP="00884BEB">
            <w:pPr>
              <w:pStyle w:val="TableText0"/>
              <w:tabs>
                <w:tab w:val="left" w:pos="1608"/>
                <w:tab w:val="left" w:pos="2316"/>
                <w:tab w:val="left" w:pos="3025"/>
              </w:tabs>
            </w:pPr>
            <w:r w:rsidRPr="00D64D6F">
              <w:t>300 mg vial</w:t>
            </w:r>
          </w:p>
        </w:tc>
        <w:tc>
          <w:tcPr>
            <w:tcW w:w="519" w:type="pct"/>
            <w:shd w:val="clear" w:color="auto" w:fill="auto"/>
          </w:tcPr>
          <w:p w14:paraId="0C4CF03A" w14:textId="5BA07414" w:rsidR="0045010A" w:rsidRPr="00D64D6F" w:rsidRDefault="0045010A" w:rsidP="00884BEB">
            <w:pPr>
              <w:pStyle w:val="TableText0"/>
              <w:tabs>
                <w:tab w:val="left" w:pos="1608"/>
                <w:tab w:val="left" w:pos="2316"/>
                <w:tab w:val="left" w:pos="3025"/>
              </w:tabs>
              <w:jc w:val="center"/>
              <w:rPr>
                <w:b/>
                <w:bCs w:val="0"/>
              </w:rPr>
            </w:pPr>
            <w:r w:rsidRPr="00D64D6F">
              <w:rPr>
                <w:b/>
                <w:bCs w:val="0"/>
              </w:rPr>
              <w:t>$</w:t>
            </w:r>
            <w:r w:rsidR="00C47128" w:rsidRPr="00DB7A5A">
              <w:rPr>
                <w:b/>
                <w:bCs w:val="0"/>
                <w:color w:val="000000"/>
                <w:spacing w:val="25"/>
                <w:shd w:val="solid" w:color="000000" w:fill="000000"/>
                <w:fitText w:val="549" w:id="-1236585977"/>
                <w14:textFill>
                  <w14:solidFill>
                    <w14:srgbClr w14:val="000000">
                      <w14:alpha w14:val="100000"/>
                    </w14:srgbClr>
                  </w14:solidFill>
                </w14:textFill>
              </w:rPr>
              <w:t>|||||||</w:t>
            </w:r>
            <w:r w:rsidR="00C47128" w:rsidRPr="00DB7A5A">
              <w:rPr>
                <w:b/>
                <w:bCs w:val="0"/>
                <w:color w:val="000000"/>
                <w:spacing w:val="7"/>
                <w:shd w:val="solid" w:color="000000" w:fill="000000"/>
                <w:fitText w:val="549" w:id="-1236585977"/>
                <w14:textFill>
                  <w14:solidFill>
                    <w14:srgbClr w14:val="000000">
                      <w14:alpha w14:val="100000"/>
                    </w14:srgbClr>
                  </w14:solidFill>
                </w14:textFill>
              </w:rPr>
              <w:t>|</w:t>
            </w:r>
          </w:p>
        </w:tc>
        <w:tc>
          <w:tcPr>
            <w:tcW w:w="1662" w:type="pct"/>
            <w:vMerge/>
            <w:shd w:val="clear" w:color="auto" w:fill="auto"/>
            <w:vAlign w:val="center"/>
          </w:tcPr>
          <w:p w14:paraId="7EA89EA8" w14:textId="77777777" w:rsidR="0045010A" w:rsidRPr="00D64D6F" w:rsidRDefault="0045010A" w:rsidP="00884BEB">
            <w:pPr>
              <w:pStyle w:val="TableText0"/>
            </w:pPr>
          </w:p>
        </w:tc>
      </w:tr>
      <w:tr w:rsidR="0045010A" w:rsidRPr="00D64D6F" w14:paraId="2E497624" w14:textId="77777777" w:rsidTr="00884BEB">
        <w:trPr>
          <w:cantSplit/>
        </w:trPr>
        <w:tc>
          <w:tcPr>
            <w:tcW w:w="1063" w:type="pct"/>
            <w:vMerge/>
            <w:shd w:val="clear" w:color="auto" w:fill="auto"/>
            <w:vAlign w:val="center"/>
          </w:tcPr>
          <w:p w14:paraId="7572621B" w14:textId="77777777" w:rsidR="0045010A" w:rsidRPr="00D64D6F" w:rsidRDefault="0045010A" w:rsidP="00884BEB">
            <w:pPr>
              <w:pStyle w:val="TableText0"/>
              <w:tabs>
                <w:tab w:val="left" w:pos="102"/>
              </w:tabs>
            </w:pPr>
          </w:p>
        </w:tc>
        <w:tc>
          <w:tcPr>
            <w:tcW w:w="1755" w:type="pct"/>
            <w:gridSpan w:val="3"/>
            <w:shd w:val="clear" w:color="auto" w:fill="auto"/>
          </w:tcPr>
          <w:p w14:paraId="402AAD94" w14:textId="77777777" w:rsidR="0045010A" w:rsidRPr="00D64D6F" w:rsidRDefault="0045010A" w:rsidP="00884BEB">
            <w:pPr>
              <w:pStyle w:val="TableText0"/>
              <w:tabs>
                <w:tab w:val="left" w:pos="1608"/>
                <w:tab w:val="left" w:pos="2316"/>
                <w:tab w:val="left" w:pos="3025"/>
              </w:tabs>
            </w:pPr>
            <w:r w:rsidRPr="00D64D6F">
              <w:t>1,100 mg vial</w:t>
            </w:r>
          </w:p>
        </w:tc>
        <w:tc>
          <w:tcPr>
            <w:tcW w:w="519" w:type="pct"/>
            <w:shd w:val="clear" w:color="auto" w:fill="auto"/>
          </w:tcPr>
          <w:p w14:paraId="4051E5B3" w14:textId="38EDFCE3" w:rsidR="0045010A" w:rsidRPr="00D64D6F" w:rsidRDefault="0045010A" w:rsidP="00884BEB">
            <w:pPr>
              <w:pStyle w:val="TableText0"/>
              <w:tabs>
                <w:tab w:val="left" w:pos="1608"/>
                <w:tab w:val="left" w:pos="2316"/>
                <w:tab w:val="left" w:pos="3025"/>
              </w:tabs>
              <w:jc w:val="center"/>
              <w:rPr>
                <w:b/>
                <w:bCs w:val="0"/>
              </w:rPr>
            </w:pPr>
            <w:r w:rsidRPr="00D64D6F">
              <w:rPr>
                <w:b/>
                <w:bCs w:val="0"/>
              </w:rPr>
              <w:t>$</w:t>
            </w:r>
            <w:r w:rsidR="00C47128" w:rsidRPr="00DB7A5A">
              <w:rPr>
                <w:b/>
                <w:bCs w:val="0"/>
                <w:color w:val="000000"/>
                <w:spacing w:val="25"/>
                <w:shd w:val="solid" w:color="000000" w:fill="000000"/>
                <w:fitText w:val="549" w:id="-1236585976"/>
                <w14:textFill>
                  <w14:solidFill>
                    <w14:srgbClr w14:val="000000">
                      <w14:alpha w14:val="100000"/>
                    </w14:srgbClr>
                  </w14:solidFill>
                </w14:textFill>
              </w:rPr>
              <w:t>|||||||</w:t>
            </w:r>
            <w:r w:rsidR="00C47128" w:rsidRPr="00DB7A5A">
              <w:rPr>
                <w:b/>
                <w:bCs w:val="0"/>
                <w:color w:val="000000"/>
                <w:spacing w:val="7"/>
                <w:shd w:val="solid" w:color="000000" w:fill="000000"/>
                <w:fitText w:val="549" w:id="-1236585976"/>
                <w14:textFill>
                  <w14:solidFill>
                    <w14:srgbClr w14:val="000000">
                      <w14:alpha w14:val="100000"/>
                    </w14:srgbClr>
                  </w14:solidFill>
                </w14:textFill>
              </w:rPr>
              <w:t>|</w:t>
            </w:r>
          </w:p>
        </w:tc>
        <w:tc>
          <w:tcPr>
            <w:tcW w:w="1662" w:type="pct"/>
            <w:vMerge/>
            <w:shd w:val="clear" w:color="auto" w:fill="auto"/>
            <w:vAlign w:val="center"/>
          </w:tcPr>
          <w:p w14:paraId="20E5E330" w14:textId="77777777" w:rsidR="0045010A" w:rsidRPr="00D64D6F" w:rsidRDefault="0045010A" w:rsidP="00884BEB">
            <w:pPr>
              <w:pStyle w:val="TableText0"/>
            </w:pPr>
          </w:p>
        </w:tc>
      </w:tr>
    </w:tbl>
    <w:p w14:paraId="04EE1A96" w14:textId="649DC297" w:rsidR="00AB7D62" w:rsidRDefault="00AB7D62" w:rsidP="00316EA4">
      <w:pPr>
        <w:pStyle w:val="FooterTableFigure"/>
        <w:rPr>
          <w:lang w:val="en-US"/>
        </w:rPr>
      </w:pPr>
      <w:r>
        <w:rPr>
          <w:lang w:val="en-US"/>
        </w:rPr>
        <w:t xml:space="preserve">Source: Table 110, p228; </w:t>
      </w:r>
      <w:r w:rsidR="002D6D69">
        <w:rPr>
          <w:lang w:val="en-US"/>
        </w:rPr>
        <w:t xml:space="preserve">Table 112, p229; Table 113, p230; Table 115, p231; Table 117, p231; Table 119, p232; Table 121, p233; Table 122, p234; </w:t>
      </w:r>
      <w:r>
        <w:rPr>
          <w:lang w:val="en-US"/>
        </w:rPr>
        <w:t>Table 123, p234</w:t>
      </w:r>
      <w:r w:rsidR="00814D29" w:rsidRPr="002D6D69">
        <w:rPr>
          <w:lang w:val="en-US"/>
        </w:rPr>
        <w:t xml:space="preserve">; Table </w:t>
      </w:r>
      <w:r w:rsidR="002D6D69">
        <w:rPr>
          <w:lang w:val="en-US"/>
        </w:rPr>
        <w:t>124</w:t>
      </w:r>
      <w:r w:rsidR="00814D29" w:rsidRPr="002D6D69">
        <w:rPr>
          <w:lang w:val="en-US"/>
        </w:rPr>
        <w:t xml:space="preserve">, </w:t>
      </w:r>
      <w:r w:rsidR="002D6D69" w:rsidRPr="002D6D69">
        <w:rPr>
          <w:lang w:val="en-US"/>
        </w:rPr>
        <w:t>p</w:t>
      </w:r>
      <w:r w:rsidR="002D6D69">
        <w:rPr>
          <w:lang w:val="en-US"/>
        </w:rPr>
        <w:t>235</w:t>
      </w:r>
      <w:r w:rsidR="002D6D69" w:rsidRPr="002D6D69">
        <w:rPr>
          <w:lang w:val="en-US"/>
        </w:rPr>
        <w:t xml:space="preserve"> </w:t>
      </w:r>
      <w:r w:rsidRPr="002D6D69">
        <w:rPr>
          <w:lang w:val="en-US"/>
        </w:rPr>
        <w:t>of the submission</w:t>
      </w:r>
      <w:proofErr w:type="gramStart"/>
      <w:r>
        <w:rPr>
          <w:lang w:val="en-US"/>
        </w:rPr>
        <w:t xml:space="preserve">.  </w:t>
      </w:r>
      <w:proofErr w:type="gramEnd"/>
    </w:p>
    <w:p w14:paraId="0928EE6F" w14:textId="1C0CCA2A" w:rsidR="00572874" w:rsidRPr="00AB7D62" w:rsidRDefault="002D6D69" w:rsidP="00316EA4">
      <w:pPr>
        <w:pStyle w:val="FooterTableFigure"/>
        <w:rPr>
          <w:szCs w:val="18"/>
        </w:rPr>
      </w:pPr>
      <w:r>
        <w:rPr>
          <w:szCs w:val="18"/>
          <w:lang w:val="en-US"/>
        </w:rPr>
        <w:t xml:space="preserve">NA = not applicable; </w:t>
      </w:r>
      <w:r w:rsidR="00AB7D62" w:rsidRPr="00AB7D62">
        <w:rPr>
          <w:szCs w:val="18"/>
          <w:lang w:val="en-US"/>
        </w:rPr>
        <w:t>NR = not reported</w:t>
      </w:r>
      <w:r w:rsidR="00AB7D62" w:rsidRPr="00AB7D62" w:rsidDel="00607888">
        <w:rPr>
          <w:szCs w:val="18"/>
        </w:rPr>
        <w:t xml:space="preserve"> </w:t>
      </w:r>
    </w:p>
    <w:p w14:paraId="52B0EA03" w14:textId="394AD8C4" w:rsidR="004B6C5A" w:rsidRPr="00D64D6F" w:rsidRDefault="00621310" w:rsidP="00B306AF">
      <w:pPr>
        <w:pStyle w:val="3-BodyText"/>
      </w:pPr>
      <w:r>
        <w:t xml:space="preserve">The </w:t>
      </w:r>
      <w:r w:rsidR="00D46A54">
        <w:t xml:space="preserve">submission estimated that the </w:t>
      </w:r>
      <w:r>
        <w:t>equi-effective doses f</w:t>
      </w:r>
      <w:r w:rsidR="004B6C5A">
        <w:t>or adults</w:t>
      </w:r>
      <w:r>
        <w:t xml:space="preserve"> were</w:t>
      </w:r>
      <w:r w:rsidR="00D46A54">
        <w:t>:</w:t>
      </w:r>
      <w:r>
        <w:t xml:space="preserve"> r</w:t>
      </w:r>
      <w:r w:rsidRPr="005041BA">
        <w:t xml:space="preserve">avulizumab 23,097 mg (7.25 infusions including </w:t>
      </w:r>
      <w:r w:rsidR="00D46A54">
        <w:t xml:space="preserve">the </w:t>
      </w:r>
      <w:r w:rsidRPr="005041BA">
        <w:t>loading dose)</w:t>
      </w:r>
      <w:r w:rsidR="004B6C5A">
        <w:t>,</w:t>
      </w:r>
      <w:r>
        <w:t xml:space="preserve"> over one year and eculizumab</w:t>
      </w:r>
      <w:r w:rsidRPr="005041BA">
        <w:t xml:space="preserve"> </w:t>
      </w:r>
      <w:r w:rsidRPr="005041BA">
        <w:lastRenderedPageBreak/>
        <w:t>32,400 mg (28 infusions including loading dose</w:t>
      </w:r>
      <w:r w:rsidR="00D46A54">
        <w:t>s</w:t>
      </w:r>
      <w:r w:rsidRPr="005041BA">
        <w:t>)</w:t>
      </w:r>
      <w:r>
        <w:t xml:space="preserve"> over one year,</w:t>
      </w:r>
      <w:r w:rsidR="00DB2D86">
        <w:t xml:space="preserve"> </w:t>
      </w:r>
      <w:r w:rsidR="004B6C5A">
        <w:t xml:space="preserve">based on the weight distributions from </w:t>
      </w:r>
      <w:r w:rsidR="00BE3B5B">
        <w:t xml:space="preserve">Study </w:t>
      </w:r>
      <w:r w:rsidR="004B6C5A">
        <w:t>311</w:t>
      </w:r>
      <w:r>
        <w:t xml:space="preserve">. </w:t>
      </w:r>
    </w:p>
    <w:p w14:paraId="44364FD9" w14:textId="5A26CCD2" w:rsidR="00081078" w:rsidRPr="00D64D6F" w:rsidRDefault="00116EBF" w:rsidP="00B306AF">
      <w:pPr>
        <w:pStyle w:val="3-BodyText"/>
      </w:pPr>
      <w:r w:rsidRPr="00D64D6F">
        <w:t>For adults, t</w:t>
      </w:r>
      <w:r w:rsidR="004B6C5A" w:rsidRPr="00D64D6F">
        <w:t xml:space="preserve">he cost per mg was similar between the submission’s base case from </w:t>
      </w:r>
      <w:r w:rsidR="00BE3B5B">
        <w:t>Study</w:t>
      </w:r>
      <w:r w:rsidR="00BE3B5B" w:rsidRPr="00D64D6F">
        <w:t xml:space="preserve"> </w:t>
      </w:r>
      <w:r w:rsidR="004B6C5A" w:rsidRPr="00D64D6F">
        <w:t>311</w:t>
      </w:r>
      <w:r w:rsidR="0018721F" w:rsidRPr="00D64D6F">
        <w:t xml:space="preserve"> and the DUSC data, at $</w:t>
      </w:r>
      <w:proofErr w:type="gramStart"/>
      <w:r w:rsidR="00C47128" w:rsidRPr="00C47128">
        <w:rPr>
          <w:color w:val="000000"/>
          <w:w w:val="21"/>
          <w:shd w:val="solid" w:color="000000" w:fill="000000"/>
          <w:fitText w:val="72" w:id="-1236585975"/>
          <w14:textFill>
            <w14:solidFill>
              <w14:srgbClr w14:val="000000">
                <w14:alpha w14:val="100000"/>
              </w14:srgbClr>
            </w14:solidFill>
          </w14:textFill>
        </w:rPr>
        <w:t xml:space="preserve">|  </w:t>
      </w:r>
      <w:r w:rsidR="00C47128" w:rsidRPr="00C47128">
        <w:rPr>
          <w:color w:val="000000"/>
          <w:spacing w:val="2"/>
          <w:w w:val="21"/>
          <w:shd w:val="solid" w:color="000000" w:fill="000000"/>
          <w:fitText w:val="72" w:id="-1236585975"/>
          <w14:textFill>
            <w14:solidFill>
              <w14:srgbClr w14:val="000000">
                <w14:alpha w14:val="100000"/>
              </w14:srgbClr>
            </w14:solidFill>
          </w14:textFill>
        </w:rPr>
        <w:t>|</w:t>
      </w:r>
      <w:proofErr w:type="gramEnd"/>
      <w:r w:rsidR="0018721F" w:rsidRPr="00D64D6F">
        <w:t xml:space="preserve"> per mg and $</w:t>
      </w:r>
      <w:r w:rsidR="00C47128" w:rsidRPr="00C47128">
        <w:rPr>
          <w:color w:val="000000"/>
          <w:w w:val="21"/>
          <w:shd w:val="solid" w:color="000000" w:fill="000000"/>
          <w:fitText w:val="72" w:id="-1236585974"/>
          <w14:textFill>
            <w14:solidFill>
              <w14:srgbClr w14:val="000000">
                <w14:alpha w14:val="100000"/>
              </w14:srgbClr>
            </w14:solidFill>
          </w14:textFill>
        </w:rPr>
        <w:t xml:space="preserve">|  </w:t>
      </w:r>
      <w:r w:rsidR="00C47128" w:rsidRPr="00C47128">
        <w:rPr>
          <w:color w:val="000000"/>
          <w:spacing w:val="2"/>
          <w:w w:val="21"/>
          <w:shd w:val="solid" w:color="000000" w:fill="000000"/>
          <w:fitText w:val="72" w:id="-1236585974"/>
          <w14:textFill>
            <w14:solidFill>
              <w14:srgbClr w14:val="000000">
                <w14:alpha w14:val="100000"/>
              </w14:srgbClr>
            </w14:solidFill>
          </w14:textFill>
        </w:rPr>
        <w:t>|</w:t>
      </w:r>
      <w:r w:rsidR="0018721F" w:rsidRPr="00D64D6F">
        <w:t xml:space="preserve"> per mg, respectively, while the Registry-based cost per mg was higher at $</w:t>
      </w:r>
      <w:r w:rsidR="00C47128" w:rsidRPr="00C47128">
        <w:rPr>
          <w:color w:val="000000"/>
          <w:w w:val="24"/>
          <w:shd w:val="solid" w:color="000000" w:fill="000000"/>
          <w:fitText w:val="80" w:id="-1236585973"/>
          <w14:textFill>
            <w14:solidFill>
              <w14:srgbClr w14:val="000000">
                <w14:alpha w14:val="100000"/>
              </w14:srgbClr>
            </w14:solidFill>
          </w14:textFill>
        </w:rPr>
        <w:t xml:space="preserve">|  </w:t>
      </w:r>
      <w:r w:rsidR="00C47128" w:rsidRPr="00C47128">
        <w:rPr>
          <w:color w:val="000000"/>
          <w:spacing w:val="1"/>
          <w:w w:val="24"/>
          <w:shd w:val="solid" w:color="000000" w:fill="000000"/>
          <w:fitText w:val="80" w:id="-1236585973"/>
          <w14:textFill>
            <w14:solidFill>
              <w14:srgbClr w14:val="000000">
                <w14:alpha w14:val="100000"/>
              </w14:srgbClr>
            </w14:solidFill>
          </w14:textFill>
        </w:rPr>
        <w:t>|</w:t>
      </w:r>
      <w:r w:rsidR="0018721F" w:rsidRPr="00D64D6F">
        <w:t xml:space="preserve">. When these costs per mg were applied to vial cost, the 300 mg vial cost differed by less than $200 across the </w:t>
      </w:r>
      <w:r w:rsidR="00761591">
        <w:t>3</w:t>
      </w:r>
      <w:r w:rsidR="00761591" w:rsidRPr="00D64D6F">
        <w:t xml:space="preserve"> </w:t>
      </w:r>
      <w:r w:rsidR="0018721F" w:rsidRPr="00D64D6F">
        <w:t>sources</w:t>
      </w:r>
      <w:r w:rsidR="00D14918" w:rsidRPr="00D64D6F">
        <w:t>.</w:t>
      </w:r>
    </w:p>
    <w:p w14:paraId="62082D6B" w14:textId="261257EB" w:rsidR="000F69FF" w:rsidRPr="00D64D6F" w:rsidRDefault="19A8BFB4" w:rsidP="00B306AF">
      <w:pPr>
        <w:pStyle w:val="3-BodyText"/>
      </w:pPr>
      <w:r>
        <w:t>The weighted adult/paediatric price lowered the estimated vial price slightly (compared with the adult price), to $</w:t>
      </w:r>
      <w:proofErr w:type="gramStart"/>
      <w:r w:rsidR="00C47128" w:rsidRPr="00C47128">
        <w:rPr>
          <w:color w:val="000000"/>
          <w:w w:val="21"/>
          <w:shd w:val="solid" w:color="000000" w:fill="000000"/>
          <w:fitText w:val="71" w:id="-1236585972"/>
          <w14:textFill>
            <w14:solidFill>
              <w14:srgbClr w14:val="000000">
                <w14:alpha w14:val="100000"/>
              </w14:srgbClr>
            </w14:solidFill>
          </w14:textFill>
        </w:rPr>
        <w:t xml:space="preserve">|  </w:t>
      </w:r>
      <w:r w:rsidR="00C47128" w:rsidRPr="00C47128">
        <w:rPr>
          <w:color w:val="000000"/>
          <w:spacing w:val="1"/>
          <w:w w:val="21"/>
          <w:shd w:val="solid" w:color="000000" w:fill="000000"/>
          <w:fitText w:val="71" w:id="-1236585972"/>
          <w14:textFill>
            <w14:solidFill>
              <w14:srgbClr w14:val="000000">
                <w14:alpha w14:val="100000"/>
              </w14:srgbClr>
            </w14:solidFill>
          </w14:textFill>
        </w:rPr>
        <w:t>|</w:t>
      </w:r>
      <w:proofErr w:type="gramEnd"/>
      <w:r>
        <w:t xml:space="preserve"> compared to $</w:t>
      </w:r>
      <w:r w:rsidR="00C47128" w:rsidRPr="00C47128">
        <w:rPr>
          <w:color w:val="000000"/>
          <w:w w:val="21"/>
          <w:shd w:val="solid" w:color="000000" w:fill="000000"/>
          <w:fitText w:val="71" w:id="-1236585971"/>
          <w14:textFill>
            <w14:solidFill>
              <w14:srgbClr w14:val="000000">
                <w14:alpha w14:val="100000"/>
              </w14:srgbClr>
            </w14:solidFill>
          </w14:textFill>
        </w:rPr>
        <w:t xml:space="preserve">|  </w:t>
      </w:r>
      <w:r w:rsidR="00C47128" w:rsidRPr="00C47128">
        <w:rPr>
          <w:color w:val="000000"/>
          <w:spacing w:val="1"/>
          <w:w w:val="21"/>
          <w:shd w:val="solid" w:color="000000" w:fill="000000"/>
          <w:fitText w:val="71" w:id="-1236585971"/>
          <w14:textFill>
            <w14:solidFill>
              <w14:srgbClr w14:val="000000">
                <w14:alpha w14:val="100000"/>
              </w14:srgbClr>
            </w14:solidFill>
          </w14:textFill>
        </w:rPr>
        <w:t>|</w:t>
      </w:r>
      <w:r>
        <w:t xml:space="preserve"> for the 300 mg vial, and $</w:t>
      </w:r>
      <w:r w:rsidR="00C47128" w:rsidRPr="00C47128">
        <w:rPr>
          <w:color w:val="000000"/>
          <w:w w:val="21"/>
          <w:shd w:val="solid" w:color="000000" w:fill="000000"/>
          <w:fitText w:val="72" w:id="-1236585970"/>
          <w14:textFill>
            <w14:solidFill>
              <w14:srgbClr w14:val="000000">
                <w14:alpha w14:val="100000"/>
              </w14:srgbClr>
            </w14:solidFill>
          </w14:textFill>
        </w:rPr>
        <w:t xml:space="preserve">|  </w:t>
      </w:r>
      <w:r w:rsidR="00C47128" w:rsidRPr="00C47128">
        <w:rPr>
          <w:color w:val="000000"/>
          <w:spacing w:val="2"/>
          <w:w w:val="21"/>
          <w:shd w:val="solid" w:color="000000" w:fill="000000"/>
          <w:fitText w:val="72" w:id="-1236585970"/>
          <w14:textFill>
            <w14:solidFill>
              <w14:srgbClr w14:val="000000">
                <w14:alpha w14:val="100000"/>
              </w14:srgbClr>
            </w14:solidFill>
          </w14:textFill>
        </w:rPr>
        <w:t>|</w:t>
      </w:r>
      <w:r>
        <w:t xml:space="preserve"> compared to $</w:t>
      </w:r>
      <w:r w:rsidR="00C47128" w:rsidRPr="00C47128">
        <w:rPr>
          <w:color w:val="000000"/>
          <w:w w:val="21"/>
          <w:shd w:val="solid" w:color="000000" w:fill="000000"/>
          <w:fitText w:val="72" w:id="-1236585969"/>
          <w14:textFill>
            <w14:solidFill>
              <w14:srgbClr w14:val="000000">
                <w14:alpha w14:val="100000"/>
              </w14:srgbClr>
            </w14:solidFill>
          </w14:textFill>
        </w:rPr>
        <w:t xml:space="preserve">|  </w:t>
      </w:r>
      <w:r w:rsidR="00C47128" w:rsidRPr="00C47128">
        <w:rPr>
          <w:color w:val="000000"/>
          <w:spacing w:val="2"/>
          <w:w w:val="21"/>
          <w:shd w:val="solid" w:color="000000" w:fill="000000"/>
          <w:fitText w:val="72" w:id="-1236585969"/>
          <w14:textFill>
            <w14:solidFill>
              <w14:srgbClr w14:val="000000">
                <w14:alpha w14:val="100000"/>
              </w14:srgbClr>
            </w14:solidFill>
          </w14:textFill>
        </w:rPr>
        <w:t>|</w:t>
      </w:r>
      <w:r>
        <w:t xml:space="preserve"> for the 1,100 mg vial in the submission’s base case. Removing the cost of the </w:t>
      </w:r>
      <w:proofErr w:type="gramStart"/>
      <w:r w:rsidR="00C47128" w:rsidRPr="00C47128">
        <w:rPr>
          <w:color w:val="000000"/>
          <w:w w:val="21"/>
          <w:shd w:val="solid" w:color="000000" w:fill="000000"/>
          <w:fitText w:val="71" w:id="-1236585968"/>
          <w14:textFill>
            <w14:solidFill>
              <w14:srgbClr w14:val="000000">
                <w14:alpha w14:val="100000"/>
              </w14:srgbClr>
            </w14:solidFill>
          </w14:textFill>
        </w:rPr>
        <w:t xml:space="preserve">|  </w:t>
      </w:r>
      <w:r w:rsidR="00C47128" w:rsidRPr="00C47128">
        <w:rPr>
          <w:color w:val="000000"/>
          <w:spacing w:val="1"/>
          <w:w w:val="21"/>
          <w:shd w:val="solid" w:color="000000" w:fill="000000"/>
          <w:fitText w:val="71" w:id="-1236585968"/>
          <w14:textFill>
            <w14:solidFill>
              <w14:srgbClr w14:val="000000">
                <w14:alpha w14:val="100000"/>
              </w14:srgbClr>
            </w14:solidFill>
          </w14:textFill>
        </w:rPr>
        <w:t>|</w:t>
      </w:r>
      <w:proofErr w:type="gramEnd"/>
      <w:r>
        <w:t xml:space="preserve"> dropped the estimated prices considerably, to $</w:t>
      </w:r>
      <w:r w:rsidR="00C47128" w:rsidRPr="00C47128">
        <w:rPr>
          <w:color w:val="000000"/>
          <w:w w:val="24"/>
          <w:shd w:val="solid" w:color="000000" w:fill="000000"/>
          <w:fitText w:val="80" w:id="-1236585984"/>
          <w14:textFill>
            <w14:solidFill>
              <w14:srgbClr w14:val="000000">
                <w14:alpha w14:val="100000"/>
              </w14:srgbClr>
            </w14:solidFill>
          </w14:textFill>
        </w:rPr>
        <w:t xml:space="preserve">|  </w:t>
      </w:r>
      <w:r w:rsidR="00C47128" w:rsidRPr="00C47128">
        <w:rPr>
          <w:color w:val="000000"/>
          <w:spacing w:val="1"/>
          <w:w w:val="24"/>
          <w:shd w:val="solid" w:color="000000" w:fill="000000"/>
          <w:fitText w:val="80" w:id="-1236585984"/>
          <w14:textFill>
            <w14:solidFill>
              <w14:srgbClr w14:val="000000">
                <w14:alpha w14:val="100000"/>
              </w14:srgbClr>
            </w14:solidFill>
          </w14:textFill>
        </w:rPr>
        <w:t>|</w:t>
      </w:r>
      <w:r>
        <w:t xml:space="preserve"> for the 300 mg vial and $</w:t>
      </w:r>
      <w:r w:rsidR="00C47128" w:rsidRPr="00C47128">
        <w:rPr>
          <w:color w:val="000000"/>
          <w:w w:val="21"/>
          <w:shd w:val="solid" w:color="000000" w:fill="000000"/>
          <w:fitText w:val="72" w:id="-1236585983"/>
          <w14:textFill>
            <w14:solidFill>
              <w14:srgbClr w14:val="000000">
                <w14:alpha w14:val="100000"/>
              </w14:srgbClr>
            </w14:solidFill>
          </w14:textFill>
        </w:rPr>
        <w:t xml:space="preserve">|  </w:t>
      </w:r>
      <w:r w:rsidR="00C47128" w:rsidRPr="00C47128">
        <w:rPr>
          <w:color w:val="000000"/>
          <w:spacing w:val="2"/>
          <w:w w:val="21"/>
          <w:shd w:val="solid" w:color="000000" w:fill="000000"/>
          <w:fitText w:val="72" w:id="-1236585983"/>
          <w14:textFill>
            <w14:solidFill>
              <w14:srgbClr w14:val="000000">
                <w14:alpha w14:val="100000"/>
              </w14:srgbClr>
            </w14:solidFill>
          </w14:textFill>
        </w:rPr>
        <w:t>|</w:t>
      </w:r>
      <w:r>
        <w:t xml:space="preserve"> for the 1,100 mg vial. These latter two prices form the submission’s requested effective prices for ravulizumab.</w:t>
      </w:r>
    </w:p>
    <w:p w14:paraId="41FA2679" w14:textId="76A75447" w:rsidR="002478E7" w:rsidRPr="00D64D6F" w:rsidRDefault="000F69FF" w:rsidP="00B306AF">
      <w:pPr>
        <w:pStyle w:val="3-BodyText"/>
      </w:pPr>
      <w:bookmarkStart w:id="53" w:name="_Ref124771071"/>
      <w:r w:rsidRPr="00D64D6F">
        <w:t xml:space="preserve">The submission relied on the weight of </w:t>
      </w:r>
      <w:r w:rsidR="006069E7">
        <w:t>4</w:t>
      </w:r>
      <w:r w:rsidR="006069E7" w:rsidRPr="00D64D6F">
        <w:t xml:space="preserve"> </w:t>
      </w:r>
      <w:r w:rsidRPr="00D64D6F">
        <w:t xml:space="preserve">paediatric patients from Study 312 </w:t>
      </w:r>
      <w:r w:rsidR="00D24607">
        <w:t xml:space="preserve">(conducted in patients aged under 18 years) </w:t>
      </w:r>
      <w:r w:rsidRPr="00D64D6F">
        <w:t xml:space="preserve">to calculate drug usage and cost for paediatric patients. It appears these were </w:t>
      </w:r>
      <w:r w:rsidR="000F44A4">
        <w:t>4</w:t>
      </w:r>
      <w:r w:rsidR="000F44A4" w:rsidRPr="00D64D6F">
        <w:t xml:space="preserve"> </w:t>
      </w:r>
      <w:r w:rsidRPr="00D64D6F">
        <w:t xml:space="preserve">patients that had been treated with </w:t>
      </w:r>
      <w:r w:rsidR="00B86A23" w:rsidRPr="00D64D6F">
        <w:t>rav</w:t>
      </w:r>
      <w:r w:rsidRPr="00D64D6F">
        <w:t>ulizumab, and since the remaining patients in that study cohort had weight greater than 40 kg, they were excluded.</w:t>
      </w:r>
      <w:r w:rsidR="00622D65">
        <w:t xml:space="preserve"> T</w:t>
      </w:r>
      <w:r w:rsidRPr="00D64D6F">
        <w:t>he submission did not supply patient weight data, so the values used could not be confirmed</w:t>
      </w:r>
      <w:r w:rsidR="00C35076">
        <w:t xml:space="preserve"> during evaluation</w:t>
      </w:r>
      <w:r w:rsidRPr="00D64D6F">
        <w:t>.</w:t>
      </w:r>
      <w:bookmarkEnd w:id="53"/>
      <w:r w:rsidRPr="00D64D6F">
        <w:t xml:space="preserve"> </w:t>
      </w:r>
      <w:r w:rsidR="001F0E9D" w:rsidRPr="003A48D2">
        <w:rPr>
          <w:iCs/>
        </w:rPr>
        <w:t>The PSCR provided</w:t>
      </w:r>
      <w:r w:rsidR="00C35076" w:rsidRPr="003A48D2">
        <w:rPr>
          <w:iCs/>
        </w:rPr>
        <w:t xml:space="preserve"> </w:t>
      </w:r>
      <w:r w:rsidR="00D24607" w:rsidRPr="003A48D2">
        <w:rPr>
          <w:iCs/>
        </w:rPr>
        <w:t xml:space="preserve">patient </w:t>
      </w:r>
      <w:r w:rsidR="00C35076" w:rsidRPr="003A48D2">
        <w:rPr>
          <w:iCs/>
        </w:rPr>
        <w:t>weight</w:t>
      </w:r>
      <w:r w:rsidR="001F0E9D" w:rsidRPr="003A48D2">
        <w:rPr>
          <w:iCs/>
        </w:rPr>
        <w:t xml:space="preserve"> data </w:t>
      </w:r>
      <w:r w:rsidR="00D24607" w:rsidRPr="003A48D2">
        <w:rPr>
          <w:iCs/>
        </w:rPr>
        <w:t xml:space="preserve">from </w:t>
      </w:r>
      <w:r w:rsidR="001F0E9D" w:rsidRPr="003A48D2">
        <w:rPr>
          <w:iCs/>
        </w:rPr>
        <w:t>Study 312</w:t>
      </w:r>
      <w:r w:rsidR="00C35076" w:rsidRPr="003A48D2">
        <w:rPr>
          <w:iCs/>
        </w:rPr>
        <w:t xml:space="preserve"> and stated that an error was made in the submission’s CMA calculations with not all patients having been included. The PSCR provided a sensitivity analysis using </w:t>
      </w:r>
      <w:r w:rsidR="00800903" w:rsidRPr="003A48D2">
        <w:rPr>
          <w:iCs/>
        </w:rPr>
        <w:t>the corrected data</w:t>
      </w:r>
      <w:r w:rsidR="001F0E9D" w:rsidRPr="003A48D2">
        <w:rPr>
          <w:iCs/>
        </w:rPr>
        <w:t xml:space="preserve"> (</w:t>
      </w:r>
      <w:r w:rsidR="00D24607" w:rsidRPr="003A48D2">
        <w:rPr>
          <w:iCs/>
        </w:rPr>
        <w:t>data available for 2</w:t>
      </w:r>
      <w:r w:rsidR="001F0E9D" w:rsidRPr="003A48D2">
        <w:rPr>
          <w:iCs/>
        </w:rPr>
        <w:t>8</w:t>
      </w:r>
      <w:r w:rsidR="00800903" w:rsidRPr="003A48D2">
        <w:rPr>
          <w:iCs/>
        </w:rPr>
        <w:t xml:space="preserve"> paediatric patients</w:t>
      </w:r>
      <w:r w:rsidR="001F0E9D" w:rsidRPr="003A48D2">
        <w:rPr>
          <w:iCs/>
        </w:rPr>
        <w:t>, with the PSCR using data for the 21 patients who weighed less than 40 kg)</w:t>
      </w:r>
      <w:r w:rsidR="00C35076" w:rsidRPr="003A48D2">
        <w:rPr>
          <w:iCs/>
        </w:rPr>
        <w:t xml:space="preserve">, which increased the price by around 0.6% (refer to </w:t>
      </w:r>
      <w:r w:rsidR="00C35076" w:rsidRPr="003A48D2">
        <w:rPr>
          <w:iCs/>
        </w:rPr>
        <w:fldChar w:fldCharType="begin" w:fldLock="1"/>
      </w:r>
      <w:r w:rsidR="00C35076" w:rsidRPr="003A48D2">
        <w:rPr>
          <w:iCs/>
        </w:rPr>
        <w:instrText xml:space="preserve"> REF _Ref124347951 \h  \* MERGEFORMAT </w:instrText>
      </w:r>
      <w:r w:rsidR="00C35076" w:rsidRPr="003A48D2">
        <w:rPr>
          <w:iCs/>
        </w:rPr>
      </w:r>
      <w:r w:rsidR="00C35076" w:rsidRPr="003A48D2">
        <w:rPr>
          <w:iCs/>
        </w:rPr>
        <w:fldChar w:fldCharType="separate"/>
      </w:r>
      <w:r w:rsidR="00916EDA" w:rsidRPr="00916EDA">
        <w:rPr>
          <w:iCs/>
        </w:rPr>
        <w:t>Table 11</w:t>
      </w:r>
      <w:r w:rsidR="00C35076" w:rsidRPr="003A48D2">
        <w:rPr>
          <w:iCs/>
        </w:rPr>
        <w:fldChar w:fldCharType="end"/>
      </w:r>
      <w:r w:rsidR="00C35076" w:rsidRPr="003A48D2">
        <w:rPr>
          <w:iCs/>
        </w:rPr>
        <w:t>)</w:t>
      </w:r>
      <w:r w:rsidR="001F0E9D" w:rsidRPr="003A48D2">
        <w:rPr>
          <w:iCs/>
        </w:rPr>
        <w:t>.</w:t>
      </w:r>
      <w:r w:rsidR="00C35076" w:rsidRPr="003A48D2">
        <w:rPr>
          <w:iCs/>
        </w:rPr>
        <w:t xml:space="preserve"> The PSCR stated that </w:t>
      </w:r>
      <w:r w:rsidR="0093152C">
        <w:rPr>
          <w:iCs/>
        </w:rPr>
        <w:t>‘</w:t>
      </w:r>
      <w:r w:rsidR="00C35076" w:rsidRPr="003A48D2">
        <w:rPr>
          <w:iCs/>
        </w:rPr>
        <w:t>this analysis was provided for illustrative purposes only (and to demonstrate the negligible impact varying weight has on the overall price) and is not a requested change to the submitted price</w:t>
      </w:r>
      <w:r w:rsidR="0093152C">
        <w:rPr>
          <w:iCs/>
        </w:rPr>
        <w:t>’</w:t>
      </w:r>
      <w:r w:rsidR="00C35076" w:rsidRPr="003A48D2">
        <w:rPr>
          <w:iCs/>
        </w:rPr>
        <w:t>.</w:t>
      </w:r>
    </w:p>
    <w:p w14:paraId="139C489B" w14:textId="68C5DE04" w:rsidR="00A90293" w:rsidRPr="00D64D6F" w:rsidRDefault="00A90293" w:rsidP="00B306AF">
      <w:pPr>
        <w:pStyle w:val="3-BodyText"/>
      </w:pPr>
      <w:r w:rsidRPr="00D64D6F">
        <w:t>Results of key sensitivity analyses are shown in</w:t>
      </w:r>
      <w:r w:rsidR="003C6654" w:rsidRPr="00D64D6F">
        <w:t xml:space="preserve"> </w:t>
      </w:r>
      <w:r w:rsidR="003C6654" w:rsidRPr="00D64D6F">
        <w:fldChar w:fldCharType="begin" w:fldLock="1"/>
      </w:r>
      <w:r w:rsidR="003C6654" w:rsidRPr="00D64D6F">
        <w:instrText xml:space="preserve"> REF _Ref124347951 \h  \* MERGEFORMAT </w:instrText>
      </w:r>
      <w:r w:rsidR="003C6654" w:rsidRPr="00D64D6F">
        <w:fldChar w:fldCharType="separate"/>
      </w:r>
      <w:r w:rsidR="00916EDA" w:rsidRPr="00916EDA">
        <w:t xml:space="preserve">Table </w:t>
      </w:r>
      <w:r w:rsidR="00916EDA" w:rsidRPr="00916EDA">
        <w:rPr>
          <w:noProof/>
        </w:rPr>
        <w:t>11</w:t>
      </w:r>
      <w:r w:rsidR="003C6654" w:rsidRPr="00D64D6F">
        <w:fldChar w:fldCharType="end"/>
      </w:r>
      <w:r w:rsidRPr="00D64D6F">
        <w:t>.</w:t>
      </w:r>
    </w:p>
    <w:p w14:paraId="1BC87D2A" w14:textId="018ECC4E" w:rsidR="00A90293" w:rsidRPr="002C7570" w:rsidRDefault="00A90293" w:rsidP="001376A6">
      <w:pPr>
        <w:pStyle w:val="PbacTableHeading"/>
        <w:keepNext/>
        <w:keepLines/>
        <w:spacing w:after="0"/>
        <w:rPr>
          <w:rStyle w:val="CommentReference"/>
          <w:b/>
          <w:szCs w:val="24"/>
        </w:rPr>
      </w:pPr>
      <w:bookmarkStart w:id="54" w:name="_Ref124347951"/>
      <w:r w:rsidRPr="002C7570">
        <w:rPr>
          <w:bCs/>
        </w:rPr>
        <w:lastRenderedPageBreak/>
        <w:t xml:space="preserve">Table </w:t>
      </w:r>
      <w:r w:rsidRPr="002C7570">
        <w:rPr>
          <w:bCs/>
        </w:rPr>
        <w:fldChar w:fldCharType="begin" w:fldLock="1"/>
      </w:r>
      <w:r w:rsidRPr="002C7570">
        <w:rPr>
          <w:bCs/>
        </w:rPr>
        <w:instrText xml:space="preserve"> SEQ Table \* ARABIC </w:instrText>
      </w:r>
      <w:r w:rsidRPr="002C7570">
        <w:rPr>
          <w:bCs/>
        </w:rPr>
        <w:fldChar w:fldCharType="separate"/>
      </w:r>
      <w:r w:rsidR="00916EDA">
        <w:rPr>
          <w:bCs/>
          <w:noProof/>
        </w:rPr>
        <w:t>11</w:t>
      </w:r>
      <w:r w:rsidRPr="002C7570">
        <w:rPr>
          <w:bCs/>
          <w:noProof/>
        </w:rPr>
        <w:fldChar w:fldCharType="end"/>
      </w:r>
      <w:bookmarkEnd w:id="54"/>
      <w:r w:rsidRPr="002C7570">
        <w:rPr>
          <w:bCs/>
        </w:rPr>
        <w:t>:</w:t>
      </w:r>
      <w:r w:rsidRPr="002C7570">
        <w:rPr>
          <w:b w:val="0"/>
        </w:rPr>
        <w:t xml:space="preserve"> </w:t>
      </w:r>
      <w:r w:rsidRPr="002C7570">
        <w:rPr>
          <w:rStyle w:val="CommentReference"/>
          <w:b/>
          <w:szCs w:val="24"/>
        </w:rPr>
        <w:t>Sensitivity analyses</w:t>
      </w:r>
      <w:r w:rsidR="00B86A23" w:rsidRPr="002C7570">
        <w:rPr>
          <w:rStyle w:val="CommentReference"/>
          <w:b/>
          <w:szCs w:val="24"/>
        </w:rPr>
        <w:t xml:space="preserve"> for the cost-minimisation</w:t>
      </w:r>
      <w:r w:rsidRPr="002C7570">
        <w:rPr>
          <w:rStyle w:val="CommentReference"/>
          <w:b/>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092"/>
        <w:gridCol w:w="1417"/>
        <w:gridCol w:w="1508"/>
      </w:tblGrid>
      <w:tr w:rsidR="00D46A54" w:rsidRPr="001376A6" w14:paraId="1F724F2E" w14:textId="4328CC1D" w:rsidTr="00E777B3">
        <w:trPr>
          <w:cantSplit/>
          <w:tblHeader/>
        </w:trPr>
        <w:tc>
          <w:tcPr>
            <w:tcW w:w="3378" w:type="pct"/>
            <w:shd w:val="clear" w:color="auto" w:fill="auto"/>
            <w:vAlign w:val="center"/>
          </w:tcPr>
          <w:p w14:paraId="75766303" w14:textId="77777777" w:rsidR="00D46A54" w:rsidRPr="001376A6" w:rsidRDefault="00D46A54" w:rsidP="001376A6">
            <w:pPr>
              <w:pStyle w:val="TableText0"/>
              <w:keepLines/>
              <w:tabs>
                <w:tab w:val="left" w:pos="102"/>
              </w:tabs>
              <w:rPr>
                <w:b/>
                <w:bCs w:val="0"/>
              </w:rPr>
            </w:pPr>
          </w:p>
        </w:tc>
        <w:tc>
          <w:tcPr>
            <w:tcW w:w="786" w:type="pct"/>
            <w:shd w:val="clear" w:color="auto" w:fill="auto"/>
          </w:tcPr>
          <w:p w14:paraId="59C1511D" w14:textId="5DADB7EC" w:rsidR="00D46A54" w:rsidRPr="001376A6" w:rsidRDefault="00D46A54" w:rsidP="001376A6">
            <w:pPr>
              <w:pStyle w:val="TableText0"/>
              <w:keepLines/>
              <w:jc w:val="center"/>
              <w:rPr>
                <w:b/>
                <w:bCs w:val="0"/>
              </w:rPr>
            </w:pPr>
            <w:r w:rsidRPr="001376A6">
              <w:rPr>
                <w:b/>
                <w:bCs w:val="0"/>
              </w:rPr>
              <w:t>Ravulizumab – cost per mg</w:t>
            </w:r>
          </w:p>
        </w:tc>
        <w:tc>
          <w:tcPr>
            <w:tcW w:w="836" w:type="pct"/>
          </w:tcPr>
          <w:p w14:paraId="0F2B4BC1" w14:textId="17441BAA" w:rsidR="00D46A54" w:rsidRPr="001376A6" w:rsidRDefault="00622D65" w:rsidP="001376A6">
            <w:pPr>
              <w:pStyle w:val="TableText0"/>
              <w:keepLines/>
              <w:jc w:val="center"/>
              <w:rPr>
                <w:b/>
                <w:bCs w:val="0"/>
              </w:rPr>
            </w:pPr>
            <w:r w:rsidRPr="001376A6">
              <w:rPr>
                <w:b/>
                <w:bCs w:val="0"/>
              </w:rPr>
              <w:t>Difference</w:t>
            </w:r>
            <w:r w:rsidRPr="001376A6">
              <w:rPr>
                <w:b/>
              </w:rPr>
              <w:t xml:space="preserve"> versus base case</w:t>
            </w:r>
          </w:p>
        </w:tc>
      </w:tr>
      <w:tr w:rsidR="00D46A54" w:rsidRPr="001376A6" w14:paraId="43FA5132" w14:textId="0B05EF14" w:rsidTr="00E777B3">
        <w:trPr>
          <w:cantSplit/>
        </w:trPr>
        <w:tc>
          <w:tcPr>
            <w:tcW w:w="3378" w:type="pct"/>
            <w:shd w:val="clear" w:color="auto" w:fill="auto"/>
            <w:vAlign w:val="center"/>
          </w:tcPr>
          <w:p w14:paraId="6BED0CD3" w14:textId="09EF006D" w:rsidR="00D46A54" w:rsidRPr="001376A6" w:rsidRDefault="00D46A54" w:rsidP="001376A6">
            <w:pPr>
              <w:pStyle w:val="TableText0"/>
              <w:keepLines/>
              <w:tabs>
                <w:tab w:val="left" w:pos="102"/>
              </w:tabs>
              <w:rPr>
                <w:b/>
                <w:bCs w:val="0"/>
              </w:rPr>
            </w:pPr>
            <w:r w:rsidRPr="001376A6">
              <w:rPr>
                <w:b/>
                <w:bCs w:val="0"/>
              </w:rPr>
              <w:t xml:space="preserve">Base case (weighted adult/paediatric; cost for </w:t>
            </w:r>
            <w:r w:rsidR="003F6C25" w:rsidRPr="003F6C25">
              <w:rPr>
                <w:b/>
                <w:bCs w:val="0"/>
                <w:color w:val="000000"/>
                <w:spacing w:val="17"/>
                <w:shd w:val="solid" w:color="000000" w:fill="000000"/>
                <w:fitText w:val="1640" w:id="-1230827263"/>
                <w14:textFill>
                  <w14:solidFill>
                    <w14:srgbClr w14:val="000000">
                      <w14:alpha w14:val="100000"/>
                    </w14:srgbClr>
                  </w14:solidFill>
                </w14:textFill>
              </w:rPr>
              <w:t>|||||||||||||||||||||||||</w:t>
            </w:r>
            <w:r w:rsidR="003F6C25" w:rsidRPr="003F6C25">
              <w:rPr>
                <w:b/>
                <w:bCs w:val="0"/>
                <w:color w:val="000000"/>
                <w:spacing w:val="19"/>
                <w:shd w:val="solid" w:color="000000" w:fill="000000"/>
                <w:fitText w:val="1640" w:id="-1230827263"/>
                <w14:textFill>
                  <w14:solidFill>
                    <w14:srgbClr w14:val="000000">
                      <w14:alpha w14:val="100000"/>
                    </w14:srgbClr>
                  </w14:solidFill>
                </w14:textFill>
              </w:rPr>
              <w:t>|</w:t>
            </w:r>
            <w:r w:rsidRPr="001376A6">
              <w:rPr>
                <w:b/>
                <w:bCs w:val="0"/>
              </w:rPr>
              <w:t>)</w:t>
            </w:r>
          </w:p>
        </w:tc>
        <w:tc>
          <w:tcPr>
            <w:tcW w:w="786" w:type="pct"/>
            <w:shd w:val="clear" w:color="auto" w:fill="auto"/>
          </w:tcPr>
          <w:p w14:paraId="0011E727" w14:textId="51237AA0" w:rsidR="00D46A54" w:rsidRPr="001376A6" w:rsidRDefault="00D46A54" w:rsidP="001376A6">
            <w:pPr>
              <w:pStyle w:val="TableText0"/>
              <w:keepLines/>
              <w:jc w:val="center"/>
              <w:rPr>
                <w:b/>
                <w:bCs w:val="0"/>
              </w:rPr>
            </w:pPr>
            <w:r w:rsidRPr="001376A6">
              <w:rPr>
                <w:b/>
                <w:bCs w:val="0"/>
              </w:rPr>
              <w:t>$</w:t>
            </w:r>
            <w:r w:rsidR="00C47128" w:rsidRPr="00DB7A5A">
              <w:rPr>
                <w:b/>
                <w:bCs w:val="0"/>
                <w:color w:val="000000"/>
                <w:spacing w:val="41"/>
                <w:shd w:val="solid" w:color="000000" w:fill="000000"/>
                <w:fitText w:val="308" w:id="-1236585982"/>
                <w14:textFill>
                  <w14:solidFill>
                    <w14:srgbClr w14:val="000000">
                      <w14:alpha w14:val="100000"/>
                    </w14:srgbClr>
                  </w14:solidFill>
                </w14:textFill>
              </w:rPr>
              <w:t>|||</w:t>
            </w:r>
            <w:r w:rsidR="00C47128" w:rsidRPr="00DB7A5A">
              <w:rPr>
                <w:b/>
                <w:bCs w:val="0"/>
                <w:color w:val="000000"/>
                <w:spacing w:val="2"/>
                <w:shd w:val="solid" w:color="000000" w:fill="000000"/>
                <w:fitText w:val="308" w:id="-1236585982"/>
                <w14:textFill>
                  <w14:solidFill>
                    <w14:srgbClr w14:val="000000">
                      <w14:alpha w14:val="100000"/>
                    </w14:srgbClr>
                  </w14:solidFill>
                </w14:textFill>
              </w:rPr>
              <w:t>|</w:t>
            </w:r>
          </w:p>
        </w:tc>
        <w:tc>
          <w:tcPr>
            <w:tcW w:w="836" w:type="pct"/>
          </w:tcPr>
          <w:p w14:paraId="7DB17C12" w14:textId="77777777" w:rsidR="00D46A54" w:rsidRPr="001376A6" w:rsidRDefault="00D46A54" w:rsidP="001376A6">
            <w:pPr>
              <w:pStyle w:val="TableText0"/>
              <w:keepLines/>
              <w:jc w:val="center"/>
              <w:rPr>
                <w:b/>
                <w:bCs w:val="0"/>
              </w:rPr>
            </w:pPr>
          </w:p>
        </w:tc>
      </w:tr>
      <w:tr w:rsidR="00D46A54" w:rsidRPr="001376A6" w14:paraId="2720A929" w14:textId="1CF1CC61" w:rsidTr="00E777B3">
        <w:trPr>
          <w:cantSplit/>
        </w:trPr>
        <w:tc>
          <w:tcPr>
            <w:tcW w:w="3378" w:type="pct"/>
            <w:shd w:val="clear" w:color="auto" w:fill="auto"/>
            <w:vAlign w:val="center"/>
          </w:tcPr>
          <w:p w14:paraId="593C2C6E" w14:textId="1D6F6F7A" w:rsidR="00D46A54" w:rsidRPr="001376A6" w:rsidRDefault="00D46A54" w:rsidP="001376A6">
            <w:pPr>
              <w:pStyle w:val="TableText0"/>
              <w:keepLines/>
              <w:tabs>
                <w:tab w:val="left" w:pos="102"/>
              </w:tabs>
              <w:rPr>
                <w:b/>
                <w:bCs w:val="0"/>
              </w:rPr>
            </w:pPr>
            <w:r w:rsidRPr="001376A6">
              <w:rPr>
                <w:b/>
                <w:bCs w:val="0"/>
              </w:rPr>
              <w:t xml:space="preserve">Source for deriving patient weight (base case: </w:t>
            </w:r>
            <w:r w:rsidR="00BE3B5B" w:rsidRPr="001376A6">
              <w:rPr>
                <w:b/>
                <w:bCs w:val="0"/>
              </w:rPr>
              <w:t xml:space="preserve">Study </w:t>
            </w:r>
            <w:r w:rsidRPr="001376A6">
              <w:rPr>
                <w:b/>
                <w:bCs w:val="0"/>
              </w:rPr>
              <w:t>311)</w:t>
            </w:r>
          </w:p>
          <w:p w14:paraId="0EBCEB5A" w14:textId="4E5436C3" w:rsidR="00D46A54" w:rsidRPr="001376A6" w:rsidRDefault="00D46A54" w:rsidP="001376A6">
            <w:pPr>
              <w:pStyle w:val="TableText0"/>
              <w:keepLines/>
              <w:numPr>
                <w:ilvl w:val="0"/>
                <w:numId w:val="9"/>
              </w:numPr>
              <w:tabs>
                <w:tab w:val="left" w:pos="102"/>
              </w:tabs>
              <w:ind w:left="251" w:hanging="142"/>
            </w:pPr>
            <w:r w:rsidRPr="001376A6">
              <w:t>DUSC data</w:t>
            </w:r>
          </w:p>
          <w:p w14:paraId="36AB9106" w14:textId="77777777" w:rsidR="00D46A54" w:rsidRPr="001376A6" w:rsidRDefault="00D46A54" w:rsidP="001376A6">
            <w:pPr>
              <w:pStyle w:val="TableText0"/>
              <w:keepLines/>
              <w:numPr>
                <w:ilvl w:val="0"/>
                <w:numId w:val="9"/>
              </w:numPr>
              <w:tabs>
                <w:tab w:val="left" w:pos="102"/>
              </w:tabs>
              <w:ind w:left="251" w:hanging="142"/>
              <w:rPr>
                <w:b/>
                <w:bCs w:val="0"/>
              </w:rPr>
            </w:pPr>
            <w:r w:rsidRPr="001376A6">
              <w:t>Registry</w:t>
            </w:r>
          </w:p>
          <w:p w14:paraId="3F692D5C" w14:textId="1112F3D1" w:rsidR="001F0E9D" w:rsidRPr="001376A6" w:rsidRDefault="001F0E9D" w:rsidP="001376A6">
            <w:pPr>
              <w:pStyle w:val="TableText0"/>
              <w:keepLines/>
              <w:numPr>
                <w:ilvl w:val="0"/>
                <w:numId w:val="9"/>
              </w:numPr>
              <w:tabs>
                <w:tab w:val="left" w:pos="102"/>
              </w:tabs>
              <w:ind w:left="251" w:hanging="142"/>
              <w:rPr>
                <w:bCs w:val="0"/>
              </w:rPr>
            </w:pPr>
            <w:r w:rsidRPr="001376A6">
              <w:rPr>
                <w:bCs w:val="0"/>
              </w:rPr>
              <w:t>Updated data from Study 312</w:t>
            </w:r>
            <w:r w:rsidR="00733493" w:rsidRPr="001376A6">
              <w:rPr>
                <w:bCs w:val="0"/>
              </w:rPr>
              <w:t xml:space="preserve"> (paediatric patients), per the PSCR</w:t>
            </w:r>
          </w:p>
        </w:tc>
        <w:tc>
          <w:tcPr>
            <w:tcW w:w="786" w:type="pct"/>
            <w:shd w:val="clear" w:color="auto" w:fill="auto"/>
          </w:tcPr>
          <w:p w14:paraId="4D69738C" w14:textId="77777777" w:rsidR="00D46A54" w:rsidRPr="001376A6" w:rsidRDefault="00D46A54" w:rsidP="001376A6">
            <w:pPr>
              <w:pStyle w:val="TableText0"/>
              <w:keepLines/>
              <w:jc w:val="center"/>
            </w:pPr>
          </w:p>
          <w:p w14:paraId="78AE45C8" w14:textId="04A721E7" w:rsidR="00D46A54" w:rsidRPr="001376A6" w:rsidRDefault="00D46A54" w:rsidP="001376A6">
            <w:pPr>
              <w:pStyle w:val="TableText0"/>
              <w:keepLines/>
              <w:jc w:val="center"/>
            </w:pPr>
            <w:r w:rsidRPr="001376A6">
              <w:t>$</w:t>
            </w:r>
            <w:r w:rsidR="00C47128" w:rsidRPr="00C47128">
              <w:rPr>
                <w:color w:val="000000"/>
                <w:spacing w:val="155"/>
                <w:shd w:val="solid" w:color="000000" w:fill="000000"/>
                <w:fitText w:val="241" w:id="-1236585981"/>
                <w14:textFill>
                  <w14:solidFill>
                    <w14:srgbClr w14:val="000000">
                      <w14:alpha w14:val="100000"/>
                    </w14:srgbClr>
                  </w14:solidFill>
                </w14:textFill>
              </w:rPr>
              <w:t>|</w:t>
            </w:r>
            <w:r w:rsidR="00C47128" w:rsidRPr="00C47128">
              <w:rPr>
                <w:color w:val="000000"/>
                <w:spacing w:val="1"/>
                <w:shd w:val="solid" w:color="000000" w:fill="000000"/>
                <w:fitText w:val="241" w:id="-1236585981"/>
                <w14:textFill>
                  <w14:solidFill>
                    <w14:srgbClr w14:val="000000">
                      <w14:alpha w14:val="100000"/>
                    </w14:srgbClr>
                  </w14:solidFill>
                </w14:textFill>
              </w:rPr>
              <w:t>|</w:t>
            </w:r>
          </w:p>
          <w:p w14:paraId="37F727DF" w14:textId="1608170E" w:rsidR="00D46A54" w:rsidRPr="001376A6" w:rsidRDefault="00D46A54" w:rsidP="001376A6">
            <w:pPr>
              <w:pStyle w:val="TableText0"/>
              <w:keepLines/>
              <w:jc w:val="center"/>
            </w:pPr>
            <w:r w:rsidRPr="001376A6">
              <w:t>$</w:t>
            </w:r>
            <w:r w:rsidR="00C47128" w:rsidRPr="00C47128">
              <w:rPr>
                <w:color w:val="000000"/>
                <w:spacing w:val="155"/>
                <w:shd w:val="solid" w:color="000000" w:fill="000000"/>
                <w:fitText w:val="241" w:id="-1236585980"/>
                <w14:textFill>
                  <w14:solidFill>
                    <w14:srgbClr w14:val="000000">
                      <w14:alpha w14:val="100000"/>
                    </w14:srgbClr>
                  </w14:solidFill>
                </w14:textFill>
              </w:rPr>
              <w:t>|</w:t>
            </w:r>
            <w:r w:rsidR="00C47128" w:rsidRPr="00C47128">
              <w:rPr>
                <w:color w:val="000000"/>
                <w:spacing w:val="1"/>
                <w:shd w:val="solid" w:color="000000" w:fill="000000"/>
                <w:fitText w:val="241" w:id="-1236585980"/>
                <w14:textFill>
                  <w14:solidFill>
                    <w14:srgbClr w14:val="000000">
                      <w14:alpha w14:val="100000"/>
                    </w14:srgbClr>
                  </w14:solidFill>
                </w14:textFill>
              </w:rPr>
              <w:t>|</w:t>
            </w:r>
          </w:p>
          <w:p w14:paraId="40FE0A93" w14:textId="7F4E94AC" w:rsidR="00733493" w:rsidRPr="001376A6" w:rsidRDefault="00733493" w:rsidP="001376A6">
            <w:pPr>
              <w:pStyle w:val="TableText0"/>
              <w:keepLines/>
              <w:jc w:val="center"/>
            </w:pPr>
            <w:r w:rsidRPr="001376A6">
              <w:t>$</w:t>
            </w:r>
            <w:r w:rsidR="00C47128" w:rsidRPr="00DB7A5A">
              <w:rPr>
                <w:color w:val="000000"/>
                <w:spacing w:val="155"/>
                <w:shd w:val="solid" w:color="000000" w:fill="000000"/>
                <w:fitText w:val="241" w:id="-1236585979"/>
                <w14:textFill>
                  <w14:solidFill>
                    <w14:srgbClr w14:val="000000">
                      <w14:alpha w14:val="100000"/>
                    </w14:srgbClr>
                  </w14:solidFill>
                </w14:textFill>
              </w:rPr>
              <w:t>|</w:t>
            </w:r>
            <w:r w:rsidR="00C47128" w:rsidRPr="00DB7A5A">
              <w:rPr>
                <w:color w:val="000000"/>
                <w:shd w:val="solid" w:color="000000" w:fill="000000"/>
                <w:fitText w:val="241" w:id="-1236585979"/>
                <w14:textFill>
                  <w14:solidFill>
                    <w14:srgbClr w14:val="000000">
                      <w14:alpha w14:val="100000"/>
                    </w14:srgbClr>
                  </w14:solidFill>
                </w14:textFill>
              </w:rPr>
              <w:t>|</w:t>
            </w:r>
          </w:p>
        </w:tc>
        <w:tc>
          <w:tcPr>
            <w:tcW w:w="836" w:type="pct"/>
          </w:tcPr>
          <w:p w14:paraId="20373556" w14:textId="77777777" w:rsidR="00D46A54" w:rsidRPr="001376A6" w:rsidRDefault="00D46A54" w:rsidP="001376A6">
            <w:pPr>
              <w:pStyle w:val="TableText0"/>
              <w:keepLines/>
              <w:jc w:val="center"/>
            </w:pPr>
          </w:p>
          <w:p w14:paraId="1D16AF85" w14:textId="77777777" w:rsidR="00622D65" w:rsidRPr="001376A6" w:rsidRDefault="00622D65" w:rsidP="001376A6">
            <w:pPr>
              <w:pStyle w:val="TableText0"/>
              <w:keepLines/>
              <w:jc w:val="center"/>
            </w:pPr>
            <w:r w:rsidRPr="001376A6">
              <w:t>0.7%</w:t>
            </w:r>
          </w:p>
          <w:p w14:paraId="61504923" w14:textId="77777777" w:rsidR="00622D65" w:rsidRPr="001376A6" w:rsidRDefault="00622D65" w:rsidP="001376A6">
            <w:pPr>
              <w:pStyle w:val="TableText0"/>
              <w:keepLines/>
              <w:jc w:val="center"/>
            </w:pPr>
            <w:r w:rsidRPr="001376A6">
              <w:t>3.0%</w:t>
            </w:r>
          </w:p>
          <w:p w14:paraId="033A793D" w14:textId="63FA491B" w:rsidR="00733493" w:rsidRPr="001376A6" w:rsidRDefault="00733493" w:rsidP="001376A6">
            <w:pPr>
              <w:pStyle w:val="TableText0"/>
              <w:keepLines/>
              <w:jc w:val="center"/>
            </w:pPr>
            <w:r w:rsidRPr="001376A6">
              <w:t>0.6%</w:t>
            </w:r>
          </w:p>
        </w:tc>
      </w:tr>
      <w:tr w:rsidR="00D46A54" w:rsidRPr="001376A6" w14:paraId="33D90DAD" w14:textId="7549BE06" w:rsidTr="00E777B3">
        <w:trPr>
          <w:cantSplit/>
        </w:trPr>
        <w:tc>
          <w:tcPr>
            <w:tcW w:w="3378" w:type="pct"/>
            <w:shd w:val="clear" w:color="auto" w:fill="auto"/>
            <w:vAlign w:val="center"/>
          </w:tcPr>
          <w:p w14:paraId="6CFFB61F" w14:textId="77777777" w:rsidR="00D46A54" w:rsidRPr="001376A6" w:rsidRDefault="00D46A54" w:rsidP="001B462A">
            <w:pPr>
              <w:pStyle w:val="TableText0"/>
              <w:tabs>
                <w:tab w:val="left" w:pos="102"/>
              </w:tabs>
              <w:rPr>
                <w:b/>
                <w:bCs w:val="0"/>
              </w:rPr>
            </w:pPr>
            <w:r w:rsidRPr="001376A6">
              <w:rPr>
                <w:b/>
                <w:bCs w:val="0"/>
              </w:rPr>
              <w:t>Time horizon (base case: 1 year)</w:t>
            </w:r>
          </w:p>
          <w:p w14:paraId="440EE5E0" w14:textId="680453D3" w:rsidR="00D46A54" w:rsidRPr="001376A6" w:rsidRDefault="00D46A54" w:rsidP="00224B88">
            <w:pPr>
              <w:pStyle w:val="TableText0"/>
              <w:numPr>
                <w:ilvl w:val="0"/>
                <w:numId w:val="9"/>
              </w:numPr>
              <w:tabs>
                <w:tab w:val="left" w:pos="102"/>
              </w:tabs>
              <w:ind w:left="251" w:hanging="142"/>
            </w:pPr>
            <w:r w:rsidRPr="001376A6">
              <w:t>2 years (for adults only)</w:t>
            </w:r>
          </w:p>
        </w:tc>
        <w:tc>
          <w:tcPr>
            <w:tcW w:w="786" w:type="pct"/>
            <w:shd w:val="clear" w:color="auto" w:fill="auto"/>
          </w:tcPr>
          <w:p w14:paraId="5969490B" w14:textId="77777777" w:rsidR="00D46A54" w:rsidRPr="001376A6" w:rsidRDefault="00D46A54" w:rsidP="001B462A">
            <w:pPr>
              <w:pStyle w:val="TableText0"/>
              <w:jc w:val="center"/>
            </w:pPr>
          </w:p>
          <w:p w14:paraId="0A959E2A" w14:textId="6758714F" w:rsidR="00D46A54" w:rsidRPr="001376A6" w:rsidRDefault="00D46A54" w:rsidP="001B462A">
            <w:pPr>
              <w:pStyle w:val="TableText0"/>
              <w:jc w:val="center"/>
            </w:pPr>
            <w:r w:rsidRPr="001376A6">
              <w:t>$</w:t>
            </w:r>
            <w:r w:rsidR="00C47128" w:rsidRPr="00DB7A5A">
              <w:rPr>
                <w:color w:val="000000"/>
                <w:spacing w:val="155"/>
                <w:shd w:val="solid" w:color="000000" w:fill="000000"/>
                <w:fitText w:val="241" w:id="-1236585978"/>
                <w14:textFill>
                  <w14:solidFill>
                    <w14:srgbClr w14:val="000000">
                      <w14:alpha w14:val="100000"/>
                    </w14:srgbClr>
                  </w14:solidFill>
                </w14:textFill>
              </w:rPr>
              <w:t>|</w:t>
            </w:r>
            <w:r w:rsidR="00C47128" w:rsidRPr="00DB7A5A">
              <w:rPr>
                <w:color w:val="000000"/>
                <w:shd w:val="solid" w:color="000000" w:fill="000000"/>
                <w:fitText w:val="241" w:id="-1236585978"/>
                <w14:textFill>
                  <w14:solidFill>
                    <w14:srgbClr w14:val="000000">
                      <w14:alpha w14:val="100000"/>
                    </w14:srgbClr>
                  </w14:solidFill>
                </w14:textFill>
              </w:rPr>
              <w:t>|</w:t>
            </w:r>
          </w:p>
        </w:tc>
        <w:tc>
          <w:tcPr>
            <w:tcW w:w="836" w:type="pct"/>
          </w:tcPr>
          <w:p w14:paraId="2E55C491" w14:textId="77777777" w:rsidR="00D46A54" w:rsidRPr="001376A6" w:rsidRDefault="00D46A54" w:rsidP="001B462A">
            <w:pPr>
              <w:pStyle w:val="TableText0"/>
              <w:jc w:val="center"/>
            </w:pPr>
          </w:p>
          <w:p w14:paraId="290BD41C" w14:textId="5E5FC3FD" w:rsidR="00622D65" w:rsidRPr="001376A6" w:rsidRDefault="00622D65" w:rsidP="001B462A">
            <w:pPr>
              <w:pStyle w:val="TableText0"/>
              <w:jc w:val="center"/>
            </w:pPr>
            <w:r w:rsidRPr="001376A6">
              <w:t>19.7%</w:t>
            </w:r>
          </w:p>
        </w:tc>
      </w:tr>
      <w:tr w:rsidR="00D46A54" w:rsidRPr="001376A6" w14:paraId="6228EE9F" w14:textId="45D4FE2E" w:rsidTr="00E777B3">
        <w:trPr>
          <w:cantSplit/>
        </w:trPr>
        <w:tc>
          <w:tcPr>
            <w:tcW w:w="3378" w:type="pct"/>
            <w:shd w:val="clear" w:color="auto" w:fill="auto"/>
            <w:vAlign w:val="center"/>
          </w:tcPr>
          <w:p w14:paraId="7C4C2461" w14:textId="3D43AA95" w:rsidR="00D46A54" w:rsidRPr="001376A6" w:rsidRDefault="00D46A54" w:rsidP="001B462A">
            <w:pPr>
              <w:pStyle w:val="TableText0"/>
              <w:tabs>
                <w:tab w:val="left" w:pos="102"/>
              </w:tabs>
              <w:rPr>
                <w:b/>
                <w:bCs w:val="0"/>
              </w:rPr>
            </w:pPr>
            <w:r w:rsidRPr="001376A6">
              <w:rPr>
                <w:b/>
                <w:bCs w:val="0"/>
              </w:rPr>
              <w:t>Proportion of adult/paediatric patients (base case: 90.4% adults)</w:t>
            </w:r>
          </w:p>
          <w:p w14:paraId="6D08D857" w14:textId="02DEFB73" w:rsidR="00D46A54" w:rsidRPr="001376A6" w:rsidRDefault="00D46A54" w:rsidP="00224B88">
            <w:pPr>
              <w:pStyle w:val="TableText0"/>
              <w:numPr>
                <w:ilvl w:val="0"/>
                <w:numId w:val="9"/>
              </w:numPr>
              <w:tabs>
                <w:tab w:val="left" w:pos="102"/>
              </w:tabs>
              <w:ind w:left="251" w:hanging="142"/>
            </w:pPr>
            <w:r w:rsidRPr="001376A6">
              <w:t>Adults 100% (given weight data for paediatric patients</w:t>
            </w:r>
            <w:r w:rsidR="00733493" w:rsidRPr="001376A6">
              <w:t xml:space="preserve"> is less reliable</w:t>
            </w:r>
            <w:r w:rsidRPr="001376A6">
              <w:t>)</w:t>
            </w:r>
          </w:p>
        </w:tc>
        <w:tc>
          <w:tcPr>
            <w:tcW w:w="786" w:type="pct"/>
            <w:shd w:val="clear" w:color="auto" w:fill="auto"/>
          </w:tcPr>
          <w:p w14:paraId="1DDE782D" w14:textId="77777777" w:rsidR="00622D65" w:rsidRPr="001376A6" w:rsidRDefault="00622D65" w:rsidP="001B462A">
            <w:pPr>
              <w:pStyle w:val="TableText0"/>
              <w:jc w:val="center"/>
            </w:pPr>
          </w:p>
          <w:p w14:paraId="0760833C" w14:textId="615447F1" w:rsidR="00D46A54" w:rsidRPr="001376A6" w:rsidRDefault="00D46A54" w:rsidP="001B462A">
            <w:pPr>
              <w:pStyle w:val="TableText0"/>
              <w:jc w:val="center"/>
            </w:pPr>
            <w:r w:rsidRPr="001376A6">
              <w:t>$</w:t>
            </w:r>
            <w:r w:rsidR="00C47128" w:rsidRPr="00DB7A5A">
              <w:rPr>
                <w:color w:val="000000"/>
                <w:spacing w:val="155"/>
                <w:shd w:val="solid" w:color="000000" w:fill="000000"/>
                <w:fitText w:val="241" w:id="-1236585977"/>
                <w14:textFill>
                  <w14:solidFill>
                    <w14:srgbClr w14:val="000000">
                      <w14:alpha w14:val="100000"/>
                    </w14:srgbClr>
                  </w14:solidFill>
                </w14:textFill>
              </w:rPr>
              <w:t>|</w:t>
            </w:r>
            <w:r w:rsidR="00C47128" w:rsidRPr="00DB7A5A">
              <w:rPr>
                <w:color w:val="000000"/>
                <w:shd w:val="solid" w:color="000000" w:fill="000000"/>
                <w:fitText w:val="241" w:id="-1236585977"/>
                <w14:textFill>
                  <w14:solidFill>
                    <w14:srgbClr w14:val="000000">
                      <w14:alpha w14:val="100000"/>
                    </w14:srgbClr>
                  </w14:solidFill>
                </w14:textFill>
              </w:rPr>
              <w:t>|</w:t>
            </w:r>
          </w:p>
        </w:tc>
        <w:tc>
          <w:tcPr>
            <w:tcW w:w="836" w:type="pct"/>
          </w:tcPr>
          <w:p w14:paraId="1673650A" w14:textId="77777777" w:rsidR="00622D65" w:rsidRPr="001376A6" w:rsidRDefault="00622D65" w:rsidP="001B462A">
            <w:pPr>
              <w:pStyle w:val="TableText0"/>
              <w:jc w:val="center"/>
            </w:pPr>
          </w:p>
          <w:p w14:paraId="1727F38B" w14:textId="6C0B019F" w:rsidR="00622D65" w:rsidRPr="001376A6" w:rsidRDefault="00622D65" w:rsidP="001B462A">
            <w:pPr>
              <w:pStyle w:val="TableText0"/>
              <w:jc w:val="center"/>
            </w:pPr>
            <w:r w:rsidRPr="001376A6">
              <w:t>0.5%</w:t>
            </w:r>
          </w:p>
        </w:tc>
      </w:tr>
      <w:tr w:rsidR="00622D65" w:rsidRPr="001376A6" w14:paraId="64357A5F" w14:textId="77777777" w:rsidTr="00E777B3">
        <w:trPr>
          <w:cantSplit/>
        </w:trPr>
        <w:tc>
          <w:tcPr>
            <w:tcW w:w="3378" w:type="pct"/>
            <w:shd w:val="clear" w:color="auto" w:fill="auto"/>
            <w:vAlign w:val="center"/>
          </w:tcPr>
          <w:p w14:paraId="2E56AD3E" w14:textId="1BD1697A" w:rsidR="00622D65" w:rsidRPr="001376A6" w:rsidRDefault="0093152C" w:rsidP="003674B7">
            <w:pPr>
              <w:pStyle w:val="TableText0"/>
              <w:ind w:left="109" w:hanging="142"/>
              <w:rPr>
                <w:bCs w:val="0"/>
              </w:rPr>
            </w:pPr>
            <w:r w:rsidRPr="001376A6">
              <w:rPr>
                <w:b/>
              </w:rPr>
              <w:t xml:space="preserve">ESC analysis: </w:t>
            </w:r>
            <w:r w:rsidR="00622D65" w:rsidRPr="001376A6">
              <w:rPr>
                <w:b/>
              </w:rPr>
              <w:t>Switching (base case: all patients are assumed to require eculizumab</w:t>
            </w:r>
            <w:r w:rsidR="00BC383F" w:rsidRPr="001376A6">
              <w:rPr>
                <w:b/>
              </w:rPr>
              <w:t xml:space="preserve"> and ravulizumab </w:t>
            </w:r>
            <w:r w:rsidR="00622D65" w:rsidRPr="001376A6">
              <w:rPr>
                <w:b/>
              </w:rPr>
              <w:t>loading dose</w:t>
            </w:r>
            <w:r w:rsidR="00BC383F" w:rsidRPr="001376A6">
              <w:rPr>
                <w:b/>
              </w:rPr>
              <w:t>/</w:t>
            </w:r>
            <w:r w:rsidR="00622D65" w:rsidRPr="001376A6">
              <w:rPr>
                <w:b/>
              </w:rPr>
              <w:t>s)</w:t>
            </w:r>
          </w:p>
          <w:p w14:paraId="4E40E011" w14:textId="4AB22411" w:rsidR="00622D65" w:rsidRPr="001376A6" w:rsidRDefault="00BC383F" w:rsidP="00224B88">
            <w:pPr>
              <w:pStyle w:val="TableText0"/>
              <w:numPr>
                <w:ilvl w:val="0"/>
                <w:numId w:val="9"/>
              </w:numPr>
              <w:tabs>
                <w:tab w:val="left" w:pos="102"/>
              </w:tabs>
              <w:ind w:left="251" w:hanging="142"/>
            </w:pPr>
            <w:r w:rsidRPr="001376A6">
              <w:t xml:space="preserve">All adult patients commence ravulizumab by switching from eculizumab </w:t>
            </w:r>
            <w:r w:rsidR="00622D65" w:rsidRPr="001376A6">
              <w:rPr>
                <w:vertAlign w:val="superscript"/>
              </w:rPr>
              <w:t>a</w:t>
            </w:r>
          </w:p>
          <w:p w14:paraId="762FF11C" w14:textId="36FB9158" w:rsidR="00622D65" w:rsidRPr="001376A6" w:rsidRDefault="00B754FA" w:rsidP="00224B88">
            <w:pPr>
              <w:pStyle w:val="TableText0"/>
              <w:numPr>
                <w:ilvl w:val="0"/>
                <w:numId w:val="9"/>
              </w:numPr>
              <w:tabs>
                <w:tab w:val="left" w:pos="102"/>
              </w:tabs>
              <w:ind w:left="251" w:hanging="142"/>
              <w:rPr>
                <w:b/>
                <w:bCs w:val="0"/>
              </w:rPr>
            </w:pPr>
            <w:r w:rsidRPr="001376A6">
              <w:t>50</w:t>
            </w:r>
            <w:r w:rsidR="00622D65" w:rsidRPr="001376A6">
              <w:t xml:space="preserve">% of adult patients </w:t>
            </w:r>
            <w:r w:rsidR="00BC383F" w:rsidRPr="001376A6">
              <w:t xml:space="preserve">commence ravulizumab by switching from eculizumab </w:t>
            </w:r>
            <w:proofErr w:type="gramStart"/>
            <w:r w:rsidR="00622D65" w:rsidRPr="001376A6">
              <w:rPr>
                <w:vertAlign w:val="superscript"/>
              </w:rPr>
              <w:t>b</w:t>
            </w:r>
            <w:proofErr w:type="gramEnd"/>
          </w:p>
          <w:p w14:paraId="6AACA2CC" w14:textId="3B7E4F5B" w:rsidR="00095EC3" w:rsidRPr="001376A6" w:rsidRDefault="00095EC3" w:rsidP="00224B88">
            <w:pPr>
              <w:pStyle w:val="TableText0"/>
              <w:numPr>
                <w:ilvl w:val="0"/>
                <w:numId w:val="9"/>
              </w:numPr>
              <w:tabs>
                <w:tab w:val="left" w:pos="102"/>
              </w:tabs>
              <w:ind w:left="251" w:hanging="142"/>
              <w:rPr>
                <w:bCs w:val="0"/>
              </w:rPr>
            </w:pPr>
            <w:r w:rsidRPr="001376A6">
              <w:rPr>
                <w:bCs w:val="0"/>
              </w:rPr>
              <w:t xml:space="preserve">90% </w:t>
            </w:r>
            <w:r w:rsidRPr="001376A6">
              <w:t xml:space="preserve">of adult patients </w:t>
            </w:r>
            <w:r w:rsidR="00BC383F" w:rsidRPr="001376A6">
              <w:t xml:space="preserve">commence ravulizumab by switching from eculizumab </w:t>
            </w:r>
            <w:r w:rsidRPr="001376A6">
              <w:rPr>
                <w:vertAlign w:val="superscript"/>
              </w:rPr>
              <w:t>c</w:t>
            </w:r>
          </w:p>
        </w:tc>
        <w:tc>
          <w:tcPr>
            <w:tcW w:w="786" w:type="pct"/>
            <w:shd w:val="clear" w:color="auto" w:fill="auto"/>
          </w:tcPr>
          <w:p w14:paraId="467C6158" w14:textId="2CAF3FEA" w:rsidR="00BC383F" w:rsidRPr="001376A6" w:rsidRDefault="00BC383F" w:rsidP="00622D65">
            <w:pPr>
              <w:pStyle w:val="TableText0"/>
              <w:jc w:val="center"/>
            </w:pPr>
          </w:p>
          <w:p w14:paraId="5A33D0C5" w14:textId="77777777" w:rsidR="00BC383F" w:rsidRPr="001376A6" w:rsidRDefault="00BC383F" w:rsidP="00622D65">
            <w:pPr>
              <w:pStyle w:val="TableText0"/>
              <w:jc w:val="center"/>
            </w:pPr>
          </w:p>
          <w:p w14:paraId="479C9FAF" w14:textId="5F46DDAC" w:rsidR="00622D65" w:rsidRPr="001376A6" w:rsidRDefault="00622D65" w:rsidP="00622D65">
            <w:pPr>
              <w:pStyle w:val="TableText0"/>
              <w:jc w:val="center"/>
            </w:pPr>
            <w:r w:rsidRPr="001376A6">
              <w:t>$</w:t>
            </w:r>
            <w:r w:rsidR="00C47128" w:rsidRPr="00C47128">
              <w:rPr>
                <w:color w:val="000000"/>
                <w:spacing w:val="155"/>
                <w:shd w:val="solid" w:color="000000" w:fill="000000"/>
                <w:fitText w:val="241" w:id="-1236585976"/>
                <w14:textFill>
                  <w14:solidFill>
                    <w14:srgbClr w14:val="000000">
                      <w14:alpha w14:val="100000"/>
                    </w14:srgbClr>
                  </w14:solidFill>
                </w14:textFill>
              </w:rPr>
              <w:t>|</w:t>
            </w:r>
            <w:r w:rsidR="00C47128" w:rsidRPr="00C47128">
              <w:rPr>
                <w:color w:val="000000"/>
                <w:spacing w:val="1"/>
                <w:shd w:val="solid" w:color="000000" w:fill="000000"/>
                <w:fitText w:val="241" w:id="-1236585976"/>
                <w14:textFill>
                  <w14:solidFill>
                    <w14:srgbClr w14:val="000000">
                      <w14:alpha w14:val="100000"/>
                    </w14:srgbClr>
                  </w14:solidFill>
                </w14:textFill>
              </w:rPr>
              <w:t>|</w:t>
            </w:r>
          </w:p>
          <w:p w14:paraId="7A315213" w14:textId="7E0569D3" w:rsidR="00622D65" w:rsidRPr="001376A6" w:rsidRDefault="00622D65" w:rsidP="00622D65">
            <w:pPr>
              <w:pStyle w:val="TableText0"/>
              <w:jc w:val="center"/>
            </w:pPr>
            <w:r w:rsidRPr="001376A6">
              <w:t>$</w:t>
            </w:r>
            <w:r w:rsidR="00C47128" w:rsidRPr="00C47128">
              <w:rPr>
                <w:color w:val="000000"/>
                <w:spacing w:val="155"/>
                <w:shd w:val="solid" w:color="000000" w:fill="000000"/>
                <w:fitText w:val="241" w:id="-1236585975"/>
                <w14:textFill>
                  <w14:solidFill>
                    <w14:srgbClr w14:val="000000">
                      <w14:alpha w14:val="100000"/>
                    </w14:srgbClr>
                  </w14:solidFill>
                </w14:textFill>
              </w:rPr>
              <w:t>|</w:t>
            </w:r>
            <w:r w:rsidR="00C47128" w:rsidRPr="00C47128">
              <w:rPr>
                <w:color w:val="000000"/>
                <w:spacing w:val="1"/>
                <w:shd w:val="solid" w:color="000000" w:fill="000000"/>
                <w:fitText w:val="241" w:id="-1236585975"/>
                <w14:textFill>
                  <w14:solidFill>
                    <w14:srgbClr w14:val="000000">
                      <w14:alpha w14:val="100000"/>
                    </w14:srgbClr>
                  </w14:solidFill>
                </w14:textFill>
              </w:rPr>
              <w:t>|</w:t>
            </w:r>
          </w:p>
          <w:p w14:paraId="7BEE6EA2" w14:textId="0813EF2D" w:rsidR="00095EC3" w:rsidRPr="001376A6" w:rsidRDefault="00095EC3" w:rsidP="00622D65">
            <w:pPr>
              <w:pStyle w:val="TableText0"/>
              <w:jc w:val="center"/>
            </w:pPr>
            <w:r w:rsidRPr="001376A6">
              <w:t>$</w:t>
            </w:r>
            <w:r w:rsidR="00C47128" w:rsidRPr="00DB7A5A">
              <w:rPr>
                <w:color w:val="000000"/>
                <w:spacing w:val="155"/>
                <w:shd w:val="solid" w:color="000000" w:fill="000000"/>
                <w:fitText w:val="241" w:id="-1236585974"/>
                <w14:textFill>
                  <w14:solidFill>
                    <w14:srgbClr w14:val="000000">
                      <w14:alpha w14:val="100000"/>
                    </w14:srgbClr>
                  </w14:solidFill>
                </w14:textFill>
              </w:rPr>
              <w:t>|</w:t>
            </w:r>
            <w:r w:rsidR="00C47128" w:rsidRPr="00DB7A5A">
              <w:rPr>
                <w:color w:val="000000"/>
                <w:shd w:val="solid" w:color="000000" w:fill="000000"/>
                <w:fitText w:val="241" w:id="-1236585974"/>
                <w14:textFill>
                  <w14:solidFill>
                    <w14:srgbClr w14:val="000000">
                      <w14:alpha w14:val="100000"/>
                    </w14:srgbClr>
                  </w14:solidFill>
                </w14:textFill>
              </w:rPr>
              <w:t>|</w:t>
            </w:r>
          </w:p>
        </w:tc>
        <w:tc>
          <w:tcPr>
            <w:tcW w:w="836" w:type="pct"/>
          </w:tcPr>
          <w:p w14:paraId="061B82FE" w14:textId="687D00BF" w:rsidR="00BC383F" w:rsidRPr="001376A6" w:rsidRDefault="00BC383F" w:rsidP="00622D65">
            <w:pPr>
              <w:pStyle w:val="TableText0"/>
              <w:jc w:val="center"/>
            </w:pPr>
          </w:p>
          <w:p w14:paraId="1E927B40" w14:textId="77777777" w:rsidR="00BC383F" w:rsidRPr="001376A6" w:rsidRDefault="00BC383F" w:rsidP="00622D65">
            <w:pPr>
              <w:pStyle w:val="TableText0"/>
              <w:jc w:val="center"/>
            </w:pPr>
          </w:p>
          <w:p w14:paraId="63FDBE24" w14:textId="77777777" w:rsidR="00622D65" w:rsidRPr="001376A6" w:rsidRDefault="00622D65" w:rsidP="00622D65">
            <w:pPr>
              <w:pStyle w:val="TableText0"/>
              <w:jc w:val="center"/>
            </w:pPr>
            <w:r w:rsidRPr="001376A6">
              <w:t>-3.4%</w:t>
            </w:r>
          </w:p>
          <w:p w14:paraId="0F1B7FAF" w14:textId="77777777" w:rsidR="00622D65" w:rsidRPr="001376A6" w:rsidRDefault="00622D65" w:rsidP="00622D65">
            <w:pPr>
              <w:pStyle w:val="TableText0"/>
              <w:jc w:val="center"/>
            </w:pPr>
            <w:r w:rsidRPr="001376A6">
              <w:t>-</w:t>
            </w:r>
            <w:r w:rsidR="00A95560" w:rsidRPr="001376A6">
              <w:t>1.7</w:t>
            </w:r>
            <w:r w:rsidRPr="001376A6">
              <w:t>%</w:t>
            </w:r>
          </w:p>
          <w:p w14:paraId="051726BB" w14:textId="2FF1FE4B" w:rsidR="00765839" w:rsidRPr="001376A6" w:rsidRDefault="00765839" w:rsidP="00622D65">
            <w:pPr>
              <w:pStyle w:val="TableText0"/>
              <w:jc w:val="center"/>
            </w:pPr>
            <w:r w:rsidRPr="001376A6">
              <w:t>-3.0%</w:t>
            </w:r>
          </w:p>
        </w:tc>
      </w:tr>
      <w:tr w:rsidR="00622D65" w:rsidRPr="001376A6" w14:paraId="1E99DEA4" w14:textId="77777777" w:rsidTr="00E777B3">
        <w:trPr>
          <w:cantSplit/>
        </w:trPr>
        <w:tc>
          <w:tcPr>
            <w:tcW w:w="3378" w:type="pct"/>
            <w:shd w:val="clear" w:color="auto" w:fill="auto"/>
            <w:vAlign w:val="center"/>
          </w:tcPr>
          <w:p w14:paraId="71D39815" w14:textId="705C050E" w:rsidR="00622D65" w:rsidRPr="001376A6" w:rsidRDefault="0093152C" w:rsidP="00622D65">
            <w:pPr>
              <w:pStyle w:val="TableText0"/>
              <w:tabs>
                <w:tab w:val="left" w:pos="102"/>
              </w:tabs>
              <w:rPr>
                <w:b/>
                <w:bCs w:val="0"/>
              </w:rPr>
            </w:pPr>
            <w:r w:rsidRPr="001376A6">
              <w:rPr>
                <w:b/>
                <w:bCs w:val="0"/>
              </w:rPr>
              <w:t xml:space="preserve">ESC analysis: </w:t>
            </w:r>
            <w:r w:rsidR="00622D65" w:rsidRPr="001376A6">
              <w:rPr>
                <w:b/>
                <w:bCs w:val="0"/>
              </w:rPr>
              <w:t xml:space="preserve">CMA based on </w:t>
            </w:r>
            <w:r w:rsidR="00312F2F" w:rsidRPr="001376A6">
              <w:rPr>
                <w:b/>
                <w:bCs w:val="0"/>
              </w:rPr>
              <w:t xml:space="preserve">DUSC 2022 analysis of </w:t>
            </w:r>
            <w:r w:rsidR="00622D65" w:rsidRPr="001376A6">
              <w:rPr>
                <w:b/>
                <w:bCs w:val="0"/>
              </w:rPr>
              <w:t>use under each restriction</w:t>
            </w:r>
            <w:r w:rsidR="00622D65" w:rsidRPr="001376A6">
              <w:rPr>
                <w:b/>
              </w:rPr>
              <w:t xml:space="preserve"> </w:t>
            </w:r>
            <w:r w:rsidR="00E8007C" w:rsidRPr="001376A6">
              <w:rPr>
                <w:b/>
                <w:vertAlign w:val="superscript"/>
              </w:rPr>
              <w:t>d</w:t>
            </w:r>
          </w:p>
        </w:tc>
        <w:tc>
          <w:tcPr>
            <w:tcW w:w="786" w:type="pct"/>
            <w:shd w:val="clear" w:color="auto" w:fill="auto"/>
          </w:tcPr>
          <w:p w14:paraId="5D7E5D61" w14:textId="44BB77C2" w:rsidR="00622D65" w:rsidRPr="001376A6" w:rsidRDefault="00622D65" w:rsidP="00622D65">
            <w:pPr>
              <w:pStyle w:val="TableText0"/>
              <w:jc w:val="center"/>
            </w:pPr>
            <w:r w:rsidRPr="001376A6">
              <w:t>$</w:t>
            </w:r>
            <w:r w:rsidR="00C47128" w:rsidRPr="00DB7A5A">
              <w:rPr>
                <w:color w:val="000000"/>
                <w:spacing w:val="155"/>
                <w:shd w:val="solid" w:color="000000" w:fill="000000"/>
                <w:fitText w:val="241" w:id="-1236585973"/>
                <w14:textFill>
                  <w14:solidFill>
                    <w14:srgbClr w14:val="000000">
                      <w14:alpha w14:val="100000"/>
                    </w14:srgbClr>
                  </w14:solidFill>
                </w14:textFill>
              </w:rPr>
              <w:t>|</w:t>
            </w:r>
            <w:r w:rsidR="00C47128" w:rsidRPr="00DB7A5A">
              <w:rPr>
                <w:color w:val="000000"/>
                <w:shd w:val="solid" w:color="000000" w:fill="000000"/>
                <w:fitText w:val="241" w:id="-1236585973"/>
                <w14:textFill>
                  <w14:solidFill>
                    <w14:srgbClr w14:val="000000">
                      <w14:alpha w14:val="100000"/>
                    </w14:srgbClr>
                  </w14:solidFill>
                </w14:textFill>
              </w:rPr>
              <w:t>|</w:t>
            </w:r>
          </w:p>
        </w:tc>
        <w:tc>
          <w:tcPr>
            <w:tcW w:w="836" w:type="pct"/>
          </w:tcPr>
          <w:p w14:paraId="53D146E7" w14:textId="78FC3729" w:rsidR="00622D65" w:rsidRPr="001376A6" w:rsidRDefault="00622D65" w:rsidP="00622D65">
            <w:pPr>
              <w:pStyle w:val="TableText0"/>
              <w:jc w:val="center"/>
            </w:pPr>
            <w:r w:rsidRPr="001376A6">
              <w:t>-2.</w:t>
            </w:r>
            <w:r w:rsidR="00102DBD" w:rsidRPr="001376A6">
              <w:t>9</w:t>
            </w:r>
            <w:r w:rsidRPr="001376A6">
              <w:t>%</w:t>
            </w:r>
          </w:p>
        </w:tc>
      </w:tr>
    </w:tbl>
    <w:p w14:paraId="592289D1" w14:textId="27FB160E" w:rsidR="00A90293" w:rsidRPr="001376A6" w:rsidRDefault="00E349BE" w:rsidP="00316EA4">
      <w:pPr>
        <w:pStyle w:val="FooterTableFigure"/>
      </w:pPr>
      <w:r w:rsidRPr="001376A6">
        <w:t xml:space="preserve">Source: </w:t>
      </w:r>
      <w:r w:rsidR="00B86A23" w:rsidRPr="001376A6">
        <w:t>Table 124, p235 of the submission; Excel workbook ‘Cost minimisation model workbook’.</w:t>
      </w:r>
    </w:p>
    <w:p w14:paraId="5B2C5C72" w14:textId="7B54DD4E" w:rsidR="00622D65" w:rsidRPr="001376A6" w:rsidRDefault="00622D65" w:rsidP="00622D65">
      <w:pPr>
        <w:pStyle w:val="FooterTableFigure"/>
      </w:pPr>
      <w:r w:rsidRPr="001376A6">
        <w:rPr>
          <w:vertAlign w:val="superscript"/>
        </w:rPr>
        <w:t>a</w:t>
      </w:r>
      <w:r w:rsidRPr="001376A6">
        <w:t xml:space="preserve"> </w:t>
      </w:r>
      <w:r w:rsidR="00BC383F" w:rsidRPr="001376A6">
        <w:t>Assumes no adult patients require eculizumab loading doses (</w:t>
      </w:r>
      <w:proofErr w:type="gramStart"/>
      <w:r w:rsidR="00BC383F" w:rsidRPr="001376A6">
        <w:t>i.e.</w:t>
      </w:r>
      <w:proofErr w:type="gramEnd"/>
      <w:r w:rsidR="00BC383F" w:rsidRPr="001376A6">
        <w:t xml:space="preserve"> comparison assumes all adult patients are in the maintenance phase of eculizumab), while </w:t>
      </w:r>
      <w:r w:rsidR="00BC383F" w:rsidRPr="001376A6">
        <w:rPr>
          <w:bCs/>
        </w:rPr>
        <w:t>all patients receive ravulizumab loading dose.</w:t>
      </w:r>
      <w:r w:rsidR="00BC383F" w:rsidRPr="001376A6">
        <w:t xml:space="preserve"> </w:t>
      </w:r>
      <w:r w:rsidRPr="001376A6">
        <w:t xml:space="preserve">Total adult dose </w:t>
      </w:r>
      <w:r w:rsidR="00BC383F" w:rsidRPr="001376A6">
        <w:t xml:space="preserve">of eculizumab </w:t>
      </w:r>
      <w:r w:rsidRPr="001376A6">
        <w:t>is 31,200 mg per year (26 fortnightly maintenance doses of 1,200</w:t>
      </w:r>
      <w:r w:rsidR="008B1039" w:rsidRPr="001376A6">
        <w:t> </w:t>
      </w:r>
      <w:r w:rsidRPr="001376A6">
        <w:t>mg) rather than 32,400</w:t>
      </w:r>
      <w:r w:rsidR="008B1039" w:rsidRPr="001376A6">
        <w:t> </w:t>
      </w:r>
      <w:r w:rsidRPr="001376A6">
        <w:t>mg per year (4 doses of 900</w:t>
      </w:r>
      <w:r w:rsidR="008B1039" w:rsidRPr="001376A6">
        <w:t> </w:t>
      </w:r>
      <w:r w:rsidRPr="001376A6">
        <w:t>mg weekly loading doses and 24 fortnightly maintenance doses of 1,200</w:t>
      </w:r>
      <w:r w:rsidR="008B1039" w:rsidRPr="001376A6">
        <w:t> </w:t>
      </w:r>
      <w:r w:rsidRPr="001376A6">
        <w:t>mg). Loading dose calculations were not performed on the paediatric population given the small relative proportion of paediatric patients. Cells changed were: ‘Adult’ worksheet: cell B5 and B8 changed to 0; N10 changed to =52/2; N11 changed to =104/2.</w:t>
      </w:r>
    </w:p>
    <w:p w14:paraId="4FE35675" w14:textId="512947E5" w:rsidR="00622D65" w:rsidRPr="001376A6" w:rsidRDefault="00622D65" w:rsidP="00622D65">
      <w:pPr>
        <w:pStyle w:val="FooterTableFigure"/>
      </w:pPr>
      <w:r w:rsidRPr="001376A6">
        <w:rPr>
          <w:vertAlign w:val="superscript"/>
        </w:rPr>
        <w:t>b</w:t>
      </w:r>
      <w:r w:rsidRPr="001376A6">
        <w:t xml:space="preserve"> </w:t>
      </w:r>
      <w:r w:rsidR="00BC383F" w:rsidRPr="001376A6">
        <w:t>Assumes 50% of adult patients are in the maintenance phase for eculizumab (</w:t>
      </w:r>
      <w:proofErr w:type="gramStart"/>
      <w:r w:rsidR="00BC383F" w:rsidRPr="001376A6">
        <w:t>i.e.</w:t>
      </w:r>
      <w:proofErr w:type="gramEnd"/>
      <w:r w:rsidR="00BC383F" w:rsidRPr="001376A6">
        <w:t xml:space="preserve"> do</w:t>
      </w:r>
      <w:r w:rsidR="008B1039" w:rsidRPr="001376A6">
        <w:t xml:space="preserve"> not</w:t>
      </w:r>
      <w:r w:rsidR="00BC383F" w:rsidRPr="001376A6">
        <w:t xml:space="preserve"> require eculizumab loading doses). </w:t>
      </w:r>
      <w:r w:rsidRPr="001376A6">
        <w:t>Based on (</w:t>
      </w:r>
      <w:r w:rsidR="00A95560" w:rsidRPr="001376A6">
        <w:t>50</w:t>
      </w:r>
      <w:r w:rsidRPr="001376A6">
        <w:t>%*$</w:t>
      </w:r>
      <w:r w:rsidR="00C47128" w:rsidRPr="00C47128">
        <w:rPr>
          <w:color w:val="000000"/>
          <w:spacing w:val="22"/>
          <w:shd w:val="solid" w:color="000000" w:fill="000000"/>
          <w:fitText w:val="471" w:id="-1236585972"/>
          <w14:textFill>
            <w14:solidFill>
              <w14:srgbClr w14:val="000000">
                <w14:alpha w14:val="100000"/>
              </w14:srgbClr>
            </w14:solidFill>
          </w14:textFill>
        </w:rPr>
        <w:t>||</w:t>
      </w:r>
      <w:proofErr w:type="gramStart"/>
      <w:r w:rsidR="00C47128" w:rsidRPr="00C47128">
        <w:rPr>
          <w:color w:val="000000"/>
          <w:spacing w:val="22"/>
          <w:shd w:val="solid" w:color="000000" w:fill="000000"/>
          <w:fitText w:val="471" w:id="-1236585972"/>
          <w14:textFill>
            <w14:solidFill>
              <w14:srgbClr w14:val="000000">
                <w14:alpha w14:val="100000"/>
              </w14:srgbClr>
            </w14:solidFill>
          </w14:textFill>
        </w:rPr>
        <w:t>|  |</w:t>
      </w:r>
      <w:proofErr w:type="gramEnd"/>
      <w:r w:rsidR="00C47128" w:rsidRPr="00C47128">
        <w:rPr>
          <w:color w:val="000000"/>
          <w:spacing w:val="22"/>
          <w:shd w:val="solid" w:color="000000" w:fill="000000"/>
          <w:fitText w:val="471" w:id="-1236585972"/>
          <w14:textFill>
            <w14:solidFill>
              <w14:srgbClr w14:val="000000">
                <w14:alpha w14:val="100000"/>
              </w14:srgbClr>
            </w14:solidFill>
          </w14:textFill>
        </w:rPr>
        <w:t>|</w:t>
      </w:r>
      <w:r w:rsidR="00C47128" w:rsidRPr="00C47128">
        <w:rPr>
          <w:color w:val="000000"/>
          <w:spacing w:val="5"/>
          <w:shd w:val="solid" w:color="000000" w:fill="000000"/>
          <w:fitText w:val="471" w:id="-1236585972"/>
          <w14:textFill>
            <w14:solidFill>
              <w14:srgbClr w14:val="000000">
                <w14:alpha w14:val="100000"/>
              </w14:srgbClr>
            </w14:solidFill>
          </w14:textFill>
        </w:rPr>
        <w:t>|</w:t>
      </w:r>
      <w:r w:rsidRPr="001376A6">
        <w:t>) + (</w:t>
      </w:r>
      <w:r w:rsidR="00A95560" w:rsidRPr="001376A6">
        <w:t>50</w:t>
      </w:r>
      <w:r w:rsidRPr="001376A6">
        <w:t>%*$</w:t>
      </w:r>
      <w:r w:rsidR="00C47128" w:rsidRPr="00C47128">
        <w:rPr>
          <w:color w:val="000000"/>
          <w:spacing w:val="22"/>
          <w:shd w:val="solid" w:color="000000" w:fill="000000"/>
          <w:fitText w:val="471" w:id="-1236585971"/>
          <w14:textFill>
            <w14:solidFill>
              <w14:srgbClr w14:val="000000">
                <w14:alpha w14:val="100000"/>
              </w14:srgbClr>
            </w14:solidFill>
          </w14:textFill>
        </w:rPr>
        <w:t>|||  ||</w:t>
      </w:r>
      <w:r w:rsidR="00C47128" w:rsidRPr="00C47128">
        <w:rPr>
          <w:color w:val="000000"/>
          <w:spacing w:val="5"/>
          <w:shd w:val="solid" w:color="000000" w:fill="000000"/>
          <w:fitText w:val="471" w:id="-1236585971"/>
          <w14:textFill>
            <w14:solidFill>
              <w14:srgbClr w14:val="000000">
                <w14:alpha w14:val="100000"/>
              </w14:srgbClr>
            </w14:solidFill>
          </w14:textFill>
        </w:rPr>
        <w:t>|</w:t>
      </w:r>
      <w:r w:rsidRPr="001376A6">
        <w:t>).</w:t>
      </w:r>
      <w:r w:rsidR="00A95560" w:rsidRPr="001376A6">
        <w:t xml:space="preserve"> The financial estimates did not appear to estimate the proportion of all ravulizumab-treated patients who would have switched from eculizumab versus the proportion who would have initiated on ravulizumab</w:t>
      </w:r>
      <w:r w:rsidR="00142FB2" w:rsidRPr="001376A6">
        <w:t>; thus</w:t>
      </w:r>
      <w:r w:rsidR="001376A6">
        <w:t>,</w:t>
      </w:r>
      <w:r w:rsidR="00142FB2" w:rsidRPr="001376A6">
        <w:t xml:space="preserve"> a midway point of 50% was applied</w:t>
      </w:r>
      <w:r w:rsidR="00A95560" w:rsidRPr="001376A6">
        <w:t xml:space="preserve">. </w:t>
      </w:r>
    </w:p>
    <w:p w14:paraId="5C7D8578" w14:textId="29163EF9" w:rsidR="00095EC3" w:rsidRPr="001376A6" w:rsidRDefault="00095EC3" w:rsidP="00622D65">
      <w:pPr>
        <w:pStyle w:val="FooterTableFigure"/>
      </w:pPr>
      <w:r w:rsidRPr="001376A6">
        <w:rPr>
          <w:vertAlign w:val="superscript"/>
        </w:rPr>
        <w:t>c</w:t>
      </w:r>
      <w:r w:rsidRPr="001376A6">
        <w:t xml:space="preserve"> </w:t>
      </w:r>
      <w:r w:rsidR="00BC383F" w:rsidRPr="001376A6">
        <w:t>Assumes 90% of adult patients are in the maintenance phase for eculizumab (</w:t>
      </w:r>
      <w:proofErr w:type="gramStart"/>
      <w:r w:rsidR="00BC383F" w:rsidRPr="001376A6">
        <w:t>i.e.</w:t>
      </w:r>
      <w:proofErr w:type="gramEnd"/>
      <w:r w:rsidR="00BC383F" w:rsidRPr="001376A6">
        <w:t xml:space="preserve"> do</w:t>
      </w:r>
      <w:r w:rsidR="008B1039" w:rsidRPr="001376A6">
        <w:t xml:space="preserve"> not</w:t>
      </w:r>
      <w:r w:rsidR="00BC383F" w:rsidRPr="001376A6">
        <w:t xml:space="preserve"> require eculizumab loading doses). </w:t>
      </w:r>
      <w:r w:rsidRPr="001376A6">
        <w:t>Based on (</w:t>
      </w:r>
      <w:r w:rsidR="00765839" w:rsidRPr="001376A6">
        <w:t>9</w:t>
      </w:r>
      <w:r w:rsidRPr="001376A6">
        <w:t>0%*$</w:t>
      </w:r>
      <w:r w:rsidR="00C47128" w:rsidRPr="00C47128">
        <w:rPr>
          <w:color w:val="000000"/>
          <w:spacing w:val="22"/>
          <w:shd w:val="solid" w:color="000000" w:fill="000000"/>
          <w:fitText w:val="471" w:id="-1236585970"/>
          <w14:textFill>
            <w14:solidFill>
              <w14:srgbClr w14:val="000000">
                <w14:alpha w14:val="100000"/>
              </w14:srgbClr>
            </w14:solidFill>
          </w14:textFill>
        </w:rPr>
        <w:t>||</w:t>
      </w:r>
      <w:proofErr w:type="gramStart"/>
      <w:r w:rsidR="00C47128" w:rsidRPr="00C47128">
        <w:rPr>
          <w:color w:val="000000"/>
          <w:spacing w:val="22"/>
          <w:shd w:val="solid" w:color="000000" w:fill="000000"/>
          <w:fitText w:val="471" w:id="-1236585970"/>
          <w14:textFill>
            <w14:solidFill>
              <w14:srgbClr w14:val="000000">
                <w14:alpha w14:val="100000"/>
              </w14:srgbClr>
            </w14:solidFill>
          </w14:textFill>
        </w:rPr>
        <w:t>|  |</w:t>
      </w:r>
      <w:proofErr w:type="gramEnd"/>
      <w:r w:rsidR="00C47128" w:rsidRPr="00C47128">
        <w:rPr>
          <w:color w:val="000000"/>
          <w:spacing w:val="22"/>
          <w:shd w:val="solid" w:color="000000" w:fill="000000"/>
          <w:fitText w:val="471" w:id="-1236585970"/>
          <w14:textFill>
            <w14:solidFill>
              <w14:srgbClr w14:val="000000">
                <w14:alpha w14:val="100000"/>
              </w14:srgbClr>
            </w14:solidFill>
          </w14:textFill>
        </w:rPr>
        <w:t>|</w:t>
      </w:r>
      <w:r w:rsidR="00C47128" w:rsidRPr="00C47128">
        <w:rPr>
          <w:color w:val="000000"/>
          <w:spacing w:val="5"/>
          <w:shd w:val="solid" w:color="000000" w:fill="000000"/>
          <w:fitText w:val="471" w:id="-1236585970"/>
          <w14:textFill>
            <w14:solidFill>
              <w14:srgbClr w14:val="000000">
                <w14:alpha w14:val="100000"/>
              </w14:srgbClr>
            </w14:solidFill>
          </w14:textFill>
        </w:rPr>
        <w:t>|</w:t>
      </w:r>
      <w:r w:rsidRPr="001376A6">
        <w:t>) + (</w:t>
      </w:r>
      <w:r w:rsidR="00765839" w:rsidRPr="001376A6">
        <w:t>1</w:t>
      </w:r>
      <w:r w:rsidRPr="001376A6">
        <w:t>0%*$</w:t>
      </w:r>
      <w:r w:rsidR="00C47128" w:rsidRPr="00C47128">
        <w:rPr>
          <w:color w:val="000000"/>
          <w:spacing w:val="22"/>
          <w:shd w:val="solid" w:color="000000" w:fill="000000"/>
          <w:fitText w:val="471" w:id="-1236585969"/>
          <w14:textFill>
            <w14:solidFill>
              <w14:srgbClr w14:val="000000">
                <w14:alpha w14:val="100000"/>
              </w14:srgbClr>
            </w14:solidFill>
          </w14:textFill>
        </w:rPr>
        <w:t>|||  ||</w:t>
      </w:r>
      <w:r w:rsidR="00C47128" w:rsidRPr="00C47128">
        <w:rPr>
          <w:color w:val="000000"/>
          <w:spacing w:val="5"/>
          <w:shd w:val="solid" w:color="000000" w:fill="000000"/>
          <w:fitText w:val="471" w:id="-1236585969"/>
          <w14:textFill>
            <w14:solidFill>
              <w14:srgbClr w14:val="000000">
                <w14:alpha w14:val="100000"/>
              </w14:srgbClr>
            </w14:solidFill>
          </w14:textFill>
        </w:rPr>
        <w:t>|</w:t>
      </w:r>
      <w:r w:rsidRPr="001376A6">
        <w:t>).</w:t>
      </w:r>
      <w:r w:rsidR="00765839" w:rsidRPr="001376A6">
        <w:t xml:space="preserve"> As above, the proportion </w:t>
      </w:r>
      <w:r w:rsidR="00BC383F" w:rsidRPr="001376A6">
        <w:t xml:space="preserve">of ‘switchers’ </w:t>
      </w:r>
      <w:r w:rsidR="00765839" w:rsidRPr="001376A6">
        <w:t xml:space="preserve">did not appear to have been estimated in the financial estimates. </w:t>
      </w:r>
    </w:p>
    <w:p w14:paraId="6689F15F" w14:textId="0CB7E3C1" w:rsidR="00622D65" w:rsidRPr="001376A6" w:rsidRDefault="19A8BFB4" w:rsidP="00622D65">
      <w:pPr>
        <w:pStyle w:val="FooterTableFigure"/>
      </w:pPr>
      <w:r w:rsidRPr="19A8BFB4">
        <w:rPr>
          <w:vertAlign w:val="superscript"/>
        </w:rPr>
        <w:t>d</w:t>
      </w:r>
      <w:r>
        <w:t xml:space="preserve"> Based the proportion of use under each restriction from 2022 DUSC analysis; based on adult patients only. Assumes the following weeks of treatment per restriction phase, per the restriction proposed by the sponsor: Eculizumab: ‘initial’ 4 weeks; ‘initial – balance’ 20 weeks; ‘initial – extended’ 56 weeks; ‘continuing’ 24 weeks’; ‘continuing – extended’ 24 weeks. Ravulizumab: ‘initial’ 2 weeks; ‘initial – balance’ 24 weeks; ‘initial – extended’ 56 weeks; ‘continuing’ 24 weeks’; ‘continuing – extended’ 24 weeks. From the DUSC 2022 analysis, the proportion of patients who use each sequence was: Initial -&gt; Initial – balance = 36.9%; Initial = 30.0%; Initial -&gt; Initial - balance -&gt; Initial – extended: 15.4%; Initial – balance = 9.2%; Initial -&gt; Initial - balance -&gt; Initial - extended -&gt; Continuing = 4.6%; Initial -&gt; Initial - balance -&gt; Initial - extended -&gt; Continuing -&gt; Continuing – extended = 3.8% (re-weighted to exclude ‘other’). Ravulizumab dosing is based on patient weights from Study 311 per the submission base case. Applies a </w:t>
      </w:r>
      <w:r w:rsidR="00C47128" w:rsidRPr="00C47128">
        <w:rPr>
          <w:color w:val="000000"/>
          <w:spacing w:val="22"/>
          <w:shd w:val="solid" w:color="000000" w:fill="000000"/>
          <w:fitText w:val="471" w:id="-1236585968"/>
          <w14:textFill>
            <w14:solidFill>
              <w14:srgbClr w14:val="000000">
                <w14:alpha w14:val="100000"/>
              </w14:srgbClr>
            </w14:solidFill>
          </w14:textFill>
        </w:rPr>
        <w:t>||</w:t>
      </w:r>
      <w:proofErr w:type="gramStart"/>
      <w:r w:rsidR="00C47128" w:rsidRPr="00C47128">
        <w:rPr>
          <w:color w:val="000000"/>
          <w:spacing w:val="22"/>
          <w:shd w:val="solid" w:color="000000" w:fill="000000"/>
          <w:fitText w:val="471" w:id="-1236585968"/>
          <w14:textFill>
            <w14:solidFill>
              <w14:srgbClr w14:val="000000">
                <w14:alpha w14:val="100000"/>
              </w14:srgbClr>
            </w14:solidFill>
          </w14:textFill>
        </w:rPr>
        <w:t>|  |</w:t>
      </w:r>
      <w:proofErr w:type="gramEnd"/>
      <w:r w:rsidR="00C47128" w:rsidRPr="00C47128">
        <w:rPr>
          <w:color w:val="000000"/>
          <w:spacing w:val="22"/>
          <w:shd w:val="solid" w:color="000000" w:fill="000000"/>
          <w:fitText w:val="471" w:id="-1236585968"/>
          <w14:textFill>
            <w14:solidFill>
              <w14:srgbClr w14:val="000000">
                <w14:alpha w14:val="100000"/>
              </w14:srgbClr>
            </w14:solidFill>
          </w14:textFill>
        </w:rPr>
        <w:t>|</w:t>
      </w:r>
      <w:r w:rsidR="00C47128" w:rsidRPr="00C47128">
        <w:rPr>
          <w:color w:val="000000"/>
          <w:spacing w:val="5"/>
          <w:shd w:val="solid" w:color="000000" w:fill="000000"/>
          <w:fitText w:val="471" w:id="-1236585968"/>
          <w14:textFill>
            <w14:solidFill>
              <w14:srgbClr w14:val="000000">
                <w14:alpha w14:val="100000"/>
              </w14:srgbClr>
            </w14:solidFill>
          </w14:textFill>
        </w:rPr>
        <w:t>|</w:t>
      </w:r>
      <w:r>
        <w:t>% reduction to the ravulizumab vial price. The resulting adult price ($</w:t>
      </w:r>
      <w:r w:rsidR="00C47128" w:rsidRPr="00C47128">
        <w:rPr>
          <w:color w:val="000000"/>
          <w:spacing w:val="22"/>
          <w:shd w:val="solid" w:color="000000" w:fill="000000"/>
          <w:fitText w:val="471" w:id="-1236585984"/>
          <w14:textFill>
            <w14:solidFill>
              <w14:srgbClr w14:val="000000">
                <w14:alpha w14:val="100000"/>
              </w14:srgbClr>
            </w14:solidFill>
          </w14:textFill>
        </w:rPr>
        <w:t>||</w:t>
      </w:r>
      <w:proofErr w:type="gramStart"/>
      <w:r w:rsidR="00C47128" w:rsidRPr="00C47128">
        <w:rPr>
          <w:color w:val="000000"/>
          <w:spacing w:val="22"/>
          <w:shd w:val="solid" w:color="000000" w:fill="000000"/>
          <w:fitText w:val="471" w:id="-1236585984"/>
          <w14:textFill>
            <w14:solidFill>
              <w14:srgbClr w14:val="000000">
                <w14:alpha w14:val="100000"/>
              </w14:srgbClr>
            </w14:solidFill>
          </w14:textFill>
        </w:rPr>
        <w:t>|  |</w:t>
      </w:r>
      <w:proofErr w:type="gramEnd"/>
      <w:r w:rsidR="00C47128" w:rsidRPr="00C47128">
        <w:rPr>
          <w:color w:val="000000"/>
          <w:spacing w:val="22"/>
          <w:shd w:val="solid" w:color="000000" w:fill="000000"/>
          <w:fitText w:val="471" w:id="-1236585984"/>
          <w14:textFill>
            <w14:solidFill>
              <w14:srgbClr w14:val="000000">
                <w14:alpha w14:val="100000"/>
              </w14:srgbClr>
            </w14:solidFill>
          </w14:textFill>
        </w:rPr>
        <w:t>|</w:t>
      </w:r>
      <w:r w:rsidR="00C47128" w:rsidRPr="00C47128">
        <w:rPr>
          <w:color w:val="000000"/>
          <w:spacing w:val="5"/>
          <w:shd w:val="solid" w:color="000000" w:fill="000000"/>
          <w:fitText w:val="471" w:id="-1236585984"/>
          <w14:textFill>
            <w14:solidFill>
              <w14:srgbClr w14:val="000000">
                <w14:alpha w14:val="100000"/>
              </w14:srgbClr>
            </w14:solidFill>
          </w14:textFill>
        </w:rPr>
        <w:t>|</w:t>
      </w:r>
      <w:r>
        <w:t xml:space="preserve"> per mg) was then weighted for the submission’s proposed price in paediatric patients, resulting in $</w:t>
      </w:r>
      <w:r w:rsidR="00C47128" w:rsidRPr="00C47128">
        <w:rPr>
          <w:color w:val="000000"/>
          <w:spacing w:val="22"/>
          <w:shd w:val="solid" w:color="000000" w:fill="000000"/>
          <w:fitText w:val="471" w:id="-1236585983"/>
          <w14:textFill>
            <w14:solidFill>
              <w14:srgbClr w14:val="000000">
                <w14:alpha w14:val="100000"/>
              </w14:srgbClr>
            </w14:solidFill>
          </w14:textFill>
        </w:rPr>
        <w:t>|||  ||</w:t>
      </w:r>
      <w:r w:rsidR="00C47128" w:rsidRPr="00C47128">
        <w:rPr>
          <w:color w:val="000000"/>
          <w:spacing w:val="5"/>
          <w:shd w:val="solid" w:color="000000" w:fill="000000"/>
          <w:fitText w:val="471" w:id="-1236585983"/>
          <w14:textFill>
            <w14:solidFill>
              <w14:srgbClr w14:val="000000">
                <w14:alpha w14:val="100000"/>
              </w14:srgbClr>
            </w14:solidFill>
          </w14:textFill>
        </w:rPr>
        <w:t>|</w:t>
      </w:r>
      <w:r>
        <w:t xml:space="preserve"> per mg.</w:t>
      </w:r>
    </w:p>
    <w:p w14:paraId="00D0B8A4" w14:textId="4D1A0243" w:rsidR="003674B7" w:rsidRPr="0093152C" w:rsidRDefault="003674B7" w:rsidP="00B306AF">
      <w:pPr>
        <w:pStyle w:val="3-BodyText"/>
      </w:pPr>
      <w:r w:rsidRPr="0093152C">
        <w:fldChar w:fldCharType="begin" w:fldLock="1"/>
      </w:r>
      <w:r w:rsidRPr="0093152C">
        <w:instrText xml:space="preserve"> REF _Ref124347951 \h  \* MERGEFORMAT </w:instrText>
      </w:r>
      <w:r w:rsidRPr="0093152C">
        <w:fldChar w:fldCharType="separate"/>
      </w:r>
      <w:r w:rsidR="00916EDA" w:rsidRPr="00916EDA">
        <w:t>Table 11</w:t>
      </w:r>
      <w:r w:rsidRPr="0093152C">
        <w:fldChar w:fldCharType="end"/>
      </w:r>
      <w:r w:rsidRPr="0093152C">
        <w:t xml:space="preserve"> includes two sensitivity analyses conducted by ESC which</w:t>
      </w:r>
      <w:r w:rsidR="000336E9" w:rsidRPr="0093152C">
        <w:t xml:space="preserve"> attempted to</w:t>
      </w:r>
      <w:r w:rsidRPr="0093152C">
        <w:t>:</w:t>
      </w:r>
    </w:p>
    <w:p w14:paraId="7B65B935" w14:textId="3F542F99" w:rsidR="003674B7" w:rsidRPr="003A48D2" w:rsidRDefault="000336E9" w:rsidP="001376A6">
      <w:pPr>
        <w:pStyle w:val="3-BodyText"/>
        <w:numPr>
          <w:ilvl w:val="0"/>
          <w:numId w:val="9"/>
        </w:numPr>
        <w:ind w:left="1080"/>
      </w:pPr>
      <w:r w:rsidRPr="003A48D2">
        <w:t>a</w:t>
      </w:r>
      <w:r w:rsidR="003674B7" w:rsidRPr="003A48D2">
        <w:t>ccount for patients who switch from eculizumab to ravulizumab. The ESC considered that when patients switch from eculizumab to ravulizumab, the comparison in the CMA should be: eculizumab without any loading doses (maintenance phase only) versus ravulizumab with a loading dose</w:t>
      </w:r>
      <w:r w:rsidR="005A383D" w:rsidRPr="003A48D2">
        <w:t xml:space="preserve"> (the Product Information for ravulizumab states that a loading dose of ravulizumab should b</w:t>
      </w:r>
      <w:r w:rsidR="00D24607" w:rsidRPr="003A48D2">
        <w:t>e</w:t>
      </w:r>
      <w:r w:rsidR="005A383D" w:rsidRPr="003A48D2">
        <w:t xml:space="preserve"> administered for patients switching from eculizumab).</w:t>
      </w:r>
    </w:p>
    <w:p w14:paraId="6066FFF4" w14:textId="1C88B443" w:rsidR="003674B7" w:rsidRPr="003A48D2" w:rsidRDefault="000336E9" w:rsidP="001376A6">
      <w:pPr>
        <w:pStyle w:val="3-BodyText"/>
        <w:numPr>
          <w:ilvl w:val="0"/>
          <w:numId w:val="9"/>
        </w:numPr>
        <w:ind w:left="1080"/>
      </w:pPr>
      <w:r w:rsidRPr="003A48D2">
        <w:t>c</w:t>
      </w:r>
      <w:r w:rsidR="003674B7" w:rsidRPr="003A48D2">
        <w:t xml:space="preserve">alculate the total cost per patient based on the ‘Sequence of Authority applications by treatment phase’, from the 2022 DUSC </w:t>
      </w:r>
      <w:r w:rsidR="00105EC4">
        <w:t>analysis</w:t>
      </w:r>
      <w:r w:rsidR="003674B7" w:rsidRPr="003A48D2">
        <w:t xml:space="preserve">, and weighting utilisation by the proportion of patients who use each restriction type. This analysis accounts for </w:t>
      </w:r>
      <w:r w:rsidR="00B754FA" w:rsidRPr="003A48D2">
        <w:t xml:space="preserve">differences in the dosing intervals of the </w:t>
      </w:r>
      <w:r w:rsidR="00105EC4">
        <w:t>2</w:t>
      </w:r>
      <w:r w:rsidR="00105EC4" w:rsidRPr="003A48D2">
        <w:t xml:space="preserve"> </w:t>
      </w:r>
      <w:r w:rsidR="00B754FA" w:rsidRPr="003A48D2">
        <w:t xml:space="preserve">therapies </w:t>
      </w:r>
      <w:r w:rsidRPr="003A48D2">
        <w:t xml:space="preserve">(and </w:t>
      </w:r>
      <w:r w:rsidRPr="003A48D2">
        <w:lastRenderedPageBreak/>
        <w:t>consequent differences in durations of treatment in the</w:t>
      </w:r>
      <w:r w:rsidR="00790248" w:rsidRPr="003A48D2">
        <w:t xml:space="preserve"> submission’s</w:t>
      </w:r>
      <w:r w:rsidRPr="003A48D2">
        <w:t xml:space="preserve"> proposed restriction</w:t>
      </w:r>
      <w:r w:rsidR="00752635" w:rsidRPr="003A48D2">
        <w:t>s</w:t>
      </w:r>
      <w:r w:rsidRPr="003A48D2">
        <w:t xml:space="preserve">) </w:t>
      </w:r>
      <w:r w:rsidR="00B754FA" w:rsidRPr="003A48D2">
        <w:t>and for the likely patterns of use in clinical practice.</w:t>
      </w:r>
    </w:p>
    <w:p w14:paraId="36857059" w14:textId="43781D05" w:rsidR="000336E9" w:rsidRPr="003A48D2" w:rsidRDefault="000336E9" w:rsidP="00B306AF">
      <w:pPr>
        <w:pStyle w:val="3-BodyText"/>
        <w:numPr>
          <w:ilvl w:val="0"/>
          <w:numId w:val="0"/>
        </w:numPr>
        <w:ind w:left="720"/>
      </w:pPr>
      <w:r w:rsidRPr="003A48D2">
        <w:t xml:space="preserve">The ESC considered that the results of these </w:t>
      </w:r>
      <w:r w:rsidR="00105EC4">
        <w:t>2</w:t>
      </w:r>
      <w:r w:rsidR="00105EC4" w:rsidRPr="003A48D2">
        <w:t xml:space="preserve"> </w:t>
      </w:r>
      <w:r w:rsidRPr="003A48D2">
        <w:t xml:space="preserve">analyses were informative and the impact of each of these parameters should be accounted for in </w:t>
      </w:r>
      <w:r w:rsidR="0095119D" w:rsidRPr="003A48D2">
        <w:t xml:space="preserve">determining </w:t>
      </w:r>
      <w:r w:rsidRPr="003A48D2">
        <w:t xml:space="preserve">the price of ravulizumab. </w:t>
      </w:r>
    </w:p>
    <w:p w14:paraId="7B8A0700" w14:textId="7AFBF073" w:rsidR="006F4BE3" w:rsidRDefault="006F4BE3" w:rsidP="00B306AF">
      <w:pPr>
        <w:pStyle w:val="3-BodyText"/>
      </w:pPr>
      <w:r w:rsidRPr="00D64D6F">
        <w:t xml:space="preserve">There are multiple uncertainties </w:t>
      </w:r>
      <w:r w:rsidR="00105EC4">
        <w:t>associated with the CMA</w:t>
      </w:r>
      <w:r w:rsidRPr="00D64D6F">
        <w:t xml:space="preserve">. Firstly, </w:t>
      </w:r>
      <w:r w:rsidR="008B1039">
        <w:t>there is uncertainty with respect to the clinical data</w:t>
      </w:r>
      <w:r w:rsidRPr="00D64D6F">
        <w:t xml:space="preserve">. Secondly, the data provided in submission do not allow determination of the dose </w:t>
      </w:r>
      <w:proofErr w:type="gramStart"/>
      <w:r w:rsidRPr="00D64D6F">
        <w:t>actually used</w:t>
      </w:r>
      <w:proofErr w:type="gramEnd"/>
      <w:r w:rsidRPr="00D64D6F">
        <w:t xml:space="preserve"> in the studies, so even if the comparison of treatments was accepted as valid, the dose-equivalence cannot be </w:t>
      </w:r>
      <w:r w:rsidR="007322C0" w:rsidRPr="00D64D6F">
        <w:t xml:space="preserve">reliably </w:t>
      </w:r>
      <w:r w:rsidRPr="00D64D6F">
        <w:t xml:space="preserve">determined. Thirdly, based on the pricing approach as described, where the aim is to have the equivalent price for ravulizumab and eculizumab, the cost of the products is dependent </w:t>
      </w:r>
      <w:r w:rsidR="0092725A" w:rsidRPr="00D64D6F">
        <w:t>on</w:t>
      </w:r>
      <w:r w:rsidRPr="00D64D6F">
        <w:t xml:space="preserve"> the weight of patients and the actual use of the product in practice which </w:t>
      </w:r>
      <w:r w:rsidR="0092725A" w:rsidRPr="00D64D6F">
        <w:t>are</w:t>
      </w:r>
      <w:r w:rsidRPr="00D64D6F">
        <w:t xml:space="preserve"> unknown. </w:t>
      </w:r>
    </w:p>
    <w:p w14:paraId="43F17A1E" w14:textId="0AF17313" w:rsidR="00105EC4" w:rsidRDefault="008B1039" w:rsidP="00B306AF">
      <w:pPr>
        <w:pStyle w:val="3-BodyText"/>
      </w:pPr>
      <w:r>
        <w:t>A</w:t>
      </w:r>
      <w:r w:rsidR="001E2F24" w:rsidRPr="00D64D6F">
        <w:t xml:space="preserve"> </w:t>
      </w:r>
      <w:r w:rsidR="00105EC4">
        <w:t xml:space="preserve">CMA </w:t>
      </w:r>
      <w:r w:rsidR="001E2F24" w:rsidRPr="00D64D6F">
        <w:t xml:space="preserve">must establish that the cost per patient for treatment with </w:t>
      </w:r>
      <w:r w:rsidR="007C49A3" w:rsidRPr="00D64D6F">
        <w:t>ravulizumab</w:t>
      </w:r>
      <w:r w:rsidR="001E2F24" w:rsidRPr="00D64D6F">
        <w:t xml:space="preserve"> would be no more than the cost per patient of </w:t>
      </w:r>
      <w:r w:rsidR="007C49A3" w:rsidRPr="00D64D6F">
        <w:t>eculizumab</w:t>
      </w:r>
      <w:r w:rsidR="001E2F24" w:rsidRPr="00D64D6F">
        <w:t>. Where these cost per patient calculations are uncertain, the guiding principle is that the Australian Government should not bear the financial risk of this uncertainty because the Australian population already has access to therapy that is at least as effective and safe.</w:t>
      </w:r>
    </w:p>
    <w:p w14:paraId="165F5665" w14:textId="504DE7B7" w:rsidR="006A43D9" w:rsidRPr="003A48D2" w:rsidRDefault="00C25D9C" w:rsidP="003A48D2">
      <w:pPr>
        <w:pStyle w:val="4-SubsectionHeading"/>
      </w:pPr>
      <w:bookmarkStart w:id="55" w:name="_Toc22897646"/>
      <w:bookmarkStart w:id="56" w:name="_Toc124929667"/>
      <w:r w:rsidRPr="003A48D2">
        <w:t>Drug cost/patient/year</w:t>
      </w:r>
      <w:bookmarkStart w:id="57" w:name="_Ref104805102"/>
      <w:bookmarkEnd w:id="55"/>
      <w:bookmarkEnd w:id="56"/>
    </w:p>
    <w:p w14:paraId="51691BD3" w14:textId="17B4C1F3" w:rsidR="00494207" w:rsidRPr="00BB732D" w:rsidRDefault="00E16AD8" w:rsidP="00677F6D">
      <w:pPr>
        <w:pStyle w:val="Caption"/>
        <w:rPr>
          <w:rStyle w:val="CommentReference"/>
          <w:b/>
          <w:szCs w:val="24"/>
        </w:rPr>
      </w:pPr>
      <w:bookmarkStart w:id="58" w:name="_Ref122787111"/>
      <w:r>
        <w:t xml:space="preserve">Table </w:t>
      </w:r>
      <w:r>
        <w:fldChar w:fldCharType="begin" w:fldLock="1"/>
      </w:r>
      <w:r>
        <w:instrText>SEQ Table \* ARABIC</w:instrText>
      </w:r>
      <w:r>
        <w:fldChar w:fldCharType="separate"/>
      </w:r>
      <w:r w:rsidR="00916EDA">
        <w:rPr>
          <w:noProof/>
        </w:rPr>
        <w:t>12</w:t>
      </w:r>
      <w:r>
        <w:fldChar w:fldCharType="end"/>
      </w:r>
      <w:bookmarkEnd w:id="57"/>
      <w:bookmarkEnd w:id="58"/>
      <w:r>
        <w:t>:</w:t>
      </w:r>
      <w:r w:rsidR="00494207" w:rsidRPr="00BB732D">
        <w:rPr>
          <w:rStyle w:val="CommentReference"/>
          <w:b/>
          <w:szCs w:val="24"/>
        </w:rPr>
        <w:t xml:space="preserve"> Drug cost per patient for proposed and comparator </w:t>
      </w:r>
      <w:proofErr w:type="gramStart"/>
      <w:r w:rsidR="00494207" w:rsidRPr="00BB732D">
        <w:rPr>
          <w:rStyle w:val="CommentReference"/>
          <w:b/>
          <w:szCs w:val="24"/>
        </w:rPr>
        <w:t>drugs</w:t>
      </w:r>
      <w:proofErr w:type="gramEnd"/>
    </w:p>
    <w:tbl>
      <w:tblPr>
        <w:tblStyle w:val="TableGrid"/>
        <w:tblW w:w="5000" w:type="pct"/>
        <w:tblCellMar>
          <w:left w:w="28" w:type="dxa"/>
          <w:right w:w="28" w:type="dxa"/>
        </w:tblCellMar>
        <w:tblLook w:val="04A0" w:firstRow="1" w:lastRow="0" w:firstColumn="1" w:lastColumn="0" w:noHBand="0" w:noVBand="1"/>
      </w:tblPr>
      <w:tblGrid>
        <w:gridCol w:w="1109"/>
        <w:gridCol w:w="1317"/>
        <w:gridCol w:w="1318"/>
        <w:gridCol w:w="1318"/>
        <w:gridCol w:w="1318"/>
        <w:gridCol w:w="1318"/>
        <w:gridCol w:w="1319"/>
      </w:tblGrid>
      <w:tr w:rsidR="00C539BF" w14:paraId="698DB3B8" w14:textId="77777777" w:rsidTr="008B1039">
        <w:tc>
          <w:tcPr>
            <w:tcW w:w="1084" w:type="dxa"/>
            <w:vMerge w:val="restart"/>
          </w:tcPr>
          <w:p w14:paraId="599BBAE6" w14:textId="77777777" w:rsidR="00C539BF" w:rsidRPr="00504974" w:rsidRDefault="00C539BF" w:rsidP="00677F6D">
            <w:pPr>
              <w:keepNext/>
              <w:keepLines/>
              <w:rPr>
                <w:rFonts w:ascii="Arial Narrow" w:hAnsi="Arial Narrow"/>
                <w:sz w:val="19"/>
                <w:szCs w:val="19"/>
              </w:rPr>
            </w:pPr>
          </w:p>
        </w:tc>
        <w:tc>
          <w:tcPr>
            <w:tcW w:w="3861" w:type="dxa"/>
            <w:gridSpan w:val="3"/>
          </w:tcPr>
          <w:p w14:paraId="465DFF1E" w14:textId="77777777" w:rsidR="00C539BF" w:rsidRPr="00504974" w:rsidRDefault="00C539BF" w:rsidP="00677F6D">
            <w:pPr>
              <w:keepNext/>
              <w:keepLines/>
              <w:jc w:val="center"/>
              <w:rPr>
                <w:rFonts w:ascii="Arial Narrow" w:hAnsi="Arial Narrow"/>
                <w:b/>
                <w:bCs/>
                <w:sz w:val="19"/>
                <w:szCs w:val="19"/>
              </w:rPr>
            </w:pPr>
            <w:r w:rsidRPr="00504974">
              <w:rPr>
                <w:rFonts w:ascii="Arial Narrow" w:hAnsi="Arial Narrow"/>
                <w:b/>
                <w:bCs/>
                <w:sz w:val="19"/>
                <w:szCs w:val="19"/>
              </w:rPr>
              <w:t>Ravulizumab</w:t>
            </w:r>
          </w:p>
        </w:tc>
        <w:tc>
          <w:tcPr>
            <w:tcW w:w="3862" w:type="dxa"/>
            <w:gridSpan w:val="3"/>
          </w:tcPr>
          <w:p w14:paraId="1F10FB84" w14:textId="77777777" w:rsidR="00C539BF" w:rsidRPr="00504974" w:rsidRDefault="00C539BF" w:rsidP="00677F6D">
            <w:pPr>
              <w:keepNext/>
              <w:keepLines/>
              <w:jc w:val="center"/>
              <w:rPr>
                <w:rFonts w:ascii="Arial Narrow" w:hAnsi="Arial Narrow"/>
                <w:b/>
                <w:bCs/>
                <w:sz w:val="19"/>
                <w:szCs w:val="19"/>
              </w:rPr>
            </w:pPr>
            <w:r w:rsidRPr="00504974">
              <w:rPr>
                <w:rFonts w:ascii="Arial Narrow" w:hAnsi="Arial Narrow"/>
                <w:b/>
                <w:bCs/>
                <w:sz w:val="19"/>
                <w:szCs w:val="19"/>
              </w:rPr>
              <w:t>Eculizumab</w:t>
            </w:r>
          </w:p>
        </w:tc>
      </w:tr>
      <w:tr w:rsidR="00860FAE" w14:paraId="7F935570" w14:textId="77777777" w:rsidTr="008B1039">
        <w:tc>
          <w:tcPr>
            <w:tcW w:w="1084" w:type="dxa"/>
            <w:vMerge/>
          </w:tcPr>
          <w:p w14:paraId="7C347F98" w14:textId="77777777" w:rsidR="00860FAE" w:rsidRPr="00504974" w:rsidRDefault="00860FAE" w:rsidP="00677F6D">
            <w:pPr>
              <w:keepNext/>
              <w:keepLines/>
              <w:rPr>
                <w:rFonts w:ascii="Arial Narrow" w:hAnsi="Arial Narrow"/>
                <w:sz w:val="19"/>
                <w:szCs w:val="19"/>
              </w:rPr>
            </w:pPr>
          </w:p>
        </w:tc>
        <w:tc>
          <w:tcPr>
            <w:tcW w:w="1287" w:type="dxa"/>
          </w:tcPr>
          <w:p w14:paraId="050FDDB0" w14:textId="77777777" w:rsidR="00860FAE" w:rsidRPr="00504974" w:rsidRDefault="00860FAE" w:rsidP="00677F6D">
            <w:pPr>
              <w:pStyle w:val="TableText0"/>
              <w:keepLines/>
              <w:ind w:hanging="40"/>
              <w:jc w:val="center"/>
              <w:rPr>
                <w:b/>
                <w:sz w:val="19"/>
                <w:szCs w:val="19"/>
                <w:lang w:val="en-US"/>
              </w:rPr>
            </w:pPr>
            <w:r w:rsidRPr="00504974">
              <w:rPr>
                <w:b/>
                <w:bCs w:val="0"/>
                <w:sz w:val="19"/>
                <w:szCs w:val="19"/>
              </w:rPr>
              <w:t>Trial dose and duration</w:t>
            </w:r>
          </w:p>
        </w:tc>
        <w:tc>
          <w:tcPr>
            <w:tcW w:w="1287" w:type="dxa"/>
          </w:tcPr>
          <w:p w14:paraId="4CB858F7" w14:textId="7C8DBF05" w:rsidR="00860FAE" w:rsidRPr="00504974" w:rsidRDefault="00860FAE" w:rsidP="00677F6D">
            <w:pPr>
              <w:keepNext/>
              <w:keepLines/>
              <w:jc w:val="center"/>
              <w:rPr>
                <w:rFonts w:ascii="Arial Narrow" w:hAnsi="Arial Narrow"/>
                <w:b/>
                <w:bCs/>
                <w:sz w:val="19"/>
                <w:szCs w:val="19"/>
              </w:rPr>
            </w:pPr>
            <w:r w:rsidRPr="00504974">
              <w:rPr>
                <w:rFonts w:ascii="Arial Narrow" w:hAnsi="Arial Narrow"/>
                <w:b/>
                <w:bCs/>
                <w:sz w:val="19"/>
                <w:szCs w:val="19"/>
              </w:rPr>
              <w:t>Cost-minimisation</w:t>
            </w:r>
          </w:p>
        </w:tc>
        <w:tc>
          <w:tcPr>
            <w:tcW w:w="1287" w:type="dxa"/>
          </w:tcPr>
          <w:p w14:paraId="5739E621" w14:textId="77777777" w:rsidR="00860FAE" w:rsidRPr="00504974" w:rsidRDefault="00860FAE" w:rsidP="00677F6D">
            <w:pPr>
              <w:keepNext/>
              <w:keepLines/>
              <w:jc w:val="center"/>
              <w:rPr>
                <w:rFonts w:ascii="Arial Narrow" w:hAnsi="Arial Narrow"/>
                <w:b/>
                <w:bCs/>
                <w:sz w:val="19"/>
                <w:szCs w:val="19"/>
              </w:rPr>
            </w:pPr>
            <w:r w:rsidRPr="00504974">
              <w:rPr>
                <w:rFonts w:ascii="Arial Narrow" w:hAnsi="Arial Narrow"/>
                <w:b/>
                <w:bCs/>
                <w:sz w:val="19"/>
                <w:szCs w:val="19"/>
              </w:rPr>
              <w:t>Financial estimates</w:t>
            </w:r>
          </w:p>
        </w:tc>
        <w:tc>
          <w:tcPr>
            <w:tcW w:w="1287" w:type="dxa"/>
          </w:tcPr>
          <w:p w14:paraId="633E5721" w14:textId="77777777" w:rsidR="00860FAE" w:rsidRPr="00504974" w:rsidRDefault="00860FAE" w:rsidP="00677F6D">
            <w:pPr>
              <w:pStyle w:val="TableText0"/>
              <w:keepLines/>
              <w:ind w:hanging="40"/>
              <w:jc w:val="center"/>
              <w:rPr>
                <w:b/>
                <w:sz w:val="19"/>
                <w:szCs w:val="19"/>
                <w:lang w:val="en-US"/>
              </w:rPr>
            </w:pPr>
            <w:r w:rsidRPr="00504974">
              <w:rPr>
                <w:b/>
                <w:bCs w:val="0"/>
                <w:sz w:val="19"/>
                <w:szCs w:val="19"/>
              </w:rPr>
              <w:t>Trial dose and duration</w:t>
            </w:r>
          </w:p>
        </w:tc>
        <w:tc>
          <w:tcPr>
            <w:tcW w:w="1287" w:type="dxa"/>
          </w:tcPr>
          <w:p w14:paraId="69A17057" w14:textId="7086E5CA" w:rsidR="00860FAE" w:rsidRPr="00504974" w:rsidRDefault="00860FAE" w:rsidP="00677F6D">
            <w:pPr>
              <w:keepNext/>
              <w:keepLines/>
              <w:jc w:val="center"/>
              <w:rPr>
                <w:rFonts w:ascii="Arial Narrow" w:hAnsi="Arial Narrow"/>
                <w:b/>
                <w:bCs/>
                <w:sz w:val="19"/>
                <w:szCs w:val="19"/>
              </w:rPr>
            </w:pPr>
            <w:r w:rsidRPr="00504974">
              <w:rPr>
                <w:rFonts w:ascii="Arial Narrow" w:hAnsi="Arial Narrow"/>
                <w:b/>
                <w:bCs/>
                <w:sz w:val="19"/>
                <w:szCs w:val="19"/>
              </w:rPr>
              <w:t>Cost-minimisation</w:t>
            </w:r>
          </w:p>
        </w:tc>
        <w:tc>
          <w:tcPr>
            <w:tcW w:w="1288" w:type="dxa"/>
          </w:tcPr>
          <w:p w14:paraId="715FB443" w14:textId="77777777" w:rsidR="00860FAE" w:rsidRPr="00504974" w:rsidRDefault="00860FAE" w:rsidP="00677F6D">
            <w:pPr>
              <w:keepNext/>
              <w:keepLines/>
              <w:jc w:val="center"/>
              <w:rPr>
                <w:rFonts w:ascii="Arial Narrow" w:hAnsi="Arial Narrow"/>
                <w:b/>
                <w:bCs/>
                <w:sz w:val="19"/>
                <w:szCs w:val="19"/>
              </w:rPr>
            </w:pPr>
            <w:r w:rsidRPr="00504974">
              <w:rPr>
                <w:rFonts w:ascii="Arial Narrow" w:hAnsi="Arial Narrow"/>
                <w:b/>
                <w:bCs/>
                <w:sz w:val="19"/>
                <w:szCs w:val="19"/>
              </w:rPr>
              <w:t>Financial estimates</w:t>
            </w:r>
          </w:p>
        </w:tc>
      </w:tr>
      <w:tr w:rsidR="00860FAE" w:rsidRPr="009E5659" w14:paraId="62ABE8F4" w14:textId="77777777" w:rsidTr="008B1039">
        <w:tc>
          <w:tcPr>
            <w:tcW w:w="1084" w:type="dxa"/>
            <w:vAlign w:val="center"/>
          </w:tcPr>
          <w:p w14:paraId="5241A77E" w14:textId="77777777" w:rsidR="00860FAE" w:rsidRPr="00504974" w:rsidRDefault="00860FAE" w:rsidP="00677F6D">
            <w:pPr>
              <w:pStyle w:val="TableText0"/>
              <w:keepLines/>
              <w:ind w:hanging="40"/>
              <w:rPr>
                <w:bCs w:val="0"/>
                <w:sz w:val="19"/>
                <w:szCs w:val="19"/>
                <w:lang w:val="en-US"/>
              </w:rPr>
            </w:pPr>
            <w:r w:rsidRPr="00504974">
              <w:rPr>
                <w:bCs w:val="0"/>
                <w:sz w:val="19"/>
                <w:szCs w:val="19"/>
                <w:lang w:val="en-US"/>
              </w:rPr>
              <w:t>Mean dose</w:t>
            </w:r>
          </w:p>
        </w:tc>
        <w:tc>
          <w:tcPr>
            <w:tcW w:w="1287" w:type="dxa"/>
          </w:tcPr>
          <w:p w14:paraId="3BC365B7" w14:textId="2784F28C" w:rsidR="00860FAE" w:rsidRPr="00504974" w:rsidRDefault="00860FAE" w:rsidP="00677F6D">
            <w:pPr>
              <w:keepNext/>
              <w:keepLines/>
              <w:jc w:val="left"/>
              <w:rPr>
                <w:rFonts w:ascii="Arial Narrow" w:hAnsi="Arial Narrow"/>
                <w:sz w:val="19"/>
                <w:szCs w:val="19"/>
              </w:rPr>
            </w:pPr>
            <w:r w:rsidRPr="00504974">
              <w:rPr>
                <w:rFonts w:ascii="Arial Narrow" w:hAnsi="Arial Narrow"/>
                <w:sz w:val="19"/>
                <w:szCs w:val="19"/>
              </w:rPr>
              <w:t xml:space="preserve">Study 311: Mean or median dose was not provided. Number of infusions ranged from 1 to 16, </w:t>
            </w:r>
            <w:r w:rsidR="00196676" w:rsidRPr="00504974">
              <w:rPr>
                <w:rFonts w:ascii="Arial Narrow" w:hAnsi="Arial Narrow"/>
                <w:sz w:val="19"/>
                <w:szCs w:val="19"/>
              </w:rPr>
              <w:t>those with</w:t>
            </w:r>
            <w:r w:rsidRPr="00504974">
              <w:rPr>
                <w:rFonts w:ascii="Arial Narrow" w:hAnsi="Arial Narrow"/>
                <w:sz w:val="19"/>
                <w:szCs w:val="19"/>
              </w:rPr>
              <w:t xml:space="preserve"> 10 or 12 infusions (</w:t>
            </w:r>
            <w:r w:rsidR="00196676" w:rsidRPr="00504974">
              <w:rPr>
                <w:rFonts w:ascii="Arial Narrow" w:hAnsi="Arial Narrow"/>
                <w:sz w:val="19"/>
                <w:szCs w:val="19"/>
              </w:rPr>
              <w:t xml:space="preserve">both </w:t>
            </w:r>
            <w:r w:rsidRPr="00504974">
              <w:rPr>
                <w:rFonts w:ascii="Arial Narrow" w:hAnsi="Arial Narrow"/>
                <w:sz w:val="19"/>
                <w:szCs w:val="19"/>
              </w:rPr>
              <w:t>13.8%)</w:t>
            </w:r>
            <w:r w:rsidR="00196676" w:rsidRPr="00504974">
              <w:rPr>
                <w:rFonts w:ascii="Arial Narrow" w:hAnsi="Arial Narrow"/>
                <w:sz w:val="19"/>
                <w:szCs w:val="19"/>
              </w:rPr>
              <w:t xml:space="preserve"> was greatest</w:t>
            </w:r>
            <w:r w:rsidRPr="00504974">
              <w:rPr>
                <w:rFonts w:ascii="Arial Narrow" w:hAnsi="Arial Narrow"/>
                <w:sz w:val="19"/>
                <w:szCs w:val="19"/>
              </w:rPr>
              <w:t>.</w:t>
            </w:r>
          </w:p>
        </w:tc>
        <w:tc>
          <w:tcPr>
            <w:tcW w:w="1287" w:type="dxa"/>
          </w:tcPr>
          <w:p w14:paraId="3B9B38C7" w14:textId="1F8AAB9B" w:rsidR="00FB1719" w:rsidRPr="00504974" w:rsidRDefault="00860FAE" w:rsidP="00677F6D">
            <w:pPr>
              <w:keepNext/>
              <w:keepLines/>
              <w:jc w:val="left"/>
              <w:rPr>
                <w:rFonts w:ascii="Arial Narrow" w:hAnsi="Arial Narrow"/>
                <w:sz w:val="19"/>
                <w:szCs w:val="19"/>
              </w:rPr>
            </w:pPr>
            <w:r w:rsidRPr="00504974">
              <w:rPr>
                <w:rFonts w:ascii="Arial Narrow" w:hAnsi="Arial Narrow"/>
                <w:sz w:val="19"/>
                <w:szCs w:val="19"/>
              </w:rPr>
              <w:t>PI-based dosing</w:t>
            </w:r>
            <w:r w:rsidR="00FB1719" w:rsidRPr="00504974">
              <w:rPr>
                <w:rFonts w:ascii="Arial Narrow" w:hAnsi="Arial Narrow"/>
                <w:sz w:val="19"/>
                <w:szCs w:val="19"/>
              </w:rPr>
              <w:t xml:space="preserve"> with weight distribution from </w:t>
            </w:r>
            <w:r w:rsidR="008B1039" w:rsidRPr="00504974">
              <w:rPr>
                <w:rFonts w:ascii="Arial Narrow" w:hAnsi="Arial Narrow"/>
                <w:sz w:val="19"/>
                <w:szCs w:val="19"/>
              </w:rPr>
              <w:t xml:space="preserve">Study </w:t>
            </w:r>
            <w:r w:rsidR="00FB1719" w:rsidRPr="00504974">
              <w:rPr>
                <w:rFonts w:ascii="Arial Narrow" w:hAnsi="Arial Narrow"/>
                <w:sz w:val="19"/>
                <w:szCs w:val="19"/>
              </w:rPr>
              <w:t>311</w:t>
            </w:r>
            <w:r w:rsidRPr="00504974">
              <w:rPr>
                <w:rFonts w:ascii="Arial Narrow" w:hAnsi="Arial Narrow"/>
                <w:sz w:val="19"/>
                <w:szCs w:val="19"/>
              </w:rPr>
              <w:t xml:space="preserve">. </w:t>
            </w:r>
          </w:p>
          <w:p w14:paraId="0E1A4A1A" w14:textId="02D7B322" w:rsidR="00FB1719" w:rsidRPr="00504974" w:rsidRDefault="00860FAE" w:rsidP="00677F6D">
            <w:pPr>
              <w:keepNext/>
              <w:keepLines/>
              <w:jc w:val="left"/>
              <w:rPr>
                <w:rFonts w:ascii="Arial Narrow" w:hAnsi="Arial Narrow"/>
                <w:sz w:val="19"/>
                <w:szCs w:val="19"/>
              </w:rPr>
            </w:pPr>
            <w:r w:rsidRPr="00504974">
              <w:rPr>
                <w:rFonts w:ascii="Arial Narrow" w:hAnsi="Arial Narrow"/>
                <w:sz w:val="19"/>
                <w:szCs w:val="19"/>
              </w:rPr>
              <w:t>23,097 mg</w:t>
            </w:r>
            <w:r w:rsidR="00A77C80" w:rsidRPr="00504974">
              <w:rPr>
                <w:rFonts w:ascii="Arial Narrow" w:hAnsi="Arial Narrow"/>
                <w:sz w:val="19"/>
                <w:szCs w:val="19"/>
              </w:rPr>
              <w:t xml:space="preserve"> in adults</w:t>
            </w:r>
          </w:p>
          <w:p w14:paraId="27FFC950" w14:textId="77777777" w:rsidR="00C1183C" w:rsidRPr="00504974" w:rsidRDefault="00C1183C" w:rsidP="00677F6D">
            <w:pPr>
              <w:keepNext/>
              <w:keepLines/>
              <w:jc w:val="left"/>
              <w:rPr>
                <w:rFonts w:ascii="Arial Narrow" w:hAnsi="Arial Narrow"/>
                <w:sz w:val="19"/>
                <w:szCs w:val="19"/>
              </w:rPr>
            </w:pPr>
          </w:p>
          <w:p w14:paraId="371A0F6C" w14:textId="2A1FC9A6" w:rsidR="00FB1719" w:rsidRPr="00504974" w:rsidRDefault="00FB1719" w:rsidP="00677F6D">
            <w:pPr>
              <w:keepNext/>
              <w:keepLines/>
              <w:jc w:val="left"/>
              <w:rPr>
                <w:rFonts w:ascii="Arial Narrow" w:hAnsi="Arial Narrow"/>
                <w:sz w:val="19"/>
                <w:szCs w:val="19"/>
              </w:rPr>
            </w:pPr>
            <w:r w:rsidRPr="00504974">
              <w:rPr>
                <w:rFonts w:ascii="Arial Narrow" w:hAnsi="Arial Narrow"/>
                <w:sz w:val="19"/>
                <w:szCs w:val="19"/>
              </w:rPr>
              <w:t>Loading dose 2,669 mg x1</w:t>
            </w:r>
          </w:p>
          <w:p w14:paraId="5221E842" w14:textId="18EAC81B" w:rsidR="00860FAE" w:rsidRPr="00504974" w:rsidRDefault="00FB1719" w:rsidP="00677F6D">
            <w:pPr>
              <w:keepNext/>
              <w:keepLines/>
              <w:jc w:val="left"/>
              <w:rPr>
                <w:rFonts w:ascii="Arial Narrow" w:hAnsi="Arial Narrow"/>
                <w:sz w:val="19"/>
                <w:szCs w:val="19"/>
              </w:rPr>
            </w:pPr>
            <w:r w:rsidRPr="00504974">
              <w:rPr>
                <w:rFonts w:ascii="Arial Narrow" w:hAnsi="Arial Narrow"/>
                <w:sz w:val="19"/>
                <w:szCs w:val="19"/>
              </w:rPr>
              <w:t>Maintenance dose 3,269 mg x6.25</w:t>
            </w:r>
            <w:r w:rsidR="00A77C80" w:rsidRPr="00504974">
              <w:rPr>
                <w:rFonts w:ascii="Arial Narrow" w:hAnsi="Arial Narrow"/>
                <w:sz w:val="19"/>
                <w:szCs w:val="19"/>
              </w:rPr>
              <w:t xml:space="preserve"> (in adults)</w:t>
            </w:r>
          </w:p>
        </w:tc>
        <w:tc>
          <w:tcPr>
            <w:tcW w:w="1287" w:type="dxa"/>
          </w:tcPr>
          <w:p w14:paraId="79D81074" w14:textId="071722CE" w:rsidR="00860FAE" w:rsidRPr="00504974" w:rsidRDefault="00860FAE" w:rsidP="00677F6D">
            <w:pPr>
              <w:pStyle w:val="TableText0"/>
              <w:keepLines/>
              <w:ind w:hanging="1"/>
              <w:rPr>
                <w:bCs w:val="0"/>
                <w:sz w:val="19"/>
                <w:szCs w:val="19"/>
                <w:lang w:val="en-US"/>
              </w:rPr>
            </w:pPr>
            <w:r w:rsidRPr="00504974">
              <w:rPr>
                <w:bCs w:val="0"/>
                <w:sz w:val="19"/>
                <w:szCs w:val="19"/>
                <w:lang w:val="en-US"/>
              </w:rPr>
              <w:t xml:space="preserve">Initiating patients: </w:t>
            </w:r>
            <w:r w:rsidR="00C47128" w:rsidRPr="00C47128">
              <w:rPr>
                <w:bCs w:val="0"/>
                <w:color w:val="000000"/>
                <w:spacing w:val="56"/>
                <w:sz w:val="19"/>
                <w:szCs w:val="19"/>
                <w:shd w:val="solid" w:color="000000" w:fill="000000"/>
                <w:fitText w:val="524" w:id="-1236585982"/>
                <w:lang w:val="en-US"/>
                <w14:textFill>
                  <w14:solidFill>
                    <w14:srgbClr w14:val="000000">
                      <w14:alpha w14:val="100000"/>
                    </w14:srgbClr>
                  </w14:solidFill>
                </w14:textFill>
              </w:rPr>
              <w:t>|||||</w:t>
            </w:r>
            <w:r w:rsidR="00C47128" w:rsidRPr="00C47128">
              <w:rPr>
                <w:bCs w:val="0"/>
                <w:color w:val="000000"/>
                <w:spacing w:val="2"/>
                <w:sz w:val="19"/>
                <w:szCs w:val="19"/>
                <w:shd w:val="solid" w:color="000000" w:fill="000000"/>
                <w:fitText w:val="524" w:id="-1236585982"/>
                <w:lang w:val="en-US"/>
                <w14:textFill>
                  <w14:solidFill>
                    <w14:srgbClr w14:val="000000">
                      <w14:alpha w14:val="100000"/>
                    </w14:srgbClr>
                  </w14:solidFill>
                </w14:textFill>
              </w:rPr>
              <w:t>|</w:t>
            </w:r>
            <w:r w:rsidR="00C1183C" w:rsidRPr="00504974">
              <w:rPr>
                <w:sz w:val="19"/>
                <w:szCs w:val="19"/>
                <w:vertAlign w:val="superscript"/>
              </w:rPr>
              <w:t>2</w:t>
            </w:r>
            <w:r w:rsidRPr="00504974">
              <w:rPr>
                <w:bCs w:val="0"/>
                <w:sz w:val="19"/>
                <w:szCs w:val="19"/>
                <w:lang w:val="en-US"/>
              </w:rPr>
              <w:t xml:space="preserve"> vials per year</w:t>
            </w:r>
          </w:p>
          <w:p w14:paraId="70FC223B" w14:textId="4BA0219A" w:rsidR="00860FAE" w:rsidRPr="00504974" w:rsidRDefault="00860FAE" w:rsidP="00677F6D">
            <w:pPr>
              <w:pStyle w:val="TableText0"/>
              <w:keepLines/>
              <w:ind w:hanging="1"/>
              <w:rPr>
                <w:bCs w:val="0"/>
                <w:sz w:val="19"/>
                <w:szCs w:val="19"/>
                <w:lang w:val="en-US"/>
              </w:rPr>
            </w:pPr>
            <w:r w:rsidRPr="00504974">
              <w:rPr>
                <w:bCs w:val="0"/>
                <w:sz w:val="19"/>
                <w:szCs w:val="19"/>
                <w:lang w:val="en-US"/>
              </w:rPr>
              <w:t xml:space="preserve">Maintenance patients: </w:t>
            </w:r>
            <w:r w:rsidR="00C47128" w:rsidRPr="00C47128">
              <w:rPr>
                <w:bCs w:val="0"/>
                <w:color w:val="000000"/>
                <w:spacing w:val="56"/>
                <w:sz w:val="19"/>
                <w:szCs w:val="19"/>
                <w:shd w:val="solid" w:color="000000" w:fill="000000"/>
                <w:fitText w:val="524" w:id="-1236585981"/>
                <w:lang w:val="en-US"/>
                <w14:textFill>
                  <w14:solidFill>
                    <w14:srgbClr w14:val="000000">
                      <w14:alpha w14:val="100000"/>
                    </w14:srgbClr>
                  </w14:solidFill>
                </w14:textFill>
              </w:rPr>
              <w:t>|||||</w:t>
            </w:r>
            <w:r w:rsidR="00C47128" w:rsidRPr="00C47128">
              <w:rPr>
                <w:bCs w:val="0"/>
                <w:color w:val="000000"/>
                <w:spacing w:val="2"/>
                <w:sz w:val="19"/>
                <w:szCs w:val="19"/>
                <w:shd w:val="solid" w:color="000000" w:fill="000000"/>
                <w:fitText w:val="524" w:id="-1236585981"/>
                <w:lang w:val="en-US"/>
                <w14:textFill>
                  <w14:solidFill>
                    <w14:srgbClr w14:val="000000">
                      <w14:alpha w14:val="100000"/>
                    </w14:srgbClr>
                  </w14:solidFill>
                </w14:textFill>
              </w:rPr>
              <w:t>|</w:t>
            </w:r>
            <w:r w:rsidR="00C1183C" w:rsidRPr="00504974">
              <w:rPr>
                <w:sz w:val="19"/>
                <w:szCs w:val="19"/>
                <w:vertAlign w:val="superscript"/>
              </w:rPr>
              <w:t>2</w:t>
            </w:r>
            <w:r w:rsidRPr="00504974">
              <w:rPr>
                <w:bCs w:val="0"/>
                <w:sz w:val="19"/>
                <w:szCs w:val="19"/>
                <w:lang w:val="en-US"/>
              </w:rPr>
              <w:t xml:space="preserve"> vials per year</w:t>
            </w:r>
          </w:p>
          <w:p w14:paraId="13BA2773" w14:textId="3F209BB5" w:rsidR="00860FAE" w:rsidRPr="00504974" w:rsidRDefault="00860FAE" w:rsidP="00677F6D">
            <w:pPr>
              <w:keepNext/>
              <w:keepLines/>
              <w:jc w:val="left"/>
              <w:rPr>
                <w:rFonts w:ascii="Arial Narrow" w:hAnsi="Arial Narrow"/>
                <w:sz w:val="19"/>
                <w:szCs w:val="19"/>
              </w:rPr>
            </w:pPr>
            <w:r w:rsidRPr="00504974">
              <w:rPr>
                <w:rFonts w:ascii="Arial Narrow" w:hAnsi="Arial Narrow"/>
                <w:sz w:val="19"/>
                <w:szCs w:val="19"/>
                <w:lang w:val="en-US"/>
              </w:rPr>
              <w:t xml:space="preserve">Patients switching from eculizumab: </w:t>
            </w:r>
            <w:r w:rsidR="00C47128" w:rsidRPr="00C47128">
              <w:rPr>
                <w:rFonts w:ascii="Arial Narrow" w:hAnsi="Arial Narrow"/>
                <w:color w:val="000000"/>
                <w:spacing w:val="56"/>
                <w:sz w:val="19"/>
                <w:szCs w:val="19"/>
                <w:shd w:val="solid" w:color="000000" w:fill="000000"/>
                <w:fitText w:val="524" w:id="-1236585980"/>
                <w:lang w:val="en-US"/>
                <w14:textFill>
                  <w14:solidFill>
                    <w14:srgbClr w14:val="000000">
                      <w14:alpha w14:val="100000"/>
                    </w14:srgbClr>
                  </w14:solidFill>
                </w14:textFill>
              </w:rPr>
              <w:t>|||||</w:t>
            </w:r>
            <w:r w:rsidR="00C47128" w:rsidRPr="00C47128">
              <w:rPr>
                <w:rFonts w:ascii="Arial Narrow" w:hAnsi="Arial Narrow"/>
                <w:color w:val="000000"/>
                <w:spacing w:val="2"/>
                <w:sz w:val="19"/>
                <w:szCs w:val="19"/>
                <w:shd w:val="solid" w:color="000000" w:fill="000000"/>
                <w:fitText w:val="524" w:id="-1236585980"/>
                <w:lang w:val="en-US"/>
                <w14:textFill>
                  <w14:solidFill>
                    <w14:srgbClr w14:val="000000">
                      <w14:alpha w14:val="100000"/>
                    </w14:srgbClr>
                  </w14:solidFill>
                </w14:textFill>
              </w:rPr>
              <w:t>|</w:t>
            </w:r>
            <w:r w:rsidR="00C1183C" w:rsidRPr="00504974">
              <w:rPr>
                <w:sz w:val="19"/>
                <w:szCs w:val="19"/>
                <w:vertAlign w:val="superscript"/>
              </w:rPr>
              <w:t>2</w:t>
            </w:r>
            <w:r w:rsidRPr="00504974">
              <w:rPr>
                <w:rFonts w:ascii="Arial Narrow" w:hAnsi="Arial Narrow"/>
                <w:sz w:val="19"/>
                <w:szCs w:val="19"/>
                <w:lang w:val="en-US"/>
              </w:rPr>
              <w:t xml:space="preserve"> vials per year</w:t>
            </w:r>
          </w:p>
        </w:tc>
        <w:tc>
          <w:tcPr>
            <w:tcW w:w="1287" w:type="dxa"/>
          </w:tcPr>
          <w:p w14:paraId="67881D8C" w14:textId="77777777" w:rsidR="00860FAE" w:rsidRPr="00504974" w:rsidRDefault="00860FAE" w:rsidP="00677F6D">
            <w:pPr>
              <w:pStyle w:val="TableText0"/>
              <w:keepLines/>
              <w:rPr>
                <w:bCs w:val="0"/>
                <w:sz w:val="19"/>
                <w:szCs w:val="19"/>
              </w:rPr>
            </w:pPr>
            <w:r w:rsidRPr="00504974">
              <w:rPr>
                <w:bCs w:val="0"/>
                <w:sz w:val="19"/>
                <w:szCs w:val="19"/>
              </w:rPr>
              <w:t xml:space="preserve">Study C10-004; </w:t>
            </w:r>
            <w:r w:rsidRPr="00504974">
              <w:rPr>
                <w:rFonts w:cs="Times New Roman"/>
                <w:bCs w:val="0"/>
                <w:sz w:val="19"/>
                <w:szCs w:val="19"/>
                <w:lang w:val="en-US"/>
              </w:rPr>
              <w:t>Study C08-002; Study C10-003: NR</w:t>
            </w:r>
          </w:p>
        </w:tc>
        <w:tc>
          <w:tcPr>
            <w:tcW w:w="1287" w:type="dxa"/>
          </w:tcPr>
          <w:p w14:paraId="6CDC7A7C" w14:textId="25E61B53" w:rsidR="00860FAE" w:rsidRPr="00504974" w:rsidRDefault="00FB1719" w:rsidP="00677F6D">
            <w:pPr>
              <w:keepNext/>
              <w:keepLines/>
              <w:jc w:val="left"/>
              <w:rPr>
                <w:rFonts w:ascii="Arial Narrow" w:hAnsi="Arial Narrow"/>
                <w:sz w:val="19"/>
                <w:szCs w:val="19"/>
              </w:rPr>
            </w:pPr>
            <w:r w:rsidRPr="00504974">
              <w:rPr>
                <w:rFonts w:ascii="Arial Narrow" w:hAnsi="Arial Narrow"/>
                <w:sz w:val="19"/>
                <w:szCs w:val="19"/>
              </w:rPr>
              <w:t>PI</w:t>
            </w:r>
            <w:r w:rsidR="008B1039" w:rsidRPr="00504974">
              <w:rPr>
                <w:rFonts w:ascii="Arial Narrow" w:hAnsi="Arial Narrow"/>
                <w:sz w:val="19"/>
                <w:szCs w:val="19"/>
              </w:rPr>
              <w:t>-</w:t>
            </w:r>
            <w:r w:rsidRPr="00504974">
              <w:rPr>
                <w:rFonts w:ascii="Arial Narrow" w:hAnsi="Arial Narrow"/>
                <w:sz w:val="19"/>
                <w:szCs w:val="19"/>
              </w:rPr>
              <w:t>based dosing.</w:t>
            </w:r>
          </w:p>
          <w:p w14:paraId="43F5E0FC" w14:textId="327A4A5C" w:rsidR="00FB1719" w:rsidRPr="00504974" w:rsidRDefault="00FB1719" w:rsidP="00677F6D">
            <w:pPr>
              <w:keepNext/>
              <w:keepLines/>
              <w:jc w:val="left"/>
              <w:rPr>
                <w:rFonts w:ascii="Arial Narrow" w:hAnsi="Arial Narrow"/>
                <w:sz w:val="19"/>
                <w:szCs w:val="19"/>
              </w:rPr>
            </w:pPr>
            <w:r w:rsidRPr="00504974">
              <w:rPr>
                <w:rFonts w:ascii="Arial Narrow" w:hAnsi="Arial Narrow"/>
                <w:sz w:val="19"/>
                <w:szCs w:val="19"/>
              </w:rPr>
              <w:t>32,400 mg</w:t>
            </w:r>
            <w:r w:rsidR="00A77C80" w:rsidRPr="00504974">
              <w:rPr>
                <w:rFonts w:ascii="Arial Narrow" w:hAnsi="Arial Narrow"/>
                <w:sz w:val="19"/>
                <w:szCs w:val="19"/>
              </w:rPr>
              <w:t xml:space="preserve"> in adults</w:t>
            </w:r>
          </w:p>
          <w:p w14:paraId="6B329A00" w14:textId="0F4ADBF4" w:rsidR="00FB1719" w:rsidRPr="00504974" w:rsidRDefault="00FB1719" w:rsidP="00677F6D">
            <w:pPr>
              <w:keepNext/>
              <w:keepLines/>
              <w:jc w:val="left"/>
              <w:rPr>
                <w:rFonts w:ascii="Arial Narrow" w:hAnsi="Arial Narrow"/>
                <w:sz w:val="19"/>
                <w:szCs w:val="19"/>
              </w:rPr>
            </w:pPr>
          </w:p>
          <w:p w14:paraId="759E01EA" w14:textId="77777777" w:rsidR="00FB1719" w:rsidRPr="00504974" w:rsidRDefault="00FB1719" w:rsidP="00677F6D">
            <w:pPr>
              <w:keepNext/>
              <w:keepLines/>
              <w:jc w:val="left"/>
              <w:rPr>
                <w:rFonts w:ascii="Arial Narrow" w:hAnsi="Arial Narrow"/>
                <w:sz w:val="19"/>
                <w:szCs w:val="19"/>
              </w:rPr>
            </w:pPr>
            <w:r w:rsidRPr="00504974">
              <w:rPr>
                <w:rFonts w:ascii="Arial Narrow" w:hAnsi="Arial Narrow"/>
                <w:sz w:val="19"/>
                <w:szCs w:val="19"/>
              </w:rPr>
              <w:t>Loading phase: 3,600 mg</w:t>
            </w:r>
          </w:p>
          <w:p w14:paraId="45E4CD1F" w14:textId="74C545C4" w:rsidR="00FB1719" w:rsidRPr="00504974" w:rsidRDefault="00FB1719" w:rsidP="00677F6D">
            <w:pPr>
              <w:keepNext/>
              <w:keepLines/>
              <w:jc w:val="left"/>
              <w:rPr>
                <w:rFonts w:ascii="Arial Narrow" w:hAnsi="Arial Narrow"/>
                <w:sz w:val="19"/>
                <w:szCs w:val="19"/>
              </w:rPr>
            </w:pPr>
            <w:r w:rsidRPr="00504974">
              <w:rPr>
                <w:rFonts w:ascii="Arial Narrow" w:hAnsi="Arial Narrow"/>
                <w:sz w:val="19"/>
                <w:szCs w:val="19"/>
              </w:rPr>
              <w:t>Maintenance phase: 28,800 mg</w:t>
            </w:r>
            <w:r w:rsidR="00A77C80" w:rsidRPr="00504974">
              <w:rPr>
                <w:rFonts w:ascii="Arial Narrow" w:hAnsi="Arial Narrow"/>
                <w:sz w:val="19"/>
                <w:szCs w:val="19"/>
              </w:rPr>
              <w:t xml:space="preserve"> (in adults)</w:t>
            </w:r>
          </w:p>
          <w:p w14:paraId="034D843A" w14:textId="77777777" w:rsidR="00FB1719" w:rsidRPr="00504974" w:rsidRDefault="00FB1719" w:rsidP="00677F6D">
            <w:pPr>
              <w:keepNext/>
              <w:keepLines/>
              <w:jc w:val="left"/>
              <w:rPr>
                <w:rFonts w:ascii="Arial Narrow" w:hAnsi="Arial Narrow"/>
                <w:sz w:val="19"/>
                <w:szCs w:val="19"/>
              </w:rPr>
            </w:pPr>
          </w:p>
          <w:p w14:paraId="6AAC5A19" w14:textId="4AC50494" w:rsidR="00FB1719" w:rsidRPr="00504974" w:rsidRDefault="00FB1719" w:rsidP="00677F6D">
            <w:pPr>
              <w:keepNext/>
              <w:keepLines/>
              <w:jc w:val="left"/>
              <w:rPr>
                <w:rFonts w:ascii="Arial Narrow" w:hAnsi="Arial Narrow"/>
                <w:sz w:val="19"/>
                <w:szCs w:val="19"/>
              </w:rPr>
            </w:pPr>
          </w:p>
        </w:tc>
        <w:tc>
          <w:tcPr>
            <w:tcW w:w="1288" w:type="dxa"/>
          </w:tcPr>
          <w:p w14:paraId="71094FDD" w14:textId="77777777" w:rsidR="00860FAE" w:rsidRPr="00504974" w:rsidRDefault="00860FAE" w:rsidP="00677F6D">
            <w:pPr>
              <w:pStyle w:val="TableText0"/>
              <w:keepLines/>
              <w:rPr>
                <w:bCs w:val="0"/>
                <w:sz w:val="19"/>
                <w:szCs w:val="19"/>
                <w:lang w:val="en-US"/>
              </w:rPr>
            </w:pPr>
            <w:r w:rsidRPr="00504974">
              <w:rPr>
                <w:bCs w:val="0"/>
                <w:sz w:val="19"/>
                <w:szCs w:val="19"/>
                <w:lang w:val="en-US"/>
              </w:rPr>
              <w:t>Initiating patients: 108 vials per year</w:t>
            </w:r>
          </w:p>
          <w:p w14:paraId="0D49C8E0" w14:textId="77777777" w:rsidR="00860FAE" w:rsidRPr="00504974" w:rsidRDefault="00860FAE" w:rsidP="00677F6D">
            <w:pPr>
              <w:keepNext/>
              <w:keepLines/>
              <w:jc w:val="left"/>
              <w:rPr>
                <w:rFonts w:ascii="Arial Narrow" w:hAnsi="Arial Narrow"/>
                <w:sz w:val="19"/>
                <w:szCs w:val="19"/>
              </w:rPr>
            </w:pPr>
            <w:r w:rsidRPr="00504974">
              <w:rPr>
                <w:rFonts w:ascii="Arial Narrow" w:hAnsi="Arial Narrow"/>
                <w:sz w:val="19"/>
                <w:szCs w:val="19"/>
                <w:lang w:val="en-US"/>
              </w:rPr>
              <w:t>Maintenance patients: 104 vials per year</w:t>
            </w:r>
          </w:p>
        </w:tc>
      </w:tr>
      <w:tr w:rsidR="00860FAE" w:rsidRPr="009E5659" w14:paraId="014BF2C3" w14:textId="77777777" w:rsidTr="008B1039">
        <w:tc>
          <w:tcPr>
            <w:tcW w:w="1084" w:type="dxa"/>
            <w:vMerge w:val="restart"/>
            <w:vAlign w:val="center"/>
          </w:tcPr>
          <w:p w14:paraId="7814BF97" w14:textId="77777777" w:rsidR="00860FAE" w:rsidRPr="00504974" w:rsidRDefault="00860FAE" w:rsidP="00677F6D">
            <w:pPr>
              <w:pStyle w:val="TableText0"/>
              <w:keepLines/>
              <w:ind w:hanging="40"/>
              <w:rPr>
                <w:bCs w:val="0"/>
                <w:sz w:val="19"/>
                <w:szCs w:val="19"/>
                <w:lang w:val="en-US"/>
              </w:rPr>
            </w:pPr>
            <w:r w:rsidRPr="00504974">
              <w:rPr>
                <w:sz w:val="19"/>
                <w:szCs w:val="19"/>
                <w:lang w:val="en-US"/>
              </w:rPr>
              <w:t>Duration</w:t>
            </w:r>
          </w:p>
        </w:tc>
        <w:tc>
          <w:tcPr>
            <w:tcW w:w="1287" w:type="dxa"/>
          </w:tcPr>
          <w:p w14:paraId="4F06F3B9" w14:textId="77777777" w:rsidR="00860FAE" w:rsidRPr="00504974" w:rsidRDefault="00860FAE" w:rsidP="00677F6D">
            <w:pPr>
              <w:pStyle w:val="TableText0"/>
              <w:keepLines/>
              <w:rPr>
                <w:bCs w:val="0"/>
                <w:sz w:val="19"/>
                <w:szCs w:val="19"/>
              </w:rPr>
            </w:pPr>
            <w:r w:rsidRPr="00504974">
              <w:rPr>
                <w:bCs w:val="0"/>
                <w:sz w:val="19"/>
                <w:szCs w:val="19"/>
              </w:rPr>
              <w:t xml:space="preserve">Study 311: </w:t>
            </w:r>
          </w:p>
          <w:p w14:paraId="58C0E163" w14:textId="77777777" w:rsidR="00860FAE" w:rsidRPr="00504974" w:rsidRDefault="00860FAE" w:rsidP="00677F6D">
            <w:pPr>
              <w:pStyle w:val="TableText0"/>
              <w:keepLines/>
              <w:rPr>
                <w:bCs w:val="0"/>
                <w:sz w:val="19"/>
                <w:szCs w:val="19"/>
                <w:lang w:val="en-US"/>
              </w:rPr>
            </w:pPr>
            <w:r w:rsidRPr="00504974">
              <w:rPr>
                <w:bCs w:val="0"/>
                <w:sz w:val="19"/>
                <w:szCs w:val="19"/>
              </w:rPr>
              <w:t>95.9 weeks</w:t>
            </w:r>
          </w:p>
        </w:tc>
        <w:tc>
          <w:tcPr>
            <w:tcW w:w="1287" w:type="dxa"/>
            <w:vMerge w:val="restart"/>
            <w:vAlign w:val="center"/>
          </w:tcPr>
          <w:p w14:paraId="7A93835B" w14:textId="68FD4977" w:rsidR="00860FAE" w:rsidRPr="00504974" w:rsidRDefault="00860FAE" w:rsidP="00677F6D">
            <w:pPr>
              <w:keepNext/>
              <w:keepLines/>
              <w:jc w:val="center"/>
              <w:rPr>
                <w:rFonts w:ascii="Arial Narrow" w:hAnsi="Arial Narrow"/>
                <w:sz w:val="19"/>
                <w:szCs w:val="19"/>
              </w:rPr>
            </w:pPr>
            <w:r w:rsidRPr="00504974">
              <w:rPr>
                <w:rFonts w:ascii="Arial Narrow" w:hAnsi="Arial Narrow"/>
                <w:sz w:val="19"/>
                <w:szCs w:val="19"/>
                <w:lang w:val="en-US"/>
              </w:rPr>
              <w:t>1 year</w:t>
            </w:r>
          </w:p>
        </w:tc>
        <w:tc>
          <w:tcPr>
            <w:tcW w:w="1287" w:type="dxa"/>
            <w:vMerge w:val="restart"/>
            <w:vAlign w:val="center"/>
          </w:tcPr>
          <w:p w14:paraId="08232596" w14:textId="77777777" w:rsidR="00860FAE" w:rsidRPr="00504974" w:rsidRDefault="00860FAE" w:rsidP="00677F6D">
            <w:pPr>
              <w:keepNext/>
              <w:keepLines/>
              <w:jc w:val="center"/>
              <w:rPr>
                <w:rFonts w:ascii="Arial Narrow" w:hAnsi="Arial Narrow"/>
                <w:sz w:val="19"/>
                <w:szCs w:val="19"/>
              </w:rPr>
            </w:pPr>
            <w:r w:rsidRPr="00504974">
              <w:rPr>
                <w:rFonts w:ascii="Arial Narrow" w:hAnsi="Arial Narrow"/>
                <w:sz w:val="19"/>
                <w:szCs w:val="19"/>
                <w:lang w:val="en-US"/>
              </w:rPr>
              <w:t>1 year</w:t>
            </w:r>
          </w:p>
        </w:tc>
        <w:tc>
          <w:tcPr>
            <w:tcW w:w="1287" w:type="dxa"/>
            <w:vAlign w:val="center"/>
          </w:tcPr>
          <w:p w14:paraId="476591C8" w14:textId="77777777" w:rsidR="00860FAE" w:rsidRPr="00504974" w:rsidRDefault="00860FAE" w:rsidP="00677F6D">
            <w:pPr>
              <w:pStyle w:val="TableText0"/>
              <w:keepLines/>
              <w:rPr>
                <w:sz w:val="19"/>
                <w:szCs w:val="19"/>
              </w:rPr>
            </w:pPr>
            <w:r w:rsidRPr="00504974">
              <w:rPr>
                <w:sz w:val="19"/>
                <w:szCs w:val="19"/>
              </w:rPr>
              <w:t>Study C10-004: 57.4 weeks</w:t>
            </w:r>
          </w:p>
        </w:tc>
        <w:tc>
          <w:tcPr>
            <w:tcW w:w="1287" w:type="dxa"/>
            <w:vMerge w:val="restart"/>
            <w:vAlign w:val="center"/>
          </w:tcPr>
          <w:p w14:paraId="1E967888" w14:textId="2BBA9113" w:rsidR="00860FAE" w:rsidRPr="00504974" w:rsidRDefault="00860FAE" w:rsidP="00677F6D">
            <w:pPr>
              <w:keepNext/>
              <w:keepLines/>
              <w:jc w:val="center"/>
              <w:rPr>
                <w:rFonts w:ascii="Arial Narrow" w:hAnsi="Arial Narrow"/>
                <w:sz w:val="19"/>
                <w:szCs w:val="19"/>
              </w:rPr>
            </w:pPr>
            <w:r w:rsidRPr="00504974">
              <w:rPr>
                <w:rFonts w:ascii="Arial Narrow" w:hAnsi="Arial Narrow"/>
                <w:sz w:val="19"/>
                <w:szCs w:val="19"/>
                <w:lang w:val="en-US"/>
              </w:rPr>
              <w:t>1 year</w:t>
            </w:r>
          </w:p>
        </w:tc>
        <w:tc>
          <w:tcPr>
            <w:tcW w:w="1288" w:type="dxa"/>
            <w:vMerge w:val="restart"/>
            <w:vAlign w:val="center"/>
          </w:tcPr>
          <w:p w14:paraId="0D9AA8D7" w14:textId="77777777" w:rsidR="00860FAE" w:rsidRPr="00504974" w:rsidRDefault="00860FAE" w:rsidP="00677F6D">
            <w:pPr>
              <w:keepNext/>
              <w:keepLines/>
              <w:jc w:val="center"/>
              <w:rPr>
                <w:rFonts w:ascii="Arial Narrow" w:hAnsi="Arial Narrow"/>
                <w:sz w:val="19"/>
                <w:szCs w:val="19"/>
              </w:rPr>
            </w:pPr>
            <w:r w:rsidRPr="00504974">
              <w:rPr>
                <w:rFonts w:ascii="Arial Narrow" w:hAnsi="Arial Narrow"/>
                <w:sz w:val="19"/>
                <w:szCs w:val="19"/>
                <w:lang w:val="en-US"/>
              </w:rPr>
              <w:t>1 year</w:t>
            </w:r>
          </w:p>
        </w:tc>
      </w:tr>
      <w:tr w:rsidR="00860FAE" w14:paraId="4741CA31" w14:textId="77777777" w:rsidTr="008B1039">
        <w:tc>
          <w:tcPr>
            <w:tcW w:w="1084" w:type="dxa"/>
            <w:vMerge/>
            <w:vAlign w:val="center"/>
          </w:tcPr>
          <w:p w14:paraId="59ACCE39" w14:textId="77777777" w:rsidR="00860FAE" w:rsidRPr="00504974" w:rsidRDefault="00860FAE" w:rsidP="00677F6D">
            <w:pPr>
              <w:pStyle w:val="TableText0"/>
              <w:keepLines/>
              <w:ind w:hanging="40"/>
              <w:rPr>
                <w:sz w:val="19"/>
                <w:szCs w:val="19"/>
                <w:lang w:val="en-US"/>
              </w:rPr>
            </w:pPr>
          </w:p>
        </w:tc>
        <w:tc>
          <w:tcPr>
            <w:tcW w:w="1287" w:type="dxa"/>
          </w:tcPr>
          <w:p w14:paraId="55704111" w14:textId="77777777" w:rsidR="00860FAE" w:rsidRPr="00504974" w:rsidRDefault="00860FAE" w:rsidP="00677F6D">
            <w:pPr>
              <w:pStyle w:val="TableText0"/>
              <w:keepLines/>
              <w:rPr>
                <w:sz w:val="19"/>
                <w:szCs w:val="19"/>
              </w:rPr>
            </w:pPr>
            <w:r w:rsidRPr="00504974">
              <w:rPr>
                <w:sz w:val="19"/>
                <w:szCs w:val="19"/>
              </w:rPr>
              <w:t>Study 312: 107.64 weeks</w:t>
            </w:r>
          </w:p>
        </w:tc>
        <w:tc>
          <w:tcPr>
            <w:tcW w:w="1287" w:type="dxa"/>
            <w:vMerge/>
          </w:tcPr>
          <w:p w14:paraId="4E7CFEBE" w14:textId="77777777" w:rsidR="00860FAE" w:rsidRPr="00504974" w:rsidRDefault="00860FAE" w:rsidP="00677F6D">
            <w:pPr>
              <w:keepNext/>
              <w:keepLines/>
              <w:rPr>
                <w:rFonts w:ascii="Arial Narrow" w:hAnsi="Arial Narrow"/>
                <w:sz w:val="19"/>
                <w:szCs w:val="19"/>
              </w:rPr>
            </w:pPr>
          </w:p>
        </w:tc>
        <w:tc>
          <w:tcPr>
            <w:tcW w:w="1287" w:type="dxa"/>
            <w:vMerge/>
          </w:tcPr>
          <w:p w14:paraId="2C45A980" w14:textId="77777777" w:rsidR="00860FAE" w:rsidRPr="00504974" w:rsidRDefault="00860FAE" w:rsidP="00677F6D">
            <w:pPr>
              <w:keepNext/>
              <w:keepLines/>
              <w:rPr>
                <w:rFonts w:ascii="Arial Narrow" w:hAnsi="Arial Narrow"/>
                <w:sz w:val="19"/>
                <w:szCs w:val="19"/>
              </w:rPr>
            </w:pPr>
          </w:p>
        </w:tc>
        <w:tc>
          <w:tcPr>
            <w:tcW w:w="1287" w:type="dxa"/>
          </w:tcPr>
          <w:p w14:paraId="07844B40" w14:textId="77777777" w:rsidR="00860FAE" w:rsidRPr="00504974" w:rsidRDefault="00860FAE" w:rsidP="00677F6D">
            <w:pPr>
              <w:pStyle w:val="TableText0"/>
              <w:keepLines/>
              <w:rPr>
                <w:bCs w:val="0"/>
                <w:sz w:val="19"/>
                <w:szCs w:val="19"/>
              </w:rPr>
            </w:pPr>
            <w:r w:rsidRPr="00504974">
              <w:rPr>
                <w:rFonts w:cs="Times New Roman"/>
                <w:bCs w:val="0"/>
                <w:sz w:val="19"/>
                <w:szCs w:val="19"/>
                <w:lang w:val="en-US"/>
              </w:rPr>
              <w:t>Study C08-002: 97.6 weeks</w:t>
            </w:r>
          </w:p>
        </w:tc>
        <w:tc>
          <w:tcPr>
            <w:tcW w:w="1287" w:type="dxa"/>
            <w:vMerge/>
          </w:tcPr>
          <w:p w14:paraId="79478F1E" w14:textId="77777777" w:rsidR="00860FAE" w:rsidRPr="00504974" w:rsidRDefault="00860FAE" w:rsidP="00677F6D">
            <w:pPr>
              <w:keepNext/>
              <w:keepLines/>
              <w:rPr>
                <w:rFonts w:ascii="Arial Narrow" w:hAnsi="Arial Narrow"/>
                <w:sz w:val="19"/>
                <w:szCs w:val="19"/>
              </w:rPr>
            </w:pPr>
          </w:p>
        </w:tc>
        <w:tc>
          <w:tcPr>
            <w:tcW w:w="1288" w:type="dxa"/>
            <w:vMerge/>
          </w:tcPr>
          <w:p w14:paraId="494A6CEE" w14:textId="77777777" w:rsidR="00860FAE" w:rsidRPr="00504974" w:rsidRDefault="00860FAE" w:rsidP="00677F6D">
            <w:pPr>
              <w:keepNext/>
              <w:keepLines/>
              <w:rPr>
                <w:rFonts w:ascii="Arial Narrow" w:hAnsi="Arial Narrow"/>
                <w:sz w:val="19"/>
                <w:szCs w:val="19"/>
              </w:rPr>
            </w:pPr>
          </w:p>
        </w:tc>
      </w:tr>
      <w:tr w:rsidR="00860FAE" w14:paraId="48317427" w14:textId="77777777" w:rsidTr="008B1039">
        <w:tc>
          <w:tcPr>
            <w:tcW w:w="1084" w:type="dxa"/>
            <w:vMerge/>
            <w:vAlign w:val="center"/>
          </w:tcPr>
          <w:p w14:paraId="41F68A93" w14:textId="77777777" w:rsidR="00860FAE" w:rsidRPr="00504974" w:rsidRDefault="00860FAE" w:rsidP="00677F6D">
            <w:pPr>
              <w:pStyle w:val="TableText0"/>
              <w:keepLines/>
              <w:ind w:hanging="40"/>
              <w:rPr>
                <w:sz w:val="19"/>
                <w:szCs w:val="19"/>
                <w:lang w:val="en-US"/>
              </w:rPr>
            </w:pPr>
          </w:p>
        </w:tc>
        <w:tc>
          <w:tcPr>
            <w:tcW w:w="3861" w:type="dxa"/>
            <w:gridSpan w:val="3"/>
          </w:tcPr>
          <w:p w14:paraId="2A2EFBE6" w14:textId="77777777" w:rsidR="00860FAE" w:rsidRPr="00504974" w:rsidRDefault="00860FAE" w:rsidP="00677F6D">
            <w:pPr>
              <w:keepNext/>
              <w:keepLines/>
              <w:rPr>
                <w:rFonts w:ascii="Arial Narrow" w:hAnsi="Arial Narrow"/>
                <w:sz w:val="19"/>
                <w:szCs w:val="19"/>
              </w:rPr>
            </w:pPr>
          </w:p>
        </w:tc>
        <w:tc>
          <w:tcPr>
            <w:tcW w:w="1287" w:type="dxa"/>
          </w:tcPr>
          <w:p w14:paraId="67827FDE" w14:textId="77777777" w:rsidR="00860FAE" w:rsidRPr="00504974" w:rsidRDefault="00860FAE" w:rsidP="00677F6D">
            <w:pPr>
              <w:pStyle w:val="TableText0"/>
              <w:keepLines/>
              <w:rPr>
                <w:sz w:val="19"/>
                <w:szCs w:val="19"/>
              </w:rPr>
            </w:pPr>
            <w:r w:rsidRPr="00504974">
              <w:rPr>
                <w:rFonts w:cs="Times New Roman"/>
                <w:bCs w:val="0"/>
                <w:sz w:val="19"/>
                <w:szCs w:val="19"/>
                <w:lang w:val="en-US"/>
              </w:rPr>
              <w:t>Study C10-003: 23.9 weeks</w:t>
            </w:r>
          </w:p>
        </w:tc>
        <w:tc>
          <w:tcPr>
            <w:tcW w:w="1287" w:type="dxa"/>
            <w:vMerge/>
          </w:tcPr>
          <w:p w14:paraId="14705546" w14:textId="77777777" w:rsidR="00860FAE" w:rsidRPr="00504974" w:rsidRDefault="00860FAE" w:rsidP="00677F6D">
            <w:pPr>
              <w:keepNext/>
              <w:keepLines/>
              <w:rPr>
                <w:rFonts w:ascii="Arial Narrow" w:hAnsi="Arial Narrow"/>
                <w:sz w:val="19"/>
                <w:szCs w:val="19"/>
              </w:rPr>
            </w:pPr>
          </w:p>
        </w:tc>
        <w:tc>
          <w:tcPr>
            <w:tcW w:w="1288" w:type="dxa"/>
            <w:vMerge/>
          </w:tcPr>
          <w:p w14:paraId="348407F1" w14:textId="77777777" w:rsidR="00860FAE" w:rsidRPr="00504974" w:rsidRDefault="00860FAE" w:rsidP="00677F6D">
            <w:pPr>
              <w:keepNext/>
              <w:keepLines/>
              <w:rPr>
                <w:rFonts w:ascii="Arial Narrow" w:hAnsi="Arial Narrow"/>
                <w:sz w:val="19"/>
                <w:szCs w:val="19"/>
              </w:rPr>
            </w:pPr>
          </w:p>
        </w:tc>
      </w:tr>
      <w:tr w:rsidR="00860FAE" w14:paraId="11F669D0" w14:textId="77777777" w:rsidTr="008B1039">
        <w:tc>
          <w:tcPr>
            <w:tcW w:w="1084" w:type="dxa"/>
          </w:tcPr>
          <w:p w14:paraId="2C41E093" w14:textId="77777777" w:rsidR="00860FAE" w:rsidRPr="00504974" w:rsidRDefault="00860FAE" w:rsidP="00677F6D">
            <w:pPr>
              <w:pStyle w:val="TableText0"/>
              <w:keepLines/>
              <w:rPr>
                <w:sz w:val="19"/>
                <w:szCs w:val="19"/>
                <w:highlight w:val="green"/>
                <w:lang w:val="en-US"/>
              </w:rPr>
            </w:pPr>
            <w:r w:rsidRPr="00504974">
              <w:rPr>
                <w:sz w:val="19"/>
                <w:szCs w:val="19"/>
                <w:lang w:val="en-US"/>
              </w:rPr>
              <w:t>Cost per patient/year</w:t>
            </w:r>
          </w:p>
        </w:tc>
        <w:tc>
          <w:tcPr>
            <w:tcW w:w="1287" w:type="dxa"/>
            <w:vAlign w:val="center"/>
          </w:tcPr>
          <w:p w14:paraId="76512A29" w14:textId="77777777" w:rsidR="00860FAE" w:rsidRPr="00504974" w:rsidRDefault="00860FAE" w:rsidP="00677F6D">
            <w:pPr>
              <w:keepNext/>
              <w:keepLines/>
              <w:jc w:val="center"/>
              <w:rPr>
                <w:rFonts w:ascii="Arial Narrow" w:hAnsi="Arial Narrow"/>
                <w:sz w:val="19"/>
                <w:szCs w:val="19"/>
              </w:rPr>
            </w:pPr>
            <w:r w:rsidRPr="00504974">
              <w:rPr>
                <w:rFonts w:ascii="Arial Narrow" w:hAnsi="Arial Narrow"/>
                <w:sz w:val="19"/>
                <w:szCs w:val="19"/>
              </w:rPr>
              <w:t>NA</w:t>
            </w:r>
          </w:p>
        </w:tc>
        <w:tc>
          <w:tcPr>
            <w:tcW w:w="1287" w:type="dxa"/>
            <w:vAlign w:val="center"/>
          </w:tcPr>
          <w:p w14:paraId="22CB6108" w14:textId="266E7ECD" w:rsidR="00860FAE" w:rsidRPr="00504974" w:rsidRDefault="00860FAE" w:rsidP="00677F6D">
            <w:pPr>
              <w:keepNext/>
              <w:keepLines/>
              <w:jc w:val="center"/>
              <w:rPr>
                <w:rFonts w:ascii="Arial Narrow" w:hAnsi="Arial Narrow"/>
                <w:sz w:val="19"/>
                <w:szCs w:val="19"/>
              </w:rPr>
            </w:pPr>
            <w:r w:rsidRPr="00504974">
              <w:rPr>
                <w:rFonts w:ascii="Arial Narrow" w:hAnsi="Arial Narrow"/>
                <w:sz w:val="19"/>
                <w:szCs w:val="19"/>
              </w:rPr>
              <w:t>$</w:t>
            </w:r>
            <w:r w:rsidR="00C47128" w:rsidRPr="00C47128">
              <w:rPr>
                <w:rFonts w:ascii="Arial Narrow" w:hAnsi="Arial Narrow"/>
                <w:color w:val="000000"/>
                <w:spacing w:val="185"/>
                <w:sz w:val="19"/>
                <w:szCs w:val="19"/>
                <w:shd w:val="solid" w:color="000000" w:fill="000000"/>
                <w:fitText w:val="266" w:id="-1236585979"/>
                <w14:textFill>
                  <w14:solidFill>
                    <w14:srgbClr w14:val="000000">
                      <w14:alpha w14:val="100000"/>
                    </w14:srgbClr>
                  </w14:solidFill>
                </w14:textFill>
              </w:rPr>
              <w:t>|</w:t>
            </w:r>
            <w:r w:rsidR="00C47128" w:rsidRPr="00C47128">
              <w:rPr>
                <w:rFonts w:ascii="Arial Narrow" w:hAnsi="Arial Narrow"/>
                <w:color w:val="000000"/>
                <w:spacing w:val="1"/>
                <w:sz w:val="19"/>
                <w:szCs w:val="19"/>
                <w:shd w:val="solid" w:color="000000" w:fill="000000"/>
                <w:fitText w:val="266" w:id="-1236585979"/>
                <w14:textFill>
                  <w14:solidFill>
                    <w14:srgbClr w14:val="000000">
                      <w14:alpha w14:val="100000"/>
                    </w14:srgbClr>
                  </w14:solidFill>
                </w14:textFill>
              </w:rPr>
              <w:t>|</w:t>
            </w:r>
            <w:r w:rsidR="00C1183C" w:rsidRPr="00504974">
              <w:rPr>
                <w:rFonts w:ascii="Arial Narrow" w:hAnsi="Arial Narrow"/>
                <w:sz w:val="19"/>
                <w:szCs w:val="19"/>
                <w:vertAlign w:val="superscript"/>
              </w:rPr>
              <w:t>1</w:t>
            </w:r>
          </w:p>
        </w:tc>
        <w:tc>
          <w:tcPr>
            <w:tcW w:w="1287" w:type="dxa"/>
            <w:vAlign w:val="center"/>
          </w:tcPr>
          <w:p w14:paraId="6F562660" w14:textId="4A4DD737" w:rsidR="00860FAE" w:rsidRPr="00504974" w:rsidRDefault="00860FAE" w:rsidP="00677F6D">
            <w:pPr>
              <w:keepNext/>
              <w:keepLines/>
              <w:jc w:val="center"/>
              <w:rPr>
                <w:rFonts w:ascii="Arial Narrow" w:hAnsi="Arial Narrow"/>
                <w:sz w:val="19"/>
                <w:szCs w:val="19"/>
              </w:rPr>
            </w:pPr>
            <w:r w:rsidRPr="00504974">
              <w:rPr>
                <w:rFonts w:ascii="Arial Narrow" w:hAnsi="Arial Narrow"/>
                <w:color w:val="000000"/>
                <w:sz w:val="19"/>
                <w:szCs w:val="19"/>
              </w:rPr>
              <w:t>$</w:t>
            </w:r>
            <w:r w:rsidR="00C47128" w:rsidRPr="00C47128">
              <w:rPr>
                <w:rFonts w:ascii="Arial Narrow" w:hAnsi="Arial Narrow"/>
                <w:color w:val="000000"/>
                <w:spacing w:val="185"/>
                <w:sz w:val="19"/>
                <w:szCs w:val="19"/>
                <w:shd w:val="solid" w:color="000000" w:fill="000000"/>
                <w:fitText w:val="266" w:id="-1236585728"/>
                <w14:textFill>
                  <w14:solidFill>
                    <w14:srgbClr w14:val="000000">
                      <w14:alpha w14:val="100000"/>
                    </w14:srgbClr>
                  </w14:solidFill>
                </w14:textFill>
              </w:rPr>
              <w:t>|</w:t>
            </w:r>
            <w:r w:rsidR="00C47128" w:rsidRPr="00C47128">
              <w:rPr>
                <w:rFonts w:ascii="Arial Narrow" w:hAnsi="Arial Narrow"/>
                <w:color w:val="000000"/>
                <w:spacing w:val="1"/>
                <w:sz w:val="19"/>
                <w:szCs w:val="19"/>
                <w:shd w:val="solid" w:color="000000" w:fill="000000"/>
                <w:fitText w:val="266" w:id="-1236585728"/>
                <w14:textFill>
                  <w14:solidFill>
                    <w14:srgbClr w14:val="000000">
                      <w14:alpha w14:val="100000"/>
                    </w14:srgbClr>
                  </w14:solidFill>
                </w14:textFill>
              </w:rPr>
              <w:t>|</w:t>
            </w:r>
            <w:r w:rsidR="00C1183C" w:rsidRPr="00504974">
              <w:rPr>
                <w:rFonts w:ascii="Arial Narrow" w:hAnsi="Arial Narrow"/>
                <w:sz w:val="19"/>
                <w:szCs w:val="19"/>
                <w:vertAlign w:val="superscript"/>
              </w:rPr>
              <w:t>1</w:t>
            </w:r>
          </w:p>
        </w:tc>
        <w:tc>
          <w:tcPr>
            <w:tcW w:w="1287" w:type="dxa"/>
            <w:vAlign w:val="center"/>
          </w:tcPr>
          <w:p w14:paraId="570B3319" w14:textId="77777777" w:rsidR="00860FAE" w:rsidRPr="00504974" w:rsidRDefault="00860FAE" w:rsidP="00677F6D">
            <w:pPr>
              <w:keepNext/>
              <w:keepLines/>
              <w:jc w:val="center"/>
              <w:rPr>
                <w:rFonts w:ascii="Arial Narrow" w:hAnsi="Arial Narrow"/>
                <w:sz w:val="19"/>
                <w:szCs w:val="19"/>
              </w:rPr>
            </w:pPr>
            <w:r w:rsidRPr="00504974">
              <w:rPr>
                <w:rFonts w:ascii="Arial Narrow" w:hAnsi="Arial Narrow"/>
                <w:sz w:val="19"/>
                <w:szCs w:val="19"/>
              </w:rPr>
              <w:t>NA</w:t>
            </w:r>
          </w:p>
        </w:tc>
        <w:tc>
          <w:tcPr>
            <w:tcW w:w="1287" w:type="dxa"/>
            <w:vAlign w:val="center"/>
          </w:tcPr>
          <w:p w14:paraId="63B43A98" w14:textId="2F5C3D5A" w:rsidR="00860FAE" w:rsidRPr="00504974" w:rsidRDefault="00860FAE" w:rsidP="00677F6D">
            <w:pPr>
              <w:keepNext/>
              <w:keepLines/>
              <w:jc w:val="center"/>
              <w:rPr>
                <w:rFonts w:ascii="Arial Narrow" w:hAnsi="Arial Narrow"/>
                <w:sz w:val="19"/>
                <w:szCs w:val="19"/>
              </w:rPr>
            </w:pPr>
            <w:r w:rsidRPr="00504974">
              <w:rPr>
                <w:rFonts w:ascii="Arial Narrow" w:hAnsi="Arial Narrow"/>
                <w:sz w:val="19"/>
                <w:szCs w:val="19"/>
              </w:rPr>
              <w:t>$609,188</w:t>
            </w:r>
          </w:p>
        </w:tc>
        <w:tc>
          <w:tcPr>
            <w:tcW w:w="1288" w:type="dxa"/>
            <w:vAlign w:val="center"/>
          </w:tcPr>
          <w:p w14:paraId="1438C45F" w14:textId="77777777" w:rsidR="00860FAE" w:rsidRPr="00504974" w:rsidRDefault="00860FAE" w:rsidP="00677F6D">
            <w:pPr>
              <w:keepNext/>
              <w:keepLines/>
              <w:jc w:val="center"/>
              <w:rPr>
                <w:rFonts w:ascii="Arial Narrow" w:hAnsi="Arial Narrow"/>
                <w:sz w:val="19"/>
                <w:szCs w:val="19"/>
              </w:rPr>
            </w:pPr>
            <w:r w:rsidRPr="00504974">
              <w:rPr>
                <w:rFonts w:ascii="Arial Narrow" w:hAnsi="Arial Narrow"/>
                <w:color w:val="000000"/>
                <w:sz w:val="19"/>
                <w:szCs w:val="19"/>
              </w:rPr>
              <w:t>$605,149</w:t>
            </w:r>
          </w:p>
        </w:tc>
      </w:tr>
    </w:tbl>
    <w:p w14:paraId="73FA0996" w14:textId="24895155" w:rsidR="00120873" w:rsidRDefault="00120873" w:rsidP="00677F6D">
      <w:pPr>
        <w:pStyle w:val="FooterTableFigure"/>
        <w:keepNext/>
        <w:keepLines/>
        <w:rPr>
          <w:szCs w:val="18"/>
        </w:rPr>
      </w:pPr>
      <w:r w:rsidRPr="007F1017">
        <w:t xml:space="preserve">Source: </w:t>
      </w:r>
      <w:r>
        <w:t>Table 61, p142 of the submission; Study 311 CSR; Study 312 CSR; Excel workbook</w:t>
      </w:r>
      <w:r w:rsidR="00C539BF">
        <w:t>s ‘Cost minimisation model workbook’;</w:t>
      </w:r>
      <w:r>
        <w:t xml:space="preserve"> ‘Section 4 BIM’.</w:t>
      </w:r>
    </w:p>
    <w:p w14:paraId="717CADAF" w14:textId="6CD1E48E" w:rsidR="00494207" w:rsidRDefault="00120873" w:rsidP="00677F6D">
      <w:pPr>
        <w:pStyle w:val="FooterTableFigure"/>
        <w:keepNext/>
        <w:keepLines/>
        <w:spacing w:after="0"/>
      </w:pPr>
      <w:r>
        <w:t>NA = not applicable; NR = not reported</w:t>
      </w:r>
      <w:r w:rsidR="00105EC4">
        <w:t>; PI = TGA Product Information</w:t>
      </w:r>
    </w:p>
    <w:p w14:paraId="0B9450D0" w14:textId="77777777" w:rsidR="006C0C7B" w:rsidRPr="009A6D58" w:rsidRDefault="006C0C7B" w:rsidP="00677F6D">
      <w:pPr>
        <w:keepNext/>
        <w:rPr>
          <w:rFonts w:ascii="Arial Narrow" w:hAnsi="Arial Narrow" w:cs="Arial"/>
          <w:i/>
          <w:sz w:val="18"/>
          <w:szCs w:val="18"/>
          <w:lang w:eastAsia="en-AU"/>
        </w:rPr>
      </w:pPr>
      <w:r w:rsidRPr="009A6D58">
        <w:rPr>
          <w:rFonts w:ascii="Arial Narrow" w:hAnsi="Arial Narrow" w:cs="Arial"/>
          <w:i/>
          <w:sz w:val="18"/>
          <w:szCs w:val="18"/>
          <w:lang w:eastAsia="en-AU"/>
        </w:rPr>
        <w:t xml:space="preserve">The redacted values correspond to the following ranges: </w:t>
      </w:r>
    </w:p>
    <w:p w14:paraId="53ECE06D" w14:textId="79EFB79E" w:rsidR="006C0C7B" w:rsidRDefault="006C0C7B" w:rsidP="00677F6D">
      <w:pPr>
        <w:keepNext/>
        <w:rPr>
          <w:rFonts w:ascii="Arial Narrow" w:hAnsi="Arial Narrow" w:cs="Arial"/>
          <w:i/>
          <w:sz w:val="18"/>
          <w:szCs w:val="18"/>
          <w:lang w:eastAsia="en-AU"/>
        </w:rPr>
      </w:pPr>
      <w:r w:rsidRPr="009A6D58">
        <w:rPr>
          <w:rFonts w:ascii="Arial Narrow" w:hAnsi="Arial Narrow" w:cs="Arial"/>
          <w:i/>
          <w:sz w:val="18"/>
          <w:szCs w:val="18"/>
          <w:vertAlign w:val="superscript"/>
          <w:lang w:eastAsia="en-AU"/>
        </w:rPr>
        <w:t>1</w:t>
      </w:r>
      <w:r>
        <w:rPr>
          <w:rFonts w:ascii="Arial Narrow" w:hAnsi="Arial Narrow" w:cs="Arial"/>
          <w:i/>
          <w:sz w:val="18"/>
          <w:szCs w:val="18"/>
          <w:lang w:eastAsia="en-AU"/>
        </w:rPr>
        <w:t xml:space="preserve"> </w:t>
      </w:r>
      <w:r w:rsidR="00C1183C" w:rsidRPr="00C1183C">
        <w:rPr>
          <w:rFonts w:ascii="Arial Narrow" w:hAnsi="Arial Narrow" w:cs="Arial"/>
          <w:i/>
          <w:sz w:val="18"/>
          <w:szCs w:val="18"/>
          <w:lang w:eastAsia="en-AU"/>
        </w:rPr>
        <w:t>$0 to &lt; $10 million</w:t>
      </w:r>
    </w:p>
    <w:p w14:paraId="7C643423" w14:textId="1CF9DF99" w:rsidR="00845C12" w:rsidRPr="009A6D58" w:rsidRDefault="00845C12" w:rsidP="006C0C7B">
      <w:pPr>
        <w:rPr>
          <w:rFonts w:ascii="Arial Narrow" w:hAnsi="Arial Narrow" w:cs="Arial"/>
          <w:i/>
          <w:sz w:val="18"/>
          <w:szCs w:val="18"/>
          <w:lang w:eastAsia="en-AU"/>
        </w:rPr>
      </w:pPr>
      <w:r w:rsidRPr="009A6D58">
        <w:rPr>
          <w:rFonts w:ascii="Arial Narrow" w:hAnsi="Arial Narrow" w:cs="Arial"/>
          <w:i/>
          <w:sz w:val="18"/>
          <w:szCs w:val="18"/>
          <w:vertAlign w:val="superscript"/>
          <w:lang w:eastAsia="en-AU"/>
        </w:rPr>
        <w:t>2</w:t>
      </w:r>
      <w:r>
        <w:rPr>
          <w:rFonts w:ascii="Arial Narrow" w:hAnsi="Arial Narrow" w:cs="Arial"/>
          <w:i/>
          <w:sz w:val="18"/>
          <w:szCs w:val="18"/>
          <w:lang w:eastAsia="en-AU"/>
        </w:rPr>
        <w:t xml:space="preserve"> </w:t>
      </w:r>
      <w:r w:rsidRPr="00C1183C">
        <w:rPr>
          <w:rFonts w:ascii="Arial Narrow" w:hAnsi="Arial Narrow" w:cs="Arial"/>
          <w:i/>
          <w:sz w:val="18"/>
          <w:szCs w:val="18"/>
          <w:lang w:eastAsia="en-AU"/>
        </w:rPr>
        <w:t>&lt; 500</w:t>
      </w:r>
    </w:p>
    <w:p w14:paraId="3DBFE151" w14:textId="46F9A368" w:rsidR="00494207" w:rsidRPr="00D64D6F" w:rsidRDefault="00120873" w:rsidP="00B306AF">
      <w:pPr>
        <w:pStyle w:val="3-BodyText"/>
        <w:rPr>
          <w:snapToGrid/>
          <w:lang w:val="en-US"/>
        </w:rPr>
      </w:pPr>
      <w:bookmarkStart w:id="59" w:name="_Hlk107307804"/>
      <w:r w:rsidRPr="00D64D6F">
        <w:rPr>
          <w:snapToGrid/>
          <w:lang w:val="en-US"/>
        </w:rPr>
        <w:lastRenderedPageBreak/>
        <w:t>The cost per patient per year is less for ravulizumab (</w:t>
      </w:r>
      <w:r w:rsidR="004D6C82" w:rsidRPr="00D64D6F">
        <w:rPr>
          <w:snapToGrid/>
          <w:lang w:val="en-US"/>
        </w:rPr>
        <w:fldChar w:fldCharType="begin" w:fldLock="1"/>
      </w:r>
      <w:r w:rsidR="004D6C82" w:rsidRPr="00D64D6F">
        <w:rPr>
          <w:snapToGrid/>
          <w:lang w:val="en-US"/>
        </w:rPr>
        <w:instrText xml:space="preserve"> REF _Ref122787111 \h  \* MERGEFORMAT </w:instrText>
      </w:r>
      <w:r w:rsidR="004D6C82" w:rsidRPr="00D64D6F">
        <w:rPr>
          <w:snapToGrid/>
          <w:lang w:val="en-US"/>
        </w:rPr>
      </w:r>
      <w:r w:rsidR="004D6C82" w:rsidRPr="00D64D6F">
        <w:rPr>
          <w:snapToGrid/>
          <w:lang w:val="en-US"/>
        </w:rPr>
        <w:fldChar w:fldCharType="separate"/>
      </w:r>
      <w:r w:rsidR="00916EDA">
        <w:t xml:space="preserve">Table </w:t>
      </w:r>
      <w:r w:rsidR="00916EDA">
        <w:rPr>
          <w:noProof/>
        </w:rPr>
        <w:t>12</w:t>
      </w:r>
      <w:r w:rsidR="004D6C82" w:rsidRPr="00D64D6F">
        <w:rPr>
          <w:snapToGrid/>
          <w:lang w:val="en-US"/>
        </w:rPr>
        <w:fldChar w:fldCharType="end"/>
      </w:r>
      <w:r w:rsidRPr="00D64D6F">
        <w:rPr>
          <w:snapToGrid/>
          <w:lang w:val="en-US"/>
        </w:rPr>
        <w:t xml:space="preserve">) due to the sponsor’s provision of the </w:t>
      </w:r>
      <w:r w:rsidR="00C47128" w:rsidRPr="00C47128">
        <w:rPr>
          <w:snapToGrid/>
          <w:color w:val="000000"/>
          <w:w w:val="21"/>
          <w:shd w:val="solid" w:color="000000" w:fill="000000"/>
          <w:fitText w:val="72" w:id="-1236585727"/>
          <w:lang w:val="en-US"/>
          <w14:textFill>
            <w14:solidFill>
              <w14:srgbClr w14:val="000000">
                <w14:alpha w14:val="100000"/>
              </w14:srgbClr>
            </w14:solidFill>
          </w14:textFill>
        </w:rPr>
        <w:t xml:space="preserve">|  </w:t>
      </w:r>
      <w:r w:rsidR="00C47128" w:rsidRPr="00C47128">
        <w:rPr>
          <w:snapToGrid/>
          <w:color w:val="000000"/>
          <w:spacing w:val="2"/>
          <w:w w:val="21"/>
          <w:shd w:val="solid" w:color="000000" w:fill="000000"/>
          <w:fitText w:val="72" w:id="-1236585727"/>
          <w:lang w:val="en-US"/>
          <w14:textFill>
            <w14:solidFill>
              <w14:srgbClr w14:val="000000">
                <w14:alpha w14:val="100000"/>
              </w14:srgbClr>
            </w14:solidFill>
          </w14:textFill>
        </w:rPr>
        <w:t>|</w:t>
      </w:r>
      <w:r w:rsidR="00F35FAB" w:rsidRPr="00D64D6F">
        <w:rPr>
          <w:snapToGrid/>
          <w:lang w:val="en-US"/>
        </w:rPr>
        <w:t>,</w:t>
      </w:r>
      <w:r w:rsidR="00F35FAB" w:rsidRPr="00D64D6F">
        <w:t xml:space="preserve"> which reduces the resulting </w:t>
      </w:r>
      <w:r w:rsidR="00FB1719" w:rsidRPr="00D64D6F">
        <w:t xml:space="preserve">price </w:t>
      </w:r>
      <w:r w:rsidR="00F35FAB" w:rsidRPr="00D64D6F">
        <w:t xml:space="preserve">per vial of ravulizumab by </w:t>
      </w:r>
      <w:r w:rsidR="00C47128" w:rsidRPr="00C47128">
        <w:rPr>
          <w:color w:val="000000"/>
          <w:w w:val="24"/>
          <w:shd w:val="solid" w:color="000000" w:fill="000000"/>
          <w:fitText w:val="80" w:id="-1236585726"/>
          <w14:textFill>
            <w14:solidFill>
              <w14:srgbClr w14:val="000000">
                <w14:alpha w14:val="100000"/>
              </w14:srgbClr>
            </w14:solidFill>
          </w14:textFill>
        </w:rPr>
        <w:t xml:space="preserve">|  </w:t>
      </w:r>
      <w:r w:rsidR="00C47128" w:rsidRPr="00C47128">
        <w:rPr>
          <w:color w:val="000000"/>
          <w:spacing w:val="1"/>
          <w:w w:val="24"/>
          <w:shd w:val="solid" w:color="000000" w:fill="000000"/>
          <w:fitText w:val="80" w:id="-1236585726"/>
          <w14:textFill>
            <w14:solidFill>
              <w14:srgbClr w14:val="000000">
                <w14:alpha w14:val="100000"/>
              </w14:srgbClr>
            </w14:solidFill>
          </w14:textFill>
        </w:rPr>
        <w:t>|</w:t>
      </w:r>
      <w:r w:rsidR="00F35FAB" w:rsidRPr="00D64D6F">
        <w:t>%</w:t>
      </w:r>
      <w:r w:rsidRPr="00D64D6F">
        <w:rPr>
          <w:snapToGrid/>
          <w:lang w:val="en-US"/>
        </w:rPr>
        <w:t>.</w:t>
      </w:r>
    </w:p>
    <w:p w14:paraId="5863E188" w14:textId="7BCCD387" w:rsidR="00DC31C2" w:rsidRPr="00D64D6F" w:rsidRDefault="00DC31C2" w:rsidP="00B306AF">
      <w:pPr>
        <w:pStyle w:val="3-BodyText"/>
        <w:rPr>
          <w:snapToGrid/>
          <w:lang w:val="en-US"/>
        </w:rPr>
      </w:pPr>
      <w:r w:rsidRPr="00DC31C2">
        <w:rPr>
          <w:snapToGrid/>
          <w:lang w:val="en-US"/>
        </w:rPr>
        <w:t>Ravulizumab is available as a 300 mg vial and an 1,100 mg vial. The submission indicated that</w:t>
      </w:r>
      <w:r>
        <w:rPr>
          <w:snapToGrid/>
          <w:lang w:val="en-US"/>
        </w:rPr>
        <w:t xml:space="preserve"> as the recommended doses of ravulizumab are multiples of 300 mg, the required dose can be made up using the </w:t>
      </w:r>
      <w:proofErr w:type="gramStart"/>
      <w:r w:rsidR="00105EC4">
        <w:rPr>
          <w:snapToGrid/>
          <w:lang w:val="en-US"/>
        </w:rPr>
        <w:t>2</w:t>
      </w:r>
      <w:proofErr w:type="gramEnd"/>
      <w:r w:rsidR="00105EC4">
        <w:rPr>
          <w:snapToGrid/>
          <w:lang w:val="en-US"/>
        </w:rPr>
        <w:t xml:space="preserve"> </w:t>
      </w:r>
      <w:r>
        <w:rPr>
          <w:snapToGrid/>
          <w:lang w:val="en-US"/>
        </w:rPr>
        <w:t xml:space="preserve">vial sizes without any wastage. </w:t>
      </w:r>
      <w:r w:rsidRPr="00D64D6F">
        <w:rPr>
          <w:snapToGrid/>
          <w:lang w:val="en-US"/>
        </w:rPr>
        <w:t xml:space="preserve">This was </w:t>
      </w:r>
      <w:proofErr w:type="gramStart"/>
      <w:r w:rsidRPr="00D64D6F">
        <w:rPr>
          <w:snapToGrid/>
          <w:lang w:val="en-US"/>
        </w:rPr>
        <w:t>reasonable, if</w:t>
      </w:r>
      <w:proofErr w:type="gramEnd"/>
      <w:r w:rsidRPr="00D64D6F">
        <w:rPr>
          <w:snapToGrid/>
          <w:lang w:val="en-US"/>
        </w:rPr>
        <w:t xml:space="preserve"> the PI-recommended doses are applied in practice.</w:t>
      </w:r>
    </w:p>
    <w:p w14:paraId="268768EF" w14:textId="4300DFF3" w:rsidR="00B60939" w:rsidRPr="003A48D2" w:rsidRDefault="00B60939" w:rsidP="003A48D2">
      <w:pPr>
        <w:pStyle w:val="4-SubsectionHeading"/>
      </w:pPr>
      <w:bookmarkStart w:id="60" w:name="_Toc22897647"/>
      <w:bookmarkStart w:id="61" w:name="_Toc124929668"/>
      <w:bookmarkEnd w:id="59"/>
      <w:r w:rsidRPr="003A48D2">
        <w:t xml:space="preserve">Estimated PBS usage &amp; financial </w:t>
      </w:r>
      <w:proofErr w:type="gramStart"/>
      <w:r w:rsidRPr="003A48D2">
        <w:t>implications</w:t>
      </w:r>
      <w:bookmarkEnd w:id="60"/>
      <w:bookmarkEnd w:id="61"/>
      <w:proofErr w:type="gramEnd"/>
    </w:p>
    <w:p w14:paraId="04B31D2D" w14:textId="5042E723" w:rsidR="0072416F" w:rsidRPr="0059715F" w:rsidRDefault="00C25D9C" w:rsidP="00B306AF">
      <w:pPr>
        <w:pStyle w:val="3-BodyText"/>
      </w:pPr>
      <w:r w:rsidRPr="0059715F">
        <w:t xml:space="preserve">This submission </w:t>
      </w:r>
      <w:r w:rsidR="00D64D6F" w:rsidRPr="0059715F">
        <w:t>w</w:t>
      </w:r>
      <w:r w:rsidR="00D64D6F">
        <w:t xml:space="preserve">as </w:t>
      </w:r>
      <w:r w:rsidRPr="0059715F">
        <w:t>not considered by DUSC.</w:t>
      </w:r>
      <w:r w:rsidR="00BC591F" w:rsidRPr="0059715F">
        <w:t xml:space="preserve"> </w:t>
      </w:r>
      <w:r w:rsidR="0059715F" w:rsidRPr="0059715F">
        <w:t xml:space="preserve">The key inputs for the budget impact estimation are shown in </w:t>
      </w:r>
      <w:r w:rsidR="004D6C82">
        <w:fldChar w:fldCharType="begin" w:fldLock="1"/>
      </w:r>
      <w:r w:rsidR="004D6C82">
        <w:instrText xml:space="preserve"> REF _Ref104805262 \h </w:instrText>
      </w:r>
      <w:r w:rsidR="004D6C82">
        <w:fldChar w:fldCharType="separate"/>
      </w:r>
      <w:r w:rsidR="00916EDA">
        <w:t xml:space="preserve">Table </w:t>
      </w:r>
      <w:r w:rsidR="00916EDA">
        <w:rPr>
          <w:noProof/>
        </w:rPr>
        <w:t>13</w:t>
      </w:r>
      <w:r w:rsidR="004D6C82">
        <w:fldChar w:fldCharType="end"/>
      </w:r>
      <w:r w:rsidR="0059715F" w:rsidRPr="0059715F">
        <w:t>.</w:t>
      </w:r>
    </w:p>
    <w:p w14:paraId="12091815" w14:textId="67E9D4AD" w:rsidR="007C49A3" w:rsidRPr="00C177E2" w:rsidRDefault="00E16AD8" w:rsidP="00677F6D">
      <w:pPr>
        <w:pStyle w:val="Caption"/>
        <w:rPr>
          <w:szCs w:val="24"/>
        </w:rPr>
      </w:pPr>
      <w:bookmarkStart w:id="62" w:name="_Ref104805262"/>
      <w:r>
        <w:lastRenderedPageBreak/>
        <w:t xml:space="preserve">Table </w:t>
      </w:r>
      <w:r>
        <w:fldChar w:fldCharType="begin" w:fldLock="1"/>
      </w:r>
      <w:r>
        <w:instrText>SEQ Table \* ARABIC</w:instrText>
      </w:r>
      <w:r>
        <w:fldChar w:fldCharType="separate"/>
      </w:r>
      <w:r w:rsidR="00916EDA">
        <w:rPr>
          <w:noProof/>
        </w:rPr>
        <w:t>13</w:t>
      </w:r>
      <w:r>
        <w:fldChar w:fldCharType="end"/>
      </w:r>
      <w:bookmarkEnd w:id="62"/>
      <w:r w:rsidRPr="009C1168">
        <w:t>:</w:t>
      </w:r>
      <w:r w:rsidR="00E42F73" w:rsidRPr="009C1168">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16"/>
        <w:gridCol w:w="724"/>
        <w:gridCol w:w="716"/>
        <w:gridCol w:w="8"/>
        <w:gridCol w:w="398"/>
        <w:gridCol w:w="182"/>
        <w:gridCol w:w="24"/>
        <w:gridCol w:w="121"/>
        <w:gridCol w:w="290"/>
        <w:gridCol w:w="434"/>
        <w:gridCol w:w="170"/>
        <w:gridCol w:w="419"/>
        <w:gridCol w:w="135"/>
        <w:gridCol w:w="725"/>
        <w:gridCol w:w="2855"/>
      </w:tblGrid>
      <w:tr w:rsidR="00811136" w:rsidRPr="00DC4A06" w14:paraId="1FFBFBC8" w14:textId="77777777" w:rsidTr="00884BEB">
        <w:trPr>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2E5B52" w14:textId="77777777" w:rsidR="00811136" w:rsidRPr="00DC4A06" w:rsidRDefault="00811136" w:rsidP="00677F6D">
            <w:pPr>
              <w:pStyle w:val="TableText0"/>
              <w:rPr>
                <w:b/>
                <w:bCs w:val="0"/>
              </w:rPr>
            </w:pPr>
            <w:r w:rsidRPr="00DC4A06">
              <w:rPr>
                <w:b/>
                <w:bCs w:val="0"/>
              </w:rPr>
              <w:t>Parameter</w:t>
            </w:r>
          </w:p>
        </w:tc>
        <w:tc>
          <w:tcPr>
            <w:tcW w:w="4346"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27226A5" w14:textId="77777777" w:rsidR="00811136" w:rsidRPr="00DC4A06" w:rsidRDefault="00811136" w:rsidP="00677F6D">
            <w:pPr>
              <w:pStyle w:val="TableText0"/>
              <w:jc w:val="center"/>
              <w:rPr>
                <w:b/>
                <w:bCs w:val="0"/>
              </w:rPr>
            </w:pPr>
            <w:r w:rsidRPr="00DC4A06">
              <w:rPr>
                <w:b/>
                <w:bCs w:val="0"/>
              </w:rPr>
              <w:t>Input</w:t>
            </w:r>
          </w:p>
        </w:tc>
        <w:tc>
          <w:tcPr>
            <w:tcW w:w="2855" w:type="dxa"/>
            <w:tcBorders>
              <w:top w:val="single" w:sz="4" w:space="0" w:color="auto"/>
              <w:left w:val="single" w:sz="4" w:space="0" w:color="auto"/>
              <w:bottom w:val="single" w:sz="4" w:space="0" w:color="auto"/>
              <w:right w:val="single" w:sz="4" w:space="0" w:color="auto"/>
            </w:tcBorders>
            <w:shd w:val="clear" w:color="auto" w:fill="auto"/>
            <w:hideMark/>
          </w:tcPr>
          <w:p w14:paraId="404130DA" w14:textId="77777777" w:rsidR="00811136" w:rsidRPr="00DC4A06" w:rsidRDefault="00811136" w:rsidP="00677F6D">
            <w:pPr>
              <w:pStyle w:val="TableText0"/>
              <w:jc w:val="center"/>
              <w:rPr>
                <w:b/>
                <w:bCs w:val="0"/>
              </w:rPr>
            </w:pPr>
            <w:r w:rsidRPr="00DC4A06">
              <w:rPr>
                <w:b/>
                <w:bCs w:val="0"/>
              </w:rPr>
              <w:t>Source/notes</w:t>
            </w:r>
          </w:p>
        </w:tc>
      </w:tr>
      <w:tr w:rsidR="00811136" w:rsidRPr="002E74DF" w14:paraId="3A07D01A" w14:textId="77777777" w:rsidTr="00884BEB">
        <w:trPr>
          <w:tblHeader/>
        </w:trPr>
        <w:tc>
          <w:tcPr>
            <w:tcW w:w="0" w:type="auto"/>
            <w:gridSpan w:val="15"/>
            <w:tcBorders>
              <w:top w:val="single" w:sz="4" w:space="0" w:color="auto"/>
              <w:left w:val="single" w:sz="4" w:space="0" w:color="auto"/>
              <w:bottom w:val="single" w:sz="4" w:space="0" w:color="auto"/>
              <w:right w:val="single" w:sz="4" w:space="0" w:color="auto"/>
            </w:tcBorders>
            <w:shd w:val="clear" w:color="auto" w:fill="auto"/>
          </w:tcPr>
          <w:p w14:paraId="20F6E04E" w14:textId="77777777" w:rsidR="00811136" w:rsidRPr="002E74DF" w:rsidRDefault="00811136" w:rsidP="00677F6D">
            <w:pPr>
              <w:pStyle w:val="TableText0"/>
              <w:rPr>
                <w:b/>
                <w:bCs w:val="0"/>
              </w:rPr>
            </w:pPr>
            <w:r w:rsidRPr="002E74DF">
              <w:rPr>
                <w:b/>
                <w:bCs w:val="0"/>
              </w:rPr>
              <w:t xml:space="preserve">Overall treatment market size and ravulizumab uptake </w:t>
            </w:r>
          </w:p>
        </w:tc>
      </w:tr>
      <w:tr w:rsidR="00811136" w:rsidRPr="003E3466" w14:paraId="417DD407" w14:textId="77777777" w:rsidTr="00884BEB">
        <w:trPr>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C73F06" w14:textId="77777777" w:rsidR="00811136" w:rsidRPr="003E3466" w:rsidRDefault="00811136" w:rsidP="00677F6D">
            <w:pPr>
              <w:pStyle w:val="TableText0"/>
            </w:pPr>
            <w:r>
              <w:t xml:space="preserve">Use of eculizumab/ravulizumab </w:t>
            </w:r>
          </w:p>
        </w:tc>
        <w:tc>
          <w:tcPr>
            <w:tcW w:w="4346" w:type="dxa"/>
            <w:gridSpan w:val="13"/>
            <w:tcBorders>
              <w:top w:val="single" w:sz="4" w:space="0" w:color="auto"/>
              <w:left w:val="single" w:sz="4" w:space="0" w:color="auto"/>
              <w:bottom w:val="single" w:sz="4" w:space="0" w:color="auto"/>
              <w:right w:val="single" w:sz="4" w:space="0" w:color="auto"/>
            </w:tcBorders>
            <w:shd w:val="clear" w:color="auto" w:fill="auto"/>
          </w:tcPr>
          <w:p w14:paraId="6EC9B141" w14:textId="77777777" w:rsidR="00811136" w:rsidRPr="003E3466" w:rsidRDefault="00811136" w:rsidP="00677F6D">
            <w:pPr>
              <w:pStyle w:val="TableText0"/>
            </w:pPr>
            <w:r w:rsidRPr="003E3466">
              <w:t>100% of eculizumab PBS eligible population</w:t>
            </w:r>
          </w:p>
        </w:tc>
        <w:tc>
          <w:tcPr>
            <w:tcW w:w="2855" w:type="dxa"/>
            <w:tcBorders>
              <w:top w:val="single" w:sz="4" w:space="0" w:color="auto"/>
              <w:left w:val="single" w:sz="4" w:space="0" w:color="auto"/>
              <w:bottom w:val="single" w:sz="4" w:space="0" w:color="auto"/>
              <w:right w:val="single" w:sz="4" w:space="0" w:color="auto"/>
            </w:tcBorders>
            <w:shd w:val="clear" w:color="auto" w:fill="auto"/>
          </w:tcPr>
          <w:p w14:paraId="4AA1EFEA" w14:textId="77777777" w:rsidR="00811136" w:rsidRPr="003E3466" w:rsidRDefault="00811136" w:rsidP="00677F6D">
            <w:pPr>
              <w:pStyle w:val="TableText0"/>
            </w:pPr>
            <w:r w:rsidRPr="003E3466">
              <w:t>As per current treatment rates</w:t>
            </w:r>
          </w:p>
        </w:tc>
      </w:tr>
      <w:tr w:rsidR="00811136" w:rsidRPr="00625404" w14:paraId="58F7A114" w14:textId="77777777" w:rsidTr="00884BEB">
        <w:trPr>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33BD93A" w14:textId="77777777" w:rsidR="00811136" w:rsidRPr="003E3466" w:rsidRDefault="00811136" w:rsidP="00677F6D">
            <w:pPr>
              <w:pStyle w:val="TableText0"/>
            </w:pPr>
            <w:r>
              <w:t xml:space="preserve">Uptake - incident patients </w:t>
            </w:r>
          </w:p>
        </w:tc>
        <w:tc>
          <w:tcPr>
            <w:tcW w:w="4346" w:type="dxa"/>
            <w:gridSpan w:val="13"/>
            <w:tcBorders>
              <w:top w:val="single" w:sz="4" w:space="0" w:color="auto"/>
              <w:left w:val="single" w:sz="4" w:space="0" w:color="auto"/>
              <w:bottom w:val="single" w:sz="4" w:space="0" w:color="auto"/>
              <w:right w:val="single" w:sz="4" w:space="0" w:color="auto"/>
            </w:tcBorders>
            <w:shd w:val="clear" w:color="auto" w:fill="auto"/>
          </w:tcPr>
          <w:p w14:paraId="7A0940E3" w14:textId="77777777" w:rsidR="00811136" w:rsidRPr="003E3466" w:rsidRDefault="00811136" w:rsidP="00677F6D">
            <w:pPr>
              <w:pStyle w:val="TableText0"/>
            </w:pPr>
            <w:r>
              <w:t xml:space="preserve">60% </w:t>
            </w:r>
          </w:p>
        </w:tc>
        <w:tc>
          <w:tcPr>
            <w:tcW w:w="2855" w:type="dxa"/>
            <w:vMerge w:val="restart"/>
            <w:tcBorders>
              <w:top w:val="single" w:sz="4" w:space="0" w:color="auto"/>
              <w:left w:val="single" w:sz="4" w:space="0" w:color="auto"/>
              <w:right w:val="single" w:sz="4" w:space="0" w:color="auto"/>
            </w:tcBorders>
            <w:shd w:val="clear" w:color="auto" w:fill="auto"/>
          </w:tcPr>
          <w:p w14:paraId="500B34DB" w14:textId="483A3813" w:rsidR="00811136" w:rsidRPr="00625404" w:rsidRDefault="00811136" w:rsidP="00677F6D">
            <w:pPr>
              <w:pStyle w:val="TableText0"/>
            </w:pPr>
            <w:r w:rsidRPr="00B70642">
              <w:t xml:space="preserve">Ravulizumab Advisory Board meeting minutes </w:t>
            </w:r>
          </w:p>
        </w:tc>
      </w:tr>
      <w:tr w:rsidR="00811136" w:rsidRPr="00625404" w14:paraId="1D47410C" w14:textId="77777777" w:rsidTr="00C44D13">
        <w:trPr>
          <w:tblHeader/>
        </w:trPr>
        <w:tc>
          <w:tcPr>
            <w:tcW w:w="0" w:type="auto"/>
            <w:vMerge w:val="restart"/>
            <w:tcBorders>
              <w:top w:val="single" w:sz="4" w:space="0" w:color="auto"/>
              <w:left w:val="single" w:sz="4" w:space="0" w:color="auto"/>
              <w:right w:val="single" w:sz="4" w:space="0" w:color="auto"/>
            </w:tcBorders>
            <w:shd w:val="clear" w:color="auto" w:fill="auto"/>
          </w:tcPr>
          <w:p w14:paraId="2EEB6F35" w14:textId="77777777" w:rsidR="00811136" w:rsidRDefault="00811136" w:rsidP="00677F6D">
            <w:pPr>
              <w:pStyle w:val="TableText0"/>
            </w:pPr>
            <w:r>
              <w:t xml:space="preserve">Uptake - prevalent patients switching </w:t>
            </w:r>
          </w:p>
        </w:tc>
        <w:tc>
          <w:tcPr>
            <w:tcW w:w="724" w:type="dxa"/>
            <w:tcBorders>
              <w:top w:val="single" w:sz="4" w:space="0" w:color="auto"/>
              <w:left w:val="single" w:sz="4" w:space="0" w:color="auto"/>
              <w:bottom w:val="single" w:sz="4" w:space="0" w:color="auto"/>
              <w:right w:val="single" w:sz="4" w:space="0" w:color="auto"/>
            </w:tcBorders>
            <w:shd w:val="clear" w:color="auto" w:fill="auto"/>
          </w:tcPr>
          <w:p w14:paraId="19161029" w14:textId="77777777" w:rsidR="00811136" w:rsidRDefault="00811136" w:rsidP="00677F6D">
            <w:pPr>
              <w:pStyle w:val="TableText0"/>
              <w:jc w:val="center"/>
            </w:pPr>
            <w:r>
              <w:t>Year 1</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14:paraId="7E76A871" w14:textId="77777777" w:rsidR="00811136" w:rsidRDefault="00811136" w:rsidP="00677F6D">
            <w:pPr>
              <w:pStyle w:val="TableText0"/>
              <w:jc w:val="center"/>
            </w:pPr>
            <w:r>
              <w:t>Year 2</w:t>
            </w:r>
          </w:p>
        </w:tc>
        <w:tc>
          <w:tcPr>
            <w:tcW w:w="725" w:type="dxa"/>
            <w:gridSpan w:val="4"/>
            <w:tcBorders>
              <w:top w:val="single" w:sz="4" w:space="0" w:color="auto"/>
              <w:left w:val="single" w:sz="4" w:space="0" w:color="auto"/>
              <w:bottom w:val="single" w:sz="4" w:space="0" w:color="auto"/>
              <w:right w:val="single" w:sz="4" w:space="0" w:color="auto"/>
            </w:tcBorders>
            <w:shd w:val="clear" w:color="auto" w:fill="auto"/>
          </w:tcPr>
          <w:p w14:paraId="2928F60E" w14:textId="77777777" w:rsidR="00811136" w:rsidRDefault="00811136" w:rsidP="00677F6D">
            <w:pPr>
              <w:pStyle w:val="TableText0"/>
              <w:jc w:val="center"/>
            </w:pPr>
            <w:r>
              <w:t>Year 3</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14:paraId="23744C6E" w14:textId="77777777" w:rsidR="00811136" w:rsidRDefault="00811136" w:rsidP="00677F6D">
            <w:pPr>
              <w:pStyle w:val="TableText0"/>
              <w:jc w:val="center"/>
            </w:pPr>
            <w:r>
              <w:t>Year 4</w:t>
            </w:r>
          </w:p>
        </w:tc>
        <w:tc>
          <w:tcPr>
            <w:tcW w:w="724" w:type="dxa"/>
            <w:gridSpan w:val="3"/>
            <w:tcBorders>
              <w:top w:val="single" w:sz="4" w:space="0" w:color="auto"/>
              <w:left w:val="single" w:sz="4" w:space="0" w:color="auto"/>
              <w:bottom w:val="single" w:sz="4" w:space="0" w:color="auto"/>
              <w:right w:val="single" w:sz="4" w:space="0" w:color="auto"/>
            </w:tcBorders>
            <w:shd w:val="clear" w:color="auto" w:fill="auto"/>
          </w:tcPr>
          <w:p w14:paraId="3FA4ED88" w14:textId="77777777" w:rsidR="00811136" w:rsidRDefault="00811136" w:rsidP="00677F6D">
            <w:pPr>
              <w:pStyle w:val="TableText0"/>
              <w:jc w:val="center"/>
            </w:pPr>
            <w:r>
              <w:t>Year 5</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35393E84" w14:textId="77777777" w:rsidR="00811136" w:rsidRDefault="00811136" w:rsidP="00677F6D">
            <w:pPr>
              <w:pStyle w:val="TableText0"/>
              <w:jc w:val="center"/>
            </w:pPr>
            <w:r>
              <w:t>Year 6</w:t>
            </w:r>
          </w:p>
        </w:tc>
        <w:tc>
          <w:tcPr>
            <w:tcW w:w="2855" w:type="dxa"/>
            <w:vMerge/>
            <w:tcBorders>
              <w:left w:val="single" w:sz="4" w:space="0" w:color="auto"/>
              <w:right w:val="single" w:sz="4" w:space="0" w:color="auto"/>
            </w:tcBorders>
            <w:shd w:val="clear" w:color="auto" w:fill="auto"/>
          </w:tcPr>
          <w:p w14:paraId="70202C0F" w14:textId="77777777" w:rsidR="00811136" w:rsidRPr="00625404" w:rsidRDefault="00811136" w:rsidP="00677F6D">
            <w:pPr>
              <w:pStyle w:val="TableText0"/>
            </w:pPr>
          </w:p>
        </w:tc>
      </w:tr>
      <w:tr w:rsidR="00811136" w:rsidRPr="00625404" w14:paraId="0F26F367" w14:textId="77777777" w:rsidTr="00C44D13">
        <w:trPr>
          <w:tblHeader/>
        </w:trPr>
        <w:tc>
          <w:tcPr>
            <w:tcW w:w="0" w:type="auto"/>
            <w:vMerge/>
            <w:tcBorders>
              <w:left w:val="single" w:sz="4" w:space="0" w:color="auto"/>
              <w:bottom w:val="single" w:sz="4" w:space="0" w:color="auto"/>
              <w:right w:val="single" w:sz="4" w:space="0" w:color="auto"/>
            </w:tcBorders>
            <w:shd w:val="clear" w:color="auto" w:fill="auto"/>
          </w:tcPr>
          <w:p w14:paraId="51973E1A" w14:textId="77777777" w:rsidR="00811136" w:rsidRDefault="00811136" w:rsidP="00677F6D">
            <w:pPr>
              <w:pStyle w:val="TableText0"/>
            </w:pPr>
          </w:p>
        </w:tc>
        <w:tc>
          <w:tcPr>
            <w:tcW w:w="724" w:type="dxa"/>
            <w:tcBorders>
              <w:top w:val="single" w:sz="4" w:space="0" w:color="auto"/>
              <w:left w:val="single" w:sz="4" w:space="0" w:color="auto"/>
              <w:bottom w:val="single" w:sz="4" w:space="0" w:color="auto"/>
              <w:right w:val="single" w:sz="4" w:space="0" w:color="auto"/>
            </w:tcBorders>
            <w:shd w:val="clear" w:color="auto" w:fill="auto"/>
          </w:tcPr>
          <w:p w14:paraId="323655FF" w14:textId="77777777" w:rsidR="00811136" w:rsidRDefault="00811136" w:rsidP="00677F6D">
            <w:pPr>
              <w:pStyle w:val="TableText0"/>
              <w:jc w:val="center"/>
            </w:pPr>
            <w:r>
              <w:t>70%</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14:paraId="698DD659" w14:textId="77777777" w:rsidR="00811136" w:rsidRDefault="00811136" w:rsidP="00677F6D">
            <w:pPr>
              <w:pStyle w:val="TableText0"/>
              <w:jc w:val="center"/>
            </w:pPr>
            <w:r>
              <w:t>70%</w:t>
            </w:r>
          </w:p>
        </w:tc>
        <w:tc>
          <w:tcPr>
            <w:tcW w:w="725" w:type="dxa"/>
            <w:gridSpan w:val="4"/>
            <w:tcBorders>
              <w:top w:val="single" w:sz="4" w:space="0" w:color="auto"/>
              <w:left w:val="single" w:sz="4" w:space="0" w:color="auto"/>
              <w:bottom w:val="single" w:sz="4" w:space="0" w:color="auto"/>
              <w:right w:val="single" w:sz="4" w:space="0" w:color="auto"/>
            </w:tcBorders>
            <w:shd w:val="clear" w:color="auto" w:fill="auto"/>
          </w:tcPr>
          <w:p w14:paraId="016515D0" w14:textId="77777777" w:rsidR="00811136" w:rsidRDefault="00811136" w:rsidP="00677F6D">
            <w:pPr>
              <w:pStyle w:val="TableText0"/>
              <w:jc w:val="center"/>
            </w:pPr>
            <w:r>
              <w:t>80%</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14:paraId="1E027B3F" w14:textId="77777777" w:rsidR="00811136" w:rsidRDefault="00811136" w:rsidP="00677F6D">
            <w:pPr>
              <w:pStyle w:val="TableText0"/>
              <w:jc w:val="center"/>
            </w:pPr>
            <w:r>
              <w:t>90%</w:t>
            </w:r>
          </w:p>
        </w:tc>
        <w:tc>
          <w:tcPr>
            <w:tcW w:w="724" w:type="dxa"/>
            <w:gridSpan w:val="3"/>
            <w:tcBorders>
              <w:top w:val="single" w:sz="4" w:space="0" w:color="auto"/>
              <w:left w:val="single" w:sz="4" w:space="0" w:color="auto"/>
              <w:bottom w:val="single" w:sz="4" w:space="0" w:color="auto"/>
              <w:right w:val="single" w:sz="4" w:space="0" w:color="auto"/>
            </w:tcBorders>
            <w:shd w:val="clear" w:color="auto" w:fill="auto"/>
          </w:tcPr>
          <w:p w14:paraId="603ED995" w14:textId="77777777" w:rsidR="00811136" w:rsidRDefault="00811136" w:rsidP="00677F6D">
            <w:pPr>
              <w:pStyle w:val="TableText0"/>
              <w:jc w:val="center"/>
            </w:pPr>
            <w:r>
              <w:t>90%</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662E0939" w14:textId="77777777" w:rsidR="00811136" w:rsidRDefault="00811136" w:rsidP="00677F6D">
            <w:pPr>
              <w:pStyle w:val="TableText0"/>
              <w:jc w:val="center"/>
            </w:pPr>
            <w:r>
              <w:t>90%</w:t>
            </w:r>
          </w:p>
        </w:tc>
        <w:tc>
          <w:tcPr>
            <w:tcW w:w="2855" w:type="dxa"/>
            <w:vMerge/>
            <w:tcBorders>
              <w:left w:val="single" w:sz="4" w:space="0" w:color="auto"/>
              <w:bottom w:val="single" w:sz="4" w:space="0" w:color="auto"/>
              <w:right w:val="single" w:sz="4" w:space="0" w:color="auto"/>
            </w:tcBorders>
            <w:shd w:val="clear" w:color="auto" w:fill="auto"/>
          </w:tcPr>
          <w:p w14:paraId="0F24BB02" w14:textId="77777777" w:rsidR="00811136" w:rsidRPr="00625404" w:rsidRDefault="00811136" w:rsidP="00677F6D">
            <w:pPr>
              <w:pStyle w:val="TableText0"/>
            </w:pPr>
          </w:p>
        </w:tc>
      </w:tr>
      <w:tr w:rsidR="00811136" w:rsidRPr="00851470" w14:paraId="1532EA95" w14:textId="77777777" w:rsidTr="00884BEB">
        <w:trPr>
          <w:tblHeader/>
        </w:trPr>
        <w:tc>
          <w:tcPr>
            <w:tcW w:w="0" w:type="auto"/>
            <w:gridSpan w:val="15"/>
            <w:tcBorders>
              <w:top w:val="single" w:sz="4" w:space="0" w:color="auto"/>
              <w:left w:val="single" w:sz="4" w:space="0" w:color="auto"/>
              <w:bottom w:val="single" w:sz="4" w:space="0" w:color="auto"/>
              <w:right w:val="single" w:sz="4" w:space="0" w:color="auto"/>
            </w:tcBorders>
            <w:shd w:val="clear" w:color="auto" w:fill="auto"/>
          </w:tcPr>
          <w:p w14:paraId="64546851" w14:textId="54CE6D2D" w:rsidR="00811136" w:rsidRPr="00851470" w:rsidRDefault="00811136" w:rsidP="00677F6D">
            <w:pPr>
              <w:pStyle w:val="TableText0"/>
              <w:rPr>
                <w:b/>
                <w:bCs w:val="0"/>
              </w:rPr>
            </w:pPr>
            <w:r w:rsidRPr="00851470">
              <w:rPr>
                <w:b/>
                <w:bCs w:val="0"/>
              </w:rPr>
              <w:t xml:space="preserve">Drug data (adult dosing assumed to </w:t>
            </w:r>
            <w:r w:rsidR="00C460AF">
              <w:rPr>
                <w:b/>
                <w:bCs w:val="0"/>
              </w:rPr>
              <w:t xml:space="preserve">apply to </w:t>
            </w:r>
            <w:r w:rsidRPr="00851470">
              <w:rPr>
                <w:b/>
                <w:bCs w:val="0"/>
              </w:rPr>
              <w:t>all</w:t>
            </w:r>
            <w:r w:rsidR="00C460AF">
              <w:rPr>
                <w:b/>
                <w:bCs w:val="0"/>
              </w:rPr>
              <w:t xml:space="preserve"> patients</w:t>
            </w:r>
            <w:r w:rsidRPr="00851470">
              <w:rPr>
                <w:b/>
                <w:bCs w:val="0"/>
              </w:rPr>
              <w:t>)</w:t>
            </w:r>
          </w:p>
        </w:tc>
      </w:tr>
      <w:tr w:rsidR="00811136" w:rsidRPr="00D659AF" w14:paraId="754E2CBC" w14:textId="77777777" w:rsidTr="00884BEB">
        <w:trPr>
          <w:tblHeader/>
        </w:trPr>
        <w:tc>
          <w:tcPr>
            <w:tcW w:w="0" w:type="auto"/>
            <w:vMerge w:val="restart"/>
            <w:tcBorders>
              <w:top w:val="single" w:sz="4" w:space="0" w:color="auto"/>
              <w:left w:val="single" w:sz="4" w:space="0" w:color="auto"/>
              <w:right w:val="single" w:sz="4" w:space="0" w:color="auto"/>
            </w:tcBorders>
            <w:shd w:val="clear" w:color="auto" w:fill="auto"/>
            <w:vAlign w:val="center"/>
          </w:tcPr>
          <w:p w14:paraId="5D5E12F8" w14:textId="77777777" w:rsidR="00811136" w:rsidRPr="00D659AF" w:rsidRDefault="00811136" w:rsidP="00677F6D">
            <w:pPr>
              <w:pStyle w:val="TableText0"/>
            </w:pPr>
            <w:r w:rsidRPr="00C1183C">
              <w:rPr>
                <w:vertAlign w:val="superscript"/>
              </w:rPr>
              <w:t>Ravulizumab</w:t>
            </w:r>
            <w:r w:rsidRPr="00D659AF">
              <w:t xml:space="preserve"> dosage</w:t>
            </w:r>
          </w:p>
        </w:tc>
        <w:tc>
          <w:tcPr>
            <w:tcW w:w="1846" w:type="dxa"/>
            <w:gridSpan w:val="4"/>
            <w:tcBorders>
              <w:top w:val="single" w:sz="4" w:space="0" w:color="auto"/>
              <w:left w:val="single" w:sz="4" w:space="0" w:color="auto"/>
              <w:bottom w:val="single" w:sz="4" w:space="0" w:color="auto"/>
              <w:right w:val="single" w:sz="4" w:space="0" w:color="auto"/>
            </w:tcBorders>
            <w:shd w:val="clear" w:color="auto" w:fill="auto"/>
          </w:tcPr>
          <w:p w14:paraId="7D0AA0D0" w14:textId="77777777" w:rsidR="00811136" w:rsidRPr="00D659AF" w:rsidRDefault="00811136" w:rsidP="00677F6D">
            <w:pPr>
              <w:pStyle w:val="TableText0"/>
            </w:pPr>
          </w:p>
        </w:tc>
        <w:tc>
          <w:tcPr>
            <w:tcW w:w="1221" w:type="dxa"/>
            <w:gridSpan w:val="6"/>
            <w:tcBorders>
              <w:top w:val="single" w:sz="4" w:space="0" w:color="auto"/>
              <w:left w:val="single" w:sz="4" w:space="0" w:color="auto"/>
              <w:bottom w:val="single" w:sz="4" w:space="0" w:color="auto"/>
              <w:right w:val="single" w:sz="4" w:space="0" w:color="auto"/>
            </w:tcBorders>
            <w:shd w:val="clear" w:color="auto" w:fill="auto"/>
          </w:tcPr>
          <w:p w14:paraId="1BC83AE9" w14:textId="77777777" w:rsidR="00811136" w:rsidRPr="00D659AF" w:rsidRDefault="00811136" w:rsidP="00677F6D">
            <w:pPr>
              <w:pStyle w:val="TableText0"/>
              <w:jc w:val="center"/>
            </w:pPr>
            <w:r w:rsidRPr="00BA3705">
              <w:rPr>
                <w:b/>
                <w:bCs w:val="0"/>
              </w:rPr>
              <w:t>Loading</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tcPr>
          <w:p w14:paraId="6B88AD1F" w14:textId="77777777" w:rsidR="00811136" w:rsidRPr="00D659AF" w:rsidRDefault="00811136" w:rsidP="00677F6D">
            <w:pPr>
              <w:pStyle w:val="TableText0"/>
              <w:jc w:val="center"/>
            </w:pPr>
            <w:r w:rsidRPr="00BA3705">
              <w:rPr>
                <w:b/>
                <w:bCs w:val="0"/>
              </w:rPr>
              <w:t>Maintenance</w:t>
            </w:r>
          </w:p>
        </w:tc>
        <w:tc>
          <w:tcPr>
            <w:tcW w:w="2855" w:type="dxa"/>
            <w:vMerge w:val="restart"/>
            <w:tcBorders>
              <w:top w:val="single" w:sz="4" w:space="0" w:color="auto"/>
              <w:left w:val="single" w:sz="4" w:space="0" w:color="auto"/>
              <w:right w:val="single" w:sz="4" w:space="0" w:color="auto"/>
            </w:tcBorders>
            <w:shd w:val="clear" w:color="auto" w:fill="auto"/>
            <w:vAlign w:val="center"/>
          </w:tcPr>
          <w:p w14:paraId="75666C1B" w14:textId="77777777" w:rsidR="00811136" w:rsidRPr="00D659AF" w:rsidRDefault="00811136" w:rsidP="00677F6D">
            <w:pPr>
              <w:pStyle w:val="TableText0"/>
            </w:pPr>
            <w:r>
              <w:t xml:space="preserve">Ravulizumab </w:t>
            </w:r>
            <w:r w:rsidRPr="00D659AF">
              <w:t>PI</w:t>
            </w:r>
          </w:p>
        </w:tc>
      </w:tr>
      <w:tr w:rsidR="00811136" w14:paraId="560F6297" w14:textId="77777777" w:rsidTr="00884BEB">
        <w:trPr>
          <w:tblHeader/>
        </w:trPr>
        <w:tc>
          <w:tcPr>
            <w:tcW w:w="0" w:type="auto"/>
            <w:vMerge/>
            <w:tcBorders>
              <w:left w:val="single" w:sz="4" w:space="0" w:color="auto"/>
              <w:right w:val="single" w:sz="4" w:space="0" w:color="auto"/>
            </w:tcBorders>
            <w:shd w:val="clear" w:color="auto" w:fill="auto"/>
            <w:vAlign w:val="center"/>
          </w:tcPr>
          <w:p w14:paraId="53171BE9" w14:textId="77777777" w:rsidR="00811136" w:rsidRPr="00D659AF" w:rsidRDefault="00811136" w:rsidP="00677F6D">
            <w:pPr>
              <w:pStyle w:val="TableText0"/>
            </w:pPr>
          </w:p>
        </w:tc>
        <w:tc>
          <w:tcPr>
            <w:tcW w:w="1846" w:type="dxa"/>
            <w:gridSpan w:val="4"/>
            <w:tcBorders>
              <w:top w:val="single" w:sz="4" w:space="0" w:color="auto"/>
              <w:left w:val="single" w:sz="4" w:space="0" w:color="auto"/>
              <w:bottom w:val="single" w:sz="4" w:space="0" w:color="auto"/>
              <w:right w:val="single" w:sz="4" w:space="0" w:color="auto"/>
            </w:tcBorders>
            <w:shd w:val="clear" w:color="auto" w:fill="auto"/>
          </w:tcPr>
          <w:p w14:paraId="38969DF9" w14:textId="2BA6DA38" w:rsidR="00811136" w:rsidRPr="00D659AF" w:rsidRDefault="00811136" w:rsidP="00677F6D">
            <w:pPr>
              <w:pStyle w:val="TableText0"/>
            </w:pPr>
            <w:r w:rsidRPr="009822F8">
              <w:t>≥40</w:t>
            </w:r>
            <w:r w:rsidR="00C460AF">
              <w:t xml:space="preserve"> </w:t>
            </w:r>
            <w:r w:rsidRPr="009822F8">
              <w:t>kg to &lt;60</w:t>
            </w:r>
            <w:r w:rsidR="00C460AF">
              <w:t xml:space="preserve"> </w:t>
            </w:r>
            <w:r w:rsidRPr="009822F8">
              <w:t>kg</w:t>
            </w:r>
            <w:r>
              <w:t>:</w:t>
            </w:r>
          </w:p>
        </w:tc>
        <w:tc>
          <w:tcPr>
            <w:tcW w:w="1221" w:type="dxa"/>
            <w:gridSpan w:val="6"/>
            <w:tcBorders>
              <w:top w:val="single" w:sz="4" w:space="0" w:color="auto"/>
              <w:left w:val="single" w:sz="4" w:space="0" w:color="auto"/>
              <w:bottom w:val="single" w:sz="4" w:space="0" w:color="auto"/>
              <w:right w:val="single" w:sz="4" w:space="0" w:color="auto"/>
            </w:tcBorders>
            <w:shd w:val="clear" w:color="auto" w:fill="auto"/>
          </w:tcPr>
          <w:p w14:paraId="05373B9E" w14:textId="77777777" w:rsidR="00811136" w:rsidRPr="00D659AF" w:rsidRDefault="00811136" w:rsidP="00677F6D">
            <w:pPr>
              <w:pStyle w:val="TableText0"/>
              <w:jc w:val="center"/>
            </w:pPr>
            <w:r>
              <w:t>2,400 mg</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tcPr>
          <w:p w14:paraId="32F6CDED" w14:textId="77777777" w:rsidR="00811136" w:rsidRPr="00D659AF" w:rsidRDefault="00811136" w:rsidP="00677F6D">
            <w:pPr>
              <w:pStyle w:val="TableText0"/>
              <w:jc w:val="center"/>
            </w:pPr>
            <w:r>
              <w:t>3,000 mg</w:t>
            </w:r>
          </w:p>
        </w:tc>
        <w:tc>
          <w:tcPr>
            <w:tcW w:w="2855" w:type="dxa"/>
            <w:vMerge/>
            <w:tcBorders>
              <w:left w:val="single" w:sz="4" w:space="0" w:color="auto"/>
              <w:right w:val="single" w:sz="4" w:space="0" w:color="auto"/>
            </w:tcBorders>
            <w:shd w:val="clear" w:color="auto" w:fill="auto"/>
            <w:vAlign w:val="center"/>
          </w:tcPr>
          <w:p w14:paraId="4146D969" w14:textId="77777777" w:rsidR="00811136" w:rsidRDefault="00811136" w:rsidP="00677F6D">
            <w:pPr>
              <w:pStyle w:val="TableText0"/>
            </w:pPr>
          </w:p>
        </w:tc>
      </w:tr>
      <w:tr w:rsidR="00811136" w14:paraId="2619298F" w14:textId="77777777" w:rsidTr="00884BEB">
        <w:trPr>
          <w:tblHeader/>
        </w:trPr>
        <w:tc>
          <w:tcPr>
            <w:tcW w:w="0" w:type="auto"/>
            <w:vMerge/>
            <w:tcBorders>
              <w:left w:val="single" w:sz="4" w:space="0" w:color="auto"/>
              <w:right w:val="single" w:sz="4" w:space="0" w:color="auto"/>
            </w:tcBorders>
            <w:shd w:val="clear" w:color="auto" w:fill="auto"/>
            <w:vAlign w:val="center"/>
          </w:tcPr>
          <w:p w14:paraId="274625B4" w14:textId="77777777" w:rsidR="00811136" w:rsidRPr="00D659AF" w:rsidRDefault="00811136" w:rsidP="00677F6D">
            <w:pPr>
              <w:pStyle w:val="TableText0"/>
            </w:pPr>
          </w:p>
        </w:tc>
        <w:tc>
          <w:tcPr>
            <w:tcW w:w="1846" w:type="dxa"/>
            <w:gridSpan w:val="4"/>
            <w:tcBorders>
              <w:top w:val="single" w:sz="4" w:space="0" w:color="auto"/>
              <w:left w:val="single" w:sz="4" w:space="0" w:color="auto"/>
              <w:bottom w:val="single" w:sz="4" w:space="0" w:color="auto"/>
              <w:right w:val="single" w:sz="4" w:space="0" w:color="auto"/>
            </w:tcBorders>
            <w:shd w:val="clear" w:color="auto" w:fill="auto"/>
          </w:tcPr>
          <w:p w14:paraId="492144FB" w14:textId="6F087459" w:rsidR="00811136" w:rsidRPr="00D659AF" w:rsidRDefault="00811136" w:rsidP="00677F6D">
            <w:pPr>
              <w:pStyle w:val="TableText0"/>
            </w:pPr>
            <w:r w:rsidRPr="009822F8">
              <w:t>≥60</w:t>
            </w:r>
            <w:r w:rsidR="00C460AF">
              <w:t xml:space="preserve"> </w:t>
            </w:r>
            <w:r w:rsidRPr="009822F8">
              <w:t>kg to &lt;100</w:t>
            </w:r>
            <w:r w:rsidR="00C460AF">
              <w:t xml:space="preserve"> </w:t>
            </w:r>
            <w:r w:rsidRPr="009822F8">
              <w:t>kg</w:t>
            </w:r>
            <w:r>
              <w:t>:</w:t>
            </w:r>
          </w:p>
        </w:tc>
        <w:tc>
          <w:tcPr>
            <w:tcW w:w="1221" w:type="dxa"/>
            <w:gridSpan w:val="6"/>
            <w:tcBorders>
              <w:top w:val="single" w:sz="4" w:space="0" w:color="auto"/>
              <w:left w:val="single" w:sz="4" w:space="0" w:color="auto"/>
              <w:bottom w:val="single" w:sz="4" w:space="0" w:color="auto"/>
              <w:right w:val="single" w:sz="4" w:space="0" w:color="auto"/>
            </w:tcBorders>
            <w:shd w:val="clear" w:color="auto" w:fill="auto"/>
          </w:tcPr>
          <w:p w14:paraId="1C601BD1" w14:textId="77777777" w:rsidR="00811136" w:rsidRPr="00D659AF" w:rsidRDefault="00811136" w:rsidP="00677F6D">
            <w:pPr>
              <w:pStyle w:val="TableText0"/>
              <w:jc w:val="center"/>
            </w:pPr>
            <w:r>
              <w:t>2,700 mg</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tcPr>
          <w:p w14:paraId="2E17D11B" w14:textId="77777777" w:rsidR="00811136" w:rsidRPr="00D659AF" w:rsidRDefault="00811136" w:rsidP="00677F6D">
            <w:pPr>
              <w:pStyle w:val="TableText0"/>
              <w:jc w:val="center"/>
            </w:pPr>
            <w:r>
              <w:t>3,300 mg</w:t>
            </w:r>
          </w:p>
        </w:tc>
        <w:tc>
          <w:tcPr>
            <w:tcW w:w="2855" w:type="dxa"/>
            <w:vMerge/>
            <w:tcBorders>
              <w:left w:val="single" w:sz="4" w:space="0" w:color="auto"/>
              <w:right w:val="single" w:sz="4" w:space="0" w:color="auto"/>
            </w:tcBorders>
            <w:shd w:val="clear" w:color="auto" w:fill="auto"/>
            <w:vAlign w:val="center"/>
          </w:tcPr>
          <w:p w14:paraId="62BDCAC7" w14:textId="77777777" w:rsidR="00811136" w:rsidRDefault="00811136" w:rsidP="00677F6D">
            <w:pPr>
              <w:pStyle w:val="TableText0"/>
            </w:pPr>
          </w:p>
        </w:tc>
      </w:tr>
      <w:tr w:rsidR="00811136" w14:paraId="2715C219" w14:textId="77777777" w:rsidTr="00884BEB">
        <w:trPr>
          <w:tblHeader/>
        </w:trPr>
        <w:tc>
          <w:tcPr>
            <w:tcW w:w="0" w:type="auto"/>
            <w:vMerge/>
            <w:tcBorders>
              <w:left w:val="single" w:sz="4" w:space="0" w:color="auto"/>
              <w:right w:val="single" w:sz="4" w:space="0" w:color="auto"/>
            </w:tcBorders>
            <w:shd w:val="clear" w:color="auto" w:fill="auto"/>
            <w:vAlign w:val="center"/>
          </w:tcPr>
          <w:p w14:paraId="2E5C10B1" w14:textId="77777777" w:rsidR="00811136" w:rsidRPr="00D659AF" w:rsidRDefault="00811136" w:rsidP="00677F6D">
            <w:pPr>
              <w:pStyle w:val="TableText0"/>
            </w:pPr>
          </w:p>
        </w:tc>
        <w:tc>
          <w:tcPr>
            <w:tcW w:w="1846" w:type="dxa"/>
            <w:gridSpan w:val="4"/>
            <w:tcBorders>
              <w:top w:val="single" w:sz="4" w:space="0" w:color="auto"/>
              <w:left w:val="single" w:sz="4" w:space="0" w:color="auto"/>
              <w:bottom w:val="single" w:sz="4" w:space="0" w:color="auto"/>
              <w:right w:val="single" w:sz="4" w:space="0" w:color="auto"/>
            </w:tcBorders>
            <w:shd w:val="clear" w:color="auto" w:fill="auto"/>
          </w:tcPr>
          <w:p w14:paraId="1CF9238E" w14:textId="32647271" w:rsidR="00811136" w:rsidRPr="00D659AF" w:rsidRDefault="00811136" w:rsidP="00677F6D">
            <w:pPr>
              <w:pStyle w:val="TableText0"/>
            </w:pPr>
            <w:r w:rsidRPr="009822F8">
              <w:t>≥100</w:t>
            </w:r>
            <w:r w:rsidR="00C460AF">
              <w:t xml:space="preserve"> </w:t>
            </w:r>
            <w:r w:rsidRPr="009822F8">
              <w:t>kg</w:t>
            </w:r>
            <w:r>
              <w:t>:</w:t>
            </w:r>
          </w:p>
        </w:tc>
        <w:tc>
          <w:tcPr>
            <w:tcW w:w="1221" w:type="dxa"/>
            <w:gridSpan w:val="6"/>
            <w:tcBorders>
              <w:top w:val="single" w:sz="4" w:space="0" w:color="auto"/>
              <w:left w:val="single" w:sz="4" w:space="0" w:color="auto"/>
              <w:bottom w:val="single" w:sz="4" w:space="0" w:color="auto"/>
              <w:right w:val="single" w:sz="4" w:space="0" w:color="auto"/>
            </w:tcBorders>
            <w:shd w:val="clear" w:color="auto" w:fill="auto"/>
          </w:tcPr>
          <w:p w14:paraId="1CD5BC7B" w14:textId="77777777" w:rsidR="00811136" w:rsidRPr="00D659AF" w:rsidRDefault="00811136" w:rsidP="00677F6D">
            <w:pPr>
              <w:pStyle w:val="TableText0"/>
              <w:jc w:val="center"/>
            </w:pPr>
            <w:r>
              <w:t>3,000 mg</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tcPr>
          <w:p w14:paraId="4EAC6F82" w14:textId="77777777" w:rsidR="00811136" w:rsidRPr="00D659AF" w:rsidRDefault="00811136" w:rsidP="00677F6D">
            <w:pPr>
              <w:pStyle w:val="TableText0"/>
              <w:jc w:val="center"/>
            </w:pPr>
            <w:r>
              <w:t>3,600 mg</w:t>
            </w:r>
          </w:p>
        </w:tc>
        <w:tc>
          <w:tcPr>
            <w:tcW w:w="2855" w:type="dxa"/>
            <w:vMerge/>
            <w:tcBorders>
              <w:left w:val="single" w:sz="4" w:space="0" w:color="auto"/>
              <w:right w:val="single" w:sz="4" w:space="0" w:color="auto"/>
            </w:tcBorders>
            <w:shd w:val="clear" w:color="auto" w:fill="auto"/>
            <w:vAlign w:val="center"/>
          </w:tcPr>
          <w:p w14:paraId="483EAA3D" w14:textId="77777777" w:rsidR="00811136" w:rsidRDefault="00811136" w:rsidP="00677F6D">
            <w:pPr>
              <w:pStyle w:val="TableText0"/>
            </w:pPr>
          </w:p>
        </w:tc>
      </w:tr>
      <w:tr w:rsidR="00811136" w:rsidRPr="00D659AF" w14:paraId="70AE0662" w14:textId="77777777" w:rsidTr="00884BEB">
        <w:trPr>
          <w:tblHeader/>
        </w:trPr>
        <w:tc>
          <w:tcPr>
            <w:tcW w:w="0" w:type="auto"/>
            <w:tcBorders>
              <w:top w:val="single" w:sz="4" w:space="0" w:color="auto"/>
              <w:left w:val="single" w:sz="4" w:space="0" w:color="auto"/>
              <w:right w:val="single" w:sz="4" w:space="0" w:color="auto"/>
            </w:tcBorders>
            <w:shd w:val="clear" w:color="auto" w:fill="auto"/>
            <w:vAlign w:val="center"/>
          </w:tcPr>
          <w:p w14:paraId="08C40E0E" w14:textId="77777777" w:rsidR="00811136" w:rsidRPr="00D659AF" w:rsidRDefault="00811136" w:rsidP="00677F6D">
            <w:pPr>
              <w:pStyle w:val="TableText0"/>
            </w:pPr>
            <w:r w:rsidRPr="00D659AF">
              <w:t>Eculizumab dosage</w:t>
            </w:r>
          </w:p>
        </w:tc>
        <w:tc>
          <w:tcPr>
            <w:tcW w:w="4346" w:type="dxa"/>
            <w:gridSpan w:val="13"/>
            <w:tcBorders>
              <w:top w:val="single" w:sz="4" w:space="0" w:color="auto"/>
              <w:left w:val="single" w:sz="4" w:space="0" w:color="auto"/>
              <w:bottom w:val="single" w:sz="4" w:space="0" w:color="auto"/>
              <w:right w:val="single" w:sz="4" w:space="0" w:color="auto"/>
            </w:tcBorders>
            <w:shd w:val="clear" w:color="auto" w:fill="auto"/>
          </w:tcPr>
          <w:p w14:paraId="645BE1CF" w14:textId="2D6F4114" w:rsidR="00811136" w:rsidRPr="00D659AF" w:rsidRDefault="00811136" w:rsidP="00677F6D">
            <w:pPr>
              <w:pStyle w:val="TableText0"/>
            </w:pPr>
            <w:r w:rsidRPr="00D659AF">
              <w:t>Initial</w:t>
            </w:r>
            <w:r>
              <w:t xml:space="preserve">: </w:t>
            </w:r>
            <w:r w:rsidRPr="00D659AF">
              <w:t>(Weeks 1</w:t>
            </w:r>
            <w:r>
              <w:t xml:space="preserve"> </w:t>
            </w:r>
            <w:r w:rsidR="00C460AF">
              <w:t xml:space="preserve">to </w:t>
            </w:r>
            <w:r w:rsidRPr="00D659AF">
              <w:t xml:space="preserve">4) </w:t>
            </w:r>
            <w:r w:rsidR="00C44D13">
              <w:t>–</w:t>
            </w:r>
            <w:r w:rsidRPr="00D659AF">
              <w:t xml:space="preserve"> 900</w:t>
            </w:r>
            <w:r>
              <w:t xml:space="preserve"> </w:t>
            </w:r>
            <w:r w:rsidRPr="00D659AF">
              <w:t>mg weekly</w:t>
            </w:r>
          </w:p>
          <w:p w14:paraId="33F2C147" w14:textId="20206253" w:rsidR="00811136" w:rsidRPr="00D659AF" w:rsidRDefault="00811136" w:rsidP="00677F6D">
            <w:pPr>
              <w:pStyle w:val="TableText0"/>
            </w:pPr>
            <w:r w:rsidRPr="00D659AF">
              <w:t>Maintenance</w:t>
            </w:r>
            <w:r>
              <w:t xml:space="preserve">: </w:t>
            </w:r>
            <w:r w:rsidRPr="00D659AF">
              <w:t xml:space="preserve">(onwards) </w:t>
            </w:r>
            <w:r w:rsidR="00C44D13">
              <w:t>–</w:t>
            </w:r>
            <w:r w:rsidRPr="00D659AF">
              <w:t xml:space="preserve"> 1</w:t>
            </w:r>
            <w:r w:rsidR="00C460AF">
              <w:t>,</w:t>
            </w:r>
            <w:r w:rsidRPr="00D659AF">
              <w:t>200 mg in first week after initial phase, then 1</w:t>
            </w:r>
            <w:r w:rsidR="00C460AF">
              <w:t>,</w:t>
            </w:r>
            <w:r w:rsidRPr="00D659AF">
              <w:t>200</w:t>
            </w:r>
            <w:r>
              <w:t xml:space="preserve"> </w:t>
            </w:r>
            <w:r w:rsidRPr="00D659AF">
              <w:t>mg fortnightly</w:t>
            </w:r>
          </w:p>
        </w:tc>
        <w:tc>
          <w:tcPr>
            <w:tcW w:w="2855" w:type="dxa"/>
            <w:tcBorders>
              <w:top w:val="single" w:sz="4" w:space="0" w:color="auto"/>
              <w:left w:val="single" w:sz="4" w:space="0" w:color="auto"/>
              <w:right w:val="single" w:sz="4" w:space="0" w:color="auto"/>
            </w:tcBorders>
            <w:shd w:val="clear" w:color="auto" w:fill="auto"/>
            <w:vAlign w:val="center"/>
          </w:tcPr>
          <w:p w14:paraId="02ED9D09" w14:textId="77777777" w:rsidR="00811136" w:rsidRPr="00D659AF" w:rsidRDefault="00811136" w:rsidP="00677F6D">
            <w:pPr>
              <w:pStyle w:val="TableText0"/>
            </w:pPr>
            <w:r>
              <w:t xml:space="preserve">Eculizumab </w:t>
            </w:r>
            <w:r w:rsidRPr="00D659AF">
              <w:t>PI</w:t>
            </w:r>
          </w:p>
        </w:tc>
      </w:tr>
      <w:tr w:rsidR="00A83484" w14:paraId="5E8A924C" w14:textId="77777777" w:rsidTr="009E6648">
        <w:trPr>
          <w:tblHeader/>
        </w:trPr>
        <w:tc>
          <w:tcPr>
            <w:tcW w:w="0" w:type="auto"/>
            <w:vMerge w:val="restart"/>
            <w:tcBorders>
              <w:top w:val="single" w:sz="4" w:space="0" w:color="auto"/>
              <w:left w:val="single" w:sz="4" w:space="0" w:color="auto"/>
              <w:right w:val="single" w:sz="4" w:space="0" w:color="auto"/>
            </w:tcBorders>
            <w:shd w:val="clear" w:color="auto" w:fill="auto"/>
            <w:vAlign w:val="center"/>
          </w:tcPr>
          <w:p w14:paraId="5F37CC92" w14:textId="77777777" w:rsidR="00A83484" w:rsidRPr="00D659AF" w:rsidRDefault="00A83484" w:rsidP="00677F6D">
            <w:pPr>
              <w:pStyle w:val="TableText0"/>
            </w:pPr>
            <w:r>
              <w:t>Weight distribution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7AAFEE41" w14:textId="77777777" w:rsidR="00A83484" w:rsidRPr="00D659AF" w:rsidRDefault="00A83484" w:rsidP="00677F6D">
            <w:pPr>
              <w:pStyle w:val="TableText0"/>
            </w:pPr>
          </w:p>
        </w:tc>
        <w:tc>
          <w:tcPr>
            <w:tcW w:w="1023" w:type="dxa"/>
            <w:gridSpan w:val="6"/>
            <w:tcBorders>
              <w:top w:val="single" w:sz="4" w:space="0" w:color="auto"/>
              <w:left w:val="single" w:sz="4" w:space="0" w:color="auto"/>
              <w:bottom w:val="single" w:sz="4" w:space="0" w:color="auto"/>
              <w:right w:val="single" w:sz="4" w:space="0" w:color="auto"/>
            </w:tcBorders>
            <w:shd w:val="clear" w:color="auto" w:fill="auto"/>
          </w:tcPr>
          <w:p w14:paraId="38578188" w14:textId="77777777" w:rsidR="00A83484" w:rsidRPr="00B93899" w:rsidRDefault="00A83484" w:rsidP="00677F6D">
            <w:pPr>
              <w:pStyle w:val="TableText0"/>
              <w:jc w:val="center"/>
              <w:rPr>
                <w:b/>
                <w:bCs w:val="0"/>
              </w:rPr>
            </w:pPr>
            <w:r w:rsidRPr="00B93899">
              <w:rPr>
                <w:b/>
                <w:bCs w:val="0"/>
              </w:rPr>
              <w:t>Study 311</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14:paraId="4A541F0F" w14:textId="50DB46C9" w:rsidR="00A83484" w:rsidRPr="00B93899" w:rsidRDefault="00A83484" w:rsidP="00677F6D">
            <w:pPr>
              <w:pStyle w:val="TableText0"/>
              <w:jc w:val="center"/>
              <w:rPr>
                <w:b/>
                <w:bCs w:val="0"/>
              </w:rPr>
            </w:pPr>
            <w:r w:rsidRPr="00B93899">
              <w:rPr>
                <w:b/>
                <w:bCs w:val="0"/>
              </w:rPr>
              <w:t>Registry</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14:paraId="18386E93" w14:textId="6FA2CF26" w:rsidR="00A83484" w:rsidRPr="00B93899" w:rsidRDefault="00A83484" w:rsidP="00677F6D">
            <w:pPr>
              <w:pStyle w:val="TableText0"/>
              <w:jc w:val="center"/>
              <w:rPr>
                <w:b/>
                <w:bCs w:val="0"/>
              </w:rPr>
            </w:pPr>
            <w:r>
              <w:rPr>
                <w:b/>
                <w:bCs w:val="0"/>
              </w:rPr>
              <w:t>DUSC</w:t>
            </w:r>
          </w:p>
        </w:tc>
        <w:tc>
          <w:tcPr>
            <w:tcW w:w="2855" w:type="dxa"/>
            <w:vMerge w:val="restart"/>
            <w:tcBorders>
              <w:top w:val="single" w:sz="4" w:space="0" w:color="auto"/>
              <w:left w:val="single" w:sz="4" w:space="0" w:color="auto"/>
              <w:right w:val="single" w:sz="4" w:space="0" w:color="auto"/>
            </w:tcBorders>
            <w:shd w:val="clear" w:color="auto" w:fill="auto"/>
          </w:tcPr>
          <w:p w14:paraId="2F53451A" w14:textId="27AC328B" w:rsidR="00C44D13" w:rsidRDefault="00A83484" w:rsidP="00677F6D">
            <w:pPr>
              <w:pStyle w:val="TableText0"/>
            </w:pPr>
            <w:r>
              <w:t>Study 311</w:t>
            </w:r>
            <w:r w:rsidR="00C44D13">
              <w:t>.</w:t>
            </w:r>
          </w:p>
          <w:p w14:paraId="1494A9F7" w14:textId="08A2EC9A" w:rsidR="00C460AF" w:rsidRDefault="00C44D13" w:rsidP="00677F6D">
            <w:pPr>
              <w:pStyle w:val="TableText0"/>
            </w:pPr>
            <w:r>
              <w:t>P</w:t>
            </w:r>
            <w:r w:rsidR="00A83484" w:rsidRPr="00625404">
              <w:t xml:space="preserve">atient weight data from </w:t>
            </w:r>
            <w:r w:rsidR="00C460AF">
              <w:t xml:space="preserve">Australian patients in </w:t>
            </w:r>
            <w:r w:rsidR="00A83484" w:rsidRPr="00625404">
              <w:t xml:space="preserve">the </w:t>
            </w:r>
            <w:r w:rsidR="00C460AF">
              <w:t>Alexion</w:t>
            </w:r>
            <w:r w:rsidR="00C460AF" w:rsidRPr="00625404">
              <w:t xml:space="preserve"> </w:t>
            </w:r>
            <w:r w:rsidR="00A83484" w:rsidRPr="00625404">
              <w:t>aHUS Registry population</w:t>
            </w:r>
            <w:r w:rsidR="00A83484">
              <w:t xml:space="preserve">. </w:t>
            </w:r>
          </w:p>
          <w:p w14:paraId="47F6B500" w14:textId="23E4D0B1" w:rsidR="00A83484" w:rsidRDefault="00A83484" w:rsidP="00677F6D">
            <w:pPr>
              <w:pStyle w:val="TableText0"/>
            </w:pPr>
            <w:r w:rsidRPr="00D64D6F">
              <w:t xml:space="preserve">DUSC </w:t>
            </w:r>
            <w:r w:rsidR="001D12A0">
              <w:t xml:space="preserve">Secretariat </w:t>
            </w:r>
            <w:r w:rsidR="00C460AF">
              <w:t>analysis</w:t>
            </w:r>
            <w:r w:rsidR="00C460AF" w:rsidRPr="00D64D6F">
              <w:t xml:space="preserve"> </w:t>
            </w:r>
            <w:r w:rsidRPr="00D64D6F">
              <w:t>provided in November 2022.</w:t>
            </w:r>
          </w:p>
        </w:tc>
      </w:tr>
      <w:tr w:rsidR="00A83484" w14:paraId="7F12BDED" w14:textId="77777777" w:rsidTr="009E6648">
        <w:trPr>
          <w:tblHeader/>
        </w:trPr>
        <w:tc>
          <w:tcPr>
            <w:tcW w:w="0" w:type="auto"/>
            <w:vMerge/>
            <w:tcBorders>
              <w:left w:val="single" w:sz="4" w:space="0" w:color="auto"/>
              <w:right w:val="single" w:sz="4" w:space="0" w:color="auto"/>
            </w:tcBorders>
            <w:shd w:val="clear" w:color="auto" w:fill="auto"/>
          </w:tcPr>
          <w:p w14:paraId="051B4A86" w14:textId="77777777" w:rsidR="00A83484" w:rsidRPr="00D659AF" w:rsidRDefault="00A83484" w:rsidP="00677F6D">
            <w:pPr>
              <w:pStyle w:val="TableText0"/>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0306B327" w14:textId="6148D57D" w:rsidR="00A83484" w:rsidRPr="00D659AF" w:rsidRDefault="00A83484" w:rsidP="00677F6D">
            <w:pPr>
              <w:pStyle w:val="TableText0"/>
            </w:pPr>
            <w:r w:rsidRPr="00D81348">
              <w:t>≥40</w:t>
            </w:r>
            <w:r w:rsidR="00C460AF">
              <w:t xml:space="preserve"> </w:t>
            </w:r>
            <w:r w:rsidRPr="00D81348">
              <w:t>kg to &lt;60</w:t>
            </w:r>
            <w:r w:rsidR="00C460AF">
              <w:t xml:space="preserve"> </w:t>
            </w:r>
            <w:r w:rsidRPr="00D81348">
              <w:t>kg</w:t>
            </w:r>
          </w:p>
        </w:tc>
        <w:tc>
          <w:tcPr>
            <w:tcW w:w="1023" w:type="dxa"/>
            <w:gridSpan w:val="6"/>
            <w:tcBorders>
              <w:top w:val="single" w:sz="4" w:space="0" w:color="auto"/>
              <w:left w:val="single" w:sz="4" w:space="0" w:color="auto"/>
              <w:bottom w:val="single" w:sz="4" w:space="0" w:color="auto"/>
              <w:right w:val="single" w:sz="4" w:space="0" w:color="auto"/>
            </w:tcBorders>
            <w:shd w:val="clear" w:color="auto" w:fill="auto"/>
          </w:tcPr>
          <w:p w14:paraId="69A3DBE8" w14:textId="77777777" w:rsidR="00A83484" w:rsidRPr="00D659AF" w:rsidRDefault="00A83484" w:rsidP="00677F6D">
            <w:pPr>
              <w:pStyle w:val="TableText0"/>
              <w:jc w:val="center"/>
            </w:pPr>
            <w:r w:rsidRPr="00D81348">
              <w:t>19.3%</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14:paraId="331382AF" w14:textId="07377433" w:rsidR="00A83484" w:rsidRPr="00D659AF" w:rsidRDefault="00A83484" w:rsidP="00677F6D">
            <w:pPr>
              <w:pStyle w:val="TableText0"/>
              <w:jc w:val="center"/>
            </w:pPr>
            <w:r>
              <w:t>38.82</w:t>
            </w:r>
            <w:r w:rsidRPr="00D81348">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14:paraId="0E89512A" w14:textId="53F1D68C" w:rsidR="00A83484" w:rsidRPr="00A95560" w:rsidRDefault="00A83484" w:rsidP="00677F6D">
            <w:pPr>
              <w:pStyle w:val="TableText0"/>
              <w:jc w:val="center"/>
            </w:pPr>
            <w:r w:rsidRPr="00A95560">
              <w:t>23.4%</w:t>
            </w:r>
          </w:p>
        </w:tc>
        <w:tc>
          <w:tcPr>
            <w:tcW w:w="2855" w:type="dxa"/>
            <w:vMerge/>
            <w:tcBorders>
              <w:left w:val="single" w:sz="4" w:space="0" w:color="auto"/>
              <w:right w:val="single" w:sz="4" w:space="0" w:color="auto"/>
            </w:tcBorders>
            <w:shd w:val="clear" w:color="auto" w:fill="auto"/>
          </w:tcPr>
          <w:p w14:paraId="44FB7DB7" w14:textId="77777777" w:rsidR="00A83484" w:rsidRDefault="00A83484" w:rsidP="00677F6D">
            <w:pPr>
              <w:pStyle w:val="TableText0"/>
            </w:pPr>
          </w:p>
        </w:tc>
      </w:tr>
      <w:tr w:rsidR="00A83484" w14:paraId="7821FCBD" w14:textId="77777777" w:rsidTr="009E6648">
        <w:trPr>
          <w:tblHeader/>
        </w:trPr>
        <w:tc>
          <w:tcPr>
            <w:tcW w:w="0" w:type="auto"/>
            <w:vMerge/>
            <w:tcBorders>
              <w:left w:val="single" w:sz="4" w:space="0" w:color="auto"/>
              <w:right w:val="single" w:sz="4" w:space="0" w:color="auto"/>
            </w:tcBorders>
            <w:shd w:val="clear" w:color="auto" w:fill="auto"/>
          </w:tcPr>
          <w:p w14:paraId="0D0D353F" w14:textId="77777777" w:rsidR="00A83484" w:rsidRPr="00D659AF" w:rsidRDefault="00A83484" w:rsidP="00677F6D">
            <w:pPr>
              <w:pStyle w:val="TableText0"/>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4EC06703" w14:textId="3C3CB776" w:rsidR="00A83484" w:rsidRPr="00D659AF" w:rsidRDefault="00A83484" w:rsidP="00677F6D">
            <w:pPr>
              <w:pStyle w:val="TableText0"/>
            </w:pPr>
            <w:r w:rsidRPr="00D81348">
              <w:t>≥60</w:t>
            </w:r>
            <w:r w:rsidR="00C460AF">
              <w:t xml:space="preserve"> </w:t>
            </w:r>
            <w:r w:rsidRPr="00D81348">
              <w:t>kg to &lt;100</w:t>
            </w:r>
            <w:r w:rsidR="00C460AF">
              <w:t xml:space="preserve"> </w:t>
            </w:r>
            <w:r w:rsidRPr="00D81348">
              <w:t>kg</w:t>
            </w:r>
          </w:p>
        </w:tc>
        <w:tc>
          <w:tcPr>
            <w:tcW w:w="1023" w:type="dxa"/>
            <w:gridSpan w:val="6"/>
            <w:tcBorders>
              <w:top w:val="single" w:sz="4" w:space="0" w:color="auto"/>
              <w:left w:val="single" w:sz="4" w:space="0" w:color="auto"/>
              <w:bottom w:val="single" w:sz="4" w:space="0" w:color="auto"/>
              <w:right w:val="single" w:sz="4" w:space="0" w:color="auto"/>
            </w:tcBorders>
            <w:shd w:val="clear" w:color="auto" w:fill="auto"/>
          </w:tcPr>
          <w:p w14:paraId="17262C29" w14:textId="77777777" w:rsidR="00A83484" w:rsidRPr="00D659AF" w:rsidRDefault="00A83484" w:rsidP="00677F6D">
            <w:pPr>
              <w:pStyle w:val="TableText0"/>
              <w:jc w:val="center"/>
            </w:pPr>
            <w:r w:rsidRPr="00D81348">
              <w:t>71.9%</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14:paraId="463CAF9D" w14:textId="75718092" w:rsidR="00A83484" w:rsidRPr="00D659AF" w:rsidRDefault="00A83484" w:rsidP="00677F6D">
            <w:pPr>
              <w:pStyle w:val="TableText0"/>
              <w:jc w:val="center"/>
            </w:pPr>
            <w:r>
              <w:t>58.82</w:t>
            </w:r>
            <w:r w:rsidRPr="00D81348">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14:paraId="2129E57D" w14:textId="7FC08881" w:rsidR="00A83484" w:rsidRPr="00A95560" w:rsidRDefault="00A83484" w:rsidP="00677F6D">
            <w:pPr>
              <w:pStyle w:val="TableText0"/>
              <w:jc w:val="center"/>
            </w:pPr>
            <w:r w:rsidRPr="00A95560">
              <w:t>65.2%</w:t>
            </w:r>
          </w:p>
        </w:tc>
        <w:tc>
          <w:tcPr>
            <w:tcW w:w="2855" w:type="dxa"/>
            <w:vMerge/>
            <w:tcBorders>
              <w:left w:val="single" w:sz="4" w:space="0" w:color="auto"/>
              <w:right w:val="single" w:sz="4" w:space="0" w:color="auto"/>
            </w:tcBorders>
            <w:shd w:val="clear" w:color="auto" w:fill="auto"/>
          </w:tcPr>
          <w:p w14:paraId="5F55C2E0" w14:textId="77777777" w:rsidR="00A83484" w:rsidRDefault="00A83484" w:rsidP="00677F6D">
            <w:pPr>
              <w:pStyle w:val="TableText0"/>
            </w:pPr>
          </w:p>
        </w:tc>
      </w:tr>
      <w:tr w:rsidR="00A83484" w14:paraId="5265CB1E" w14:textId="77777777" w:rsidTr="009E6648">
        <w:trPr>
          <w:tblHeader/>
        </w:trPr>
        <w:tc>
          <w:tcPr>
            <w:tcW w:w="0" w:type="auto"/>
            <w:vMerge/>
            <w:tcBorders>
              <w:left w:val="single" w:sz="4" w:space="0" w:color="auto"/>
              <w:right w:val="single" w:sz="4" w:space="0" w:color="auto"/>
            </w:tcBorders>
            <w:shd w:val="clear" w:color="auto" w:fill="auto"/>
          </w:tcPr>
          <w:p w14:paraId="4AE9D80B" w14:textId="77777777" w:rsidR="00A83484" w:rsidRPr="00D659AF" w:rsidRDefault="00A83484" w:rsidP="00677F6D">
            <w:pPr>
              <w:pStyle w:val="TableText0"/>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081201BB" w14:textId="0056F300" w:rsidR="00A83484" w:rsidRPr="00D659AF" w:rsidRDefault="00A83484" w:rsidP="00677F6D">
            <w:pPr>
              <w:pStyle w:val="TableText0"/>
            </w:pPr>
            <w:r w:rsidRPr="00D81348">
              <w:t>≥100</w:t>
            </w:r>
            <w:r w:rsidR="00C460AF">
              <w:t xml:space="preserve"> </w:t>
            </w:r>
            <w:r w:rsidRPr="00D81348">
              <w:t xml:space="preserve">kg </w:t>
            </w:r>
          </w:p>
        </w:tc>
        <w:tc>
          <w:tcPr>
            <w:tcW w:w="1023" w:type="dxa"/>
            <w:gridSpan w:val="6"/>
            <w:tcBorders>
              <w:top w:val="single" w:sz="4" w:space="0" w:color="auto"/>
              <w:left w:val="single" w:sz="4" w:space="0" w:color="auto"/>
              <w:bottom w:val="single" w:sz="4" w:space="0" w:color="auto"/>
              <w:right w:val="single" w:sz="4" w:space="0" w:color="auto"/>
            </w:tcBorders>
            <w:shd w:val="clear" w:color="auto" w:fill="auto"/>
          </w:tcPr>
          <w:p w14:paraId="128AFE71" w14:textId="77777777" w:rsidR="00A83484" w:rsidRPr="00D659AF" w:rsidRDefault="00A83484" w:rsidP="00677F6D">
            <w:pPr>
              <w:pStyle w:val="TableText0"/>
              <w:jc w:val="center"/>
            </w:pPr>
            <w:r w:rsidRPr="00D81348">
              <w:t>8.8%</w:t>
            </w:r>
          </w:p>
        </w:tc>
        <w:tc>
          <w:tcPr>
            <w:tcW w:w="1023" w:type="dxa"/>
            <w:gridSpan w:val="3"/>
            <w:tcBorders>
              <w:top w:val="single" w:sz="4" w:space="0" w:color="auto"/>
              <w:left w:val="single" w:sz="4" w:space="0" w:color="auto"/>
              <w:bottom w:val="single" w:sz="4" w:space="0" w:color="auto"/>
              <w:right w:val="single" w:sz="4" w:space="0" w:color="auto"/>
            </w:tcBorders>
            <w:shd w:val="clear" w:color="auto" w:fill="auto"/>
          </w:tcPr>
          <w:p w14:paraId="35D90D58" w14:textId="1E5E5C26" w:rsidR="00A83484" w:rsidRPr="00D659AF" w:rsidRDefault="00A83484" w:rsidP="00677F6D">
            <w:pPr>
              <w:pStyle w:val="TableText0"/>
              <w:jc w:val="center"/>
            </w:pPr>
            <w:r>
              <w:t>2.35</w:t>
            </w:r>
            <w:r w:rsidRPr="00D81348">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14:paraId="62E1BB77" w14:textId="1841C04A" w:rsidR="00A83484" w:rsidRPr="00A95560" w:rsidRDefault="00A83484" w:rsidP="00677F6D">
            <w:pPr>
              <w:pStyle w:val="TableText0"/>
              <w:jc w:val="center"/>
            </w:pPr>
            <w:r w:rsidRPr="00A95560">
              <w:t>11.3%</w:t>
            </w:r>
          </w:p>
        </w:tc>
        <w:tc>
          <w:tcPr>
            <w:tcW w:w="2855" w:type="dxa"/>
            <w:vMerge/>
            <w:tcBorders>
              <w:left w:val="single" w:sz="4" w:space="0" w:color="auto"/>
              <w:right w:val="single" w:sz="4" w:space="0" w:color="auto"/>
            </w:tcBorders>
            <w:shd w:val="clear" w:color="auto" w:fill="auto"/>
          </w:tcPr>
          <w:p w14:paraId="08E19D8C" w14:textId="77777777" w:rsidR="00A83484" w:rsidRDefault="00A83484" w:rsidP="00677F6D">
            <w:pPr>
              <w:pStyle w:val="TableText0"/>
            </w:pPr>
          </w:p>
        </w:tc>
      </w:tr>
      <w:tr w:rsidR="00A83484" w:rsidRPr="00031839" w14:paraId="4FD33088" w14:textId="77777777" w:rsidTr="00884BEB">
        <w:trPr>
          <w:tblHeader/>
        </w:trPr>
        <w:tc>
          <w:tcPr>
            <w:tcW w:w="0" w:type="auto"/>
            <w:gridSpan w:val="15"/>
            <w:tcBorders>
              <w:top w:val="single" w:sz="4" w:space="0" w:color="auto"/>
              <w:left w:val="single" w:sz="4" w:space="0" w:color="auto"/>
              <w:right w:val="single" w:sz="4" w:space="0" w:color="auto"/>
            </w:tcBorders>
            <w:shd w:val="clear" w:color="auto" w:fill="auto"/>
          </w:tcPr>
          <w:p w14:paraId="262E0DC6" w14:textId="77777777" w:rsidR="00A83484" w:rsidRPr="00031839" w:rsidRDefault="00A83484" w:rsidP="00677F6D">
            <w:pPr>
              <w:pStyle w:val="TableText0"/>
              <w:rPr>
                <w:b/>
                <w:bCs w:val="0"/>
              </w:rPr>
            </w:pPr>
            <w:r w:rsidRPr="00031839">
              <w:rPr>
                <w:b/>
                <w:bCs w:val="0"/>
              </w:rPr>
              <w:t>Vials per patient per year</w:t>
            </w:r>
          </w:p>
        </w:tc>
      </w:tr>
      <w:tr w:rsidR="00A83484" w:rsidRPr="00B438A8" w14:paraId="474C7F33" w14:textId="77777777" w:rsidTr="00884BEB">
        <w:trPr>
          <w:tblHeader/>
        </w:trPr>
        <w:tc>
          <w:tcPr>
            <w:tcW w:w="0" w:type="auto"/>
            <w:tcBorders>
              <w:top w:val="single" w:sz="4" w:space="0" w:color="auto"/>
              <w:left w:val="single" w:sz="4" w:space="0" w:color="auto"/>
              <w:right w:val="single" w:sz="4" w:space="0" w:color="auto"/>
            </w:tcBorders>
            <w:shd w:val="clear" w:color="auto" w:fill="auto"/>
          </w:tcPr>
          <w:p w14:paraId="73F9B5CF" w14:textId="77777777" w:rsidR="00A83484" w:rsidRPr="00B438A8" w:rsidRDefault="00A83484" w:rsidP="00677F6D">
            <w:pPr>
              <w:pStyle w:val="TableText0"/>
            </w:pPr>
          </w:p>
        </w:tc>
        <w:tc>
          <w:tcPr>
            <w:tcW w:w="2028" w:type="dxa"/>
            <w:gridSpan w:val="5"/>
            <w:tcBorders>
              <w:top w:val="single" w:sz="4" w:space="0" w:color="auto"/>
              <w:left w:val="single" w:sz="4" w:space="0" w:color="auto"/>
              <w:right w:val="single" w:sz="4" w:space="0" w:color="auto"/>
            </w:tcBorders>
            <w:shd w:val="clear" w:color="auto" w:fill="auto"/>
          </w:tcPr>
          <w:p w14:paraId="4DC0AF53" w14:textId="77777777" w:rsidR="00A83484" w:rsidRPr="00031839" w:rsidRDefault="00A83484" w:rsidP="00677F6D">
            <w:pPr>
              <w:pStyle w:val="TableText0"/>
              <w:jc w:val="center"/>
              <w:rPr>
                <w:b/>
                <w:bCs w:val="0"/>
              </w:rPr>
            </w:pPr>
            <w:r w:rsidRPr="00031839">
              <w:rPr>
                <w:b/>
                <w:bCs w:val="0"/>
              </w:rPr>
              <w:t>Ravulizumab</w:t>
            </w:r>
          </w:p>
        </w:tc>
        <w:tc>
          <w:tcPr>
            <w:tcW w:w="2318" w:type="dxa"/>
            <w:gridSpan w:val="8"/>
            <w:tcBorders>
              <w:top w:val="single" w:sz="4" w:space="0" w:color="auto"/>
              <w:left w:val="single" w:sz="4" w:space="0" w:color="auto"/>
              <w:right w:val="single" w:sz="4" w:space="0" w:color="auto"/>
            </w:tcBorders>
            <w:shd w:val="clear" w:color="auto" w:fill="auto"/>
          </w:tcPr>
          <w:p w14:paraId="7412D6FF" w14:textId="77777777" w:rsidR="00A83484" w:rsidRPr="00031839" w:rsidRDefault="00A83484" w:rsidP="00677F6D">
            <w:pPr>
              <w:pStyle w:val="TableText0"/>
              <w:jc w:val="center"/>
              <w:rPr>
                <w:b/>
                <w:bCs w:val="0"/>
              </w:rPr>
            </w:pPr>
            <w:r w:rsidRPr="00031839">
              <w:rPr>
                <w:b/>
                <w:bCs w:val="0"/>
              </w:rPr>
              <w:t>Eculizumab</w:t>
            </w:r>
          </w:p>
        </w:tc>
        <w:tc>
          <w:tcPr>
            <w:tcW w:w="2855" w:type="dxa"/>
            <w:vMerge w:val="restart"/>
            <w:tcBorders>
              <w:left w:val="single" w:sz="4" w:space="0" w:color="auto"/>
              <w:right w:val="single" w:sz="4" w:space="0" w:color="auto"/>
            </w:tcBorders>
            <w:shd w:val="clear" w:color="auto" w:fill="auto"/>
          </w:tcPr>
          <w:p w14:paraId="11CED84B" w14:textId="1597D960" w:rsidR="00A83484" w:rsidRPr="00B438A8" w:rsidRDefault="00A83484" w:rsidP="00677F6D">
            <w:pPr>
              <w:pStyle w:val="TableText0"/>
            </w:pPr>
            <w:r>
              <w:t>Calculation for ravulizumab; eculizumab</w:t>
            </w:r>
            <w:r w:rsidRPr="00D81348">
              <w:t xml:space="preserve"> PI</w:t>
            </w:r>
            <w:r w:rsidR="008179AD">
              <w:t xml:space="preserve">. </w:t>
            </w:r>
          </w:p>
        </w:tc>
      </w:tr>
      <w:tr w:rsidR="00A83484" w:rsidRPr="00B438A8" w14:paraId="47CDC0A6" w14:textId="77777777" w:rsidTr="00884BEB">
        <w:trPr>
          <w:tblHeader/>
        </w:trPr>
        <w:tc>
          <w:tcPr>
            <w:tcW w:w="0" w:type="auto"/>
            <w:tcBorders>
              <w:top w:val="single" w:sz="4" w:space="0" w:color="auto"/>
              <w:left w:val="single" w:sz="4" w:space="0" w:color="auto"/>
              <w:right w:val="single" w:sz="4" w:space="0" w:color="auto"/>
            </w:tcBorders>
            <w:shd w:val="clear" w:color="auto" w:fill="auto"/>
            <w:vAlign w:val="center"/>
          </w:tcPr>
          <w:p w14:paraId="5CB8AC14" w14:textId="77777777" w:rsidR="00A83484" w:rsidRPr="00B438A8" w:rsidRDefault="00A83484" w:rsidP="00677F6D">
            <w:pPr>
              <w:pStyle w:val="TableText0"/>
            </w:pPr>
            <w:r w:rsidRPr="00D81348">
              <w:t>Initiating patients</w:t>
            </w:r>
          </w:p>
        </w:tc>
        <w:tc>
          <w:tcPr>
            <w:tcW w:w="2028" w:type="dxa"/>
            <w:gridSpan w:val="5"/>
            <w:tcBorders>
              <w:left w:val="single" w:sz="4" w:space="0" w:color="auto"/>
              <w:right w:val="single" w:sz="4" w:space="0" w:color="auto"/>
            </w:tcBorders>
            <w:shd w:val="clear" w:color="auto" w:fill="auto"/>
          </w:tcPr>
          <w:p w14:paraId="33AE7254" w14:textId="69F96EA9" w:rsidR="00A83484" w:rsidRPr="00D81348" w:rsidRDefault="00A83484" w:rsidP="00677F6D">
            <w:pPr>
              <w:pStyle w:val="TableText0"/>
              <w:tabs>
                <w:tab w:val="left" w:pos="1099"/>
              </w:tabs>
            </w:pPr>
            <w:r w:rsidRPr="00D81348">
              <w:t>300 mg vial</w:t>
            </w:r>
            <w:r>
              <w:t>:</w:t>
            </w:r>
            <w:r>
              <w:tab/>
            </w:r>
            <w:r w:rsidR="00C47128" w:rsidRPr="00C47128">
              <w:rPr>
                <w:color w:val="000000"/>
                <w:spacing w:val="29"/>
                <w:shd w:val="solid" w:color="000000" w:fill="000000"/>
                <w:fitText w:val="549" w:id="-1236585725"/>
                <w14:textFill>
                  <w14:solidFill>
                    <w14:srgbClr w14:val="000000">
                      <w14:alpha w14:val="100000"/>
                    </w14:srgbClr>
                  </w14:solidFill>
                </w14:textFill>
              </w:rPr>
              <w:t>|||||||</w:t>
            </w:r>
            <w:r w:rsidR="00C47128" w:rsidRPr="00C47128">
              <w:rPr>
                <w:color w:val="000000"/>
                <w:spacing w:val="6"/>
                <w:shd w:val="solid" w:color="000000" w:fill="000000"/>
                <w:fitText w:val="549" w:id="-1236585725"/>
                <w14:textFill>
                  <w14:solidFill>
                    <w14:srgbClr w14:val="000000">
                      <w14:alpha w14:val="100000"/>
                    </w14:srgbClr>
                  </w14:solidFill>
                </w14:textFill>
              </w:rPr>
              <w:t>|</w:t>
            </w:r>
            <w:r w:rsidR="00C1183C" w:rsidRPr="00C1183C">
              <w:rPr>
                <w:vertAlign w:val="superscript"/>
              </w:rPr>
              <w:t>1</w:t>
            </w:r>
          </w:p>
          <w:p w14:paraId="4664CC0B" w14:textId="052E4C03" w:rsidR="00A83484" w:rsidRPr="00B438A8" w:rsidRDefault="00A83484" w:rsidP="00677F6D">
            <w:pPr>
              <w:pStyle w:val="TableText0"/>
              <w:tabs>
                <w:tab w:val="left" w:pos="1099"/>
              </w:tabs>
            </w:pPr>
            <w:r w:rsidRPr="00D81348">
              <w:t>1,100 mg vial</w:t>
            </w:r>
            <w:r>
              <w:t>:</w:t>
            </w:r>
            <w:r>
              <w:tab/>
            </w:r>
            <w:r w:rsidR="00C47128" w:rsidRPr="00C47128">
              <w:rPr>
                <w:color w:val="000000"/>
                <w:spacing w:val="29"/>
                <w:shd w:val="solid" w:color="000000" w:fill="000000"/>
                <w:fitText w:val="549" w:id="-1236585724"/>
                <w14:textFill>
                  <w14:solidFill>
                    <w14:srgbClr w14:val="000000">
                      <w14:alpha w14:val="100000"/>
                    </w14:srgbClr>
                  </w14:solidFill>
                </w14:textFill>
              </w:rPr>
              <w:t>|||||||</w:t>
            </w:r>
            <w:r w:rsidR="00C47128" w:rsidRPr="00C47128">
              <w:rPr>
                <w:color w:val="000000"/>
                <w:spacing w:val="6"/>
                <w:shd w:val="solid" w:color="000000" w:fill="000000"/>
                <w:fitText w:val="549" w:id="-1236585724"/>
                <w14:textFill>
                  <w14:solidFill>
                    <w14:srgbClr w14:val="000000">
                      <w14:alpha w14:val="100000"/>
                    </w14:srgbClr>
                  </w14:solidFill>
                </w14:textFill>
              </w:rPr>
              <w:t>|</w:t>
            </w:r>
            <w:r w:rsidR="00C1183C" w:rsidRPr="00C1183C">
              <w:rPr>
                <w:vertAlign w:val="superscript"/>
              </w:rPr>
              <w:t>1</w:t>
            </w:r>
          </w:p>
        </w:tc>
        <w:tc>
          <w:tcPr>
            <w:tcW w:w="2318" w:type="dxa"/>
            <w:gridSpan w:val="8"/>
            <w:tcBorders>
              <w:left w:val="single" w:sz="4" w:space="0" w:color="auto"/>
              <w:right w:val="single" w:sz="4" w:space="0" w:color="auto"/>
            </w:tcBorders>
            <w:shd w:val="clear" w:color="auto" w:fill="auto"/>
            <w:vAlign w:val="center"/>
          </w:tcPr>
          <w:p w14:paraId="23F49F6F" w14:textId="77777777" w:rsidR="00A83484" w:rsidRPr="00B438A8" w:rsidRDefault="00A83484" w:rsidP="00677F6D">
            <w:pPr>
              <w:pStyle w:val="TableText0"/>
              <w:jc w:val="center"/>
            </w:pPr>
            <w:r>
              <w:t>108</w:t>
            </w:r>
          </w:p>
        </w:tc>
        <w:tc>
          <w:tcPr>
            <w:tcW w:w="2855" w:type="dxa"/>
            <w:vMerge/>
            <w:tcBorders>
              <w:left w:val="single" w:sz="4" w:space="0" w:color="auto"/>
              <w:right w:val="single" w:sz="4" w:space="0" w:color="auto"/>
            </w:tcBorders>
            <w:shd w:val="clear" w:color="auto" w:fill="auto"/>
          </w:tcPr>
          <w:p w14:paraId="7A952C34" w14:textId="77777777" w:rsidR="00A83484" w:rsidRPr="00B438A8" w:rsidRDefault="00A83484" w:rsidP="00677F6D">
            <w:pPr>
              <w:pStyle w:val="TableText0"/>
            </w:pPr>
          </w:p>
        </w:tc>
      </w:tr>
      <w:tr w:rsidR="00A83484" w:rsidRPr="00B438A8" w14:paraId="5F94AF37" w14:textId="77777777" w:rsidTr="00884BEB">
        <w:trPr>
          <w:tblHeader/>
        </w:trPr>
        <w:tc>
          <w:tcPr>
            <w:tcW w:w="0" w:type="auto"/>
            <w:tcBorders>
              <w:top w:val="single" w:sz="4" w:space="0" w:color="auto"/>
              <w:left w:val="single" w:sz="4" w:space="0" w:color="auto"/>
              <w:right w:val="single" w:sz="4" w:space="0" w:color="auto"/>
            </w:tcBorders>
            <w:shd w:val="clear" w:color="auto" w:fill="auto"/>
            <w:vAlign w:val="center"/>
          </w:tcPr>
          <w:p w14:paraId="3B648097" w14:textId="77777777" w:rsidR="00A83484" w:rsidRPr="00B438A8" w:rsidRDefault="00A83484" w:rsidP="00677F6D">
            <w:pPr>
              <w:pStyle w:val="TableText0"/>
            </w:pPr>
            <w:r w:rsidRPr="00D81348">
              <w:t>Maintenance patients</w:t>
            </w:r>
          </w:p>
        </w:tc>
        <w:tc>
          <w:tcPr>
            <w:tcW w:w="2028" w:type="dxa"/>
            <w:gridSpan w:val="5"/>
            <w:tcBorders>
              <w:left w:val="single" w:sz="4" w:space="0" w:color="auto"/>
              <w:right w:val="single" w:sz="4" w:space="0" w:color="auto"/>
            </w:tcBorders>
            <w:shd w:val="clear" w:color="auto" w:fill="auto"/>
          </w:tcPr>
          <w:p w14:paraId="19A5E3FE" w14:textId="753C8562" w:rsidR="00A83484" w:rsidRPr="00D81348" w:rsidRDefault="00A83484" w:rsidP="00677F6D">
            <w:pPr>
              <w:pStyle w:val="TableText0"/>
              <w:tabs>
                <w:tab w:val="left" w:pos="1099"/>
              </w:tabs>
            </w:pPr>
            <w:r w:rsidRPr="00D81348">
              <w:t>300 mg vial</w:t>
            </w:r>
            <w:r>
              <w:t>:</w:t>
            </w:r>
            <w:r>
              <w:tab/>
            </w:r>
            <w:r w:rsidR="00C47128" w:rsidRPr="00C47128">
              <w:rPr>
                <w:color w:val="000000"/>
                <w:spacing w:val="29"/>
                <w:shd w:val="solid" w:color="000000" w:fill="000000"/>
                <w:fitText w:val="549" w:id="-1236585723"/>
                <w14:textFill>
                  <w14:solidFill>
                    <w14:srgbClr w14:val="000000">
                      <w14:alpha w14:val="100000"/>
                    </w14:srgbClr>
                  </w14:solidFill>
                </w14:textFill>
              </w:rPr>
              <w:t>|||||||</w:t>
            </w:r>
            <w:r w:rsidR="00C47128" w:rsidRPr="00C47128">
              <w:rPr>
                <w:color w:val="000000"/>
                <w:spacing w:val="6"/>
                <w:shd w:val="solid" w:color="000000" w:fill="000000"/>
                <w:fitText w:val="549" w:id="-1236585723"/>
                <w14:textFill>
                  <w14:solidFill>
                    <w14:srgbClr w14:val="000000">
                      <w14:alpha w14:val="100000"/>
                    </w14:srgbClr>
                  </w14:solidFill>
                </w14:textFill>
              </w:rPr>
              <w:t>|</w:t>
            </w:r>
            <w:r w:rsidR="00C1183C" w:rsidRPr="00C1183C">
              <w:rPr>
                <w:vertAlign w:val="superscript"/>
              </w:rPr>
              <w:t>1</w:t>
            </w:r>
          </w:p>
          <w:p w14:paraId="0C285786" w14:textId="56F5A3B3" w:rsidR="00A83484" w:rsidRPr="00B438A8" w:rsidRDefault="00A83484" w:rsidP="00677F6D">
            <w:pPr>
              <w:pStyle w:val="TableText0"/>
              <w:tabs>
                <w:tab w:val="left" w:pos="1099"/>
              </w:tabs>
            </w:pPr>
            <w:r w:rsidRPr="00D81348">
              <w:t>1,100 mg vial</w:t>
            </w:r>
            <w:r>
              <w:t>:</w:t>
            </w:r>
            <w:r>
              <w:tab/>
            </w:r>
            <w:r w:rsidR="00C47128" w:rsidRPr="00C47128">
              <w:rPr>
                <w:color w:val="000000"/>
                <w:spacing w:val="29"/>
                <w:shd w:val="solid" w:color="000000" w:fill="000000"/>
                <w:fitText w:val="549" w:id="-1236585722"/>
                <w14:textFill>
                  <w14:solidFill>
                    <w14:srgbClr w14:val="000000">
                      <w14:alpha w14:val="100000"/>
                    </w14:srgbClr>
                  </w14:solidFill>
                </w14:textFill>
              </w:rPr>
              <w:t>|||||||</w:t>
            </w:r>
            <w:r w:rsidR="00C47128" w:rsidRPr="00C47128">
              <w:rPr>
                <w:color w:val="000000"/>
                <w:spacing w:val="6"/>
                <w:shd w:val="solid" w:color="000000" w:fill="000000"/>
                <w:fitText w:val="549" w:id="-1236585722"/>
                <w14:textFill>
                  <w14:solidFill>
                    <w14:srgbClr w14:val="000000">
                      <w14:alpha w14:val="100000"/>
                    </w14:srgbClr>
                  </w14:solidFill>
                </w14:textFill>
              </w:rPr>
              <w:t>|</w:t>
            </w:r>
            <w:r w:rsidR="00C1183C" w:rsidRPr="00C1183C">
              <w:rPr>
                <w:vertAlign w:val="superscript"/>
              </w:rPr>
              <w:t>1</w:t>
            </w:r>
          </w:p>
        </w:tc>
        <w:tc>
          <w:tcPr>
            <w:tcW w:w="2318" w:type="dxa"/>
            <w:gridSpan w:val="8"/>
            <w:tcBorders>
              <w:left w:val="single" w:sz="4" w:space="0" w:color="auto"/>
              <w:right w:val="single" w:sz="4" w:space="0" w:color="auto"/>
            </w:tcBorders>
            <w:shd w:val="clear" w:color="auto" w:fill="auto"/>
            <w:vAlign w:val="center"/>
          </w:tcPr>
          <w:p w14:paraId="02B277C4" w14:textId="77777777" w:rsidR="00A83484" w:rsidRPr="00B438A8" w:rsidRDefault="00A83484" w:rsidP="00677F6D">
            <w:pPr>
              <w:pStyle w:val="TableText0"/>
              <w:jc w:val="center"/>
            </w:pPr>
            <w:r>
              <w:t>104</w:t>
            </w:r>
          </w:p>
        </w:tc>
        <w:tc>
          <w:tcPr>
            <w:tcW w:w="2855" w:type="dxa"/>
            <w:vMerge/>
            <w:tcBorders>
              <w:left w:val="single" w:sz="4" w:space="0" w:color="auto"/>
              <w:right w:val="single" w:sz="4" w:space="0" w:color="auto"/>
            </w:tcBorders>
            <w:shd w:val="clear" w:color="auto" w:fill="auto"/>
          </w:tcPr>
          <w:p w14:paraId="13A943A4" w14:textId="77777777" w:rsidR="00A83484" w:rsidRPr="00B438A8" w:rsidRDefault="00A83484" w:rsidP="00677F6D">
            <w:pPr>
              <w:pStyle w:val="TableText0"/>
            </w:pPr>
          </w:p>
        </w:tc>
      </w:tr>
      <w:tr w:rsidR="00A83484" w:rsidRPr="00B438A8" w14:paraId="733CD734" w14:textId="77777777" w:rsidTr="00884BEB">
        <w:trPr>
          <w:tblHeader/>
        </w:trPr>
        <w:tc>
          <w:tcPr>
            <w:tcW w:w="0" w:type="auto"/>
            <w:tcBorders>
              <w:top w:val="single" w:sz="4" w:space="0" w:color="auto"/>
              <w:left w:val="single" w:sz="4" w:space="0" w:color="auto"/>
              <w:right w:val="single" w:sz="4" w:space="0" w:color="auto"/>
            </w:tcBorders>
            <w:shd w:val="clear" w:color="auto" w:fill="auto"/>
          </w:tcPr>
          <w:p w14:paraId="6612AA25" w14:textId="77777777" w:rsidR="00A83484" w:rsidRPr="00B438A8" w:rsidRDefault="00A83484" w:rsidP="00677F6D">
            <w:pPr>
              <w:pStyle w:val="TableText0"/>
            </w:pPr>
            <w:r w:rsidRPr="00D81348">
              <w:t>Patients switching from eculizumab</w:t>
            </w:r>
          </w:p>
        </w:tc>
        <w:tc>
          <w:tcPr>
            <w:tcW w:w="2028" w:type="dxa"/>
            <w:gridSpan w:val="5"/>
            <w:tcBorders>
              <w:left w:val="single" w:sz="4" w:space="0" w:color="auto"/>
              <w:bottom w:val="single" w:sz="4" w:space="0" w:color="auto"/>
              <w:right w:val="single" w:sz="4" w:space="0" w:color="auto"/>
            </w:tcBorders>
            <w:shd w:val="clear" w:color="auto" w:fill="auto"/>
          </w:tcPr>
          <w:p w14:paraId="75162D1F" w14:textId="1C1C88C2" w:rsidR="00A83484" w:rsidRPr="00D81348" w:rsidRDefault="00A83484" w:rsidP="00677F6D">
            <w:pPr>
              <w:pStyle w:val="TableText0"/>
              <w:tabs>
                <w:tab w:val="left" w:pos="1099"/>
              </w:tabs>
            </w:pPr>
            <w:r w:rsidRPr="00D81348">
              <w:t>300 mg vial</w:t>
            </w:r>
            <w:r>
              <w:t>:</w:t>
            </w:r>
            <w:r>
              <w:tab/>
            </w:r>
            <w:r w:rsidR="00C47128" w:rsidRPr="00C47128">
              <w:rPr>
                <w:color w:val="000000"/>
                <w:spacing w:val="29"/>
                <w:shd w:val="solid" w:color="000000" w:fill="000000"/>
                <w:fitText w:val="549" w:id="-1236585721"/>
                <w14:textFill>
                  <w14:solidFill>
                    <w14:srgbClr w14:val="000000">
                      <w14:alpha w14:val="100000"/>
                    </w14:srgbClr>
                  </w14:solidFill>
                </w14:textFill>
              </w:rPr>
              <w:t>|||||||</w:t>
            </w:r>
            <w:r w:rsidR="00C47128" w:rsidRPr="00C47128">
              <w:rPr>
                <w:color w:val="000000"/>
                <w:spacing w:val="6"/>
                <w:shd w:val="solid" w:color="000000" w:fill="000000"/>
                <w:fitText w:val="549" w:id="-1236585721"/>
                <w14:textFill>
                  <w14:solidFill>
                    <w14:srgbClr w14:val="000000">
                      <w14:alpha w14:val="100000"/>
                    </w14:srgbClr>
                  </w14:solidFill>
                </w14:textFill>
              </w:rPr>
              <w:t>|</w:t>
            </w:r>
            <w:r w:rsidR="00C1183C" w:rsidRPr="00C1183C">
              <w:rPr>
                <w:vertAlign w:val="superscript"/>
              </w:rPr>
              <w:t>1</w:t>
            </w:r>
          </w:p>
          <w:p w14:paraId="6ECDFCBD" w14:textId="1A432F8C" w:rsidR="00A83484" w:rsidRPr="00B438A8" w:rsidRDefault="00A83484" w:rsidP="00677F6D">
            <w:pPr>
              <w:pStyle w:val="TableText0"/>
              <w:tabs>
                <w:tab w:val="left" w:pos="1099"/>
              </w:tabs>
            </w:pPr>
            <w:r w:rsidRPr="00D81348">
              <w:t>1,100 mg vial</w:t>
            </w:r>
            <w:r>
              <w:t>:</w:t>
            </w:r>
            <w:r>
              <w:tab/>
            </w:r>
            <w:r w:rsidR="00C47128" w:rsidRPr="00C47128">
              <w:rPr>
                <w:color w:val="000000"/>
                <w:spacing w:val="29"/>
                <w:shd w:val="solid" w:color="000000" w:fill="000000"/>
                <w:fitText w:val="549" w:id="-1236585720"/>
                <w14:textFill>
                  <w14:solidFill>
                    <w14:srgbClr w14:val="000000">
                      <w14:alpha w14:val="100000"/>
                    </w14:srgbClr>
                  </w14:solidFill>
                </w14:textFill>
              </w:rPr>
              <w:t>|||||||</w:t>
            </w:r>
            <w:r w:rsidR="00C47128" w:rsidRPr="00C47128">
              <w:rPr>
                <w:color w:val="000000"/>
                <w:spacing w:val="6"/>
                <w:shd w:val="solid" w:color="000000" w:fill="000000"/>
                <w:fitText w:val="549" w:id="-1236585720"/>
                <w14:textFill>
                  <w14:solidFill>
                    <w14:srgbClr w14:val="000000">
                      <w14:alpha w14:val="100000"/>
                    </w14:srgbClr>
                  </w14:solidFill>
                </w14:textFill>
              </w:rPr>
              <w:t>|</w:t>
            </w:r>
            <w:r w:rsidR="00C1183C" w:rsidRPr="00C1183C">
              <w:rPr>
                <w:vertAlign w:val="superscript"/>
              </w:rPr>
              <w:t>1</w:t>
            </w:r>
          </w:p>
        </w:tc>
        <w:tc>
          <w:tcPr>
            <w:tcW w:w="2318" w:type="dxa"/>
            <w:gridSpan w:val="8"/>
            <w:tcBorders>
              <w:left w:val="single" w:sz="4" w:space="0" w:color="auto"/>
              <w:bottom w:val="single" w:sz="4" w:space="0" w:color="auto"/>
              <w:right w:val="single" w:sz="4" w:space="0" w:color="auto"/>
            </w:tcBorders>
            <w:shd w:val="clear" w:color="auto" w:fill="auto"/>
            <w:vAlign w:val="center"/>
          </w:tcPr>
          <w:p w14:paraId="6F65CFE0" w14:textId="77777777" w:rsidR="00A83484" w:rsidRPr="00B438A8" w:rsidRDefault="00A83484" w:rsidP="00677F6D">
            <w:pPr>
              <w:pStyle w:val="TableText0"/>
              <w:jc w:val="center"/>
            </w:pPr>
            <w:r>
              <w:t>NA</w:t>
            </w:r>
          </w:p>
        </w:tc>
        <w:tc>
          <w:tcPr>
            <w:tcW w:w="2855" w:type="dxa"/>
            <w:vMerge/>
            <w:tcBorders>
              <w:left w:val="single" w:sz="4" w:space="0" w:color="auto"/>
              <w:right w:val="single" w:sz="4" w:space="0" w:color="auto"/>
            </w:tcBorders>
            <w:shd w:val="clear" w:color="auto" w:fill="auto"/>
          </w:tcPr>
          <w:p w14:paraId="2FE4AFE6" w14:textId="77777777" w:rsidR="00A83484" w:rsidRPr="00B438A8" w:rsidRDefault="00A83484" w:rsidP="00677F6D">
            <w:pPr>
              <w:pStyle w:val="TableText0"/>
            </w:pPr>
          </w:p>
        </w:tc>
      </w:tr>
      <w:tr w:rsidR="00A83484" w:rsidRPr="00B438A8" w14:paraId="5FDD41C3" w14:textId="77777777" w:rsidTr="00884BEB">
        <w:trPr>
          <w:tblHeader/>
        </w:trPr>
        <w:tc>
          <w:tcPr>
            <w:tcW w:w="0" w:type="auto"/>
            <w:tcBorders>
              <w:top w:val="single" w:sz="4" w:space="0" w:color="auto"/>
              <w:left w:val="single" w:sz="4" w:space="0" w:color="auto"/>
              <w:right w:val="single" w:sz="4" w:space="0" w:color="auto"/>
            </w:tcBorders>
            <w:shd w:val="clear" w:color="auto" w:fill="auto"/>
          </w:tcPr>
          <w:p w14:paraId="0018DF21" w14:textId="77777777" w:rsidR="00A83484" w:rsidRPr="00B438A8" w:rsidRDefault="00A83484" w:rsidP="00677F6D">
            <w:pPr>
              <w:pStyle w:val="TableText0"/>
            </w:pPr>
            <w:r w:rsidRPr="00B438A8">
              <w:t xml:space="preserve">Loading dose for </w:t>
            </w:r>
            <w:r>
              <w:t>switch patients</w:t>
            </w:r>
          </w:p>
        </w:tc>
        <w:tc>
          <w:tcPr>
            <w:tcW w:w="2028" w:type="dxa"/>
            <w:gridSpan w:val="5"/>
            <w:tcBorders>
              <w:left w:val="single" w:sz="4" w:space="0" w:color="auto"/>
              <w:bottom w:val="single" w:sz="4" w:space="0" w:color="auto"/>
              <w:right w:val="single" w:sz="4" w:space="0" w:color="auto"/>
            </w:tcBorders>
            <w:shd w:val="clear" w:color="auto" w:fill="auto"/>
          </w:tcPr>
          <w:p w14:paraId="5534A491" w14:textId="2E65417F" w:rsidR="00A83484" w:rsidRPr="00B438A8" w:rsidRDefault="00A83484" w:rsidP="00677F6D">
            <w:pPr>
              <w:pStyle w:val="TableText0"/>
              <w:tabs>
                <w:tab w:val="left" w:pos="1099"/>
              </w:tabs>
            </w:pPr>
            <w:r w:rsidRPr="00B438A8">
              <w:t>300 mg vial</w:t>
            </w:r>
            <w:r>
              <w:t>:</w:t>
            </w:r>
            <w:r>
              <w:tab/>
            </w:r>
            <w:r w:rsidR="00C47128" w:rsidRPr="00C47128">
              <w:rPr>
                <w:color w:val="000000"/>
                <w:spacing w:val="29"/>
                <w:shd w:val="solid" w:color="000000" w:fill="000000"/>
                <w:fitText w:val="549" w:id="-1236585719"/>
                <w14:textFill>
                  <w14:solidFill>
                    <w14:srgbClr w14:val="000000">
                      <w14:alpha w14:val="100000"/>
                    </w14:srgbClr>
                  </w14:solidFill>
                </w14:textFill>
              </w:rPr>
              <w:t>|||||||</w:t>
            </w:r>
            <w:r w:rsidR="00C47128" w:rsidRPr="00C47128">
              <w:rPr>
                <w:color w:val="000000"/>
                <w:spacing w:val="6"/>
                <w:shd w:val="solid" w:color="000000" w:fill="000000"/>
                <w:fitText w:val="549" w:id="-1236585719"/>
                <w14:textFill>
                  <w14:solidFill>
                    <w14:srgbClr w14:val="000000">
                      <w14:alpha w14:val="100000"/>
                    </w14:srgbClr>
                  </w14:solidFill>
                </w14:textFill>
              </w:rPr>
              <w:t>|</w:t>
            </w:r>
            <w:r w:rsidR="00C1183C" w:rsidRPr="00C1183C">
              <w:rPr>
                <w:vertAlign w:val="superscript"/>
              </w:rPr>
              <w:t>1</w:t>
            </w:r>
          </w:p>
          <w:p w14:paraId="5F9A35A1" w14:textId="7ADF2F58" w:rsidR="00A83484" w:rsidRPr="00B438A8" w:rsidRDefault="00A83484" w:rsidP="00677F6D">
            <w:pPr>
              <w:pStyle w:val="TableText0"/>
              <w:tabs>
                <w:tab w:val="left" w:pos="1099"/>
              </w:tabs>
            </w:pPr>
            <w:r w:rsidRPr="00B438A8">
              <w:t>1,100 mg vial</w:t>
            </w:r>
            <w:r>
              <w:t>:</w:t>
            </w:r>
            <w:r>
              <w:tab/>
            </w:r>
            <w:r w:rsidR="00C47128" w:rsidRPr="00C47128">
              <w:rPr>
                <w:color w:val="000000"/>
                <w:spacing w:val="29"/>
                <w:shd w:val="solid" w:color="000000" w:fill="000000"/>
                <w:fitText w:val="549" w:id="-1236585718"/>
                <w14:textFill>
                  <w14:solidFill>
                    <w14:srgbClr w14:val="000000">
                      <w14:alpha w14:val="100000"/>
                    </w14:srgbClr>
                  </w14:solidFill>
                </w14:textFill>
              </w:rPr>
              <w:t>|||||||</w:t>
            </w:r>
            <w:r w:rsidR="00C47128" w:rsidRPr="00C47128">
              <w:rPr>
                <w:color w:val="000000"/>
                <w:spacing w:val="6"/>
                <w:shd w:val="solid" w:color="000000" w:fill="000000"/>
                <w:fitText w:val="549" w:id="-1236585718"/>
                <w14:textFill>
                  <w14:solidFill>
                    <w14:srgbClr w14:val="000000">
                      <w14:alpha w14:val="100000"/>
                    </w14:srgbClr>
                  </w14:solidFill>
                </w14:textFill>
              </w:rPr>
              <w:t>|</w:t>
            </w:r>
            <w:r w:rsidR="00C1183C" w:rsidRPr="00C1183C">
              <w:rPr>
                <w:vertAlign w:val="superscript"/>
              </w:rPr>
              <w:t>1</w:t>
            </w:r>
          </w:p>
        </w:tc>
        <w:tc>
          <w:tcPr>
            <w:tcW w:w="2318" w:type="dxa"/>
            <w:gridSpan w:val="8"/>
            <w:tcBorders>
              <w:left w:val="single" w:sz="4" w:space="0" w:color="auto"/>
              <w:bottom w:val="single" w:sz="4" w:space="0" w:color="auto"/>
              <w:right w:val="single" w:sz="4" w:space="0" w:color="auto"/>
            </w:tcBorders>
            <w:shd w:val="clear" w:color="auto" w:fill="auto"/>
            <w:vAlign w:val="center"/>
          </w:tcPr>
          <w:p w14:paraId="3A0838A1" w14:textId="77777777" w:rsidR="00A83484" w:rsidRDefault="00A83484" w:rsidP="00677F6D">
            <w:pPr>
              <w:pStyle w:val="TableText0"/>
              <w:jc w:val="center"/>
            </w:pPr>
            <w:r>
              <w:t>NA</w:t>
            </w:r>
          </w:p>
        </w:tc>
        <w:tc>
          <w:tcPr>
            <w:tcW w:w="2855" w:type="dxa"/>
            <w:vMerge/>
            <w:tcBorders>
              <w:left w:val="single" w:sz="4" w:space="0" w:color="auto"/>
              <w:right w:val="single" w:sz="4" w:space="0" w:color="auto"/>
            </w:tcBorders>
            <w:shd w:val="clear" w:color="auto" w:fill="auto"/>
          </w:tcPr>
          <w:p w14:paraId="68715BD7" w14:textId="77777777" w:rsidR="00A83484" w:rsidRPr="00B438A8" w:rsidRDefault="00A83484" w:rsidP="00677F6D">
            <w:pPr>
              <w:pStyle w:val="TableText0"/>
            </w:pPr>
          </w:p>
        </w:tc>
      </w:tr>
      <w:tr w:rsidR="00A83484" w:rsidRPr="00031839" w14:paraId="56CD40FE" w14:textId="77777777" w:rsidTr="00884BEB">
        <w:trPr>
          <w:tblHeader/>
        </w:trPr>
        <w:tc>
          <w:tcPr>
            <w:tcW w:w="0" w:type="auto"/>
            <w:gridSpan w:val="15"/>
            <w:tcBorders>
              <w:top w:val="single" w:sz="4" w:space="0" w:color="auto"/>
              <w:left w:val="single" w:sz="4" w:space="0" w:color="auto"/>
              <w:right w:val="single" w:sz="4" w:space="0" w:color="auto"/>
            </w:tcBorders>
            <w:shd w:val="clear" w:color="auto" w:fill="auto"/>
          </w:tcPr>
          <w:p w14:paraId="4630BCF1" w14:textId="77777777" w:rsidR="00A83484" w:rsidRPr="00031839" w:rsidRDefault="00A83484" w:rsidP="00677F6D">
            <w:pPr>
              <w:pStyle w:val="TableText0"/>
              <w:rPr>
                <w:b/>
                <w:bCs w:val="0"/>
              </w:rPr>
            </w:pPr>
            <w:r w:rsidRPr="00031839">
              <w:rPr>
                <w:b/>
                <w:bCs w:val="0"/>
              </w:rPr>
              <w:t>Number of administrations per year by treatment phase</w:t>
            </w:r>
          </w:p>
        </w:tc>
      </w:tr>
      <w:tr w:rsidR="00A83484" w:rsidRPr="00EC1FC7" w14:paraId="1C106B94" w14:textId="77777777" w:rsidTr="00884BEB">
        <w:trPr>
          <w:tblHeader/>
        </w:trPr>
        <w:tc>
          <w:tcPr>
            <w:tcW w:w="0" w:type="auto"/>
            <w:tcBorders>
              <w:top w:val="single" w:sz="4" w:space="0" w:color="auto"/>
              <w:left w:val="single" w:sz="4" w:space="0" w:color="auto"/>
              <w:right w:val="single" w:sz="4" w:space="0" w:color="auto"/>
            </w:tcBorders>
            <w:shd w:val="clear" w:color="auto" w:fill="auto"/>
          </w:tcPr>
          <w:p w14:paraId="1B432924" w14:textId="77777777" w:rsidR="00A83484" w:rsidRPr="00EC1FC7" w:rsidRDefault="00A83484" w:rsidP="00677F6D">
            <w:pPr>
              <w:pStyle w:val="TableText0"/>
            </w:pPr>
          </w:p>
        </w:tc>
        <w:tc>
          <w:tcPr>
            <w:tcW w:w="2052" w:type="dxa"/>
            <w:gridSpan w:val="6"/>
            <w:tcBorders>
              <w:top w:val="single" w:sz="4" w:space="0" w:color="auto"/>
              <w:left w:val="single" w:sz="4" w:space="0" w:color="auto"/>
              <w:right w:val="single" w:sz="4" w:space="0" w:color="auto"/>
            </w:tcBorders>
            <w:shd w:val="clear" w:color="auto" w:fill="auto"/>
          </w:tcPr>
          <w:p w14:paraId="7A8E0DE3" w14:textId="77777777" w:rsidR="00A83484" w:rsidRPr="00031839" w:rsidRDefault="00A83484" w:rsidP="00677F6D">
            <w:pPr>
              <w:pStyle w:val="TableText0"/>
              <w:jc w:val="center"/>
              <w:rPr>
                <w:b/>
                <w:bCs w:val="0"/>
              </w:rPr>
            </w:pPr>
            <w:r w:rsidRPr="00031839">
              <w:rPr>
                <w:b/>
                <w:bCs w:val="0"/>
              </w:rPr>
              <w:t>Ravulizumab</w:t>
            </w:r>
          </w:p>
        </w:tc>
        <w:tc>
          <w:tcPr>
            <w:tcW w:w="2294" w:type="dxa"/>
            <w:gridSpan w:val="7"/>
            <w:tcBorders>
              <w:top w:val="single" w:sz="4" w:space="0" w:color="auto"/>
              <w:left w:val="single" w:sz="4" w:space="0" w:color="auto"/>
              <w:right w:val="single" w:sz="4" w:space="0" w:color="auto"/>
            </w:tcBorders>
            <w:shd w:val="clear" w:color="auto" w:fill="auto"/>
          </w:tcPr>
          <w:p w14:paraId="36B7A611" w14:textId="77777777" w:rsidR="00A83484" w:rsidRPr="00031839" w:rsidRDefault="00A83484" w:rsidP="00677F6D">
            <w:pPr>
              <w:pStyle w:val="TableText0"/>
              <w:jc w:val="center"/>
              <w:rPr>
                <w:b/>
                <w:bCs w:val="0"/>
              </w:rPr>
            </w:pPr>
            <w:r w:rsidRPr="00031839">
              <w:rPr>
                <w:b/>
                <w:bCs w:val="0"/>
              </w:rPr>
              <w:t>Eculizumab</w:t>
            </w:r>
          </w:p>
        </w:tc>
        <w:tc>
          <w:tcPr>
            <w:tcW w:w="2855" w:type="dxa"/>
            <w:vMerge w:val="restart"/>
            <w:tcBorders>
              <w:top w:val="single" w:sz="4" w:space="0" w:color="auto"/>
              <w:left w:val="single" w:sz="4" w:space="0" w:color="auto"/>
              <w:right w:val="single" w:sz="4" w:space="0" w:color="auto"/>
            </w:tcBorders>
            <w:shd w:val="clear" w:color="auto" w:fill="auto"/>
          </w:tcPr>
          <w:p w14:paraId="6571FF26" w14:textId="77777777" w:rsidR="00A83484" w:rsidRDefault="00A83484" w:rsidP="00677F6D">
            <w:pPr>
              <w:pStyle w:val="TableText0"/>
            </w:pPr>
            <w:r>
              <w:t>R</w:t>
            </w:r>
            <w:r w:rsidRPr="00EC1FC7">
              <w:t>avulizumab PI</w:t>
            </w:r>
            <w:r>
              <w:t xml:space="preserve"> and eculizumab PI</w:t>
            </w:r>
          </w:p>
          <w:p w14:paraId="3E6AA388" w14:textId="35D5C84D" w:rsidR="00A83484" w:rsidRPr="00EC1FC7" w:rsidRDefault="00A83484" w:rsidP="00677F6D">
            <w:pPr>
              <w:pStyle w:val="TableText0"/>
            </w:pPr>
          </w:p>
        </w:tc>
      </w:tr>
      <w:tr w:rsidR="00A83484" w:rsidRPr="00EC1FC7" w14:paraId="66C0BAA7" w14:textId="77777777" w:rsidTr="00884BEB">
        <w:trPr>
          <w:tblHeader/>
        </w:trPr>
        <w:tc>
          <w:tcPr>
            <w:tcW w:w="0" w:type="auto"/>
            <w:tcBorders>
              <w:top w:val="single" w:sz="4" w:space="0" w:color="auto"/>
              <w:left w:val="single" w:sz="4" w:space="0" w:color="auto"/>
              <w:right w:val="single" w:sz="4" w:space="0" w:color="auto"/>
            </w:tcBorders>
            <w:shd w:val="clear" w:color="auto" w:fill="auto"/>
          </w:tcPr>
          <w:p w14:paraId="3CFBD812" w14:textId="77777777" w:rsidR="00A83484" w:rsidRPr="00EC1FC7" w:rsidRDefault="00A83484" w:rsidP="00677F6D">
            <w:pPr>
              <w:pStyle w:val="TableText0"/>
            </w:pPr>
            <w:r w:rsidRPr="00EC1FC7">
              <w:t>Initiating patients</w:t>
            </w:r>
          </w:p>
        </w:tc>
        <w:tc>
          <w:tcPr>
            <w:tcW w:w="2052" w:type="dxa"/>
            <w:gridSpan w:val="6"/>
            <w:tcBorders>
              <w:left w:val="single" w:sz="4" w:space="0" w:color="auto"/>
              <w:right w:val="single" w:sz="4" w:space="0" w:color="auto"/>
            </w:tcBorders>
            <w:shd w:val="clear" w:color="auto" w:fill="auto"/>
          </w:tcPr>
          <w:p w14:paraId="249CF312" w14:textId="1B342C73" w:rsidR="00A83484" w:rsidRPr="00EC1FC7" w:rsidRDefault="00C47128" w:rsidP="00677F6D">
            <w:pPr>
              <w:pStyle w:val="TableText0"/>
              <w:jc w:val="center"/>
            </w:pPr>
            <w:r w:rsidRPr="00C47128">
              <w:rPr>
                <w:color w:val="000000"/>
                <w:shd w:val="solid" w:color="000000" w:fill="000000"/>
                <w14:textFill>
                  <w14:solidFill>
                    <w14:srgbClr w14:val="000000">
                      <w14:alpha w14:val="100000"/>
                    </w14:srgbClr>
                  </w14:solidFill>
                </w14:textFill>
              </w:rPr>
              <w:t>|</w:t>
            </w:r>
            <w:r w:rsidR="00C1183C" w:rsidRPr="00C1183C">
              <w:rPr>
                <w:vertAlign w:val="superscript"/>
              </w:rPr>
              <w:t>1</w:t>
            </w:r>
          </w:p>
        </w:tc>
        <w:tc>
          <w:tcPr>
            <w:tcW w:w="2294" w:type="dxa"/>
            <w:gridSpan w:val="7"/>
            <w:tcBorders>
              <w:left w:val="single" w:sz="4" w:space="0" w:color="auto"/>
              <w:right w:val="single" w:sz="4" w:space="0" w:color="auto"/>
            </w:tcBorders>
            <w:shd w:val="clear" w:color="auto" w:fill="auto"/>
          </w:tcPr>
          <w:p w14:paraId="3425CCC9" w14:textId="77777777" w:rsidR="00A83484" w:rsidRPr="00EC1FC7" w:rsidRDefault="00A83484" w:rsidP="00677F6D">
            <w:pPr>
              <w:pStyle w:val="TableText0"/>
              <w:jc w:val="center"/>
            </w:pPr>
            <w:r>
              <w:t>28</w:t>
            </w:r>
          </w:p>
        </w:tc>
        <w:tc>
          <w:tcPr>
            <w:tcW w:w="2855" w:type="dxa"/>
            <w:vMerge/>
            <w:tcBorders>
              <w:left w:val="single" w:sz="4" w:space="0" w:color="auto"/>
              <w:right w:val="single" w:sz="4" w:space="0" w:color="auto"/>
            </w:tcBorders>
            <w:shd w:val="clear" w:color="auto" w:fill="auto"/>
          </w:tcPr>
          <w:p w14:paraId="292E0D4B" w14:textId="77777777" w:rsidR="00A83484" w:rsidRPr="00EC1FC7" w:rsidRDefault="00A83484" w:rsidP="00677F6D">
            <w:pPr>
              <w:pStyle w:val="TableText0"/>
            </w:pPr>
          </w:p>
        </w:tc>
      </w:tr>
      <w:tr w:rsidR="00A83484" w:rsidRPr="00EC1FC7" w14:paraId="39620221" w14:textId="77777777" w:rsidTr="00884BEB">
        <w:trPr>
          <w:tblHeader/>
        </w:trPr>
        <w:tc>
          <w:tcPr>
            <w:tcW w:w="0" w:type="auto"/>
            <w:tcBorders>
              <w:top w:val="single" w:sz="4" w:space="0" w:color="auto"/>
              <w:left w:val="single" w:sz="4" w:space="0" w:color="auto"/>
              <w:right w:val="single" w:sz="4" w:space="0" w:color="auto"/>
            </w:tcBorders>
            <w:shd w:val="clear" w:color="auto" w:fill="auto"/>
          </w:tcPr>
          <w:p w14:paraId="0AC592A8" w14:textId="77777777" w:rsidR="00A83484" w:rsidRPr="00EC1FC7" w:rsidRDefault="00A83484" w:rsidP="00677F6D">
            <w:pPr>
              <w:pStyle w:val="TableText0"/>
            </w:pPr>
            <w:r w:rsidRPr="00EC1FC7">
              <w:t>Maintenance patients</w:t>
            </w:r>
          </w:p>
        </w:tc>
        <w:tc>
          <w:tcPr>
            <w:tcW w:w="2052" w:type="dxa"/>
            <w:gridSpan w:val="6"/>
            <w:tcBorders>
              <w:left w:val="single" w:sz="4" w:space="0" w:color="auto"/>
              <w:right w:val="single" w:sz="4" w:space="0" w:color="auto"/>
            </w:tcBorders>
            <w:shd w:val="clear" w:color="auto" w:fill="auto"/>
          </w:tcPr>
          <w:p w14:paraId="5897DF6B" w14:textId="0F9D2ACE" w:rsidR="00A83484" w:rsidRDefault="00C47128" w:rsidP="00677F6D">
            <w:pPr>
              <w:pStyle w:val="TableText0"/>
              <w:jc w:val="center"/>
            </w:pPr>
            <w:r w:rsidRPr="00C47128">
              <w:rPr>
                <w:color w:val="000000"/>
                <w:shd w:val="solid" w:color="000000" w:fill="000000"/>
                <w14:textFill>
                  <w14:solidFill>
                    <w14:srgbClr w14:val="000000">
                      <w14:alpha w14:val="100000"/>
                    </w14:srgbClr>
                  </w14:solidFill>
                </w14:textFill>
              </w:rPr>
              <w:t>|</w:t>
            </w:r>
            <w:r w:rsidR="00C1183C" w:rsidRPr="00C1183C">
              <w:rPr>
                <w:vertAlign w:val="superscript"/>
              </w:rPr>
              <w:t>1</w:t>
            </w:r>
          </w:p>
        </w:tc>
        <w:tc>
          <w:tcPr>
            <w:tcW w:w="2294" w:type="dxa"/>
            <w:gridSpan w:val="7"/>
            <w:tcBorders>
              <w:left w:val="single" w:sz="4" w:space="0" w:color="auto"/>
              <w:right w:val="single" w:sz="4" w:space="0" w:color="auto"/>
            </w:tcBorders>
            <w:shd w:val="clear" w:color="auto" w:fill="auto"/>
          </w:tcPr>
          <w:p w14:paraId="5562E20A" w14:textId="77777777" w:rsidR="00A83484" w:rsidRDefault="00A83484" w:rsidP="00677F6D">
            <w:pPr>
              <w:pStyle w:val="TableText0"/>
              <w:jc w:val="center"/>
            </w:pPr>
            <w:r>
              <w:t>26</w:t>
            </w:r>
          </w:p>
        </w:tc>
        <w:tc>
          <w:tcPr>
            <w:tcW w:w="2855" w:type="dxa"/>
            <w:vMerge/>
            <w:tcBorders>
              <w:left w:val="single" w:sz="4" w:space="0" w:color="auto"/>
              <w:right w:val="single" w:sz="4" w:space="0" w:color="auto"/>
            </w:tcBorders>
            <w:shd w:val="clear" w:color="auto" w:fill="auto"/>
          </w:tcPr>
          <w:p w14:paraId="4D866F20" w14:textId="77777777" w:rsidR="00A83484" w:rsidRPr="00EC1FC7" w:rsidRDefault="00A83484" w:rsidP="00677F6D">
            <w:pPr>
              <w:pStyle w:val="TableText0"/>
            </w:pPr>
          </w:p>
        </w:tc>
      </w:tr>
      <w:tr w:rsidR="00A83484" w:rsidRPr="00EC1FC7" w14:paraId="5F7FC9C1" w14:textId="77777777" w:rsidTr="00884BEB">
        <w:trPr>
          <w:tblHeader/>
        </w:trPr>
        <w:tc>
          <w:tcPr>
            <w:tcW w:w="0" w:type="auto"/>
            <w:tcBorders>
              <w:top w:val="single" w:sz="4" w:space="0" w:color="auto"/>
              <w:left w:val="single" w:sz="4" w:space="0" w:color="auto"/>
              <w:right w:val="single" w:sz="4" w:space="0" w:color="auto"/>
            </w:tcBorders>
            <w:shd w:val="clear" w:color="auto" w:fill="auto"/>
          </w:tcPr>
          <w:p w14:paraId="7FF88E37" w14:textId="77777777" w:rsidR="00A83484" w:rsidRPr="00EC1FC7" w:rsidRDefault="00A83484" w:rsidP="00677F6D">
            <w:pPr>
              <w:pStyle w:val="TableText0"/>
            </w:pPr>
            <w:r w:rsidRPr="00EC1FC7">
              <w:t xml:space="preserve">Patients switching </w:t>
            </w:r>
          </w:p>
        </w:tc>
        <w:tc>
          <w:tcPr>
            <w:tcW w:w="2052" w:type="dxa"/>
            <w:gridSpan w:val="6"/>
            <w:tcBorders>
              <w:left w:val="single" w:sz="4" w:space="0" w:color="auto"/>
              <w:right w:val="single" w:sz="4" w:space="0" w:color="auto"/>
            </w:tcBorders>
            <w:shd w:val="clear" w:color="auto" w:fill="auto"/>
            <w:vAlign w:val="center"/>
          </w:tcPr>
          <w:p w14:paraId="7D74D933" w14:textId="3B71B1DD" w:rsidR="00A83484" w:rsidRPr="00EC1FC7" w:rsidRDefault="00C47128" w:rsidP="00677F6D">
            <w:pPr>
              <w:pStyle w:val="TableText0"/>
              <w:jc w:val="center"/>
            </w:pPr>
            <w:r w:rsidRPr="00C47128">
              <w:rPr>
                <w:color w:val="000000"/>
                <w:shd w:val="solid" w:color="000000" w:fill="000000"/>
                <w14:textFill>
                  <w14:solidFill>
                    <w14:srgbClr w14:val="000000">
                      <w14:alpha w14:val="100000"/>
                    </w14:srgbClr>
                  </w14:solidFill>
                </w14:textFill>
              </w:rPr>
              <w:t>|</w:t>
            </w:r>
            <w:r w:rsidR="00C1183C" w:rsidRPr="00C1183C">
              <w:rPr>
                <w:vertAlign w:val="superscript"/>
              </w:rPr>
              <w:t>1</w:t>
            </w:r>
          </w:p>
        </w:tc>
        <w:tc>
          <w:tcPr>
            <w:tcW w:w="2294" w:type="dxa"/>
            <w:gridSpan w:val="7"/>
            <w:tcBorders>
              <w:left w:val="single" w:sz="4" w:space="0" w:color="auto"/>
              <w:right w:val="single" w:sz="4" w:space="0" w:color="auto"/>
            </w:tcBorders>
            <w:shd w:val="clear" w:color="auto" w:fill="auto"/>
            <w:vAlign w:val="center"/>
          </w:tcPr>
          <w:p w14:paraId="06BD783C" w14:textId="77777777" w:rsidR="00A83484" w:rsidRPr="00EC1FC7" w:rsidRDefault="00A83484" w:rsidP="00677F6D">
            <w:pPr>
              <w:pStyle w:val="TableText0"/>
              <w:jc w:val="center"/>
            </w:pPr>
            <w:r>
              <w:t>NA</w:t>
            </w:r>
          </w:p>
        </w:tc>
        <w:tc>
          <w:tcPr>
            <w:tcW w:w="2855" w:type="dxa"/>
            <w:vMerge/>
            <w:tcBorders>
              <w:left w:val="single" w:sz="4" w:space="0" w:color="auto"/>
              <w:right w:val="single" w:sz="4" w:space="0" w:color="auto"/>
            </w:tcBorders>
            <w:shd w:val="clear" w:color="auto" w:fill="auto"/>
          </w:tcPr>
          <w:p w14:paraId="2DBA4F45" w14:textId="77777777" w:rsidR="00A83484" w:rsidRPr="00EC1FC7" w:rsidRDefault="00A83484" w:rsidP="00677F6D">
            <w:pPr>
              <w:pStyle w:val="TableText0"/>
            </w:pPr>
          </w:p>
        </w:tc>
      </w:tr>
      <w:tr w:rsidR="00A83484" w:rsidRPr="002824E8" w14:paraId="789A6A2F" w14:textId="77777777" w:rsidTr="00884BEB">
        <w:trPr>
          <w:tblHeader/>
        </w:trPr>
        <w:tc>
          <w:tcPr>
            <w:tcW w:w="0" w:type="auto"/>
            <w:gridSpan w:val="15"/>
            <w:tcBorders>
              <w:top w:val="single" w:sz="4" w:space="0" w:color="auto"/>
              <w:left w:val="single" w:sz="4" w:space="0" w:color="auto"/>
              <w:right w:val="single" w:sz="4" w:space="0" w:color="auto"/>
            </w:tcBorders>
            <w:shd w:val="clear" w:color="auto" w:fill="auto"/>
          </w:tcPr>
          <w:p w14:paraId="446BDA16" w14:textId="5287397C" w:rsidR="00A83484" w:rsidRPr="002824E8" w:rsidRDefault="00A83484" w:rsidP="00677F6D">
            <w:pPr>
              <w:pStyle w:val="TableText0"/>
              <w:rPr>
                <w:b/>
                <w:bCs w:val="0"/>
              </w:rPr>
            </w:pPr>
            <w:r w:rsidRPr="002824E8">
              <w:rPr>
                <w:b/>
                <w:bCs w:val="0"/>
              </w:rPr>
              <w:t>Predicted public and private hospital split</w:t>
            </w:r>
            <w:r>
              <w:rPr>
                <w:b/>
                <w:bCs w:val="0"/>
              </w:rPr>
              <w:t xml:space="preserve"> </w:t>
            </w:r>
            <w:r w:rsidR="00C44D13">
              <w:rPr>
                <w:b/>
                <w:bCs w:val="0"/>
              </w:rPr>
              <w:t>–</w:t>
            </w:r>
            <w:r w:rsidRPr="002824E8">
              <w:rPr>
                <w:b/>
                <w:bCs w:val="0"/>
              </w:rPr>
              <w:t xml:space="preserve"> eculizumab and ravulizumab</w:t>
            </w:r>
          </w:p>
        </w:tc>
      </w:tr>
      <w:tr w:rsidR="00A83484" w:rsidRPr="003E3466" w14:paraId="71B00979" w14:textId="77777777" w:rsidTr="00884BEB">
        <w:trPr>
          <w:tblHeader/>
        </w:trPr>
        <w:tc>
          <w:tcPr>
            <w:tcW w:w="0" w:type="auto"/>
            <w:tcBorders>
              <w:top w:val="single" w:sz="4" w:space="0" w:color="auto"/>
              <w:left w:val="single" w:sz="4" w:space="0" w:color="auto"/>
              <w:right w:val="single" w:sz="4" w:space="0" w:color="auto"/>
            </w:tcBorders>
            <w:shd w:val="clear" w:color="auto" w:fill="auto"/>
            <w:vAlign w:val="center"/>
          </w:tcPr>
          <w:p w14:paraId="56E8985D" w14:textId="77777777" w:rsidR="00A83484" w:rsidRPr="003E3466" w:rsidRDefault="00A83484" w:rsidP="00677F6D">
            <w:pPr>
              <w:pStyle w:val="TableText0"/>
            </w:pPr>
            <w:r>
              <w:t>P</w:t>
            </w:r>
            <w:r w:rsidRPr="003E3466">
              <w:t xml:space="preserve">ublic and private hospital </w:t>
            </w:r>
            <w:r>
              <w:t>split</w:t>
            </w:r>
          </w:p>
        </w:tc>
        <w:tc>
          <w:tcPr>
            <w:tcW w:w="434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42A1B67" w14:textId="77777777" w:rsidR="00A83484" w:rsidRPr="003E3466" w:rsidRDefault="00A83484" w:rsidP="00677F6D">
            <w:pPr>
              <w:pStyle w:val="TableText0"/>
              <w:jc w:val="center"/>
            </w:pPr>
            <w:r w:rsidRPr="003E3466">
              <w:t>8</w:t>
            </w:r>
            <w:r>
              <w:t>6.64</w:t>
            </w:r>
            <w:r w:rsidRPr="003E3466">
              <w:t xml:space="preserve">% </w:t>
            </w:r>
            <w:r>
              <w:t>p</w:t>
            </w:r>
            <w:r w:rsidRPr="003E3466">
              <w:t>ublic</w:t>
            </w:r>
          </w:p>
          <w:p w14:paraId="4E69FC4F" w14:textId="77777777" w:rsidR="00A83484" w:rsidRPr="003E3466" w:rsidRDefault="00A83484" w:rsidP="00677F6D">
            <w:pPr>
              <w:pStyle w:val="TableText0"/>
              <w:jc w:val="center"/>
            </w:pPr>
            <w:r w:rsidRPr="003E3466">
              <w:t>1</w:t>
            </w:r>
            <w:r>
              <w:t>3.36</w:t>
            </w:r>
            <w:r w:rsidRPr="003E3466">
              <w:t xml:space="preserve">% </w:t>
            </w:r>
            <w:r>
              <w:t>p</w:t>
            </w:r>
            <w:r w:rsidRPr="003E3466">
              <w:t>rivate</w:t>
            </w:r>
          </w:p>
        </w:tc>
        <w:tc>
          <w:tcPr>
            <w:tcW w:w="2855" w:type="dxa"/>
            <w:tcBorders>
              <w:top w:val="single" w:sz="4" w:space="0" w:color="auto"/>
              <w:left w:val="single" w:sz="4" w:space="0" w:color="auto"/>
              <w:right w:val="single" w:sz="4" w:space="0" w:color="auto"/>
            </w:tcBorders>
            <w:shd w:val="clear" w:color="auto" w:fill="auto"/>
          </w:tcPr>
          <w:p w14:paraId="53013DE3" w14:textId="77777777" w:rsidR="00A83484" w:rsidRPr="003E3466" w:rsidRDefault="00A83484" w:rsidP="00677F6D">
            <w:pPr>
              <w:pStyle w:val="TableText0"/>
            </w:pPr>
            <w:r w:rsidRPr="003E3466">
              <w:t xml:space="preserve">PBS data for </w:t>
            </w:r>
            <w:r>
              <w:t>public/private hospital</w:t>
            </w:r>
            <w:r w:rsidRPr="003E3466">
              <w:t xml:space="preserve"> and patient category weighting </w:t>
            </w:r>
            <w:r>
              <w:t xml:space="preserve">2021 </w:t>
            </w:r>
          </w:p>
        </w:tc>
      </w:tr>
      <w:tr w:rsidR="00A83484" w:rsidRPr="00B8530F" w14:paraId="059ADE06" w14:textId="77777777" w:rsidTr="00884BEB">
        <w:trPr>
          <w:tblHeader/>
        </w:trPr>
        <w:tc>
          <w:tcPr>
            <w:tcW w:w="0" w:type="auto"/>
            <w:gridSpan w:val="15"/>
            <w:tcBorders>
              <w:top w:val="single" w:sz="4" w:space="0" w:color="auto"/>
              <w:left w:val="single" w:sz="4" w:space="0" w:color="auto"/>
              <w:right w:val="single" w:sz="4" w:space="0" w:color="auto"/>
            </w:tcBorders>
            <w:shd w:val="clear" w:color="auto" w:fill="auto"/>
          </w:tcPr>
          <w:p w14:paraId="09686943" w14:textId="77777777" w:rsidR="00A83484" w:rsidRPr="00B8530F" w:rsidRDefault="00A83484" w:rsidP="00677F6D">
            <w:pPr>
              <w:pStyle w:val="TableText0"/>
              <w:rPr>
                <w:b/>
                <w:bCs w:val="0"/>
              </w:rPr>
            </w:pPr>
            <w:r w:rsidRPr="00B8530F">
              <w:rPr>
                <w:b/>
                <w:bCs w:val="0"/>
              </w:rPr>
              <w:t xml:space="preserve">Drug </w:t>
            </w:r>
            <w:r>
              <w:rPr>
                <w:b/>
                <w:bCs w:val="0"/>
              </w:rPr>
              <w:t>price – effective prices</w:t>
            </w:r>
            <w:r w:rsidRPr="00B8530F">
              <w:rPr>
                <w:b/>
                <w:bCs w:val="0"/>
              </w:rPr>
              <w:t xml:space="preserve"> </w:t>
            </w:r>
          </w:p>
        </w:tc>
      </w:tr>
      <w:tr w:rsidR="00A83484" w:rsidRPr="003E3466" w14:paraId="6DCEB27A" w14:textId="77777777" w:rsidTr="00884BEB">
        <w:trPr>
          <w:tblHeader/>
        </w:trPr>
        <w:tc>
          <w:tcPr>
            <w:tcW w:w="0" w:type="auto"/>
            <w:tcBorders>
              <w:top w:val="single" w:sz="4" w:space="0" w:color="auto"/>
              <w:left w:val="single" w:sz="4" w:space="0" w:color="auto"/>
              <w:right w:val="single" w:sz="4" w:space="0" w:color="auto"/>
            </w:tcBorders>
            <w:shd w:val="clear" w:color="auto" w:fill="auto"/>
            <w:vAlign w:val="center"/>
          </w:tcPr>
          <w:p w14:paraId="214445E0" w14:textId="77777777" w:rsidR="00A83484" w:rsidRPr="00E62657" w:rsidRDefault="00A83484" w:rsidP="00677F6D">
            <w:pPr>
              <w:pStyle w:val="TableText0"/>
              <w:rPr>
                <w:b/>
                <w:bCs w:val="0"/>
              </w:rPr>
            </w:pPr>
            <w:r w:rsidRPr="00E62657">
              <w:rPr>
                <w:b/>
                <w:bCs w:val="0"/>
              </w:rPr>
              <w:t>Ravulizumab</w:t>
            </w:r>
          </w:p>
        </w:tc>
        <w:tc>
          <w:tcPr>
            <w:tcW w:w="2052" w:type="dxa"/>
            <w:gridSpan w:val="6"/>
            <w:tcBorders>
              <w:top w:val="single" w:sz="4" w:space="0" w:color="auto"/>
              <w:left w:val="single" w:sz="4" w:space="0" w:color="auto"/>
              <w:right w:val="single" w:sz="4" w:space="0" w:color="auto"/>
            </w:tcBorders>
            <w:shd w:val="clear" w:color="auto" w:fill="auto"/>
          </w:tcPr>
          <w:p w14:paraId="533976F8" w14:textId="77777777" w:rsidR="00A83484" w:rsidRPr="0001403D" w:rsidRDefault="00A83484" w:rsidP="00677F6D">
            <w:pPr>
              <w:pStyle w:val="TableText0"/>
              <w:jc w:val="center"/>
              <w:rPr>
                <w:b/>
                <w:bCs w:val="0"/>
              </w:rPr>
            </w:pPr>
            <w:r w:rsidRPr="0001403D">
              <w:rPr>
                <w:b/>
                <w:bCs w:val="0"/>
              </w:rPr>
              <w:t>300 mg</w:t>
            </w:r>
          </w:p>
        </w:tc>
        <w:tc>
          <w:tcPr>
            <w:tcW w:w="2294" w:type="dxa"/>
            <w:gridSpan w:val="7"/>
            <w:tcBorders>
              <w:top w:val="single" w:sz="4" w:space="0" w:color="auto"/>
              <w:left w:val="single" w:sz="4" w:space="0" w:color="auto"/>
              <w:right w:val="single" w:sz="4" w:space="0" w:color="auto"/>
            </w:tcBorders>
            <w:shd w:val="clear" w:color="auto" w:fill="auto"/>
          </w:tcPr>
          <w:p w14:paraId="5E95E4B4" w14:textId="77777777" w:rsidR="00A83484" w:rsidRPr="0001403D" w:rsidRDefault="00A83484" w:rsidP="00677F6D">
            <w:pPr>
              <w:pStyle w:val="TableText0"/>
              <w:jc w:val="center"/>
              <w:rPr>
                <w:b/>
                <w:bCs w:val="0"/>
              </w:rPr>
            </w:pPr>
            <w:r w:rsidRPr="0001403D">
              <w:rPr>
                <w:b/>
                <w:bCs w:val="0"/>
              </w:rPr>
              <w:t>1,100 mg</w:t>
            </w:r>
          </w:p>
        </w:tc>
        <w:tc>
          <w:tcPr>
            <w:tcW w:w="2855" w:type="dxa"/>
            <w:vMerge w:val="restart"/>
            <w:tcBorders>
              <w:top w:val="single" w:sz="4" w:space="0" w:color="auto"/>
              <w:left w:val="single" w:sz="4" w:space="0" w:color="auto"/>
              <w:right w:val="single" w:sz="4" w:space="0" w:color="auto"/>
            </w:tcBorders>
            <w:shd w:val="clear" w:color="auto" w:fill="auto"/>
          </w:tcPr>
          <w:p w14:paraId="3773BAB6" w14:textId="77777777" w:rsidR="00A83484" w:rsidRPr="003E3466" w:rsidRDefault="00A83484" w:rsidP="00677F6D">
            <w:pPr>
              <w:pStyle w:val="TableText0"/>
            </w:pPr>
            <w:r>
              <w:t>Requested</w:t>
            </w:r>
            <w:r w:rsidRPr="003E3466">
              <w:t xml:space="preserve"> effective pri</w:t>
            </w:r>
            <w:r>
              <w:t>ce</w:t>
            </w:r>
            <w:r w:rsidRPr="003E3466">
              <w:t xml:space="preserve">, </w:t>
            </w:r>
            <w:r>
              <w:t xml:space="preserve">based on CMA </w:t>
            </w:r>
            <w:proofErr w:type="gramStart"/>
            <w:r>
              <w:t>and also</w:t>
            </w:r>
            <w:proofErr w:type="gramEnd"/>
            <w:r>
              <w:t xml:space="preserve"> weighted for public/private hospital use</w:t>
            </w:r>
          </w:p>
        </w:tc>
      </w:tr>
      <w:tr w:rsidR="00A83484" w:rsidRPr="0001403D" w14:paraId="7804C55E" w14:textId="77777777" w:rsidTr="00884BEB">
        <w:trPr>
          <w:tblHeader/>
        </w:trPr>
        <w:tc>
          <w:tcPr>
            <w:tcW w:w="0" w:type="auto"/>
            <w:tcBorders>
              <w:top w:val="single" w:sz="4" w:space="0" w:color="auto"/>
              <w:left w:val="single" w:sz="4" w:space="0" w:color="auto"/>
              <w:right w:val="single" w:sz="4" w:space="0" w:color="auto"/>
            </w:tcBorders>
            <w:shd w:val="clear" w:color="auto" w:fill="auto"/>
          </w:tcPr>
          <w:p w14:paraId="2DA1F4C6" w14:textId="77777777" w:rsidR="00A83484" w:rsidRPr="0001403D" w:rsidRDefault="00A83484" w:rsidP="00677F6D">
            <w:pPr>
              <w:pStyle w:val="TableText0"/>
            </w:pPr>
            <w:r>
              <w:t>Weighted adult and paediatric price</w:t>
            </w:r>
          </w:p>
        </w:tc>
        <w:tc>
          <w:tcPr>
            <w:tcW w:w="2052" w:type="dxa"/>
            <w:gridSpan w:val="6"/>
            <w:tcBorders>
              <w:top w:val="single" w:sz="4" w:space="0" w:color="auto"/>
              <w:left w:val="single" w:sz="4" w:space="0" w:color="auto"/>
              <w:right w:val="single" w:sz="4" w:space="0" w:color="auto"/>
            </w:tcBorders>
            <w:shd w:val="clear" w:color="auto" w:fill="auto"/>
            <w:vAlign w:val="center"/>
          </w:tcPr>
          <w:p w14:paraId="39380C8C" w14:textId="4CFC80FC" w:rsidR="00A83484" w:rsidRPr="0001403D" w:rsidRDefault="00A83484" w:rsidP="00677F6D">
            <w:pPr>
              <w:pStyle w:val="TableText0"/>
              <w:jc w:val="center"/>
            </w:pPr>
            <w:r w:rsidRPr="00304619">
              <w:t>$</w:t>
            </w:r>
            <w:r w:rsidR="00C47128" w:rsidRPr="00C47128">
              <w:rPr>
                <w:color w:val="000000"/>
                <w:shd w:val="solid" w:color="000000" w:fill="000000"/>
                <w14:textFill>
                  <w14:solidFill>
                    <w14:srgbClr w14:val="000000">
                      <w14:alpha w14:val="100000"/>
                    </w14:srgbClr>
                  </w14:solidFill>
                </w14:textFill>
              </w:rPr>
              <w:t>|</w:t>
            </w:r>
          </w:p>
        </w:tc>
        <w:tc>
          <w:tcPr>
            <w:tcW w:w="2294" w:type="dxa"/>
            <w:gridSpan w:val="7"/>
            <w:tcBorders>
              <w:top w:val="single" w:sz="4" w:space="0" w:color="auto"/>
              <w:left w:val="single" w:sz="4" w:space="0" w:color="auto"/>
              <w:right w:val="single" w:sz="4" w:space="0" w:color="auto"/>
            </w:tcBorders>
            <w:shd w:val="clear" w:color="auto" w:fill="auto"/>
            <w:vAlign w:val="center"/>
          </w:tcPr>
          <w:p w14:paraId="36462EAD" w14:textId="6572410F" w:rsidR="00A83484" w:rsidRPr="0001403D" w:rsidRDefault="00A83484" w:rsidP="00677F6D">
            <w:pPr>
              <w:pStyle w:val="TableText0"/>
              <w:jc w:val="center"/>
            </w:pPr>
            <w:r w:rsidRPr="00304619">
              <w:t>$</w:t>
            </w:r>
            <w:r w:rsidR="00C47128" w:rsidRPr="00C47128">
              <w:rPr>
                <w:color w:val="000000"/>
                <w:shd w:val="solid" w:color="000000" w:fill="000000"/>
                <w14:textFill>
                  <w14:solidFill>
                    <w14:srgbClr w14:val="000000">
                      <w14:alpha w14:val="100000"/>
                    </w14:srgbClr>
                  </w14:solidFill>
                </w14:textFill>
              </w:rPr>
              <w:t>|</w:t>
            </w:r>
          </w:p>
        </w:tc>
        <w:tc>
          <w:tcPr>
            <w:tcW w:w="2855" w:type="dxa"/>
            <w:vMerge/>
            <w:tcBorders>
              <w:left w:val="single" w:sz="4" w:space="0" w:color="auto"/>
              <w:right w:val="single" w:sz="4" w:space="0" w:color="auto"/>
            </w:tcBorders>
            <w:shd w:val="clear" w:color="auto" w:fill="auto"/>
          </w:tcPr>
          <w:p w14:paraId="3D797831" w14:textId="77777777" w:rsidR="00A83484" w:rsidRPr="0001403D" w:rsidRDefault="00A83484" w:rsidP="00677F6D">
            <w:pPr>
              <w:pStyle w:val="TableText0"/>
            </w:pPr>
          </w:p>
        </w:tc>
      </w:tr>
      <w:tr w:rsidR="00A83484" w:rsidRPr="003E3466" w14:paraId="13DE7C5F" w14:textId="77777777" w:rsidTr="00884BEB">
        <w:trPr>
          <w:tblHeader/>
        </w:trPr>
        <w:tc>
          <w:tcPr>
            <w:tcW w:w="0" w:type="auto"/>
            <w:tcBorders>
              <w:top w:val="single" w:sz="4" w:space="0" w:color="auto"/>
              <w:left w:val="single" w:sz="4" w:space="0" w:color="auto"/>
              <w:right w:val="single" w:sz="4" w:space="0" w:color="auto"/>
            </w:tcBorders>
            <w:shd w:val="clear" w:color="auto" w:fill="auto"/>
          </w:tcPr>
          <w:p w14:paraId="6A14919F" w14:textId="77777777" w:rsidR="00A83484" w:rsidRPr="00E62657" w:rsidRDefault="00A83484" w:rsidP="00677F6D">
            <w:pPr>
              <w:pStyle w:val="TableText0"/>
              <w:rPr>
                <w:b/>
                <w:bCs w:val="0"/>
              </w:rPr>
            </w:pPr>
            <w:r w:rsidRPr="00E62657">
              <w:rPr>
                <w:b/>
                <w:bCs w:val="0"/>
              </w:rPr>
              <w:t>Eculizumab 300 mg</w:t>
            </w:r>
          </w:p>
        </w:tc>
        <w:tc>
          <w:tcPr>
            <w:tcW w:w="2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235EF3" w14:textId="77777777" w:rsidR="00A83484" w:rsidRPr="0001403D" w:rsidRDefault="00A83484" w:rsidP="00677F6D">
            <w:pPr>
              <w:pStyle w:val="TableText0"/>
              <w:jc w:val="center"/>
              <w:rPr>
                <w:b/>
                <w:bCs w:val="0"/>
              </w:rPr>
            </w:pPr>
            <w:r>
              <w:rPr>
                <w:b/>
                <w:bCs w:val="0"/>
              </w:rPr>
              <w:t>C</w:t>
            </w:r>
            <w:r w:rsidRPr="0001403D">
              <w:rPr>
                <w:b/>
                <w:bCs w:val="0"/>
              </w:rPr>
              <w:t>urrent</w:t>
            </w:r>
            <w:r>
              <w:rPr>
                <w:b/>
                <w:bCs w:val="0"/>
              </w:rPr>
              <w:t xml:space="preserve"> price</w:t>
            </w:r>
          </w:p>
        </w:tc>
        <w:tc>
          <w:tcPr>
            <w:tcW w:w="22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1FE501F" w14:textId="77777777" w:rsidR="00A83484" w:rsidRPr="0001403D" w:rsidRDefault="00A83484" w:rsidP="00677F6D">
            <w:pPr>
              <w:pStyle w:val="TableText0"/>
              <w:jc w:val="center"/>
              <w:rPr>
                <w:b/>
                <w:bCs w:val="0"/>
              </w:rPr>
            </w:pPr>
            <w:r w:rsidRPr="0001403D">
              <w:rPr>
                <w:b/>
                <w:bCs w:val="0"/>
              </w:rPr>
              <w:t>2025</w:t>
            </w:r>
            <w:r>
              <w:rPr>
                <w:b/>
                <w:bCs w:val="0"/>
              </w:rPr>
              <w:t xml:space="preserve"> price</w:t>
            </w:r>
          </w:p>
        </w:tc>
        <w:tc>
          <w:tcPr>
            <w:tcW w:w="2855" w:type="dxa"/>
            <w:vMerge w:val="restart"/>
            <w:tcBorders>
              <w:top w:val="single" w:sz="4" w:space="0" w:color="auto"/>
              <w:left w:val="single" w:sz="4" w:space="0" w:color="auto"/>
              <w:right w:val="single" w:sz="4" w:space="0" w:color="auto"/>
            </w:tcBorders>
            <w:shd w:val="clear" w:color="auto" w:fill="auto"/>
          </w:tcPr>
          <w:p w14:paraId="64545F72" w14:textId="5BC0D4DA" w:rsidR="00A83484" w:rsidRPr="003E3466" w:rsidRDefault="00A83484" w:rsidP="00677F6D">
            <w:pPr>
              <w:pStyle w:val="TableText0"/>
            </w:pPr>
            <w:r w:rsidRPr="004B0D95">
              <w:t>pbs.gov.au, October 2022</w:t>
            </w:r>
            <w:r>
              <w:t xml:space="preserve"> and current price less PBS 10-year anniversary reduction from 1 April 2025</w:t>
            </w:r>
          </w:p>
        </w:tc>
      </w:tr>
      <w:tr w:rsidR="00A83484" w:rsidRPr="003E3466" w14:paraId="754EBFB2" w14:textId="77777777" w:rsidTr="00884BEB">
        <w:trPr>
          <w:tblHeader/>
        </w:trPr>
        <w:tc>
          <w:tcPr>
            <w:tcW w:w="0" w:type="auto"/>
            <w:tcBorders>
              <w:left w:val="single" w:sz="4" w:space="0" w:color="auto"/>
              <w:right w:val="single" w:sz="4" w:space="0" w:color="auto"/>
            </w:tcBorders>
            <w:shd w:val="clear" w:color="auto" w:fill="auto"/>
          </w:tcPr>
          <w:p w14:paraId="595607D3" w14:textId="77777777" w:rsidR="00A83484" w:rsidRPr="003E3466" w:rsidRDefault="00A83484" w:rsidP="00677F6D">
            <w:pPr>
              <w:pStyle w:val="TableText0"/>
            </w:pPr>
            <w:r>
              <w:t>Weighted for public/ private hospital use</w:t>
            </w:r>
          </w:p>
        </w:tc>
        <w:tc>
          <w:tcPr>
            <w:tcW w:w="2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771626" w14:textId="77777777" w:rsidR="00A83484" w:rsidRPr="003E3466" w:rsidRDefault="00A83484" w:rsidP="00677F6D">
            <w:pPr>
              <w:pStyle w:val="TableText0"/>
              <w:jc w:val="center"/>
            </w:pPr>
            <w:r w:rsidRPr="004B0D95">
              <w:t>$5,64</w:t>
            </w:r>
            <w:r>
              <w:t>7</w:t>
            </w:r>
            <w:r w:rsidRPr="004B0D95">
              <w:t>.</w:t>
            </w:r>
            <w:r>
              <w:t>02</w:t>
            </w:r>
          </w:p>
        </w:tc>
        <w:tc>
          <w:tcPr>
            <w:tcW w:w="22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7998A3D" w14:textId="5392FF07" w:rsidR="00A83484" w:rsidRPr="003E3466" w:rsidRDefault="00A83484" w:rsidP="00677F6D">
            <w:pPr>
              <w:pStyle w:val="TableText0"/>
              <w:jc w:val="center"/>
            </w:pPr>
            <w:r w:rsidRPr="00304619">
              <w:t>$</w:t>
            </w:r>
            <w:r>
              <w:t>5,</w:t>
            </w:r>
            <w:r w:rsidR="00476388">
              <w:t>3</w:t>
            </w:r>
            <w:r>
              <w:t>6</w:t>
            </w:r>
            <w:r w:rsidR="003F6C25">
              <w:t>4</w:t>
            </w:r>
            <w:r>
              <w:t>.99</w:t>
            </w:r>
          </w:p>
        </w:tc>
        <w:tc>
          <w:tcPr>
            <w:tcW w:w="2855" w:type="dxa"/>
            <w:vMerge/>
            <w:tcBorders>
              <w:left w:val="single" w:sz="4" w:space="0" w:color="auto"/>
              <w:right w:val="single" w:sz="4" w:space="0" w:color="auto"/>
            </w:tcBorders>
            <w:shd w:val="clear" w:color="auto" w:fill="auto"/>
          </w:tcPr>
          <w:p w14:paraId="58594F94" w14:textId="77777777" w:rsidR="00A83484" w:rsidRPr="003E3466" w:rsidRDefault="00A83484" w:rsidP="00677F6D">
            <w:pPr>
              <w:pStyle w:val="TableText0"/>
            </w:pPr>
          </w:p>
        </w:tc>
      </w:tr>
      <w:tr w:rsidR="00A83484" w:rsidRPr="00016330" w14:paraId="1BC2A04A" w14:textId="77777777" w:rsidTr="00884BEB">
        <w:trPr>
          <w:tblHeader/>
        </w:trPr>
        <w:tc>
          <w:tcPr>
            <w:tcW w:w="0" w:type="auto"/>
            <w:gridSpan w:val="15"/>
            <w:tcBorders>
              <w:top w:val="single" w:sz="4" w:space="0" w:color="auto"/>
              <w:left w:val="single" w:sz="4" w:space="0" w:color="auto"/>
              <w:bottom w:val="single" w:sz="4" w:space="0" w:color="auto"/>
              <w:right w:val="single" w:sz="4" w:space="0" w:color="auto"/>
            </w:tcBorders>
            <w:shd w:val="clear" w:color="auto" w:fill="auto"/>
          </w:tcPr>
          <w:p w14:paraId="691D152F" w14:textId="77777777" w:rsidR="00A83484" w:rsidRPr="00016330" w:rsidRDefault="00A83484" w:rsidP="00677F6D">
            <w:pPr>
              <w:pStyle w:val="TableText0"/>
              <w:rPr>
                <w:b/>
                <w:bCs w:val="0"/>
              </w:rPr>
            </w:pPr>
            <w:r w:rsidRPr="00016330">
              <w:rPr>
                <w:b/>
                <w:bCs w:val="0"/>
              </w:rPr>
              <w:t xml:space="preserve">MBS costs </w:t>
            </w:r>
          </w:p>
        </w:tc>
      </w:tr>
      <w:tr w:rsidR="00A83484" w:rsidRPr="00E559AE" w14:paraId="4D6CEA9F" w14:textId="77777777" w:rsidTr="00884BEB">
        <w:trPr>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8C0629" w14:textId="77777777" w:rsidR="00A83484" w:rsidRPr="004B0D95" w:rsidRDefault="00A83484" w:rsidP="00677F6D">
            <w:pPr>
              <w:pStyle w:val="TableText0"/>
            </w:pPr>
            <w:r w:rsidRPr="004B0D95">
              <w:t>Cost per administration</w:t>
            </w:r>
          </w:p>
        </w:tc>
        <w:tc>
          <w:tcPr>
            <w:tcW w:w="4346" w:type="dxa"/>
            <w:gridSpan w:val="13"/>
            <w:tcBorders>
              <w:top w:val="single" w:sz="4" w:space="0" w:color="auto"/>
              <w:left w:val="single" w:sz="4" w:space="0" w:color="auto"/>
              <w:bottom w:val="single" w:sz="4" w:space="0" w:color="auto"/>
              <w:right w:val="single" w:sz="4" w:space="0" w:color="auto"/>
            </w:tcBorders>
            <w:shd w:val="clear" w:color="auto" w:fill="auto"/>
          </w:tcPr>
          <w:p w14:paraId="5AD50D1D" w14:textId="77777777" w:rsidR="00A83484" w:rsidRPr="004B0D95" w:rsidRDefault="00A83484" w:rsidP="00677F6D">
            <w:pPr>
              <w:pStyle w:val="TableText0"/>
            </w:pPr>
            <w:r w:rsidRPr="004B0D95">
              <w:t>MBS item 105</w:t>
            </w:r>
            <w:r>
              <w:t xml:space="preserve">: </w:t>
            </w:r>
            <w:r w:rsidRPr="004B0D95">
              <w:t>Fee: $46.15</w:t>
            </w:r>
            <w:r>
              <w:t>;</w:t>
            </w:r>
            <w:r w:rsidRPr="004B0D95">
              <w:t xml:space="preserve"> 85% </w:t>
            </w:r>
            <w:r>
              <w:t xml:space="preserve">benefit </w:t>
            </w:r>
            <w:r w:rsidRPr="004B0D95">
              <w:t>= $39.25</w:t>
            </w:r>
          </w:p>
        </w:tc>
        <w:tc>
          <w:tcPr>
            <w:tcW w:w="2855" w:type="dxa"/>
          </w:tcPr>
          <w:p w14:paraId="3A64F08B" w14:textId="77777777" w:rsidR="00A83484" w:rsidRPr="00E559AE" w:rsidRDefault="00A83484" w:rsidP="00677F6D">
            <w:pPr>
              <w:pStyle w:val="TableText0"/>
              <w:rPr>
                <w:highlight w:val="yellow"/>
              </w:rPr>
            </w:pPr>
            <w:r w:rsidRPr="004B0D95">
              <w:t>October 2021 MBS Schedule</w:t>
            </w:r>
          </w:p>
        </w:tc>
      </w:tr>
    </w:tbl>
    <w:p w14:paraId="58EDEBDD" w14:textId="77777777" w:rsidR="00811136" w:rsidRDefault="00811136" w:rsidP="00677F6D">
      <w:pPr>
        <w:pStyle w:val="FooterTableFigure"/>
        <w:keepNext/>
      </w:pPr>
      <w:r>
        <w:t xml:space="preserve">Source: Table 128, p238-241 of the submission. </w:t>
      </w:r>
    </w:p>
    <w:p w14:paraId="5791EA4E" w14:textId="65C6D8CC" w:rsidR="00DB5667" w:rsidRDefault="00811136" w:rsidP="00677F6D">
      <w:pPr>
        <w:pStyle w:val="FooterTableFigure"/>
        <w:keepNext/>
        <w:spacing w:after="0"/>
      </w:pPr>
      <w:r w:rsidRPr="00F42CCD">
        <w:t>aHUS</w:t>
      </w:r>
      <w:r>
        <w:t xml:space="preserve"> = </w:t>
      </w:r>
      <w:r w:rsidRPr="00F42CCD">
        <w:t xml:space="preserve">atypical haemolytic </w:t>
      </w:r>
      <w:r>
        <w:t>uraemic</w:t>
      </w:r>
      <w:r w:rsidRPr="00F42CCD">
        <w:t xml:space="preserve"> syndrome; </w:t>
      </w:r>
      <w:r>
        <w:t>CMA = cost-minimisation analysis; NA = not applicable; PI = product information</w:t>
      </w:r>
    </w:p>
    <w:p w14:paraId="55A532D2" w14:textId="77777777" w:rsidR="006C0C7B" w:rsidRPr="009A6D58" w:rsidRDefault="006C0C7B" w:rsidP="00677F6D">
      <w:pPr>
        <w:keepNext/>
        <w:rPr>
          <w:rFonts w:ascii="Arial Narrow" w:hAnsi="Arial Narrow" w:cs="Arial"/>
          <w:i/>
          <w:sz w:val="18"/>
          <w:szCs w:val="18"/>
          <w:lang w:eastAsia="en-AU"/>
        </w:rPr>
      </w:pPr>
      <w:r w:rsidRPr="009A6D58">
        <w:rPr>
          <w:rFonts w:ascii="Arial Narrow" w:hAnsi="Arial Narrow" w:cs="Arial"/>
          <w:i/>
          <w:sz w:val="18"/>
          <w:szCs w:val="18"/>
          <w:lang w:eastAsia="en-AU"/>
        </w:rPr>
        <w:t xml:space="preserve">The redacted values correspond to the following ranges: </w:t>
      </w:r>
    </w:p>
    <w:p w14:paraId="3D9B8173" w14:textId="4170CA34" w:rsidR="006C0C7B" w:rsidRPr="009A6D58" w:rsidRDefault="006C0C7B" w:rsidP="00C1183C">
      <w:pPr>
        <w:spacing w:after="120"/>
        <w:rPr>
          <w:rFonts w:ascii="Arial Narrow" w:hAnsi="Arial Narrow" w:cs="Arial"/>
          <w:i/>
          <w:sz w:val="18"/>
          <w:szCs w:val="18"/>
          <w:lang w:eastAsia="en-AU"/>
        </w:rPr>
      </w:pPr>
      <w:r w:rsidRPr="009A6D58">
        <w:rPr>
          <w:rFonts w:ascii="Arial Narrow" w:hAnsi="Arial Narrow" w:cs="Arial"/>
          <w:i/>
          <w:sz w:val="18"/>
          <w:szCs w:val="18"/>
          <w:vertAlign w:val="superscript"/>
          <w:lang w:eastAsia="en-AU"/>
        </w:rPr>
        <w:t>1</w:t>
      </w:r>
      <w:r>
        <w:rPr>
          <w:rFonts w:ascii="Arial Narrow" w:hAnsi="Arial Narrow" w:cs="Arial"/>
          <w:i/>
          <w:sz w:val="18"/>
          <w:szCs w:val="18"/>
          <w:lang w:eastAsia="en-AU"/>
        </w:rPr>
        <w:t xml:space="preserve"> </w:t>
      </w:r>
      <w:r w:rsidR="00C1183C" w:rsidRPr="00C1183C">
        <w:rPr>
          <w:rFonts w:ascii="Arial Narrow" w:hAnsi="Arial Narrow" w:cs="Arial"/>
          <w:i/>
          <w:sz w:val="18"/>
          <w:szCs w:val="18"/>
          <w:lang w:eastAsia="en-AU"/>
        </w:rPr>
        <w:t>&lt; 500</w:t>
      </w:r>
    </w:p>
    <w:p w14:paraId="0965176D" w14:textId="4BA3576D" w:rsidR="00E81BF4" w:rsidRPr="00C35076" w:rsidRDefault="00E81BF4" w:rsidP="00B306AF">
      <w:pPr>
        <w:pStyle w:val="3-BodyText"/>
      </w:pPr>
      <w:r>
        <w:lastRenderedPageBreak/>
        <w:t>The submission proposed that r</w:t>
      </w:r>
      <w:r w:rsidRPr="007B3A47">
        <w:t>avulizumab will replace eculizumab therapy for a proportion of patients that currently meet the PBS criteria for eculizumab therapy</w:t>
      </w:r>
      <w:r>
        <w:t xml:space="preserve"> and therefore calculated</w:t>
      </w:r>
      <w:r w:rsidRPr="007B3A47">
        <w:t xml:space="preserve"> the cost offset associated with the reduction in eculizumab use.</w:t>
      </w:r>
      <w:r w:rsidR="00703324">
        <w:t xml:space="preserve"> The submission noted that clinical experts estimated 90% to 95% of patients established on eculizumab would switch to ravulizumab when it became available on the PBS. But the submission applied an uptake rate of 70% in Years 1 and 2, 80% in Year 3 and 90% in Year 4 onward to allow time for clinicians to become comfortable with ravulizumab use, </w:t>
      </w:r>
      <w:proofErr w:type="gramStart"/>
      <w:r w:rsidR="00703324">
        <w:t>and also</w:t>
      </w:r>
      <w:proofErr w:type="gramEnd"/>
      <w:r w:rsidR="00703324">
        <w:t xml:space="preserve"> </w:t>
      </w:r>
      <w:r w:rsidR="00A77C80">
        <w:t xml:space="preserve">to </w:t>
      </w:r>
      <w:r w:rsidR="00703324">
        <w:t xml:space="preserve">reflect that not all current eculizumab patients would be suitable for </w:t>
      </w:r>
      <w:r w:rsidR="00703324" w:rsidRPr="00C35076">
        <w:t xml:space="preserve">ravulizumab therapy. Uptake of 70% to 80% is lower than the 90% </w:t>
      </w:r>
      <w:r w:rsidR="00C44D13">
        <w:t xml:space="preserve">to </w:t>
      </w:r>
      <w:r w:rsidR="00703324" w:rsidRPr="00C35076">
        <w:t xml:space="preserve">95% </w:t>
      </w:r>
      <w:r w:rsidR="00AC57FF" w:rsidRPr="00C35076">
        <w:t>estimated</w:t>
      </w:r>
      <w:r w:rsidR="00703324" w:rsidRPr="00C35076">
        <w:t xml:space="preserve"> by clinical experts, although it has limited impact on the financial estimates</w:t>
      </w:r>
      <w:r w:rsidRPr="00C35076">
        <w:t>.</w:t>
      </w:r>
      <w:r w:rsidR="0005020A" w:rsidRPr="003A48D2">
        <w:rPr>
          <w:iCs/>
        </w:rPr>
        <w:t xml:space="preserve"> </w:t>
      </w:r>
    </w:p>
    <w:p w14:paraId="4894B90E" w14:textId="73BE4842" w:rsidR="00E81BF4" w:rsidRPr="00D64D6F" w:rsidRDefault="00E81BF4" w:rsidP="00B306AF">
      <w:pPr>
        <w:pStyle w:val="3-BodyText"/>
      </w:pPr>
      <w:r w:rsidRPr="00D64D6F">
        <w:t>The submission did not provide estimates of the number of administrations and scripts that would be substituted for eculizumab. Instead, the submission provided estimates of the total use and cost of eculizumab with and without the PBS listing of ravulizumab.</w:t>
      </w:r>
    </w:p>
    <w:p w14:paraId="64473B3C" w14:textId="545DBCA6" w:rsidR="009A667C" w:rsidRPr="00C35076" w:rsidRDefault="00E81BF4" w:rsidP="00B306AF">
      <w:pPr>
        <w:pStyle w:val="3-BodyText"/>
      </w:pPr>
      <w:r w:rsidRPr="00D64D6F">
        <w:t xml:space="preserve">The </w:t>
      </w:r>
      <w:r w:rsidR="00C35076">
        <w:t xml:space="preserve">evaluation considered the </w:t>
      </w:r>
      <w:r w:rsidRPr="00D64D6F">
        <w:t>data</w:t>
      </w:r>
      <w:r w:rsidR="00633D60" w:rsidRPr="00D64D6F">
        <w:t xml:space="preserve"> sources </w:t>
      </w:r>
      <w:r w:rsidRPr="00D64D6F">
        <w:t>used we</w:t>
      </w:r>
      <w:r w:rsidR="00633D60" w:rsidRPr="00D64D6F">
        <w:t>re reasonable, although the proportion of patients who will switch from eculizumab as well as the</w:t>
      </w:r>
      <w:r w:rsidR="00ED4B7C" w:rsidRPr="00D64D6F">
        <w:t xml:space="preserve"> </w:t>
      </w:r>
      <w:r w:rsidR="001E7333" w:rsidRPr="00D64D6F">
        <w:t>actual dosages used when switching</w:t>
      </w:r>
      <w:r w:rsidR="00633D60" w:rsidRPr="00D64D6F">
        <w:t>, are sources of uncertainty</w:t>
      </w:r>
      <w:r w:rsidR="009A667C" w:rsidRPr="00D64D6F">
        <w:t>.</w:t>
      </w:r>
      <w:r w:rsidRPr="00D64D6F">
        <w:t xml:space="preserve"> </w:t>
      </w:r>
      <w:r w:rsidR="001E7333" w:rsidRPr="00D64D6F">
        <w:t xml:space="preserve">Another key source of uncertainty is the average doses that will be used in clinical practice given the average weight of the patient population is </w:t>
      </w:r>
      <w:r w:rsidR="004216BB">
        <w:t>unknown</w:t>
      </w:r>
      <w:r w:rsidR="004216BB" w:rsidRPr="00D64D6F">
        <w:t xml:space="preserve"> </w:t>
      </w:r>
      <w:r w:rsidR="001E7333" w:rsidRPr="00D64D6F">
        <w:t xml:space="preserve">(as discussed in </w:t>
      </w:r>
      <w:r w:rsidR="00582964" w:rsidRPr="00D64D6F">
        <w:t xml:space="preserve">the ‘Economic </w:t>
      </w:r>
      <w:r w:rsidR="00582964" w:rsidRPr="00B70642">
        <w:t>analysis’ section</w:t>
      </w:r>
      <w:r w:rsidR="001E7333" w:rsidRPr="00B70642">
        <w:t xml:space="preserve">). </w:t>
      </w:r>
    </w:p>
    <w:p w14:paraId="0335C82E" w14:textId="429179F8" w:rsidR="00EC1C71" w:rsidRPr="00323D17" w:rsidRDefault="00EC1C71" w:rsidP="00323D17">
      <w:pPr>
        <w:pStyle w:val="3-BodyText"/>
        <w:rPr>
          <w:b/>
          <w:bCs/>
        </w:rPr>
      </w:pPr>
      <w:r w:rsidRPr="00C35076">
        <w:t>The submission also included estimated cost offsets to the MBS given an expected lower number of infusions per patient per year for ravulizumab than for eculizumab.</w:t>
      </w:r>
      <w:r w:rsidR="009A0048" w:rsidRPr="00C35076">
        <w:t xml:space="preserve"> The estimated cost offset was</w:t>
      </w:r>
      <w:r w:rsidR="00C44D13">
        <w:t xml:space="preserve"> relatively</w:t>
      </w:r>
      <w:r w:rsidR="009A0048" w:rsidRPr="00C35076">
        <w:t xml:space="preserve"> small</w:t>
      </w:r>
      <w:r w:rsidR="00B70642" w:rsidRPr="00C35076">
        <w:t xml:space="preserve"> (under $100,000 per year). </w:t>
      </w:r>
      <w:r w:rsidR="009A0048" w:rsidRPr="00C35076">
        <w:t xml:space="preserve">These offsets </w:t>
      </w:r>
      <w:r w:rsidR="00B70642" w:rsidRPr="00C35076">
        <w:t xml:space="preserve">are </w:t>
      </w:r>
      <w:r w:rsidR="009A0048" w:rsidRPr="00C35076">
        <w:t>not included in</w:t>
      </w:r>
      <w:r w:rsidR="00800E86">
        <w:t xml:space="preserve"> </w:t>
      </w:r>
      <w:r w:rsidR="00B70642" w:rsidRPr="00C35076">
        <w:fldChar w:fldCharType="begin" w:fldLock="1"/>
      </w:r>
      <w:r w:rsidR="00B70642" w:rsidRPr="00C35076">
        <w:instrText xml:space="preserve"> REF _Ref120628620 \h </w:instrText>
      </w:r>
      <w:r w:rsidR="00C35076">
        <w:instrText xml:space="preserve"> \* MERGEFORMAT </w:instrText>
      </w:r>
      <w:r w:rsidR="00B70642" w:rsidRPr="00C35076">
        <w:fldChar w:fldCharType="separate"/>
      </w:r>
      <w:r w:rsidR="00916EDA">
        <w:t xml:space="preserve">Table </w:t>
      </w:r>
      <w:r w:rsidR="00916EDA">
        <w:rPr>
          <w:noProof/>
        </w:rPr>
        <w:t>14</w:t>
      </w:r>
      <w:r w:rsidR="00B70642" w:rsidRPr="00C35076">
        <w:fldChar w:fldCharType="end"/>
      </w:r>
      <w:r w:rsidR="009A0048" w:rsidRPr="00C35076">
        <w:t xml:space="preserve">, as </w:t>
      </w:r>
      <w:r w:rsidR="00CB4BDC" w:rsidRPr="00C35076">
        <w:t xml:space="preserve">reduced </w:t>
      </w:r>
      <w:r w:rsidR="009A0048" w:rsidRPr="00C35076">
        <w:t xml:space="preserve">costs for specialist visits are not </w:t>
      </w:r>
      <w:r w:rsidR="00B70642" w:rsidRPr="00C35076">
        <w:t xml:space="preserve">generally considered </w:t>
      </w:r>
      <w:r w:rsidR="009A0048" w:rsidRPr="00C35076">
        <w:t xml:space="preserve">a saving to Government as they will be used by other patients.  </w:t>
      </w:r>
    </w:p>
    <w:p w14:paraId="16DBF41A" w14:textId="4A8E0075" w:rsidR="00DB5667" w:rsidRPr="00D64D6F" w:rsidRDefault="00DB5667" w:rsidP="00B306AF">
      <w:pPr>
        <w:pStyle w:val="3-BodyText"/>
      </w:pPr>
      <w:r w:rsidRPr="00D64D6F">
        <w:t>As noted above, the weight of patients will determine dose and cost. However, because the number of patients treated is small,</w:t>
      </w:r>
      <w:r w:rsidR="004216BB">
        <w:t xml:space="preserve"> the</w:t>
      </w:r>
      <w:r w:rsidRPr="00D64D6F">
        <w:t xml:space="preserve"> total cost for ravulizumab is uncertain because even a few additional patients of higher body weight have a meaningful impact on total cost. </w:t>
      </w:r>
    </w:p>
    <w:p w14:paraId="095B44A4" w14:textId="30CBB097" w:rsidR="00C177E2" w:rsidRDefault="003F22EF" w:rsidP="00B306AF">
      <w:pPr>
        <w:pStyle w:val="3-BodyText"/>
      </w:pPr>
      <w:r>
        <w:t>The overall estimated use and financial implications of listing ravulizumab are shown in</w:t>
      </w:r>
      <w:r w:rsidR="00350E58">
        <w:t xml:space="preserve"> </w:t>
      </w:r>
      <w:r w:rsidR="00350E58">
        <w:fldChar w:fldCharType="begin" w:fldLock="1"/>
      </w:r>
      <w:r w:rsidR="00350E58">
        <w:instrText xml:space="preserve"> REF _Ref120628620 \h </w:instrText>
      </w:r>
      <w:r w:rsidR="00350E58">
        <w:fldChar w:fldCharType="separate"/>
      </w:r>
      <w:r w:rsidR="00916EDA">
        <w:t xml:space="preserve">Table </w:t>
      </w:r>
      <w:r w:rsidR="00916EDA">
        <w:rPr>
          <w:noProof/>
        </w:rPr>
        <w:t>14</w:t>
      </w:r>
      <w:r w:rsidR="00350E58">
        <w:fldChar w:fldCharType="end"/>
      </w:r>
      <w:r w:rsidR="00045D90">
        <w:t>.</w:t>
      </w:r>
    </w:p>
    <w:p w14:paraId="5CE036A9" w14:textId="7499A324" w:rsidR="003C10C1" w:rsidRPr="00C177E2" w:rsidRDefault="003F22EF" w:rsidP="00677F6D">
      <w:pPr>
        <w:pStyle w:val="Caption"/>
        <w:rPr>
          <w:szCs w:val="24"/>
        </w:rPr>
      </w:pPr>
      <w:bookmarkStart w:id="63" w:name="_Ref120628620"/>
      <w:r>
        <w:lastRenderedPageBreak/>
        <w:t xml:space="preserve">Table </w:t>
      </w:r>
      <w:r>
        <w:fldChar w:fldCharType="begin" w:fldLock="1"/>
      </w:r>
      <w:r>
        <w:instrText>SEQ Table \* ARABIC</w:instrText>
      </w:r>
      <w:r>
        <w:fldChar w:fldCharType="separate"/>
      </w:r>
      <w:r w:rsidR="00916EDA">
        <w:rPr>
          <w:noProof/>
        </w:rPr>
        <w:t>14</w:t>
      </w:r>
      <w:r>
        <w:fldChar w:fldCharType="end"/>
      </w:r>
      <w:bookmarkEnd w:id="63"/>
      <w:r w:rsidR="00E16AD8">
        <w:t>:</w:t>
      </w:r>
      <w:r w:rsidR="002A2F50" w:rsidRPr="00606FBA">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385A9D" w:rsidRPr="00C44D13" w14:paraId="43A2A3A1" w14:textId="77777777" w:rsidTr="008A3158">
        <w:trPr>
          <w:tblHeader/>
        </w:trPr>
        <w:tc>
          <w:tcPr>
            <w:tcW w:w="1334" w:type="pct"/>
            <w:shd w:val="clear" w:color="auto" w:fill="auto"/>
            <w:vAlign w:val="center"/>
          </w:tcPr>
          <w:p w14:paraId="0A4E41E1" w14:textId="77777777" w:rsidR="00385A9D" w:rsidRPr="00C44D13" w:rsidRDefault="00385A9D" w:rsidP="00677F6D">
            <w:pPr>
              <w:pStyle w:val="In-tableHeading"/>
              <w:jc w:val="center"/>
              <w:rPr>
                <w:szCs w:val="20"/>
              </w:rPr>
            </w:pPr>
          </w:p>
        </w:tc>
        <w:tc>
          <w:tcPr>
            <w:tcW w:w="611" w:type="pct"/>
            <w:shd w:val="clear" w:color="auto" w:fill="auto"/>
            <w:vAlign w:val="center"/>
          </w:tcPr>
          <w:p w14:paraId="77420B6F" w14:textId="77777777" w:rsidR="00385A9D" w:rsidRPr="00C44D13" w:rsidRDefault="00385A9D" w:rsidP="00677F6D">
            <w:pPr>
              <w:pStyle w:val="In-tableHeading"/>
              <w:jc w:val="center"/>
              <w:rPr>
                <w:szCs w:val="20"/>
              </w:rPr>
            </w:pPr>
            <w:r w:rsidRPr="00C44D13">
              <w:rPr>
                <w:szCs w:val="20"/>
              </w:rPr>
              <w:t>Year 1</w:t>
            </w:r>
          </w:p>
        </w:tc>
        <w:tc>
          <w:tcPr>
            <w:tcW w:w="611" w:type="pct"/>
            <w:shd w:val="clear" w:color="auto" w:fill="auto"/>
            <w:vAlign w:val="center"/>
          </w:tcPr>
          <w:p w14:paraId="3BBD9218" w14:textId="77777777" w:rsidR="00385A9D" w:rsidRPr="00C44D13" w:rsidRDefault="00385A9D" w:rsidP="00677F6D">
            <w:pPr>
              <w:pStyle w:val="In-tableHeading"/>
              <w:jc w:val="center"/>
              <w:rPr>
                <w:szCs w:val="20"/>
              </w:rPr>
            </w:pPr>
            <w:r w:rsidRPr="00C44D13">
              <w:rPr>
                <w:szCs w:val="20"/>
              </w:rPr>
              <w:t>Year 2</w:t>
            </w:r>
          </w:p>
        </w:tc>
        <w:tc>
          <w:tcPr>
            <w:tcW w:w="611" w:type="pct"/>
            <w:shd w:val="clear" w:color="auto" w:fill="auto"/>
            <w:vAlign w:val="center"/>
          </w:tcPr>
          <w:p w14:paraId="729A646E" w14:textId="77777777" w:rsidR="00385A9D" w:rsidRPr="00C44D13" w:rsidRDefault="00385A9D" w:rsidP="00677F6D">
            <w:pPr>
              <w:pStyle w:val="In-tableHeading"/>
              <w:jc w:val="center"/>
              <w:rPr>
                <w:szCs w:val="20"/>
              </w:rPr>
            </w:pPr>
            <w:r w:rsidRPr="00C44D13">
              <w:rPr>
                <w:szCs w:val="20"/>
              </w:rPr>
              <w:t>Year 3</w:t>
            </w:r>
          </w:p>
        </w:tc>
        <w:tc>
          <w:tcPr>
            <w:tcW w:w="611" w:type="pct"/>
            <w:shd w:val="clear" w:color="auto" w:fill="auto"/>
            <w:vAlign w:val="center"/>
          </w:tcPr>
          <w:p w14:paraId="280BB544" w14:textId="77777777" w:rsidR="00385A9D" w:rsidRPr="00C44D13" w:rsidRDefault="00385A9D" w:rsidP="00677F6D">
            <w:pPr>
              <w:pStyle w:val="In-tableHeading"/>
              <w:jc w:val="center"/>
              <w:rPr>
                <w:szCs w:val="20"/>
              </w:rPr>
            </w:pPr>
            <w:r w:rsidRPr="00C44D13">
              <w:rPr>
                <w:szCs w:val="20"/>
              </w:rPr>
              <w:t>Year 4</w:t>
            </w:r>
          </w:p>
        </w:tc>
        <w:tc>
          <w:tcPr>
            <w:tcW w:w="611" w:type="pct"/>
            <w:shd w:val="clear" w:color="auto" w:fill="auto"/>
            <w:vAlign w:val="center"/>
          </w:tcPr>
          <w:p w14:paraId="6435BB5B" w14:textId="77777777" w:rsidR="00385A9D" w:rsidRPr="00C44D13" w:rsidRDefault="00385A9D" w:rsidP="00677F6D">
            <w:pPr>
              <w:pStyle w:val="In-tableHeading"/>
              <w:jc w:val="center"/>
              <w:rPr>
                <w:szCs w:val="20"/>
              </w:rPr>
            </w:pPr>
            <w:r w:rsidRPr="00C44D13">
              <w:rPr>
                <w:szCs w:val="20"/>
              </w:rPr>
              <w:t>Year 5</w:t>
            </w:r>
          </w:p>
        </w:tc>
        <w:tc>
          <w:tcPr>
            <w:tcW w:w="611" w:type="pct"/>
          </w:tcPr>
          <w:p w14:paraId="7C618119" w14:textId="77777777" w:rsidR="00385A9D" w:rsidRPr="00C44D13" w:rsidRDefault="00385A9D" w:rsidP="00677F6D">
            <w:pPr>
              <w:pStyle w:val="In-tableHeading"/>
              <w:jc w:val="center"/>
              <w:rPr>
                <w:szCs w:val="20"/>
              </w:rPr>
            </w:pPr>
            <w:r w:rsidRPr="00C44D13">
              <w:rPr>
                <w:szCs w:val="20"/>
              </w:rPr>
              <w:t>Year 6</w:t>
            </w:r>
          </w:p>
        </w:tc>
      </w:tr>
      <w:tr w:rsidR="00385A9D" w:rsidRPr="00C44D13" w14:paraId="3C519059" w14:textId="77777777" w:rsidTr="009C3A3A">
        <w:tc>
          <w:tcPr>
            <w:tcW w:w="5000" w:type="pct"/>
            <w:gridSpan w:val="7"/>
            <w:shd w:val="clear" w:color="auto" w:fill="auto"/>
            <w:vAlign w:val="center"/>
          </w:tcPr>
          <w:p w14:paraId="516C2197" w14:textId="77777777" w:rsidR="00385A9D" w:rsidRPr="00C44D13" w:rsidRDefault="00385A9D" w:rsidP="00677F6D">
            <w:pPr>
              <w:pStyle w:val="In-tableHeading"/>
              <w:rPr>
                <w:bCs/>
                <w:color w:val="000000"/>
                <w:szCs w:val="20"/>
              </w:rPr>
            </w:pPr>
            <w:r w:rsidRPr="00C44D13">
              <w:rPr>
                <w:bCs/>
                <w:color w:val="000000"/>
                <w:szCs w:val="20"/>
              </w:rPr>
              <w:t>Estimated extent of use</w:t>
            </w:r>
          </w:p>
        </w:tc>
      </w:tr>
      <w:tr w:rsidR="00350E58" w:rsidRPr="00C44D13" w14:paraId="148A8EEF" w14:textId="77777777" w:rsidTr="00045D90">
        <w:tc>
          <w:tcPr>
            <w:tcW w:w="1334" w:type="pct"/>
            <w:shd w:val="clear" w:color="auto" w:fill="auto"/>
            <w:vAlign w:val="center"/>
          </w:tcPr>
          <w:p w14:paraId="201B6ECA" w14:textId="31473F72" w:rsidR="00350E58" w:rsidRPr="00E1325B" w:rsidRDefault="00350E58" w:rsidP="00677F6D">
            <w:pPr>
              <w:pStyle w:val="TableText0"/>
              <w:rPr>
                <w:rFonts w:ascii="Times" w:hAnsi="Times"/>
                <w:szCs w:val="20"/>
                <w:vertAlign w:val="superscript"/>
              </w:rPr>
            </w:pPr>
            <w:r w:rsidRPr="00C44D13">
              <w:rPr>
                <w:szCs w:val="20"/>
              </w:rPr>
              <w:t>Number of incident and prevalent patients treated</w:t>
            </w:r>
            <w:r w:rsidR="00E1325B">
              <w:rPr>
                <w:szCs w:val="20"/>
                <w:vertAlign w:val="superscript"/>
              </w:rPr>
              <w:t>b</w:t>
            </w:r>
          </w:p>
        </w:tc>
        <w:tc>
          <w:tcPr>
            <w:tcW w:w="611" w:type="pct"/>
            <w:shd w:val="clear" w:color="auto" w:fill="auto"/>
            <w:vAlign w:val="center"/>
          </w:tcPr>
          <w:p w14:paraId="577607A9" w14:textId="388B470E" w:rsidR="00350E58" w:rsidRPr="00323D17" w:rsidRDefault="00C47128" w:rsidP="00677F6D">
            <w:pPr>
              <w:pStyle w:val="TableText0"/>
              <w:jc w:val="center"/>
              <w:rPr>
                <w:color w:val="000000"/>
                <w:szCs w:val="20"/>
                <w:highlight w:val="darkGray"/>
              </w:rPr>
            </w:pPr>
            <w:r w:rsidRPr="00C47128">
              <w:rPr>
                <w:rFonts w:cs="Arial"/>
                <w:bCs w:val="0"/>
                <w:color w:val="000000"/>
                <w:spacing w:val="70"/>
                <w:szCs w:val="20"/>
                <w:shd w:val="solid" w:color="000000" w:fill="000000"/>
                <w:fitText w:val="382" w:id="-1236585717"/>
                <w14:textFill>
                  <w14:solidFill>
                    <w14:srgbClr w14:val="000000">
                      <w14:alpha w14:val="100000"/>
                    </w14:srgbClr>
                  </w14:solidFill>
                </w14:textFill>
              </w:rPr>
              <w:t>|||</w:t>
            </w:r>
            <w:r w:rsidRPr="00C47128">
              <w:rPr>
                <w:rFonts w:cs="Arial"/>
                <w:bCs w:val="0"/>
                <w:color w:val="000000"/>
                <w:spacing w:val="2"/>
                <w:szCs w:val="20"/>
                <w:shd w:val="solid" w:color="000000" w:fill="000000"/>
                <w:fitText w:val="382" w:id="-1236585717"/>
                <w14:textFill>
                  <w14:solidFill>
                    <w14:srgbClr w14:val="000000">
                      <w14:alpha w14:val="100000"/>
                    </w14:srgbClr>
                  </w14:solidFill>
                </w14:textFill>
              </w:rPr>
              <w:t>|</w:t>
            </w:r>
            <w:r w:rsidR="00C1183C" w:rsidRPr="00C1183C">
              <w:rPr>
                <w:vertAlign w:val="superscript"/>
              </w:rPr>
              <w:t>1</w:t>
            </w:r>
          </w:p>
        </w:tc>
        <w:tc>
          <w:tcPr>
            <w:tcW w:w="611" w:type="pct"/>
            <w:shd w:val="clear" w:color="auto" w:fill="auto"/>
            <w:vAlign w:val="center"/>
          </w:tcPr>
          <w:p w14:paraId="6610B4C9" w14:textId="02B32780" w:rsidR="00350E58" w:rsidRPr="00323D17" w:rsidRDefault="00C47128" w:rsidP="00677F6D">
            <w:pPr>
              <w:pStyle w:val="TableText0"/>
              <w:jc w:val="center"/>
              <w:rPr>
                <w:color w:val="000000"/>
                <w:szCs w:val="20"/>
                <w:highlight w:val="darkGray"/>
              </w:rPr>
            </w:pPr>
            <w:r w:rsidRPr="00C47128">
              <w:rPr>
                <w:rFonts w:cs="Arial"/>
                <w:bCs w:val="0"/>
                <w:color w:val="000000"/>
                <w:spacing w:val="70"/>
                <w:szCs w:val="20"/>
                <w:shd w:val="solid" w:color="000000" w:fill="000000"/>
                <w:fitText w:val="383" w:id="-1236585716"/>
                <w14:textFill>
                  <w14:solidFill>
                    <w14:srgbClr w14:val="000000">
                      <w14:alpha w14:val="100000"/>
                    </w14:srgbClr>
                  </w14:solidFill>
                </w14:textFill>
              </w:rPr>
              <w:t>|||</w:t>
            </w:r>
            <w:r w:rsidRPr="00C47128">
              <w:rPr>
                <w:rFonts w:cs="Arial"/>
                <w:bCs w:val="0"/>
                <w:color w:val="000000"/>
                <w:spacing w:val="3"/>
                <w:szCs w:val="20"/>
                <w:shd w:val="solid" w:color="000000" w:fill="000000"/>
                <w:fitText w:val="383" w:id="-1236585716"/>
                <w14:textFill>
                  <w14:solidFill>
                    <w14:srgbClr w14:val="000000">
                      <w14:alpha w14:val="100000"/>
                    </w14:srgbClr>
                  </w14:solidFill>
                </w14:textFill>
              </w:rPr>
              <w:t>|</w:t>
            </w:r>
            <w:r w:rsidR="00C1183C" w:rsidRPr="00C1183C">
              <w:rPr>
                <w:vertAlign w:val="superscript"/>
              </w:rPr>
              <w:t>1</w:t>
            </w:r>
          </w:p>
        </w:tc>
        <w:tc>
          <w:tcPr>
            <w:tcW w:w="611" w:type="pct"/>
            <w:shd w:val="clear" w:color="auto" w:fill="auto"/>
            <w:vAlign w:val="center"/>
          </w:tcPr>
          <w:p w14:paraId="29F46D6B" w14:textId="4AF144FA" w:rsidR="00350E58" w:rsidRPr="00323D17" w:rsidRDefault="00C47128" w:rsidP="00677F6D">
            <w:pPr>
              <w:pStyle w:val="TableText0"/>
              <w:jc w:val="center"/>
              <w:rPr>
                <w:color w:val="000000"/>
                <w:szCs w:val="20"/>
                <w:highlight w:val="darkGray"/>
              </w:rPr>
            </w:pPr>
            <w:r w:rsidRPr="00C47128">
              <w:rPr>
                <w:rFonts w:cs="Arial"/>
                <w:bCs w:val="0"/>
                <w:color w:val="000000"/>
                <w:spacing w:val="70"/>
                <w:szCs w:val="20"/>
                <w:shd w:val="solid" w:color="000000" w:fill="000000"/>
                <w:fitText w:val="383" w:id="-1236585715"/>
                <w14:textFill>
                  <w14:solidFill>
                    <w14:srgbClr w14:val="000000">
                      <w14:alpha w14:val="100000"/>
                    </w14:srgbClr>
                  </w14:solidFill>
                </w14:textFill>
              </w:rPr>
              <w:t>|||</w:t>
            </w:r>
            <w:r w:rsidRPr="00C47128">
              <w:rPr>
                <w:rFonts w:cs="Arial"/>
                <w:bCs w:val="0"/>
                <w:color w:val="000000"/>
                <w:spacing w:val="3"/>
                <w:szCs w:val="20"/>
                <w:shd w:val="solid" w:color="000000" w:fill="000000"/>
                <w:fitText w:val="383" w:id="-1236585715"/>
                <w14:textFill>
                  <w14:solidFill>
                    <w14:srgbClr w14:val="000000">
                      <w14:alpha w14:val="100000"/>
                    </w14:srgbClr>
                  </w14:solidFill>
                </w14:textFill>
              </w:rPr>
              <w:t>|</w:t>
            </w:r>
            <w:r w:rsidR="00C1183C" w:rsidRPr="00C1183C">
              <w:rPr>
                <w:vertAlign w:val="superscript"/>
              </w:rPr>
              <w:t>1</w:t>
            </w:r>
          </w:p>
        </w:tc>
        <w:tc>
          <w:tcPr>
            <w:tcW w:w="611" w:type="pct"/>
            <w:shd w:val="clear" w:color="auto" w:fill="auto"/>
            <w:vAlign w:val="center"/>
          </w:tcPr>
          <w:p w14:paraId="21167904" w14:textId="2650123B" w:rsidR="00350E58" w:rsidRPr="00323D17" w:rsidRDefault="00C47128" w:rsidP="00677F6D">
            <w:pPr>
              <w:pStyle w:val="TableText0"/>
              <w:jc w:val="center"/>
              <w:rPr>
                <w:color w:val="000000"/>
                <w:szCs w:val="20"/>
                <w:highlight w:val="darkGray"/>
              </w:rPr>
            </w:pPr>
            <w:r w:rsidRPr="00C47128">
              <w:rPr>
                <w:rFonts w:cs="Arial"/>
                <w:bCs w:val="0"/>
                <w:color w:val="000000"/>
                <w:spacing w:val="70"/>
                <w:szCs w:val="20"/>
                <w:shd w:val="solid" w:color="000000" w:fill="000000"/>
                <w:fitText w:val="383" w:id="-1236585714"/>
                <w14:textFill>
                  <w14:solidFill>
                    <w14:srgbClr w14:val="000000">
                      <w14:alpha w14:val="100000"/>
                    </w14:srgbClr>
                  </w14:solidFill>
                </w14:textFill>
              </w:rPr>
              <w:t>|||</w:t>
            </w:r>
            <w:r w:rsidRPr="00C47128">
              <w:rPr>
                <w:rFonts w:cs="Arial"/>
                <w:bCs w:val="0"/>
                <w:color w:val="000000"/>
                <w:spacing w:val="3"/>
                <w:szCs w:val="20"/>
                <w:shd w:val="solid" w:color="000000" w:fill="000000"/>
                <w:fitText w:val="383" w:id="-1236585714"/>
                <w14:textFill>
                  <w14:solidFill>
                    <w14:srgbClr w14:val="000000">
                      <w14:alpha w14:val="100000"/>
                    </w14:srgbClr>
                  </w14:solidFill>
                </w14:textFill>
              </w:rPr>
              <w:t>|</w:t>
            </w:r>
            <w:r w:rsidR="00C1183C" w:rsidRPr="00C1183C">
              <w:rPr>
                <w:vertAlign w:val="superscript"/>
              </w:rPr>
              <w:t>1</w:t>
            </w:r>
          </w:p>
        </w:tc>
        <w:tc>
          <w:tcPr>
            <w:tcW w:w="611" w:type="pct"/>
            <w:shd w:val="clear" w:color="auto" w:fill="auto"/>
            <w:vAlign w:val="center"/>
          </w:tcPr>
          <w:p w14:paraId="762D4B71" w14:textId="2DE57FF3" w:rsidR="00350E58" w:rsidRPr="00323D17" w:rsidRDefault="00C47128" w:rsidP="00677F6D">
            <w:pPr>
              <w:pStyle w:val="TableText0"/>
              <w:jc w:val="center"/>
              <w:rPr>
                <w:color w:val="000000"/>
                <w:szCs w:val="20"/>
                <w:highlight w:val="darkGray"/>
              </w:rPr>
            </w:pPr>
            <w:r w:rsidRPr="00C47128">
              <w:rPr>
                <w:rFonts w:cs="Arial"/>
                <w:bCs w:val="0"/>
                <w:color w:val="000000"/>
                <w:spacing w:val="70"/>
                <w:szCs w:val="20"/>
                <w:shd w:val="solid" w:color="000000" w:fill="000000"/>
                <w:fitText w:val="383" w:id="-1236585713"/>
                <w14:textFill>
                  <w14:solidFill>
                    <w14:srgbClr w14:val="000000">
                      <w14:alpha w14:val="100000"/>
                    </w14:srgbClr>
                  </w14:solidFill>
                </w14:textFill>
              </w:rPr>
              <w:t>|||</w:t>
            </w:r>
            <w:r w:rsidRPr="00C47128">
              <w:rPr>
                <w:rFonts w:cs="Arial"/>
                <w:bCs w:val="0"/>
                <w:color w:val="000000"/>
                <w:spacing w:val="3"/>
                <w:szCs w:val="20"/>
                <w:shd w:val="solid" w:color="000000" w:fill="000000"/>
                <w:fitText w:val="383" w:id="-1236585713"/>
                <w14:textFill>
                  <w14:solidFill>
                    <w14:srgbClr w14:val="000000">
                      <w14:alpha w14:val="100000"/>
                    </w14:srgbClr>
                  </w14:solidFill>
                </w14:textFill>
              </w:rPr>
              <w:t>|</w:t>
            </w:r>
            <w:r w:rsidR="00C1183C" w:rsidRPr="00C1183C">
              <w:rPr>
                <w:vertAlign w:val="superscript"/>
              </w:rPr>
              <w:t>1</w:t>
            </w:r>
          </w:p>
        </w:tc>
        <w:tc>
          <w:tcPr>
            <w:tcW w:w="611" w:type="pct"/>
            <w:vAlign w:val="center"/>
          </w:tcPr>
          <w:p w14:paraId="42B428B5" w14:textId="3ACCD3DE" w:rsidR="00350E58" w:rsidRPr="00323D17" w:rsidRDefault="00C47128" w:rsidP="00677F6D">
            <w:pPr>
              <w:pStyle w:val="TableText0"/>
              <w:jc w:val="center"/>
              <w:rPr>
                <w:color w:val="000000"/>
                <w:szCs w:val="20"/>
                <w:highlight w:val="darkGray"/>
              </w:rPr>
            </w:pPr>
            <w:r w:rsidRPr="00C47128">
              <w:rPr>
                <w:rFonts w:cs="Arial"/>
                <w:bCs w:val="0"/>
                <w:color w:val="000000"/>
                <w:spacing w:val="70"/>
                <w:szCs w:val="20"/>
                <w:shd w:val="solid" w:color="000000" w:fill="000000"/>
                <w:fitText w:val="383" w:id="-1236585712"/>
                <w14:textFill>
                  <w14:solidFill>
                    <w14:srgbClr w14:val="000000">
                      <w14:alpha w14:val="100000"/>
                    </w14:srgbClr>
                  </w14:solidFill>
                </w14:textFill>
              </w:rPr>
              <w:t>|||</w:t>
            </w:r>
            <w:r w:rsidRPr="00C47128">
              <w:rPr>
                <w:rFonts w:cs="Arial"/>
                <w:bCs w:val="0"/>
                <w:color w:val="000000"/>
                <w:spacing w:val="3"/>
                <w:szCs w:val="20"/>
                <w:shd w:val="solid" w:color="000000" w:fill="000000"/>
                <w:fitText w:val="383" w:id="-1236585712"/>
                <w14:textFill>
                  <w14:solidFill>
                    <w14:srgbClr w14:val="000000">
                      <w14:alpha w14:val="100000"/>
                    </w14:srgbClr>
                  </w14:solidFill>
                </w14:textFill>
              </w:rPr>
              <w:t>|</w:t>
            </w:r>
            <w:r w:rsidR="00C1183C" w:rsidRPr="00C1183C">
              <w:rPr>
                <w:vertAlign w:val="superscript"/>
              </w:rPr>
              <w:t>1</w:t>
            </w:r>
          </w:p>
        </w:tc>
      </w:tr>
      <w:tr w:rsidR="00D01B0D" w:rsidRPr="00C44D13" w14:paraId="738C5CFE" w14:textId="77777777" w:rsidTr="00884BEB">
        <w:tc>
          <w:tcPr>
            <w:tcW w:w="1334" w:type="pct"/>
            <w:shd w:val="clear" w:color="auto" w:fill="auto"/>
            <w:vAlign w:val="center"/>
          </w:tcPr>
          <w:p w14:paraId="10A0941C" w14:textId="7A837102" w:rsidR="00D01B0D" w:rsidRPr="00C44D13" w:rsidRDefault="00D01B0D" w:rsidP="00677F6D">
            <w:pPr>
              <w:pStyle w:val="TableText0"/>
              <w:rPr>
                <w:szCs w:val="20"/>
              </w:rPr>
            </w:pPr>
            <w:r w:rsidRPr="00C44D13">
              <w:rPr>
                <w:szCs w:val="20"/>
              </w:rPr>
              <w:t>Number of ravulizumab 300 mg vials</w:t>
            </w:r>
          </w:p>
        </w:tc>
        <w:tc>
          <w:tcPr>
            <w:tcW w:w="611" w:type="pct"/>
            <w:shd w:val="clear" w:color="auto" w:fill="auto"/>
            <w:vAlign w:val="center"/>
          </w:tcPr>
          <w:p w14:paraId="7B5EA97F" w14:textId="345D5938" w:rsidR="00D01B0D" w:rsidRPr="00323D17" w:rsidRDefault="00C47128" w:rsidP="00677F6D">
            <w:pPr>
              <w:pStyle w:val="TableText0"/>
              <w:jc w:val="center"/>
              <w:rPr>
                <w:color w:val="000000"/>
                <w:szCs w:val="20"/>
                <w:highlight w:val="darkGray"/>
              </w:rPr>
            </w:pPr>
            <w:r w:rsidRPr="00C47128">
              <w:rPr>
                <w:color w:val="000000"/>
                <w:spacing w:val="70"/>
                <w:szCs w:val="20"/>
                <w:shd w:val="solid" w:color="000000" w:fill="000000"/>
                <w:fitText w:val="382" w:id="-1236585728"/>
                <w14:textFill>
                  <w14:solidFill>
                    <w14:srgbClr w14:val="000000">
                      <w14:alpha w14:val="100000"/>
                    </w14:srgbClr>
                  </w14:solidFill>
                </w14:textFill>
              </w:rPr>
              <w:t>|||</w:t>
            </w:r>
            <w:r w:rsidRPr="00C47128">
              <w:rPr>
                <w:color w:val="000000"/>
                <w:spacing w:val="2"/>
                <w:szCs w:val="20"/>
                <w:shd w:val="solid" w:color="000000" w:fill="000000"/>
                <w:fitText w:val="382" w:id="-1236585728"/>
                <w14:textFill>
                  <w14:solidFill>
                    <w14:srgbClr w14:val="000000">
                      <w14:alpha w14:val="100000"/>
                    </w14:srgbClr>
                  </w14:solidFill>
                </w14:textFill>
              </w:rPr>
              <w:t>|</w:t>
            </w:r>
            <w:r w:rsidR="00C1183C">
              <w:rPr>
                <w:vertAlign w:val="superscript"/>
              </w:rPr>
              <w:t>2</w:t>
            </w:r>
          </w:p>
        </w:tc>
        <w:tc>
          <w:tcPr>
            <w:tcW w:w="611" w:type="pct"/>
            <w:shd w:val="clear" w:color="auto" w:fill="auto"/>
            <w:vAlign w:val="center"/>
          </w:tcPr>
          <w:p w14:paraId="79996E3C" w14:textId="221AD537" w:rsidR="00D01B0D" w:rsidRPr="00323D17" w:rsidRDefault="00C47128" w:rsidP="00677F6D">
            <w:pPr>
              <w:pStyle w:val="TableText0"/>
              <w:jc w:val="center"/>
              <w:rPr>
                <w:color w:val="000000"/>
                <w:szCs w:val="20"/>
                <w:highlight w:val="darkGray"/>
              </w:rPr>
            </w:pPr>
            <w:r w:rsidRPr="00C47128">
              <w:rPr>
                <w:color w:val="000000"/>
                <w:spacing w:val="70"/>
                <w:szCs w:val="20"/>
                <w:shd w:val="solid" w:color="000000" w:fill="000000"/>
                <w:fitText w:val="383" w:id="-1236585727"/>
                <w14:textFill>
                  <w14:solidFill>
                    <w14:srgbClr w14:val="000000">
                      <w14:alpha w14:val="100000"/>
                    </w14:srgbClr>
                  </w14:solidFill>
                </w14:textFill>
              </w:rPr>
              <w:t>|||</w:t>
            </w:r>
            <w:r w:rsidRPr="00C47128">
              <w:rPr>
                <w:color w:val="000000"/>
                <w:spacing w:val="3"/>
                <w:szCs w:val="20"/>
                <w:shd w:val="solid" w:color="000000" w:fill="000000"/>
                <w:fitText w:val="383" w:id="-1236585727"/>
                <w14:textFill>
                  <w14:solidFill>
                    <w14:srgbClr w14:val="000000">
                      <w14:alpha w14:val="100000"/>
                    </w14:srgbClr>
                  </w14:solidFill>
                </w14:textFill>
              </w:rPr>
              <w:t>|</w:t>
            </w:r>
            <w:r w:rsidR="00C1183C">
              <w:rPr>
                <w:vertAlign w:val="superscript"/>
              </w:rPr>
              <w:t>2</w:t>
            </w:r>
          </w:p>
        </w:tc>
        <w:tc>
          <w:tcPr>
            <w:tcW w:w="611" w:type="pct"/>
            <w:shd w:val="clear" w:color="auto" w:fill="auto"/>
            <w:vAlign w:val="center"/>
          </w:tcPr>
          <w:p w14:paraId="0E26F2CE" w14:textId="15D35B3F" w:rsidR="00D01B0D" w:rsidRPr="00323D17" w:rsidRDefault="00C47128" w:rsidP="00677F6D">
            <w:pPr>
              <w:pStyle w:val="TableText0"/>
              <w:jc w:val="center"/>
              <w:rPr>
                <w:color w:val="000000"/>
                <w:szCs w:val="20"/>
                <w:highlight w:val="darkGray"/>
              </w:rPr>
            </w:pPr>
            <w:r w:rsidRPr="00C47128">
              <w:rPr>
                <w:color w:val="000000"/>
                <w:spacing w:val="70"/>
                <w:szCs w:val="20"/>
                <w:shd w:val="solid" w:color="000000" w:fill="000000"/>
                <w:fitText w:val="383" w:id="-1236585726"/>
                <w14:textFill>
                  <w14:solidFill>
                    <w14:srgbClr w14:val="000000">
                      <w14:alpha w14:val="100000"/>
                    </w14:srgbClr>
                  </w14:solidFill>
                </w14:textFill>
              </w:rPr>
              <w:t>|||</w:t>
            </w:r>
            <w:r w:rsidRPr="00C47128">
              <w:rPr>
                <w:color w:val="000000"/>
                <w:spacing w:val="3"/>
                <w:szCs w:val="20"/>
                <w:shd w:val="solid" w:color="000000" w:fill="000000"/>
                <w:fitText w:val="383" w:id="-1236585726"/>
                <w14:textFill>
                  <w14:solidFill>
                    <w14:srgbClr w14:val="000000">
                      <w14:alpha w14:val="100000"/>
                    </w14:srgbClr>
                  </w14:solidFill>
                </w14:textFill>
              </w:rPr>
              <w:t>|</w:t>
            </w:r>
            <w:r w:rsidR="00C1183C">
              <w:rPr>
                <w:vertAlign w:val="superscript"/>
              </w:rPr>
              <w:t>2</w:t>
            </w:r>
          </w:p>
        </w:tc>
        <w:tc>
          <w:tcPr>
            <w:tcW w:w="611" w:type="pct"/>
            <w:shd w:val="clear" w:color="auto" w:fill="auto"/>
            <w:vAlign w:val="center"/>
          </w:tcPr>
          <w:p w14:paraId="073D77D2" w14:textId="69CF7EDE" w:rsidR="00D01B0D" w:rsidRPr="00323D17" w:rsidRDefault="00C47128" w:rsidP="00677F6D">
            <w:pPr>
              <w:pStyle w:val="TableText0"/>
              <w:jc w:val="center"/>
              <w:rPr>
                <w:color w:val="000000"/>
                <w:szCs w:val="20"/>
                <w:highlight w:val="darkGray"/>
              </w:rPr>
            </w:pPr>
            <w:r w:rsidRPr="00C47128">
              <w:rPr>
                <w:color w:val="000000"/>
                <w:spacing w:val="70"/>
                <w:szCs w:val="20"/>
                <w:shd w:val="solid" w:color="000000" w:fill="000000"/>
                <w:fitText w:val="383" w:id="-1236585725"/>
                <w14:textFill>
                  <w14:solidFill>
                    <w14:srgbClr w14:val="000000">
                      <w14:alpha w14:val="100000"/>
                    </w14:srgbClr>
                  </w14:solidFill>
                </w14:textFill>
              </w:rPr>
              <w:t>|||</w:t>
            </w:r>
            <w:r w:rsidRPr="00C47128">
              <w:rPr>
                <w:color w:val="000000"/>
                <w:spacing w:val="3"/>
                <w:szCs w:val="20"/>
                <w:shd w:val="solid" w:color="000000" w:fill="000000"/>
                <w:fitText w:val="383" w:id="-1236585725"/>
                <w14:textFill>
                  <w14:solidFill>
                    <w14:srgbClr w14:val="000000">
                      <w14:alpha w14:val="100000"/>
                    </w14:srgbClr>
                  </w14:solidFill>
                </w14:textFill>
              </w:rPr>
              <w:t>|</w:t>
            </w:r>
            <w:r w:rsidR="00C1183C">
              <w:rPr>
                <w:vertAlign w:val="superscript"/>
              </w:rPr>
              <w:t>2</w:t>
            </w:r>
          </w:p>
        </w:tc>
        <w:tc>
          <w:tcPr>
            <w:tcW w:w="611" w:type="pct"/>
            <w:shd w:val="clear" w:color="auto" w:fill="auto"/>
            <w:vAlign w:val="center"/>
          </w:tcPr>
          <w:p w14:paraId="5C2A627E" w14:textId="6ED0730A" w:rsidR="00D01B0D" w:rsidRPr="00323D17" w:rsidRDefault="00C47128" w:rsidP="00677F6D">
            <w:pPr>
              <w:pStyle w:val="TableText0"/>
              <w:jc w:val="center"/>
              <w:rPr>
                <w:color w:val="000000"/>
                <w:szCs w:val="20"/>
                <w:highlight w:val="darkGray"/>
              </w:rPr>
            </w:pPr>
            <w:r w:rsidRPr="00C47128">
              <w:rPr>
                <w:color w:val="000000"/>
                <w:spacing w:val="70"/>
                <w:szCs w:val="20"/>
                <w:shd w:val="solid" w:color="000000" w:fill="000000"/>
                <w:fitText w:val="383" w:id="-1236585724"/>
                <w14:textFill>
                  <w14:solidFill>
                    <w14:srgbClr w14:val="000000">
                      <w14:alpha w14:val="100000"/>
                    </w14:srgbClr>
                  </w14:solidFill>
                </w14:textFill>
              </w:rPr>
              <w:t>|||</w:t>
            </w:r>
            <w:r w:rsidRPr="00C47128">
              <w:rPr>
                <w:color w:val="000000"/>
                <w:spacing w:val="3"/>
                <w:szCs w:val="20"/>
                <w:shd w:val="solid" w:color="000000" w:fill="000000"/>
                <w:fitText w:val="383" w:id="-1236585724"/>
                <w14:textFill>
                  <w14:solidFill>
                    <w14:srgbClr w14:val="000000">
                      <w14:alpha w14:val="100000"/>
                    </w14:srgbClr>
                  </w14:solidFill>
                </w14:textFill>
              </w:rPr>
              <w:t>|</w:t>
            </w:r>
            <w:r w:rsidR="00C1183C">
              <w:rPr>
                <w:vertAlign w:val="superscript"/>
              </w:rPr>
              <w:t>2</w:t>
            </w:r>
          </w:p>
        </w:tc>
        <w:tc>
          <w:tcPr>
            <w:tcW w:w="611" w:type="pct"/>
            <w:vAlign w:val="center"/>
          </w:tcPr>
          <w:p w14:paraId="6111663F" w14:textId="04CC6E92" w:rsidR="00D01B0D" w:rsidRPr="00323D17" w:rsidRDefault="00C47128" w:rsidP="00677F6D">
            <w:pPr>
              <w:pStyle w:val="TableText0"/>
              <w:jc w:val="center"/>
              <w:rPr>
                <w:color w:val="000000"/>
                <w:szCs w:val="20"/>
                <w:highlight w:val="darkGray"/>
              </w:rPr>
            </w:pPr>
            <w:r w:rsidRPr="00C47128">
              <w:rPr>
                <w:color w:val="000000"/>
                <w:spacing w:val="70"/>
                <w:szCs w:val="20"/>
                <w:shd w:val="solid" w:color="000000" w:fill="000000"/>
                <w:fitText w:val="383" w:id="-1236585723"/>
                <w14:textFill>
                  <w14:solidFill>
                    <w14:srgbClr w14:val="000000">
                      <w14:alpha w14:val="100000"/>
                    </w14:srgbClr>
                  </w14:solidFill>
                </w14:textFill>
              </w:rPr>
              <w:t>|||</w:t>
            </w:r>
            <w:r w:rsidRPr="00C47128">
              <w:rPr>
                <w:color w:val="000000"/>
                <w:spacing w:val="3"/>
                <w:szCs w:val="20"/>
                <w:shd w:val="solid" w:color="000000" w:fill="000000"/>
                <w:fitText w:val="383" w:id="-1236585723"/>
                <w14:textFill>
                  <w14:solidFill>
                    <w14:srgbClr w14:val="000000">
                      <w14:alpha w14:val="100000"/>
                    </w14:srgbClr>
                  </w14:solidFill>
                </w14:textFill>
              </w:rPr>
              <w:t>|</w:t>
            </w:r>
            <w:r w:rsidR="00C1183C">
              <w:rPr>
                <w:vertAlign w:val="superscript"/>
              </w:rPr>
              <w:t>2</w:t>
            </w:r>
          </w:p>
        </w:tc>
      </w:tr>
      <w:tr w:rsidR="00D01B0D" w:rsidRPr="00C44D13" w14:paraId="4480481C" w14:textId="77777777" w:rsidTr="00884BEB">
        <w:tc>
          <w:tcPr>
            <w:tcW w:w="1334" w:type="pct"/>
            <w:shd w:val="clear" w:color="auto" w:fill="auto"/>
            <w:vAlign w:val="center"/>
          </w:tcPr>
          <w:p w14:paraId="18231D20" w14:textId="012E1F4B" w:rsidR="00D01B0D" w:rsidRPr="00C44D13" w:rsidRDefault="00D01B0D" w:rsidP="00677F6D">
            <w:pPr>
              <w:pStyle w:val="TableText0"/>
              <w:rPr>
                <w:szCs w:val="20"/>
              </w:rPr>
            </w:pPr>
            <w:r w:rsidRPr="00C44D13">
              <w:rPr>
                <w:szCs w:val="20"/>
              </w:rPr>
              <w:t>Number of ravulizumab 1,100 mg vials</w:t>
            </w:r>
          </w:p>
        </w:tc>
        <w:tc>
          <w:tcPr>
            <w:tcW w:w="611" w:type="pct"/>
            <w:shd w:val="clear" w:color="auto" w:fill="auto"/>
            <w:vAlign w:val="center"/>
          </w:tcPr>
          <w:p w14:paraId="162108DA" w14:textId="0142A3F2" w:rsidR="00D01B0D" w:rsidRPr="00323D17" w:rsidRDefault="00C47128" w:rsidP="00677F6D">
            <w:pPr>
              <w:pStyle w:val="TableText0"/>
              <w:jc w:val="center"/>
              <w:rPr>
                <w:color w:val="000000"/>
                <w:szCs w:val="20"/>
                <w:highlight w:val="darkGray"/>
              </w:rPr>
            </w:pPr>
            <w:r w:rsidRPr="00C47128">
              <w:rPr>
                <w:color w:val="000000"/>
                <w:spacing w:val="70"/>
                <w:szCs w:val="20"/>
                <w:shd w:val="solid" w:color="000000" w:fill="000000"/>
                <w:fitText w:val="382" w:id="-1236585722"/>
                <w14:textFill>
                  <w14:solidFill>
                    <w14:srgbClr w14:val="000000">
                      <w14:alpha w14:val="100000"/>
                    </w14:srgbClr>
                  </w14:solidFill>
                </w14:textFill>
              </w:rPr>
              <w:t>|||</w:t>
            </w:r>
            <w:r w:rsidRPr="00C47128">
              <w:rPr>
                <w:color w:val="000000"/>
                <w:spacing w:val="2"/>
                <w:szCs w:val="20"/>
                <w:shd w:val="solid" w:color="000000" w:fill="000000"/>
                <w:fitText w:val="382" w:id="-1236585722"/>
                <w14:textFill>
                  <w14:solidFill>
                    <w14:srgbClr w14:val="000000">
                      <w14:alpha w14:val="100000"/>
                    </w14:srgbClr>
                  </w14:solidFill>
                </w14:textFill>
              </w:rPr>
              <w:t>|</w:t>
            </w:r>
            <w:r w:rsidR="00C1183C">
              <w:rPr>
                <w:vertAlign w:val="superscript"/>
              </w:rPr>
              <w:t>2</w:t>
            </w:r>
          </w:p>
        </w:tc>
        <w:tc>
          <w:tcPr>
            <w:tcW w:w="611" w:type="pct"/>
            <w:shd w:val="clear" w:color="auto" w:fill="auto"/>
            <w:vAlign w:val="center"/>
          </w:tcPr>
          <w:p w14:paraId="0C5D5DD4" w14:textId="5923EED1" w:rsidR="00D01B0D" w:rsidRPr="00323D17" w:rsidRDefault="00C47128" w:rsidP="00677F6D">
            <w:pPr>
              <w:pStyle w:val="TableText0"/>
              <w:jc w:val="center"/>
              <w:rPr>
                <w:color w:val="000000"/>
                <w:szCs w:val="20"/>
                <w:highlight w:val="darkGray"/>
              </w:rPr>
            </w:pPr>
            <w:r w:rsidRPr="00C47128">
              <w:rPr>
                <w:color w:val="000000"/>
                <w:spacing w:val="70"/>
                <w:szCs w:val="20"/>
                <w:shd w:val="solid" w:color="000000" w:fill="000000"/>
                <w:fitText w:val="383" w:id="-1236585721"/>
                <w14:textFill>
                  <w14:solidFill>
                    <w14:srgbClr w14:val="000000">
                      <w14:alpha w14:val="100000"/>
                    </w14:srgbClr>
                  </w14:solidFill>
                </w14:textFill>
              </w:rPr>
              <w:t>|||</w:t>
            </w:r>
            <w:r w:rsidRPr="00C47128">
              <w:rPr>
                <w:color w:val="000000"/>
                <w:spacing w:val="3"/>
                <w:szCs w:val="20"/>
                <w:shd w:val="solid" w:color="000000" w:fill="000000"/>
                <w:fitText w:val="383" w:id="-1236585721"/>
                <w14:textFill>
                  <w14:solidFill>
                    <w14:srgbClr w14:val="000000">
                      <w14:alpha w14:val="100000"/>
                    </w14:srgbClr>
                  </w14:solidFill>
                </w14:textFill>
              </w:rPr>
              <w:t>|</w:t>
            </w:r>
            <w:r w:rsidR="00C1183C">
              <w:rPr>
                <w:vertAlign w:val="superscript"/>
              </w:rPr>
              <w:t>2</w:t>
            </w:r>
          </w:p>
        </w:tc>
        <w:tc>
          <w:tcPr>
            <w:tcW w:w="611" w:type="pct"/>
            <w:shd w:val="clear" w:color="auto" w:fill="auto"/>
            <w:vAlign w:val="center"/>
          </w:tcPr>
          <w:p w14:paraId="74E53E31" w14:textId="752FA68E" w:rsidR="00D01B0D" w:rsidRPr="00323D17" w:rsidRDefault="00C47128" w:rsidP="00677F6D">
            <w:pPr>
              <w:pStyle w:val="TableText0"/>
              <w:jc w:val="center"/>
              <w:rPr>
                <w:color w:val="000000"/>
                <w:szCs w:val="20"/>
                <w:highlight w:val="darkGray"/>
              </w:rPr>
            </w:pPr>
            <w:r w:rsidRPr="00C47128">
              <w:rPr>
                <w:color w:val="000000"/>
                <w:spacing w:val="70"/>
                <w:szCs w:val="20"/>
                <w:shd w:val="solid" w:color="000000" w:fill="000000"/>
                <w:fitText w:val="383" w:id="-1236585720"/>
                <w14:textFill>
                  <w14:solidFill>
                    <w14:srgbClr w14:val="000000">
                      <w14:alpha w14:val="100000"/>
                    </w14:srgbClr>
                  </w14:solidFill>
                </w14:textFill>
              </w:rPr>
              <w:t>|||</w:t>
            </w:r>
            <w:r w:rsidRPr="00C47128">
              <w:rPr>
                <w:color w:val="000000"/>
                <w:spacing w:val="3"/>
                <w:szCs w:val="20"/>
                <w:shd w:val="solid" w:color="000000" w:fill="000000"/>
                <w:fitText w:val="383" w:id="-1236585720"/>
                <w14:textFill>
                  <w14:solidFill>
                    <w14:srgbClr w14:val="000000">
                      <w14:alpha w14:val="100000"/>
                    </w14:srgbClr>
                  </w14:solidFill>
                </w14:textFill>
              </w:rPr>
              <w:t>|</w:t>
            </w:r>
            <w:r w:rsidR="00C1183C">
              <w:rPr>
                <w:vertAlign w:val="superscript"/>
              </w:rPr>
              <w:t>2</w:t>
            </w:r>
          </w:p>
        </w:tc>
        <w:tc>
          <w:tcPr>
            <w:tcW w:w="611" w:type="pct"/>
            <w:shd w:val="clear" w:color="auto" w:fill="auto"/>
            <w:vAlign w:val="center"/>
          </w:tcPr>
          <w:p w14:paraId="198FD623" w14:textId="0F5410AD" w:rsidR="00D01B0D" w:rsidRPr="00323D17" w:rsidRDefault="00C47128" w:rsidP="00677F6D">
            <w:pPr>
              <w:pStyle w:val="TableText0"/>
              <w:jc w:val="center"/>
              <w:rPr>
                <w:color w:val="000000"/>
                <w:szCs w:val="20"/>
                <w:highlight w:val="darkGray"/>
              </w:rPr>
            </w:pPr>
            <w:r w:rsidRPr="00C47128">
              <w:rPr>
                <w:color w:val="000000"/>
                <w:spacing w:val="70"/>
                <w:szCs w:val="20"/>
                <w:shd w:val="solid" w:color="000000" w:fill="000000"/>
                <w:fitText w:val="383" w:id="-1236585719"/>
                <w14:textFill>
                  <w14:solidFill>
                    <w14:srgbClr w14:val="000000">
                      <w14:alpha w14:val="100000"/>
                    </w14:srgbClr>
                  </w14:solidFill>
                </w14:textFill>
              </w:rPr>
              <w:t>|||</w:t>
            </w:r>
            <w:r w:rsidRPr="00C47128">
              <w:rPr>
                <w:color w:val="000000"/>
                <w:spacing w:val="3"/>
                <w:szCs w:val="20"/>
                <w:shd w:val="solid" w:color="000000" w:fill="000000"/>
                <w:fitText w:val="383" w:id="-1236585719"/>
                <w14:textFill>
                  <w14:solidFill>
                    <w14:srgbClr w14:val="000000">
                      <w14:alpha w14:val="100000"/>
                    </w14:srgbClr>
                  </w14:solidFill>
                </w14:textFill>
              </w:rPr>
              <w:t>|</w:t>
            </w:r>
            <w:r w:rsidR="00C1183C">
              <w:rPr>
                <w:vertAlign w:val="superscript"/>
              </w:rPr>
              <w:t>2</w:t>
            </w:r>
          </w:p>
        </w:tc>
        <w:tc>
          <w:tcPr>
            <w:tcW w:w="611" w:type="pct"/>
            <w:shd w:val="clear" w:color="auto" w:fill="auto"/>
            <w:vAlign w:val="center"/>
          </w:tcPr>
          <w:p w14:paraId="3E16CBC4" w14:textId="65CDBFA7" w:rsidR="00D01B0D" w:rsidRPr="00323D17" w:rsidRDefault="00C47128" w:rsidP="00677F6D">
            <w:pPr>
              <w:pStyle w:val="TableText0"/>
              <w:jc w:val="center"/>
              <w:rPr>
                <w:color w:val="000000"/>
                <w:szCs w:val="20"/>
                <w:highlight w:val="darkGray"/>
              </w:rPr>
            </w:pPr>
            <w:r w:rsidRPr="00C47128">
              <w:rPr>
                <w:color w:val="000000"/>
                <w:spacing w:val="70"/>
                <w:szCs w:val="20"/>
                <w:shd w:val="solid" w:color="000000" w:fill="000000"/>
                <w:fitText w:val="383" w:id="-1236585718"/>
                <w14:textFill>
                  <w14:solidFill>
                    <w14:srgbClr w14:val="000000">
                      <w14:alpha w14:val="100000"/>
                    </w14:srgbClr>
                  </w14:solidFill>
                </w14:textFill>
              </w:rPr>
              <w:t>|||</w:t>
            </w:r>
            <w:r w:rsidRPr="00C47128">
              <w:rPr>
                <w:color w:val="000000"/>
                <w:spacing w:val="3"/>
                <w:szCs w:val="20"/>
                <w:shd w:val="solid" w:color="000000" w:fill="000000"/>
                <w:fitText w:val="383" w:id="-1236585718"/>
                <w14:textFill>
                  <w14:solidFill>
                    <w14:srgbClr w14:val="000000">
                      <w14:alpha w14:val="100000"/>
                    </w14:srgbClr>
                  </w14:solidFill>
                </w14:textFill>
              </w:rPr>
              <w:t>|</w:t>
            </w:r>
            <w:r w:rsidR="00C1183C">
              <w:rPr>
                <w:vertAlign w:val="superscript"/>
              </w:rPr>
              <w:t>2</w:t>
            </w:r>
          </w:p>
        </w:tc>
        <w:tc>
          <w:tcPr>
            <w:tcW w:w="611" w:type="pct"/>
            <w:vAlign w:val="center"/>
          </w:tcPr>
          <w:p w14:paraId="0B93E9E2" w14:textId="27EB1215" w:rsidR="00D01B0D" w:rsidRPr="00323D17" w:rsidRDefault="00C47128" w:rsidP="00677F6D">
            <w:pPr>
              <w:pStyle w:val="TableText0"/>
              <w:jc w:val="center"/>
              <w:rPr>
                <w:color w:val="000000"/>
                <w:szCs w:val="20"/>
                <w:highlight w:val="darkGray"/>
              </w:rPr>
            </w:pPr>
            <w:r w:rsidRPr="00C47128">
              <w:rPr>
                <w:color w:val="000000"/>
                <w:spacing w:val="70"/>
                <w:szCs w:val="20"/>
                <w:shd w:val="solid" w:color="000000" w:fill="000000"/>
                <w:fitText w:val="383" w:id="-1236585717"/>
                <w14:textFill>
                  <w14:solidFill>
                    <w14:srgbClr w14:val="000000">
                      <w14:alpha w14:val="100000"/>
                    </w14:srgbClr>
                  </w14:solidFill>
                </w14:textFill>
              </w:rPr>
              <w:t>|||</w:t>
            </w:r>
            <w:r w:rsidRPr="00C47128">
              <w:rPr>
                <w:color w:val="000000"/>
                <w:spacing w:val="3"/>
                <w:szCs w:val="20"/>
                <w:shd w:val="solid" w:color="000000" w:fill="000000"/>
                <w:fitText w:val="383" w:id="-1236585717"/>
                <w14:textFill>
                  <w14:solidFill>
                    <w14:srgbClr w14:val="000000">
                      <w14:alpha w14:val="100000"/>
                    </w14:srgbClr>
                  </w14:solidFill>
                </w14:textFill>
              </w:rPr>
              <w:t>|</w:t>
            </w:r>
            <w:r w:rsidR="00C1183C">
              <w:rPr>
                <w:vertAlign w:val="superscript"/>
              </w:rPr>
              <w:t>2</w:t>
            </w:r>
          </w:p>
        </w:tc>
      </w:tr>
      <w:tr w:rsidR="00D01B0D" w:rsidRPr="00C44D13" w14:paraId="1E699D47" w14:textId="77777777" w:rsidTr="009C3A3A">
        <w:tc>
          <w:tcPr>
            <w:tcW w:w="5000" w:type="pct"/>
            <w:gridSpan w:val="7"/>
            <w:shd w:val="clear" w:color="auto" w:fill="auto"/>
            <w:vAlign w:val="center"/>
          </w:tcPr>
          <w:p w14:paraId="7D0E0884" w14:textId="49EA8FE3" w:rsidR="00D01B0D" w:rsidRPr="00C44D13" w:rsidRDefault="00D01B0D" w:rsidP="00677F6D">
            <w:pPr>
              <w:pStyle w:val="In-tableHeading"/>
              <w:rPr>
                <w:szCs w:val="20"/>
              </w:rPr>
            </w:pPr>
            <w:r w:rsidRPr="00C44D13">
              <w:rPr>
                <w:szCs w:val="20"/>
              </w:rPr>
              <w:t>Estimated financial implications of ravulizumab</w:t>
            </w:r>
          </w:p>
        </w:tc>
      </w:tr>
      <w:tr w:rsidR="00D01B0D" w:rsidRPr="00C44D13" w14:paraId="4B4ACF1A" w14:textId="77777777" w:rsidTr="006B145D">
        <w:tc>
          <w:tcPr>
            <w:tcW w:w="1334" w:type="pct"/>
            <w:shd w:val="clear" w:color="auto" w:fill="auto"/>
            <w:vAlign w:val="center"/>
          </w:tcPr>
          <w:p w14:paraId="467993BD" w14:textId="5C20C1DF" w:rsidR="00D01B0D" w:rsidRPr="00C44D13" w:rsidRDefault="00D01B0D" w:rsidP="00677F6D">
            <w:pPr>
              <w:pStyle w:val="TableText0"/>
              <w:rPr>
                <w:szCs w:val="20"/>
              </w:rPr>
            </w:pPr>
            <w:r w:rsidRPr="00C44D13">
              <w:rPr>
                <w:szCs w:val="20"/>
              </w:rPr>
              <w:t>Cost to PBS less copayments</w:t>
            </w:r>
            <w:r w:rsidR="00323D17">
              <w:rPr>
                <w:szCs w:val="20"/>
              </w:rPr>
              <w:t xml:space="preserve"> ($)</w:t>
            </w:r>
          </w:p>
        </w:tc>
        <w:tc>
          <w:tcPr>
            <w:tcW w:w="611" w:type="pct"/>
            <w:shd w:val="clear" w:color="auto" w:fill="auto"/>
            <w:vAlign w:val="bottom"/>
          </w:tcPr>
          <w:p w14:paraId="4125A2B6" w14:textId="2BC36441" w:rsidR="00D01B0D" w:rsidRPr="00323D17" w:rsidRDefault="00C47128" w:rsidP="00677F6D">
            <w:pPr>
              <w:pStyle w:val="TableText0"/>
              <w:jc w:val="center"/>
              <w:rPr>
                <w:szCs w:val="20"/>
                <w:highlight w:val="darkGray"/>
              </w:rPr>
            </w:pPr>
            <w:r w:rsidRPr="00C47128">
              <w:rPr>
                <w:color w:val="000000"/>
                <w:spacing w:val="70"/>
                <w:szCs w:val="20"/>
                <w:shd w:val="solid" w:color="000000" w:fill="000000"/>
                <w:fitText w:val="382" w:id="-1236585716"/>
                <w14:textFill>
                  <w14:solidFill>
                    <w14:srgbClr w14:val="000000">
                      <w14:alpha w14:val="100000"/>
                    </w14:srgbClr>
                  </w14:solidFill>
                </w14:textFill>
              </w:rPr>
              <w:t>|||</w:t>
            </w:r>
            <w:r w:rsidRPr="00C47128">
              <w:rPr>
                <w:color w:val="000000"/>
                <w:spacing w:val="2"/>
                <w:szCs w:val="20"/>
                <w:shd w:val="solid" w:color="000000" w:fill="000000"/>
                <w:fitText w:val="382" w:id="-1236585716"/>
                <w14:textFill>
                  <w14:solidFill>
                    <w14:srgbClr w14:val="000000">
                      <w14:alpha w14:val="100000"/>
                    </w14:srgbClr>
                  </w14:solidFill>
                </w14:textFill>
              </w:rPr>
              <w:t>|</w:t>
            </w:r>
            <w:r w:rsidR="00C1183C">
              <w:rPr>
                <w:vertAlign w:val="superscript"/>
              </w:rPr>
              <w:t>3</w:t>
            </w:r>
          </w:p>
        </w:tc>
        <w:tc>
          <w:tcPr>
            <w:tcW w:w="611" w:type="pct"/>
            <w:shd w:val="clear" w:color="auto" w:fill="auto"/>
            <w:vAlign w:val="bottom"/>
          </w:tcPr>
          <w:p w14:paraId="5BDFECEB" w14:textId="2064892D" w:rsidR="00D01B0D" w:rsidRPr="00323D17" w:rsidRDefault="00C47128" w:rsidP="00677F6D">
            <w:pPr>
              <w:pStyle w:val="TableText0"/>
              <w:jc w:val="center"/>
              <w:rPr>
                <w:szCs w:val="20"/>
                <w:highlight w:val="darkGray"/>
              </w:rPr>
            </w:pPr>
            <w:r w:rsidRPr="00C47128">
              <w:rPr>
                <w:color w:val="000000"/>
                <w:spacing w:val="70"/>
                <w:szCs w:val="20"/>
                <w:shd w:val="solid" w:color="000000" w:fill="000000"/>
                <w:fitText w:val="383" w:id="-1236585715"/>
                <w14:textFill>
                  <w14:solidFill>
                    <w14:srgbClr w14:val="000000">
                      <w14:alpha w14:val="100000"/>
                    </w14:srgbClr>
                  </w14:solidFill>
                </w14:textFill>
              </w:rPr>
              <w:t>|||</w:t>
            </w:r>
            <w:r w:rsidRPr="00C47128">
              <w:rPr>
                <w:color w:val="000000"/>
                <w:spacing w:val="3"/>
                <w:szCs w:val="20"/>
                <w:shd w:val="solid" w:color="000000" w:fill="000000"/>
                <w:fitText w:val="383" w:id="-1236585715"/>
                <w14:textFill>
                  <w14:solidFill>
                    <w14:srgbClr w14:val="000000">
                      <w14:alpha w14:val="100000"/>
                    </w14:srgbClr>
                  </w14:solidFill>
                </w14:textFill>
              </w:rPr>
              <w:t>|</w:t>
            </w:r>
            <w:r w:rsidR="00C1183C">
              <w:rPr>
                <w:vertAlign w:val="superscript"/>
              </w:rPr>
              <w:t>3</w:t>
            </w:r>
          </w:p>
        </w:tc>
        <w:tc>
          <w:tcPr>
            <w:tcW w:w="611" w:type="pct"/>
            <w:shd w:val="clear" w:color="auto" w:fill="auto"/>
            <w:vAlign w:val="bottom"/>
          </w:tcPr>
          <w:p w14:paraId="3890D42E" w14:textId="3884BB5E" w:rsidR="00D01B0D" w:rsidRPr="00323D17" w:rsidRDefault="00C47128" w:rsidP="00677F6D">
            <w:pPr>
              <w:pStyle w:val="TableText0"/>
              <w:jc w:val="center"/>
              <w:rPr>
                <w:szCs w:val="20"/>
                <w:highlight w:val="darkGray"/>
              </w:rPr>
            </w:pPr>
            <w:r w:rsidRPr="00C47128">
              <w:rPr>
                <w:color w:val="000000"/>
                <w:spacing w:val="70"/>
                <w:szCs w:val="20"/>
                <w:shd w:val="solid" w:color="000000" w:fill="000000"/>
                <w:fitText w:val="383" w:id="-1236585714"/>
                <w14:textFill>
                  <w14:solidFill>
                    <w14:srgbClr w14:val="000000">
                      <w14:alpha w14:val="100000"/>
                    </w14:srgbClr>
                  </w14:solidFill>
                </w14:textFill>
              </w:rPr>
              <w:t>|||</w:t>
            </w:r>
            <w:r w:rsidRPr="00C47128">
              <w:rPr>
                <w:color w:val="000000"/>
                <w:spacing w:val="3"/>
                <w:szCs w:val="20"/>
                <w:shd w:val="solid" w:color="000000" w:fill="000000"/>
                <w:fitText w:val="383" w:id="-1236585714"/>
                <w14:textFill>
                  <w14:solidFill>
                    <w14:srgbClr w14:val="000000">
                      <w14:alpha w14:val="100000"/>
                    </w14:srgbClr>
                  </w14:solidFill>
                </w14:textFill>
              </w:rPr>
              <w:t>|</w:t>
            </w:r>
            <w:r w:rsidR="00C1183C">
              <w:rPr>
                <w:vertAlign w:val="superscript"/>
              </w:rPr>
              <w:t>3</w:t>
            </w:r>
          </w:p>
        </w:tc>
        <w:tc>
          <w:tcPr>
            <w:tcW w:w="611" w:type="pct"/>
            <w:shd w:val="clear" w:color="auto" w:fill="auto"/>
            <w:vAlign w:val="bottom"/>
          </w:tcPr>
          <w:p w14:paraId="2728B643" w14:textId="6F640940" w:rsidR="00D01B0D" w:rsidRPr="00323D17" w:rsidRDefault="00C47128" w:rsidP="00677F6D">
            <w:pPr>
              <w:pStyle w:val="TableText0"/>
              <w:jc w:val="center"/>
              <w:rPr>
                <w:szCs w:val="20"/>
                <w:highlight w:val="darkGray"/>
              </w:rPr>
            </w:pPr>
            <w:r w:rsidRPr="00C47128">
              <w:rPr>
                <w:color w:val="000000"/>
                <w:spacing w:val="70"/>
                <w:szCs w:val="20"/>
                <w:shd w:val="solid" w:color="000000" w:fill="000000"/>
                <w:fitText w:val="383" w:id="-1236585713"/>
                <w14:textFill>
                  <w14:solidFill>
                    <w14:srgbClr w14:val="000000">
                      <w14:alpha w14:val="100000"/>
                    </w14:srgbClr>
                  </w14:solidFill>
                </w14:textFill>
              </w:rPr>
              <w:t>|||</w:t>
            </w:r>
            <w:r w:rsidRPr="00C47128">
              <w:rPr>
                <w:color w:val="000000"/>
                <w:spacing w:val="3"/>
                <w:szCs w:val="20"/>
                <w:shd w:val="solid" w:color="000000" w:fill="000000"/>
                <w:fitText w:val="383" w:id="-1236585713"/>
                <w14:textFill>
                  <w14:solidFill>
                    <w14:srgbClr w14:val="000000">
                      <w14:alpha w14:val="100000"/>
                    </w14:srgbClr>
                  </w14:solidFill>
                </w14:textFill>
              </w:rPr>
              <w:t>|</w:t>
            </w:r>
            <w:r w:rsidR="00C1183C">
              <w:rPr>
                <w:vertAlign w:val="superscript"/>
              </w:rPr>
              <w:t>9</w:t>
            </w:r>
          </w:p>
        </w:tc>
        <w:tc>
          <w:tcPr>
            <w:tcW w:w="611" w:type="pct"/>
            <w:shd w:val="clear" w:color="auto" w:fill="auto"/>
            <w:vAlign w:val="bottom"/>
          </w:tcPr>
          <w:p w14:paraId="5FE5021A" w14:textId="36CCD2C3" w:rsidR="00D01B0D" w:rsidRPr="00323D17" w:rsidRDefault="00C47128" w:rsidP="00677F6D">
            <w:pPr>
              <w:pStyle w:val="TableText0"/>
              <w:jc w:val="center"/>
              <w:rPr>
                <w:szCs w:val="20"/>
                <w:highlight w:val="darkGray"/>
              </w:rPr>
            </w:pPr>
            <w:r w:rsidRPr="00C47128">
              <w:rPr>
                <w:color w:val="000000"/>
                <w:spacing w:val="70"/>
                <w:szCs w:val="20"/>
                <w:shd w:val="solid" w:color="000000" w:fill="000000"/>
                <w:fitText w:val="383" w:id="-1236585712"/>
                <w14:textFill>
                  <w14:solidFill>
                    <w14:srgbClr w14:val="000000">
                      <w14:alpha w14:val="100000"/>
                    </w14:srgbClr>
                  </w14:solidFill>
                </w14:textFill>
              </w:rPr>
              <w:t>|||</w:t>
            </w:r>
            <w:r w:rsidRPr="00C47128">
              <w:rPr>
                <w:color w:val="000000"/>
                <w:spacing w:val="3"/>
                <w:szCs w:val="20"/>
                <w:shd w:val="solid" w:color="000000" w:fill="000000"/>
                <w:fitText w:val="383" w:id="-1236585712"/>
                <w14:textFill>
                  <w14:solidFill>
                    <w14:srgbClr w14:val="000000">
                      <w14:alpha w14:val="100000"/>
                    </w14:srgbClr>
                  </w14:solidFill>
                </w14:textFill>
              </w:rPr>
              <w:t>|</w:t>
            </w:r>
            <w:r w:rsidR="00C1183C">
              <w:rPr>
                <w:vertAlign w:val="superscript"/>
              </w:rPr>
              <w:t>9</w:t>
            </w:r>
          </w:p>
        </w:tc>
        <w:tc>
          <w:tcPr>
            <w:tcW w:w="611" w:type="pct"/>
            <w:vAlign w:val="bottom"/>
          </w:tcPr>
          <w:p w14:paraId="6F8E9082" w14:textId="10C09598" w:rsidR="00D01B0D" w:rsidRPr="00323D17" w:rsidRDefault="00C47128" w:rsidP="00677F6D">
            <w:pPr>
              <w:pStyle w:val="TableText0"/>
              <w:jc w:val="center"/>
              <w:rPr>
                <w:szCs w:val="20"/>
                <w:highlight w:val="darkGray"/>
              </w:rPr>
            </w:pPr>
            <w:r w:rsidRPr="00C47128">
              <w:rPr>
                <w:color w:val="000000"/>
                <w:spacing w:val="70"/>
                <w:szCs w:val="20"/>
                <w:shd w:val="solid" w:color="000000" w:fill="000000"/>
                <w:fitText w:val="383" w:id="-1236585728"/>
                <w14:textFill>
                  <w14:solidFill>
                    <w14:srgbClr w14:val="000000">
                      <w14:alpha w14:val="100000"/>
                    </w14:srgbClr>
                  </w14:solidFill>
                </w14:textFill>
              </w:rPr>
              <w:t>|||</w:t>
            </w:r>
            <w:r w:rsidRPr="00C47128">
              <w:rPr>
                <w:color w:val="000000"/>
                <w:spacing w:val="3"/>
                <w:szCs w:val="20"/>
                <w:shd w:val="solid" w:color="000000" w:fill="000000"/>
                <w:fitText w:val="383" w:id="-1236585728"/>
                <w14:textFill>
                  <w14:solidFill>
                    <w14:srgbClr w14:val="000000">
                      <w14:alpha w14:val="100000"/>
                    </w14:srgbClr>
                  </w14:solidFill>
                </w14:textFill>
              </w:rPr>
              <w:t>|</w:t>
            </w:r>
            <w:r w:rsidR="00C1183C">
              <w:rPr>
                <w:vertAlign w:val="superscript"/>
              </w:rPr>
              <w:t>9</w:t>
            </w:r>
          </w:p>
        </w:tc>
      </w:tr>
      <w:tr w:rsidR="00D01B0D" w:rsidRPr="00C44D13" w14:paraId="344AC0E2" w14:textId="77777777" w:rsidTr="009C3A3A">
        <w:tc>
          <w:tcPr>
            <w:tcW w:w="5000" w:type="pct"/>
            <w:gridSpan w:val="7"/>
            <w:shd w:val="clear" w:color="auto" w:fill="auto"/>
            <w:vAlign w:val="center"/>
          </w:tcPr>
          <w:p w14:paraId="0FF7E64D" w14:textId="51FDD92E" w:rsidR="00D01B0D" w:rsidRPr="00C44D13" w:rsidRDefault="00D01B0D" w:rsidP="00677F6D">
            <w:pPr>
              <w:pStyle w:val="TableText0"/>
              <w:rPr>
                <w:b/>
                <w:bCs w:val="0"/>
                <w:szCs w:val="20"/>
              </w:rPr>
            </w:pPr>
            <w:r w:rsidRPr="00C44D13">
              <w:rPr>
                <w:b/>
                <w:bCs w:val="0"/>
                <w:szCs w:val="20"/>
              </w:rPr>
              <w:t>Estimated financial implications for eculizumab (if ravulizumab is PBS-listed)</w:t>
            </w:r>
          </w:p>
        </w:tc>
      </w:tr>
      <w:tr w:rsidR="00D01B0D" w:rsidRPr="00C44D13" w14:paraId="0CE077D9" w14:textId="77777777" w:rsidTr="006B145D">
        <w:tc>
          <w:tcPr>
            <w:tcW w:w="1334" w:type="pct"/>
            <w:shd w:val="clear" w:color="auto" w:fill="auto"/>
            <w:vAlign w:val="center"/>
          </w:tcPr>
          <w:p w14:paraId="40F6A2C5" w14:textId="6E0B1B3C" w:rsidR="00D01B0D" w:rsidRPr="00C44D13" w:rsidRDefault="00D01B0D" w:rsidP="00677F6D">
            <w:pPr>
              <w:pStyle w:val="TableText0"/>
              <w:rPr>
                <w:szCs w:val="20"/>
              </w:rPr>
            </w:pPr>
            <w:r w:rsidRPr="00C44D13">
              <w:rPr>
                <w:szCs w:val="20"/>
              </w:rPr>
              <w:t>Cost to PBS less copayments</w:t>
            </w:r>
            <w:r w:rsidR="00323D17">
              <w:rPr>
                <w:szCs w:val="20"/>
              </w:rPr>
              <w:t xml:space="preserve"> ($)</w:t>
            </w:r>
          </w:p>
        </w:tc>
        <w:tc>
          <w:tcPr>
            <w:tcW w:w="611" w:type="pct"/>
            <w:shd w:val="clear" w:color="auto" w:fill="auto"/>
            <w:vAlign w:val="bottom"/>
          </w:tcPr>
          <w:p w14:paraId="50CF2446" w14:textId="76B024C9" w:rsidR="00D01B0D" w:rsidRPr="00323D17" w:rsidRDefault="00C47128" w:rsidP="00677F6D">
            <w:pPr>
              <w:pStyle w:val="TableText0"/>
              <w:jc w:val="center"/>
              <w:rPr>
                <w:szCs w:val="20"/>
                <w:highlight w:val="darkGray"/>
              </w:rPr>
            </w:pPr>
            <w:r w:rsidRPr="00C47128">
              <w:rPr>
                <w:color w:val="000000"/>
                <w:spacing w:val="70"/>
                <w:szCs w:val="20"/>
                <w:shd w:val="solid" w:color="000000" w:fill="000000"/>
                <w:fitText w:val="382" w:id="-1236585727"/>
                <w14:textFill>
                  <w14:solidFill>
                    <w14:srgbClr w14:val="000000">
                      <w14:alpha w14:val="100000"/>
                    </w14:srgbClr>
                  </w14:solidFill>
                </w14:textFill>
              </w:rPr>
              <w:t>|||</w:t>
            </w:r>
            <w:r w:rsidRPr="00C47128">
              <w:rPr>
                <w:color w:val="000000"/>
                <w:spacing w:val="2"/>
                <w:szCs w:val="20"/>
                <w:shd w:val="solid" w:color="000000" w:fill="000000"/>
                <w:fitText w:val="382" w:id="-1236585727"/>
                <w14:textFill>
                  <w14:solidFill>
                    <w14:srgbClr w14:val="000000">
                      <w14:alpha w14:val="100000"/>
                    </w14:srgbClr>
                  </w14:solidFill>
                </w14:textFill>
              </w:rPr>
              <w:t>|</w:t>
            </w:r>
            <w:r w:rsidR="00C1183C">
              <w:rPr>
                <w:vertAlign w:val="superscript"/>
              </w:rPr>
              <w:t>4</w:t>
            </w:r>
          </w:p>
        </w:tc>
        <w:tc>
          <w:tcPr>
            <w:tcW w:w="611" w:type="pct"/>
            <w:shd w:val="clear" w:color="auto" w:fill="auto"/>
            <w:vAlign w:val="bottom"/>
          </w:tcPr>
          <w:p w14:paraId="35AF80ED" w14:textId="67F624F5" w:rsidR="00D01B0D" w:rsidRPr="00323D17" w:rsidRDefault="00C47128" w:rsidP="00677F6D">
            <w:pPr>
              <w:pStyle w:val="TableText0"/>
              <w:jc w:val="center"/>
              <w:rPr>
                <w:szCs w:val="20"/>
                <w:highlight w:val="darkGray"/>
              </w:rPr>
            </w:pPr>
            <w:r w:rsidRPr="00C47128">
              <w:rPr>
                <w:color w:val="000000"/>
                <w:spacing w:val="70"/>
                <w:szCs w:val="20"/>
                <w:shd w:val="solid" w:color="000000" w:fill="000000"/>
                <w:fitText w:val="383" w:id="-1236585726"/>
                <w14:textFill>
                  <w14:solidFill>
                    <w14:srgbClr w14:val="000000">
                      <w14:alpha w14:val="100000"/>
                    </w14:srgbClr>
                  </w14:solidFill>
                </w14:textFill>
              </w:rPr>
              <w:t>|||</w:t>
            </w:r>
            <w:r w:rsidRPr="00C47128">
              <w:rPr>
                <w:color w:val="000000"/>
                <w:spacing w:val="3"/>
                <w:szCs w:val="20"/>
                <w:shd w:val="solid" w:color="000000" w:fill="000000"/>
                <w:fitText w:val="383" w:id="-1236585726"/>
                <w14:textFill>
                  <w14:solidFill>
                    <w14:srgbClr w14:val="000000">
                      <w14:alpha w14:val="100000"/>
                    </w14:srgbClr>
                  </w14:solidFill>
                </w14:textFill>
              </w:rPr>
              <w:t>|</w:t>
            </w:r>
            <w:r w:rsidR="00C1183C">
              <w:rPr>
                <w:vertAlign w:val="superscript"/>
              </w:rPr>
              <w:t>4</w:t>
            </w:r>
          </w:p>
        </w:tc>
        <w:tc>
          <w:tcPr>
            <w:tcW w:w="611" w:type="pct"/>
            <w:shd w:val="clear" w:color="auto" w:fill="auto"/>
            <w:vAlign w:val="bottom"/>
          </w:tcPr>
          <w:p w14:paraId="28F1C25D" w14:textId="3BFC2D6D" w:rsidR="00D01B0D" w:rsidRPr="00323D17" w:rsidRDefault="00C47128" w:rsidP="00677F6D">
            <w:pPr>
              <w:pStyle w:val="TableText0"/>
              <w:jc w:val="center"/>
              <w:rPr>
                <w:szCs w:val="20"/>
                <w:highlight w:val="darkGray"/>
              </w:rPr>
            </w:pPr>
            <w:r w:rsidRPr="00C47128">
              <w:rPr>
                <w:color w:val="000000"/>
                <w:spacing w:val="70"/>
                <w:szCs w:val="20"/>
                <w:shd w:val="solid" w:color="000000" w:fill="000000"/>
                <w:fitText w:val="383" w:id="-1236585725"/>
                <w14:textFill>
                  <w14:solidFill>
                    <w14:srgbClr w14:val="000000">
                      <w14:alpha w14:val="100000"/>
                    </w14:srgbClr>
                  </w14:solidFill>
                </w14:textFill>
              </w:rPr>
              <w:t>|||</w:t>
            </w:r>
            <w:r w:rsidRPr="00C47128">
              <w:rPr>
                <w:color w:val="000000"/>
                <w:spacing w:val="3"/>
                <w:szCs w:val="20"/>
                <w:shd w:val="solid" w:color="000000" w:fill="000000"/>
                <w:fitText w:val="383" w:id="-1236585725"/>
                <w14:textFill>
                  <w14:solidFill>
                    <w14:srgbClr w14:val="000000">
                      <w14:alpha w14:val="100000"/>
                    </w14:srgbClr>
                  </w14:solidFill>
                </w14:textFill>
              </w:rPr>
              <w:t>|</w:t>
            </w:r>
            <w:r w:rsidR="00C1183C">
              <w:rPr>
                <w:vertAlign w:val="superscript"/>
              </w:rPr>
              <w:t>4</w:t>
            </w:r>
          </w:p>
        </w:tc>
        <w:tc>
          <w:tcPr>
            <w:tcW w:w="611" w:type="pct"/>
            <w:shd w:val="clear" w:color="auto" w:fill="auto"/>
            <w:vAlign w:val="bottom"/>
          </w:tcPr>
          <w:p w14:paraId="5DBA4173" w14:textId="238AFC08" w:rsidR="00D01B0D" w:rsidRPr="00323D17" w:rsidRDefault="00C47128" w:rsidP="00677F6D">
            <w:pPr>
              <w:pStyle w:val="TableText0"/>
              <w:jc w:val="center"/>
              <w:rPr>
                <w:szCs w:val="20"/>
                <w:highlight w:val="darkGray"/>
              </w:rPr>
            </w:pPr>
            <w:r w:rsidRPr="00C47128">
              <w:rPr>
                <w:color w:val="000000"/>
                <w:spacing w:val="70"/>
                <w:szCs w:val="20"/>
                <w:shd w:val="solid" w:color="000000" w:fill="000000"/>
                <w:fitText w:val="383" w:id="-1236585724"/>
                <w14:textFill>
                  <w14:solidFill>
                    <w14:srgbClr w14:val="000000">
                      <w14:alpha w14:val="100000"/>
                    </w14:srgbClr>
                  </w14:solidFill>
                </w14:textFill>
              </w:rPr>
              <w:t>|||</w:t>
            </w:r>
            <w:r w:rsidRPr="00C47128">
              <w:rPr>
                <w:color w:val="000000"/>
                <w:spacing w:val="3"/>
                <w:szCs w:val="20"/>
                <w:shd w:val="solid" w:color="000000" w:fill="000000"/>
                <w:fitText w:val="383" w:id="-1236585724"/>
                <w14:textFill>
                  <w14:solidFill>
                    <w14:srgbClr w14:val="000000">
                      <w14:alpha w14:val="100000"/>
                    </w14:srgbClr>
                  </w14:solidFill>
                </w14:textFill>
              </w:rPr>
              <w:t>|</w:t>
            </w:r>
            <w:r w:rsidR="00C1183C">
              <w:rPr>
                <w:vertAlign w:val="superscript"/>
              </w:rPr>
              <w:t>4</w:t>
            </w:r>
          </w:p>
        </w:tc>
        <w:tc>
          <w:tcPr>
            <w:tcW w:w="611" w:type="pct"/>
            <w:shd w:val="clear" w:color="auto" w:fill="auto"/>
            <w:vAlign w:val="bottom"/>
          </w:tcPr>
          <w:p w14:paraId="4D6DC68C" w14:textId="554A8A8D" w:rsidR="00D01B0D" w:rsidRPr="00323D17" w:rsidRDefault="00C47128" w:rsidP="00677F6D">
            <w:pPr>
              <w:pStyle w:val="TableText0"/>
              <w:jc w:val="center"/>
              <w:rPr>
                <w:szCs w:val="20"/>
                <w:highlight w:val="darkGray"/>
              </w:rPr>
            </w:pPr>
            <w:r w:rsidRPr="00C47128">
              <w:rPr>
                <w:color w:val="000000"/>
                <w:spacing w:val="70"/>
                <w:szCs w:val="20"/>
                <w:shd w:val="solid" w:color="000000" w:fill="000000"/>
                <w:fitText w:val="383" w:id="-1236585723"/>
                <w14:textFill>
                  <w14:solidFill>
                    <w14:srgbClr w14:val="000000">
                      <w14:alpha w14:val="100000"/>
                    </w14:srgbClr>
                  </w14:solidFill>
                </w14:textFill>
              </w:rPr>
              <w:t>|||</w:t>
            </w:r>
            <w:r w:rsidRPr="00C47128">
              <w:rPr>
                <w:color w:val="000000"/>
                <w:spacing w:val="3"/>
                <w:szCs w:val="20"/>
                <w:shd w:val="solid" w:color="000000" w:fill="000000"/>
                <w:fitText w:val="383" w:id="-1236585723"/>
                <w14:textFill>
                  <w14:solidFill>
                    <w14:srgbClr w14:val="000000">
                      <w14:alpha w14:val="100000"/>
                    </w14:srgbClr>
                  </w14:solidFill>
                </w14:textFill>
              </w:rPr>
              <w:t>|</w:t>
            </w:r>
            <w:r w:rsidR="00C1183C">
              <w:rPr>
                <w:vertAlign w:val="superscript"/>
              </w:rPr>
              <w:t>4</w:t>
            </w:r>
          </w:p>
        </w:tc>
        <w:tc>
          <w:tcPr>
            <w:tcW w:w="611" w:type="pct"/>
            <w:vAlign w:val="bottom"/>
          </w:tcPr>
          <w:p w14:paraId="0766C6AC" w14:textId="3D53E52A" w:rsidR="00D01B0D" w:rsidRPr="00323D17" w:rsidRDefault="00C47128" w:rsidP="00677F6D">
            <w:pPr>
              <w:pStyle w:val="TableText0"/>
              <w:jc w:val="center"/>
              <w:rPr>
                <w:szCs w:val="20"/>
                <w:highlight w:val="darkGray"/>
              </w:rPr>
            </w:pPr>
            <w:r w:rsidRPr="00C47128">
              <w:rPr>
                <w:color w:val="000000"/>
                <w:spacing w:val="70"/>
                <w:szCs w:val="20"/>
                <w:shd w:val="solid" w:color="000000" w:fill="000000"/>
                <w:fitText w:val="383" w:id="-1236585722"/>
                <w14:textFill>
                  <w14:solidFill>
                    <w14:srgbClr w14:val="000000">
                      <w14:alpha w14:val="100000"/>
                    </w14:srgbClr>
                  </w14:solidFill>
                </w14:textFill>
              </w:rPr>
              <w:t>|||</w:t>
            </w:r>
            <w:r w:rsidRPr="00C47128">
              <w:rPr>
                <w:color w:val="000000"/>
                <w:spacing w:val="3"/>
                <w:szCs w:val="20"/>
                <w:shd w:val="solid" w:color="000000" w:fill="000000"/>
                <w:fitText w:val="383" w:id="-1236585722"/>
                <w14:textFill>
                  <w14:solidFill>
                    <w14:srgbClr w14:val="000000">
                      <w14:alpha w14:val="100000"/>
                    </w14:srgbClr>
                  </w14:solidFill>
                </w14:textFill>
              </w:rPr>
              <w:t>|</w:t>
            </w:r>
            <w:r w:rsidR="00C1183C">
              <w:rPr>
                <w:vertAlign w:val="superscript"/>
              </w:rPr>
              <w:t>4</w:t>
            </w:r>
          </w:p>
        </w:tc>
      </w:tr>
      <w:tr w:rsidR="00D01B0D" w:rsidRPr="00C44D13" w14:paraId="4FA07BD8" w14:textId="77777777" w:rsidTr="009C3A3A">
        <w:tc>
          <w:tcPr>
            <w:tcW w:w="5000" w:type="pct"/>
            <w:gridSpan w:val="7"/>
            <w:shd w:val="clear" w:color="auto" w:fill="auto"/>
            <w:vAlign w:val="center"/>
          </w:tcPr>
          <w:p w14:paraId="1A627EA0" w14:textId="75BB5CBC" w:rsidR="00D01B0D" w:rsidRPr="00C44D13" w:rsidRDefault="00D01B0D" w:rsidP="00677F6D">
            <w:pPr>
              <w:pStyle w:val="In-tableHeading"/>
              <w:rPr>
                <w:szCs w:val="20"/>
              </w:rPr>
            </w:pPr>
            <w:r w:rsidRPr="00C44D13">
              <w:rPr>
                <w:szCs w:val="20"/>
              </w:rPr>
              <w:t>Net financial implications</w:t>
            </w:r>
            <w:r w:rsidRPr="00C44D13">
              <w:rPr>
                <w:color w:val="4BACC6" w:themeColor="accent5"/>
                <w:szCs w:val="20"/>
              </w:rPr>
              <w:t xml:space="preserve"> </w:t>
            </w:r>
          </w:p>
        </w:tc>
      </w:tr>
      <w:tr w:rsidR="00D01B0D" w:rsidRPr="00C44D13" w14:paraId="3F33D4C6" w14:textId="77777777" w:rsidTr="00754EF8">
        <w:tc>
          <w:tcPr>
            <w:tcW w:w="1334" w:type="pct"/>
            <w:shd w:val="clear" w:color="auto" w:fill="auto"/>
            <w:vAlign w:val="center"/>
          </w:tcPr>
          <w:p w14:paraId="5ABBDE64" w14:textId="21E521B4" w:rsidR="00D01B0D" w:rsidRPr="00C44D13" w:rsidRDefault="00D01B0D" w:rsidP="00677F6D">
            <w:pPr>
              <w:pStyle w:val="TableText0"/>
              <w:rPr>
                <w:szCs w:val="20"/>
              </w:rPr>
            </w:pPr>
            <w:r w:rsidRPr="00C44D13">
              <w:rPr>
                <w:szCs w:val="20"/>
              </w:rPr>
              <w:t>Net cost to PBS for eculizumab if ravulizumab not listed</w:t>
            </w:r>
            <w:r w:rsidR="00323D17">
              <w:rPr>
                <w:szCs w:val="20"/>
              </w:rPr>
              <w:t xml:space="preserve"> ($)</w:t>
            </w:r>
          </w:p>
        </w:tc>
        <w:tc>
          <w:tcPr>
            <w:tcW w:w="611" w:type="pct"/>
            <w:shd w:val="clear" w:color="auto" w:fill="auto"/>
            <w:vAlign w:val="center"/>
          </w:tcPr>
          <w:p w14:paraId="744F82C2" w14:textId="14766C67" w:rsidR="00D01B0D" w:rsidRPr="00323D17" w:rsidRDefault="00C47128" w:rsidP="00677F6D">
            <w:pPr>
              <w:pStyle w:val="TableText0"/>
              <w:jc w:val="center"/>
              <w:rPr>
                <w:szCs w:val="20"/>
                <w:highlight w:val="darkGray"/>
              </w:rPr>
            </w:pPr>
            <w:r w:rsidRPr="00C47128">
              <w:rPr>
                <w:color w:val="000000"/>
                <w:spacing w:val="70"/>
                <w:szCs w:val="20"/>
                <w:shd w:val="solid" w:color="000000" w:fill="000000"/>
                <w:fitText w:val="382" w:id="-1236585721"/>
                <w14:textFill>
                  <w14:solidFill>
                    <w14:srgbClr w14:val="000000">
                      <w14:alpha w14:val="100000"/>
                    </w14:srgbClr>
                  </w14:solidFill>
                </w14:textFill>
              </w:rPr>
              <w:t>|||</w:t>
            </w:r>
            <w:r w:rsidRPr="00C47128">
              <w:rPr>
                <w:color w:val="000000"/>
                <w:spacing w:val="2"/>
                <w:szCs w:val="20"/>
                <w:shd w:val="solid" w:color="000000" w:fill="000000"/>
                <w:fitText w:val="382" w:id="-1236585721"/>
                <w14:textFill>
                  <w14:solidFill>
                    <w14:srgbClr w14:val="000000">
                      <w14:alpha w14:val="100000"/>
                    </w14:srgbClr>
                  </w14:solidFill>
                </w14:textFill>
              </w:rPr>
              <w:t>|</w:t>
            </w:r>
            <w:r w:rsidR="00C1183C">
              <w:rPr>
                <w:vertAlign w:val="superscript"/>
              </w:rPr>
              <w:t>5</w:t>
            </w:r>
          </w:p>
        </w:tc>
        <w:tc>
          <w:tcPr>
            <w:tcW w:w="611" w:type="pct"/>
            <w:shd w:val="clear" w:color="auto" w:fill="auto"/>
            <w:vAlign w:val="center"/>
          </w:tcPr>
          <w:p w14:paraId="295843EA" w14:textId="55EF0940" w:rsidR="00D01B0D" w:rsidRPr="00323D17" w:rsidRDefault="00C47128" w:rsidP="00677F6D">
            <w:pPr>
              <w:pStyle w:val="TableText0"/>
              <w:jc w:val="center"/>
              <w:rPr>
                <w:szCs w:val="20"/>
                <w:highlight w:val="darkGray"/>
              </w:rPr>
            </w:pPr>
            <w:r w:rsidRPr="00C47128">
              <w:rPr>
                <w:color w:val="000000"/>
                <w:spacing w:val="70"/>
                <w:szCs w:val="20"/>
                <w:shd w:val="solid" w:color="000000" w:fill="000000"/>
                <w:fitText w:val="383" w:id="-1236585720"/>
                <w14:textFill>
                  <w14:solidFill>
                    <w14:srgbClr w14:val="000000">
                      <w14:alpha w14:val="100000"/>
                    </w14:srgbClr>
                  </w14:solidFill>
                </w14:textFill>
              </w:rPr>
              <w:t>|||</w:t>
            </w:r>
            <w:r w:rsidRPr="00C47128">
              <w:rPr>
                <w:color w:val="000000"/>
                <w:spacing w:val="3"/>
                <w:szCs w:val="20"/>
                <w:shd w:val="solid" w:color="000000" w:fill="000000"/>
                <w:fitText w:val="383" w:id="-1236585720"/>
                <w14:textFill>
                  <w14:solidFill>
                    <w14:srgbClr w14:val="000000">
                      <w14:alpha w14:val="100000"/>
                    </w14:srgbClr>
                  </w14:solidFill>
                </w14:textFill>
              </w:rPr>
              <w:t>|</w:t>
            </w:r>
            <w:r w:rsidR="00C1183C">
              <w:rPr>
                <w:vertAlign w:val="superscript"/>
              </w:rPr>
              <w:t>8</w:t>
            </w:r>
          </w:p>
        </w:tc>
        <w:tc>
          <w:tcPr>
            <w:tcW w:w="611" w:type="pct"/>
            <w:shd w:val="clear" w:color="auto" w:fill="auto"/>
            <w:vAlign w:val="center"/>
          </w:tcPr>
          <w:p w14:paraId="3A32302A" w14:textId="24E43497" w:rsidR="00D01B0D" w:rsidRPr="00323D17" w:rsidRDefault="00C47128" w:rsidP="00677F6D">
            <w:pPr>
              <w:pStyle w:val="TableText0"/>
              <w:jc w:val="center"/>
              <w:rPr>
                <w:szCs w:val="20"/>
                <w:highlight w:val="darkGray"/>
              </w:rPr>
            </w:pPr>
            <w:r w:rsidRPr="00C47128">
              <w:rPr>
                <w:color w:val="000000"/>
                <w:spacing w:val="70"/>
                <w:szCs w:val="20"/>
                <w:shd w:val="solid" w:color="000000" w:fill="000000"/>
                <w:fitText w:val="383" w:id="-1236585719"/>
                <w14:textFill>
                  <w14:solidFill>
                    <w14:srgbClr w14:val="000000">
                      <w14:alpha w14:val="100000"/>
                    </w14:srgbClr>
                  </w14:solidFill>
                </w14:textFill>
              </w:rPr>
              <w:t>|||</w:t>
            </w:r>
            <w:r w:rsidRPr="00C47128">
              <w:rPr>
                <w:color w:val="000000"/>
                <w:spacing w:val="3"/>
                <w:szCs w:val="20"/>
                <w:shd w:val="solid" w:color="000000" w:fill="000000"/>
                <w:fitText w:val="383" w:id="-1236585719"/>
                <w14:textFill>
                  <w14:solidFill>
                    <w14:srgbClr w14:val="000000">
                      <w14:alpha w14:val="100000"/>
                    </w14:srgbClr>
                  </w14:solidFill>
                </w14:textFill>
              </w:rPr>
              <w:t>|</w:t>
            </w:r>
            <w:r w:rsidR="00C1183C">
              <w:rPr>
                <w:vertAlign w:val="superscript"/>
              </w:rPr>
              <w:t>8</w:t>
            </w:r>
          </w:p>
        </w:tc>
        <w:tc>
          <w:tcPr>
            <w:tcW w:w="611" w:type="pct"/>
            <w:shd w:val="clear" w:color="auto" w:fill="auto"/>
            <w:vAlign w:val="center"/>
          </w:tcPr>
          <w:p w14:paraId="326E9207" w14:textId="6A29D467" w:rsidR="00D01B0D" w:rsidRPr="00323D17" w:rsidRDefault="00C47128" w:rsidP="00677F6D">
            <w:pPr>
              <w:pStyle w:val="TableText0"/>
              <w:jc w:val="center"/>
              <w:rPr>
                <w:szCs w:val="20"/>
                <w:highlight w:val="darkGray"/>
              </w:rPr>
            </w:pPr>
            <w:r w:rsidRPr="00C47128">
              <w:rPr>
                <w:color w:val="000000"/>
                <w:spacing w:val="70"/>
                <w:szCs w:val="20"/>
                <w:shd w:val="solid" w:color="000000" w:fill="000000"/>
                <w:fitText w:val="383" w:id="-1236585718"/>
                <w14:textFill>
                  <w14:solidFill>
                    <w14:srgbClr w14:val="000000">
                      <w14:alpha w14:val="100000"/>
                    </w14:srgbClr>
                  </w14:solidFill>
                </w14:textFill>
              </w:rPr>
              <w:t>|||</w:t>
            </w:r>
            <w:r w:rsidRPr="00C47128">
              <w:rPr>
                <w:color w:val="000000"/>
                <w:spacing w:val="3"/>
                <w:szCs w:val="20"/>
                <w:shd w:val="solid" w:color="000000" w:fill="000000"/>
                <w:fitText w:val="383" w:id="-1236585718"/>
                <w14:textFill>
                  <w14:solidFill>
                    <w14:srgbClr w14:val="000000">
                      <w14:alpha w14:val="100000"/>
                    </w14:srgbClr>
                  </w14:solidFill>
                </w14:textFill>
              </w:rPr>
              <w:t>|</w:t>
            </w:r>
            <w:r w:rsidR="00C1183C">
              <w:rPr>
                <w:vertAlign w:val="superscript"/>
              </w:rPr>
              <w:t>8</w:t>
            </w:r>
          </w:p>
        </w:tc>
        <w:tc>
          <w:tcPr>
            <w:tcW w:w="611" w:type="pct"/>
            <w:shd w:val="clear" w:color="auto" w:fill="auto"/>
            <w:vAlign w:val="center"/>
          </w:tcPr>
          <w:p w14:paraId="56E4D70E" w14:textId="5E1A2938" w:rsidR="00D01B0D" w:rsidRPr="00323D17" w:rsidRDefault="00C47128" w:rsidP="00677F6D">
            <w:pPr>
              <w:pStyle w:val="TableText0"/>
              <w:jc w:val="center"/>
              <w:rPr>
                <w:szCs w:val="20"/>
                <w:highlight w:val="darkGray"/>
              </w:rPr>
            </w:pPr>
            <w:r w:rsidRPr="00C47128">
              <w:rPr>
                <w:color w:val="000000"/>
                <w:spacing w:val="82"/>
                <w:szCs w:val="20"/>
                <w:shd w:val="solid" w:color="000000" w:fill="000000"/>
                <w:fitText w:val="417" w:id="-1236585717"/>
                <w14:textFill>
                  <w14:solidFill>
                    <w14:srgbClr w14:val="000000">
                      <w14:alpha w14:val="100000"/>
                    </w14:srgbClr>
                  </w14:solidFill>
                </w14:textFill>
              </w:rPr>
              <w:t>|||</w:t>
            </w:r>
            <w:r w:rsidRPr="00C47128">
              <w:rPr>
                <w:color w:val="000000"/>
                <w:spacing w:val="1"/>
                <w:szCs w:val="20"/>
                <w:shd w:val="solid" w:color="000000" w:fill="000000"/>
                <w:fitText w:val="417" w:id="-1236585717"/>
                <w14:textFill>
                  <w14:solidFill>
                    <w14:srgbClr w14:val="000000">
                      <w14:alpha w14:val="100000"/>
                    </w14:srgbClr>
                  </w14:solidFill>
                </w14:textFill>
              </w:rPr>
              <w:t>|</w:t>
            </w:r>
            <w:r w:rsidR="00C1183C">
              <w:rPr>
                <w:vertAlign w:val="superscript"/>
              </w:rPr>
              <w:t>10</w:t>
            </w:r>
          </w:p>
        </w:tc>
        <w:tc>
          <w:tcPr>
            <w:tcW w:w="611" w:type="pct"/>
            <w:vAlign w:val="center"/>
          </w:tcPr>
          <w:p w14:paraId="241B1CFD" w14:textId="7E28D388" w:rsidR="00D01B0D" w:rsidRPr="00C1183C" w:rsidRDefault="00C47128" w:rsidP="00677F6D">
            <w:pPr>
              <w:pStyle w:val="TableText0"/>
              <w:jc w:val="center"/>
              <w:rPr>
                <w:szCs w:val="20"/>
                <w:highlight w:val="darkGray"/>
              </w:rPr>
            </w:pPr>
            <w:r w:rsidRPr="00C47128">
              <w:rPr>
                <w:color w:val="000000"/>
                <w:spacing w:val="81"/>
                <w:szCs w:val="20"/>
                <w:shd w:val="solid" w:color="000000" w:fill="000000"/>
                <w:fitText w:val="416" w:id="-1236585716"/>
                <w14:textFill>
                  <w14:solidFill>
                    <w14:srgbClr w14:val="000000">
                      <w14:alpha w14:val="100000"/>
                    </w14:srgbClr>
                  </w14:solidFill>
                </w14:textFill>
              </w:rPr>
              <w:t>|||</w:t>
            </w:r>
            <w:r w:rsidRPr="00C47128">
              <w:rPr>
                <w:color w:val="000000"/>
                <w:spacing w:val="3"/>
                <w:szCs w:val="20"/>
                <w:shd w:val="solid" w:color="000000" w:fill="000000"/>
                <w:fitText w:val="416" w:id="-1236585716"/>
                <w14:textFill>
                  <w14:solidFill>
                    <w14:srgbClr w14:val="000000">
                      <w14:alpha w14:val="100000"/>
                    </w14:srgbClr>
                  </w14:solidFill>
                </w14:textFill>
              </w:rPr>
              <w:t>|</w:t>
            </w:r>
            <w:r w:rsidR="00C1183C">
              <w:rPr>
                <w:vertAlign w:val="superscript"/>
              </w:rPr>
              <w:t>10</w:t>
            </w:r>
          </w:p>
        </w:tc>
      </w:tr>
      <w:tr w:rsidR="00D01B0D" w:rsidRPr="00C44D13" w14:paraId="0E7B48A9" w14:textId="77777777" w:rsidTr="006B145D">
        <w:tc>
          <w:tcPr>
            <w:tcW w:w="1334" w:type="pct"/>
            <w:shd w:val="clear" w:color="auto" w:fill="auto"/>
            <w:vAlign w:val="center"/>
          </w:tcPr>
          <w:p w14:paraId="57E1A85A" w14:textId="2DBAD364" w:rsidR="00D01B0D" w:rsidRPr="00323D17" w:rsidRDefault="00D01B0D" w:rsidP="00677F6D">
            <w:pPr>
              <w:pStyle w:val="TableText0"/>
              <w:rPr>
                <w:szCs w:val="20"/>
              </w:rPr>
            </w:pPr>
            <w:r w:rsidRPr="00C44D13">
              <w:rPr>
                <w:szCs w:val="20"/>
              </w:rPr>
              <w:t>Total cost aHUS therapies</w:t>
            </w:r>
            <w:r w:rsidRPr="00C44D13">
              <w:rPr>
                <w:szCs w:val="20"/>
                <w:vertAlign w:val="superscript"/>
              </w:rPr>
              <w:t>a</w:t>
            </w:r>
            <w:r w:rsidR="00323D17">
              <w:rPr>
                <w:szCs w:val="20"/>
                <w:vertAlign w:val="superscript"/>
              </w:rPr>
              <w:t xml:space="preserve"> </w:t>
            </w:r>
            <w:r w:rsidR="00323D17">
              <w:rPr>
                <w:szCs w:val="20"/>
              </w:rPr>
              <w:t>($)</w:t>
            </w:r>
          </w:p>
        </w:tc>
        <w:tc>
          <w:tcPr>
            <w:tcW w:w="611" w:type="pct"/>
            <w:shd w:val="clear" w:color="auto" w:fill="auto"/>
            <w:vAlign w:val="bottom"/>
          </w:tcPr>
          <w:p w14:paraId="07045938" w14:textId="07D65623" w:rsidR="00D01B0D" w:rsidRPr="00323D17" w:rsidRDefault="00C47128" w:rsidP="00677F6D">
            <w:pPr>
              <w:pStyle w:val="TableText0"/>
              <w:jc w:val="center"/>
              <w:rPr>
                <w:szCs w:val="20"/>
                <w:highlight w:val="darkGray"/>
              </w:rPr>
            </w:pPr>
            <w:r w:rsidRPr="00C47128">
              <w:rPr>
                <w:color w:val="000000"/>
                <w:spacing w:val="70"/>
                <w:szCs w:val="20"/>
                <w:shd w:val="solid" w:color="000000" w:fill="000000"/>
                <w:fitText w:val="382" w:id="-1236585715"/>
                <w14:textFill>
                  <w14:solidFill>
                    <w14:srgbClr w14:val="000000">
                      <w14:alpha w14:val="100000"/>
                    </w14:srgbClr>
                  </w14:solidFill>
                </w14:textFill>
              </w:rPr>
              <w:t>|||</w:t>
            </w:r>
            <w:r w:rsidRPr="00C47128">
              <w:rPr>
                <w:color w:val="000000"/>
                <w:spacing w:val="2"/>
                <w:szCs w:val="20"/>
                <w:shd w:val="solid" w:color="000000" w:fill="000000"/>
                <w:fitText w:val="382" w:id="-1236585715"/>
                <w14:textFill>
                  <w14:solidFill>
                    <w14:srgbClr w14:val="000000">
                      <w14:alpha w14:val="100000"/>
                    </w14:srgbClr>
                  </w14:solidFill>
                </w14:textFill>
              </w:rPr>
              <w:t>|</w:t>
            </w:r>
            <w:r w:rsidR="00C1183C">
              <w:rPr>
                <w:vertAlign w:val="superscript"/>
              </w:rPr>
              <w:t>6</w:t>
            </w:r>
          </w:p>
        </w:tc>
        <w:tc>
          <w:tcPr>
            <w:tcW w:w="611" w:type="pct"/>
            <w:shd w:val="clear" w:color="auto" w:fill="auto"/>
            <w:vAlign w:val="bottom"/>
          </w:tcPr>
          <w:p w14:paraId="4CDF68A0" w14:textId="7E339760" w:rsidR="00D01B0D" w:rsidRPr="00323D17" w:rsidRDefault="00C47128" w:rsidP="00677F6D">
            <w:pPr>
              <w:pStyle w:val="TableText0"/>
              <w:jc w:val="center"/>
              <w:rPr>
                <w:szCs w:val="20"/>
                <w:highlight w:val="darkGray"/>
              </w:rPr>
            </w:pPr>
            <w:r w:rsidRPr="00C47128">
              <w:rPr>
                <w:color w:val="000000"/>
                <w:spacing w:val="70"/>
                <w:szCs w:val="20"/>
                <w:shd w:val="solid" w:color="000000" w:fill="000000"/>
                <w:fitText w:val="383" w:id="-1236585714"/>
                <w14:textFill>
                  <w14:solidFill>
                    <w14:srgbClr w14:val="000000">
                      <w14:alpha w14:val="100000"/>
                    </w14:srgbClr>
                  </w14:solidFill>
                </w14:textFill>
              </w:rPr>
              <w:t>|||</w:t>
            </w:r>
            <w:r w:rsidRPr="00C47128">
              <w:rPr>
                <w:color w:val="000000"/>
                <w:spacing w:val="3"/>
                <w:szCs w:val="20"/>
                <w:shd w:val="solid" w:color="000000" w:fill="000000"/>
                <w:fitText w:val="383" w:id="-1236585714"/>
                <w14:textFill>
                  <w14:solidFill>
                    <w14:srgbClr w14:val="000000">
                      <w14:alpha w14:val="100000"/>
                    </w14:srgbClr>
                  </w14:solidFill>
                </w14:textFill>
              </w:rPr>
              <w:t>|</w:t>
            </w:r>
            <w:r w:rsidR="00C1183C">
              <w:rPr>
                <w:vertAlign w:val="superscript"/>
              </w:rPr>
              <w:t>5</w:t>
            </w:r>
          </w:p>
        </w:tc>
        <w:tc>
          <w:tcPr>
            <w:tcW w:w="611" w:type="pct"/>
            <w:shd w:val="clear" w:color="auto" w:fill="auto"/>
            <w:vAlign w:val="bottom"/>
          </w:tcPr>
          <w:p w14:paraId="31BD8D34" w14:textId="4BA94F39" w:rsidR="00D01B0D" w:rsidRPr="00323D17" w:rsidRDefault="00C47128" w:rsidP="00677F6D">
            <w:pPr>
              <w:pStyle w:val="TableText0"/>
              <w:jc w:val="center"/>
              <w:rPr>
                <w:szCs w:val="20"/>
                <w:highlight w:val="darkGray"/>
              </w:rPr>
            </w:pPr>
            <w:r w:rsidRPr="00C47128">
              <w:rPr>
                <w:color w:val="000000"/>
                <w:spacing w:val="70"/>
                <w:szCs w:val="20"/>
                <w:shd w:val="solid" w:color="000000" w:fill="000000"/>
                <w:fitText w:val="383" w:id="-1236585713"/>
                <w14:textFill>
                  <w14:solidFill>
                    <w14:srgbClr w14:val="000000">
                      <w14:alpha w14:val="100000"/>
                    </w14:srgbClr>
                  </w14:solidFill>
                </w14:textFill>
              </w:rPr>
              <w:t>|||</w:t>
            </w:r>
            <w:r w:rsidRPr="00C47128">
              <w:rPr>
                <w:color w:val="000000"/>
                <w:spacing w:val="3"/>
                <w:szCs w:val="20"/>
                <w:shd w:val="solid" w:color="000000" w:fill="000000"/>
                <w:fitText w:val="383" w:id="-1236585713"/>
                <w14:textFill>
                  <w14:solidFill>
                    <w14:srgbClr w14:val="000000">
                      <w14:alpha w14:val="100000"/>
                    </w14:srgbClr>
                  </w14:solidFill>
                </w14:textFill>
              </w:rPr>
              <w:t>|</w:t>
            </w:r>
            <w:r w:rsidR="00C1183C">
              <w:rPr>
                <w:vertAlign w:val="superscript"/>
              </w:rPr>
              <w:t>5</w:t>
            </w:r>
          </w:p>
        </w:tc>
        <w:tc>
          <w:tcPr>
            <w:tcW w:w="611" w:type="pct"/>
            <w:shd w:val="clear" w:color="auto" w:fill="auto"/>
            <w:vAlign w:val="bottom"/>
          </w:tcPr>
          <w:p w14:paraId="4FDEDDE1" w14:textId="310ECE98" w:rsidR="00D01B0D" w:rsidRPr="00323D17" w:rsidRDefault="00C47128" w:rsidP="00677F6D">
            <w:pPr>
              <w:pStyle w:val="TableText0"/>
              <w:jc w:val="center"/>
              <w:rPr>
                <w:szCs w:val="20"/>
                <w:highlight w:val="darkGray"/>
              </w:rPr>
            </w:pPr>
            <w:r w:rsidRPr="00C47128">
              <w:rPr>
                <w:color w:val="000000"/>
                <w:spacing w:val="70"/>
                <w:szCs w:val="20"/>
                <w:shd w:val="solid" w:color="000000" w:fill="000000"/>
                <w:fitText w:val="383" w:id="-1236585712"/>
                <w14:textFill>
                  <w14:solidFill>
                    <w14:srgbClr w14:val="000000">
                      <w14:alpha w14:val="100000"/>
                    </w14:srgbClr>
                  </w14:solidFill>
                </w14:textFill>
              </w:rPr>
              <w:t>|||</w:t>
            </w:r>
            <w:r w:rsidRPr="00C47128">
              <w:rPr>
                <w:color w:val="000000"/>
                <w:spacing w:val="3"/>
                <w:szCs w:val="20"/>
                <w:shd w:val="solid" w:color="000000" w:fill="000000"/>
                <w:fitText w:val="383" w:id="-1236585712"/>
                <w14:textFill>
                  <w14:solidFill>
                    <w14:srgbClr w14:val="000000">
                      <w14:alpha w14:val="100000"/>
                    </w14:srgbClr>
                  </w14:solidFill>
                </w14:textFill>
              </w:rPr>
              <w:t>|</w:t>
            </w:r>
            <w:r w:rsidR="00C1183C">
              <w:rPr>
                <w:vertAlign w:val="superscript"/>
              </w:rPr>
              <w:t>5</w:t>
            </w:r>
          </w:p>
        </w:tc>
        <w:tc>
          <w:tcPr>
            <w:tcW w:w="611" w:type="pct"/>
            <w:shd w:val="clear" w:color="auto" w:fill="auto"/>
            <w:vAlign w:val="bottom"/>
          </w:tcPr>
          <w:p w14:paraId="33F2E059" w14:textId="3E57356C" w:rsidR="00D01B0D" w:rsidRPr="00323D17" w:rsidRDefault="00C47128" w:rsidP="00677F6D">
            <w:pPr>
              <w:pStyle w:val="TableText0"/>
              <w:jc w:val="center"/>
              <w:rPr>
                <w:szCs w:val="20"/>
                <w:highlight w:val="darkGray"/>
              </w:rPr>
            </w:pPr>
            <w:r w:rsidRPr="00C47128">
              <w:rPr>
                <w:color w:val="000000"/>
                <w:spacing w:val="70"/>
                <w:szCs w:val="20"/>
                <w:shd w:val="solid" w:color="000000" w:fill="000000"/>
                <w:fitText w:val="383" w:id="-1236585728"/>
                <w14:textFill>
                  <w14:solidFill>
                    <w14:srgbClr w14:val="000000">
                      <w14:alpha w14:val="100000"/>
                    </w14:srgbClr>
                  </w14:solidFill>
                </w14:textFill>
              </w:rPr>
              <w:t>|||</w:t>
            </w:r>
            <w:r w:rsidRPr="00C47128">
              <w:rPr>
                <w:color w:val="000000"/>
                <w:spacing w:val="3"/>
                <w:szCs w:val="20"/>
                <w:shd w:val="solid" w:color="000000" w:fill="000000"/>
                <w:fitText w:val="383" w:id="-1236585728"/>
                <w14:textFill>
                  <w14:solidFill>
                    <w14:srgbClr w14:val="000000">
                      <w14:alpha w14:val="100000"/>
                    </w14:srgbClr>
                  </w14:solidFill>
                </w14:textFill>
              </w:rPr>
              <w:t>|</w:t>
            </w:r>
            <w:r w:rsidR="00C1183C">
              <w:rPr>
                <w:vertAlign w:val="superscript"/>
              </w:rPr>
              <w:t>5</w:t>
            </w:r>
          </w:p>
        </w:tc>
        <w:tc>
          <w:tcPr>
            <w:tcW w:w="611" w:type="pct"/>
            <w:vAlign w:val="bottom"/>
          </w:tcPr>
          <w:p w14:paraId="0795877C" w14:textId="024F4DA1" w:rsidR="00D01B0D" w:rsidRPr="00323D17" w:rsidRDefault="00C47128" w:rsidP="00677F6D">
            <w:pPr>
              <w:pStyle w:val="TableText0"/>
              <w:jc w:val="center"/>
              <w:rPr>
                <w:szCs w:val="20"/>
                <w:highlight w:val="darkGray"/>
              </w:rPr>
            </w:pPr>
            <w:r w:rsidRPr="00C47128">
              <w:rPr>
                <w:color w:val="000000"/>
                <w:spacing w:val="70"/>
                <w:szCs w:val="20"/>
                <w:shd w:val="solid" w:color="000000" w:fill="000000"/>
                <w:fitText w:val="383" w:id="-1236585727"/>
                <w14:textFill>
                  <w14:solidFill>
                    <w14:srgbClr w14:val="000000">
                      <w14:alpha w14:val="100000"/>
                    </w14:srgbClr>
                  </w14:solidFill>
                </w14:textFill>
              </w:rPr>
              <w:t>|||</w:t>
            </w:r>
            <w:r w:rsidRPr="00C47128">
              <w:rPr>
                <w:color w:val="000000"/>
                <w:spacing w:val="3"/>
                <w:szCs w:val="20"/>
                <w:shd w:val="solid" w:color="000000" w:fill="000000"/>
                <w:fitText w:val="383" w:id="-1236585727"/>
                <w14:textFill>
                  <w14:solidFill>
                    <w14:srgbClr w14:val="000000">
                      <w14:alpha w14:val="100000"/>
                    </w14:srgbClr>
                  </w14:solidFill>
                </w14:textFill>
              </w:rPr>
              <w:t>|</w:t>
            </w:r>
            <w:r w:rsidR="00C1183C">
              <w:rPr>
                <w:vertAlign w:val="superscript"/>
              </w:rPr>
              <w:t>8</w:t>
            </w:r>
          </w:p>
        </w:tc>
      </w:tr>
      <w:tr w:rsidR="00D01B0D" w:rsidRPr="00C44D13" w14:paraId="51D9AB7A" w14:textId="77777777" w:rsidTr="006B145D">
        <w:tc>
          <w:tcPr>
            <w:tcW w:w="1334" w:type="pct"/>
            <w:shd w:val="clear" w:color="auto" w:fill="auto"/>
            <w:vAlign w:val="center"/>
          </w:tcPr>
          <w:p w14:paraId="0F0B3304" w14:textId="5523CBD1" w:rsidR="00D01B0D" w:rsidRPr="00C44D13" w:rsidRDefault="00D01B0D" w:rsidP="00677F6D">
            <w:pPr>
              <w:pStyle w:val="TableText0"/>
              <w:rPr>
                <w:b/>
                <w:bCs w:val="0"/>
                <w:szCs w:val="20"/>
              </w:rPr>
            </w:pPr>
            <w:r w:rsidRPr="00C44D13">
              <w:rPr>
                <w:b/>
                <w:bCs w:val="0"/>
                <w:szCs w:val="20"/>
              </w:rPr>
              <w:t>Net cost to PBS</w:t>
            </w:r>
            <w:r w:rsidR="00323D17">
              <w:rPr>
                <w:b/>
                <w:bCs w:val="0"/>
                <w:szCs w:val="20"/>
              </w:rPr>
              <w:t xml:space="preserve"> ($)</w:t>
            </w:r>
          </w:p>
        </w:tc>
        <w:tc>
          <w:tcPr>
            <w:tcW w:w="611" w:type="pct"/>
            <w:shd w:val="clear" w:color="auto" w:fill="auto"/>
            <w:vAlign w:val="bottom"/>
          </w:tcPr>
          <w:p w14:paraId="3BB0DC2C" w14:textId="6005C21B" w:rsidR="00D01B0D" w:rsidRPr="00323D17" w:rsidRDefault="00C47128" w:rsidP="00677F6D">
            <w:pPr>
              <w:pStyle w:val="TableText0"/>
              <w:jc w:val="center"/>
              <w:rPr>
                <w:szCs w:val="20"/>
                <w:highlight w:val="darkGray"/>
              </w:rPr>
            </w:pPr>
            <w:r w:rsidRPr="00C47128">
              <w:rPr>
                <w:b/>
                <w:bCs w:val="0"/>
                <w:color w:val="000000"/>
                <w:spacing w:val="34"/>
                <w:szCs w:val="20"/>
                <w:shd w:val="solid" w:color="000000" w:fill="000000"/>
                <w:fitText w:val="449" w:id="-1236585726"/>
                <w14:textFill>
                  <w14:solidFill>
                    <w14:srgbClr w14:val="000000">
                      <w14:alpha w14:val="100000"/>
                    </w14:srgbClr>
                  </w14:solidFill>
                </w14:textFill>
              </w:rPr>
              <w:t>|||||</w:t>
            </w:r>
            <w:r w:rsidRPr="00C47128">
              <w:rPr>
                <w:b/>
                <w:bCs w:val="0"/>
                <w:color w:val="000000"/>
                <w:spacing w:val="4"/>
                <w:szCs w:val="20"/>
                <w:shd w:val="solid" w:color="000000" w:fill="000000"/>
                <w:fitText w:val="449" w:id="-1236585726"/>
                <w14:textFill>
                  <w14:solidFill>
                    <w14:srgbClr w14:val="000000">
                      <w14:alpha w14:val="100000"/>
                    </w14:srgbClr>
                  </w14:solidFill>
                </w14:textFill>
              </w:rPr>
              <w:t>|</w:t>
            </w:r>
            <w:r w:rsidR="00C1183C">
              <w:rPr>
                <w:vertAlign w:val="superscript"/>
              </w:rPr>
              <w:t>7</w:t>
            </w:r>
          </w:p>
        </w:tc>
        <w:tc>
          <w:tcPr>
            <w:tcW w:w="611" w:type="pct"/>
            <w:shd w:val="clear" w:color="auto" w:fill="auto"/>
            <w:vAlign w:val="bottom"/>
          </w:tcPr>
          <w:p w14:paraId="0AFB54E9" w14:textId="5A9D6B5D" w:rsidR="00D01B0D" w:rsidRPr="00323D17" w:rsidRDefault="00C47128" w:rsidP="00677F6D">
            <w:pPr>
              <w:pStyle w:val="TableText0"/>
              <w:jc w:val="center"/>
              <w:rPr>
                <w:szCs w:val="20"/>
                <w:highlight w:val="darkGray"/>
              </w:rPr>
            </w:pPr>
            <w:r w:rsidRPr="00C47128">
              <w:rPr>
                <w:b/>
                <w:bCs w:val="0"/>
                <w:color w:val="000000"/>
                <w:spacing w:val="34"/>
                <w:szCs w:val="20"/>
                <w:shd w:val="solid" w:color="000000" w:fill="000000"/>
                <w:fitText w:val="449" w:id="-1236585725"/>
                <w14:textFill>
                  <w14:solidFill>
                    <w14:srgbClr w14:val="000000">
                      <w14:alpha w14:val="100000"/>
                    </w14:srgbClr>
                  </w14:solidFill>
                </w14:textFill>
              </w:rPr>
              <w:t>|||||</w:t>
            </w:r>
            <w:r w:rsidRPr="00C47128">
              <w:rPr>
                <w:b/>
                <w:bCs w:val="0"/>
                <w:color w:val="000000"/>
                <w:spacing w:val="4"/>
                <w:szCs w:val="20"/>
                <w:shd w:val="solid" w:color="000000" w:fill="000000"/>
                <w:fitText w:val="449" w:id="-1236585725"/>
                <w14:textFill>
                  <w14:solidFill>
                    <w14:srgbClr w14:val="000000">
                      <w14:alpha w14:val="100000"/>
                    </w14:srgbClr>
                  </w14:solidFill>
                </w14:textFill>
              </w:rPr>
              <w:t>|</w:t>
            </w:r>
            <w:r w:rsidR="00C1183C">
              <w:rPr>
                <w:vertAlign w:val="superscript"/>
              </w:rPr>
              <w:t>7</w:t>
            </w:r>
          </w:p>
        </w:tc>
        <w:tc>
          <w:tcPr>
            <w:tcW w:w="611" w:type="pct"/>
            <w:shd w:val="clear" w:color="auto" w:fill="auto"/>
            <w:vAlign w:val="bottom"/>
          </w:tcPr>
          <w:p w14:paraId="66F528B6" w14:textId="2D116A3D" w:rsidR="00D01B0D" w:rsidRPr="00323D17" w:rsidRDefault="00C47128" w:rsidP="00677F6D">
            <w:pPr>
              <w:pStyle w:val="TableText0"/>
              <w:jc w:val="center"/>
              <w:rPr>
                <w:szCs w:val="20"/>
                <w:highlight w:val="darkGray"/>
              </w:rPr>
            </w:pPr>
            <w:r w:rsidRPr="00C47128">
              <w:rPr>
                <w:b/>
                <w:bCs w:val="0"/>
                <w:color w:val="000000"/>
                <w:spacing w:val="34"/>
                <w:szCs w:val="20"/>
                <w:shd w:val="solid" w:color="000000" w:fill="000000"/>
                <w:fitText w:val="449" w:id="-1236585724"/>
                <w14:textFill>
                  <w14:solidFill>
                    <w14:srgbClr w14:val="000000">
                      <w14:alpha w14:val="100000"/>
                    </w14:srgbClr>
                  </w14:solidFill>
                </w14:textFill>
              </w:rPr>
              <w:t>|||||</w:t>
            </w:r>
            <w:r w:rsidRPr="00C47128">
              <w:rPr>
                <w:b/>
                <w:bCs w:val="0"/>
                <w:color w:val="000000"/>
                <w:spacing w:val="4"/>
                <w:szCs w:val="20"/>
                <w:shd w:val="solid" w:color="000000" w:fill="000000"/>
                <w:fitText w:val="449" w:id="-1236585724"/>
                <w14:textFill>
                  <w14:solidFill>
                    <w14:srgbClr w14:val="000000">
                      <w14:alpha w14:val="100000"/>
                    </w14:srgbClr>
                  </w14:solidFill>
                </w14:textFill>
              </w:rPr>
              <w:t>|</w:t>
            </w:r>
            <w:r w:rsidR="00C1183C">
              <w:rPr>
                <w:vertAlign w:val="superscript"/>
              </w:rPr>
              <w:t>7</w:t>
            </w:r>
          </w:p>
        </w:tc>
        <w:tc>
          <w:tcPr>
            <w:tcW w:w="611" w:type="pct"/>
            <w:shd w:val="clear" w:color="auto" w:fill="auto"/>
            <w:vAlign w:val="bottom"/>
          </w:tcPr>
          <w:p w14:paraId="6627C58D" w14:textId="69AFF7F8" w:rsidR="00D01B0D" w:rsidRPr="00323D17" w:rsidRDefault="00C47128" w:rsidP="00677F6D">
            <w:pPr>
              <w:pStyle w:val="TableText0"/>
              <w:jc w:val="center"/>
              <w:rPr>
                <w:szCs w:val="20"/>
                <w:highlight w:val="darkGray"/>
              </w:rPr>
            </w:pPr>
            <w:r w:rsidRPr="00C47128">
              <w:rPr>
                <w:b/>
                <w:bCs w:val="0"/>
                <w:color w:val="000000"/>
                <w:spacing w:val="34"/>
                <w:szCs w:val="20"/>
                <w:shd w:val="solid" w:color="000000" w:fill="000000"/>
                <w:fitText w:val="450" w:id="-1236585723"/>
                <w14:textFill>
                  <w14:solidFill>
                    <w14:srgbClr w14:val="000000">
                      <w14:alpha w14:val="100000"/>
                    </w14:srgbClr>
                  </w14:solidFill>
                </w14:textFill>
              </w:rPr>
              <w:t>|||||</w:t>
            </w:r>
            <w:r w:rsidRPr="00C47128">
              <w:rPr>
                <w:b/>
                <w:bCs w:val="0"/>
                <w:color w:val="000000"/>
                <w:spacing w:val="5"/>
                <w:szCs w:val="20"/>
                <w:shd w:val="solid" w:color="000000" w:fill="000000"/>
                <w:fitText w:val="450" w:id="-1236585723"/>
                <w14:textFill>
                  <w14:solidFill>
                    <w14:srgbClr w14:val="000000">
                      <w14:alpha w14:val="100000"/>
                    </w14:srgbClr>
                  </w14:solidFill>
                </w14:textFill>
              </w:rPr>
              <w:t>|</w:t>
            </w:r>
            <w:r w:rsidR="00C1183C">
              <w:rPr>
                <w:vertAlign w:val="superscript"/>
              </w:rPr>
              <w:t>7</w:t>
            </w:r>
          </w:p>
        </w:tc>
        <w:tc>
          <w:tcPr>
            <w:tcW w:w="611" w:type="pct"/>
            <w:shd w:val="clear" w:color="auto" w:fill="auto"/>
            <w:vAlign w:val="bottom"/>
          </w:tcPr>
          <w:p w14:paraId="1ED2A098" w14:textId="273967B1" w:rsidR="00D01B0D" w:rsidRPr="00323D17" w:rsidRDefault="00C47128" w:rsidP="00677F6D">
            <w:pPr>
              <w:pStyle w:val="TableText0"/>
              <w:jc w:val="center"/>
              <w:rPr>
                <w:szCs w:val="20"/>
                <w:highlight w:val="darkGray"/>
              </w:rPr>
            </w:pPr>
            <w:r w:rsidRPr="00C47128">
              <w:rPr>
                <w:b/>
                <w:bCs w:val="0"/>
                <w:color w:val="000000"/>
                <w:spacing w:val="34"/>
                <w:szCs w:val="20"/>
                <w:shd w:val="solid" w:color="000000" w:fill="000000"/>
                <w:fitText w:val="450" w:id="-1236585722"/>
                <w14:textFill>
                  <w14:solidFill>
                    <w14:srgbClr w14:val="000000">
                      <w14:alpha w14:val="100000"/>
                    </w14:srgbClr>
                  </w14:solidFill>
                </w14:textFill>
              </w:rPr>
              <w:t>|||||</w:t>
            </w:r>
            <w:r w:rsidRPr="00C47128">
              <w:rPr>
                <w:b/>
                <w:bCs w:val="0"/>
                <w:color w:val="000000"/>
                <w:spacing w:val="5"/>
                <w:szCs w:val="20"/>
                <w:shd w:val="solid" w:color="000000" w:fill="000000"/>
                <w:fitText w:val="450" w:id="-1236585722"/>
                <w14:textFill>
                  <w14:solidFill>
                    <w14:srgbClr w14:val="000000">
                      <w14:alpha w14:val="100000"/>
                    </w14:srgbClr>
                  </w14:solidFill>
                </w14:textFill>
              </w:rPr>
              <w:t>|</w:t>
            </w:r>
            <w:r w:rsidR="00C1183C">
              <w:rPr>
                <w:vertAlign w:val="superscript"/>
              </w:rPr>
              <w:t>7</w:t>
            </w:r>
          </w:p>
        </w:tc>
        <w:tc>
          <w:tcPr>
            <w:tcW w:w="611" w:type="pct"/>
            <w:vAlign w:val="bottom"/>
          </w:tcPr>
          <w:p w14:paraId="1167B00D" w14:textId="2B043398" w:rsidR="00D01B0D" w:rsidRPr="00323D17" w:rsidRDefault="00C47128" w:rsidP="00677F6D">
            <w:pPr>
              <w:pStyle w:val="TableText0"/>
              <w:jc w:val="center"/>
              <w:rPr>
                <w:szCs w:val="20"/>
                <w:highlight w:val="darkGray"/>
              </w:rPr>
            </w:pPr>
            <w:r w:rsidRPr="00C47128">
              <w:rPr>
                <w:b/>
                <w:bCs w:val="0"/>
                <w:color w:val="000000"/>
                <w:spacing w:val="34"/>
                <w:szCs w:val="20"/>
                <w:shd w:val="solid" w:color="000000" w:fill="000000"/>
                <w:fitText w:val="450" w:id="-1236585721"/>
                <w14:textFill>
                  <w14:solidFill>
                    <w14:srgbClr w14:val="000000">
                      <w14:alpha w14:val="100000"/>
                    </w14:srgbClr>
                  </w14:solidFill>
                </w14:textFill>
              </w:rPr>
              <w:t>|||||</w:t>
            </w:r>
            <w:r w:rsidRPr="00C47128">
              <w:rPr>
                <w:b/>
                <w:bCs w:val="0"/>
                <w:color w:val="000000"/>
                <w:spacing w:val="5"/>
                <w:szCs w:val="20"/>
                <w:shd w:val="solid" w:color="000000" w:fill="000000"/>
                <w:fitText w:val="450" w:id="-1236585721"/>
                <w14:textFill>
                  <w14:solidFill>
                    <w14:srgbClr w14:val="000000">
                      <w14:alpha w14:val="100000"/>
                    </w14:srgbClr>
                  </w14:solidFill>
                </w14:textFill>
              </w:rPr>
              <w:t>|</w:t>
            </w:r>
            <w:r w:rsidR="00C1183C">
              <w:rPr>
                <w:vertAlign w:val="superscript"/>
              </w:rPr>
              <w:t>7</w:t>
            </w:r>
          </w:p>
        </w:tc>
      </w:tr>
    </w:tbl>
    <w:p w14:paraId="484CF5B6" w14:textId="62E2C3EB" w:rsidR="00620C25" w:rsidRDefault="00620C25" w:rsidP="00677F6D">
      <w:pPr>
        <w:pStyle w:val="FooterTableFigure"/>
        <w:keepNext/>
        <w:rPr>
          <w:lang w:val="en-US"/>
        </w:rPr>
      </w:pPr>
      <w:r>
        <w:t xml:space="preserve">Source: </w:t>
      </w:r>
      <w:r w:rsidR="003C10C1">
        <w:t>Tables 129 and 130, p242</w:t>
      </w:r>
      <w:r w:rsidR="0017256D">
        <w:t xml:space="preserve">; </w:t>
      </w:r>
      <w:r w:rsidR="00350E58">
        <w:t xml:space="preserve">Table 134, p245; </w:t>
      </w:r>
      <w:r w:rsidR="00B8074C">
        <w:t xml:space="preserve">Table 139, p240; </w:t>
      </w:r>
      <w:r w:rsidR="00D01B0D">
        <w:t xml:space="preserve">Table 140, p250; </w:t>
      </w:r>
      <w:r w:rsidR="00B8074C">
        <w:t>Table 143, p</w:t>
      </w:r>
      <w:r w:rsidR="00C177E2">
        <w:t xml:space="preserve">253; </w:t>
      </w:r>
      <w:r w:rsidR="0017256D">
        <w:rPr>
          <w:lang w:val="en-US"/>
        </w:rPr>
        <w:t>Table 148, p256</w:t>
      </w:r>
      <w:r w:rsidR="00350E58">
        <w:rPr>
          <w:lang w:val="en-US"/>
        </w:rPr>
        <w:t xml:space="preserve"> of the submission.</w:t>
      </w:r>
    </w:p>
    <w:p w14:paraId="2B155BB5" w14:textId="044727EA" w:rsidR="00350E58" w:rsidRDefault="00350E58" w:rsidP="00677F6D">
      <w:pPr>
        <w:pStyle w:val="FooterTableFigure"/>
        <w:keepNext/>
        <w:rPr>
          <w:rStyle w:val="CommentReference"/>
        </w:rPr>
      </w:pPr>
      <w:r w:rsidRPr="00F42CCD">
        <w:t>aHUS</w:t>
      </w:r>
      <w:r>
        <w:t xml:space="preserve"> = </w:t>
      </w:r>
      <w:r w:rsidRPr="00F42CCD">
        <w:t xml:space="preserve">atypical haemolytic </w:t>
      </w:r>
      <w:r>
        <w:t>uraemic</w:t>
      </w:r>
      <w:r w:rsidRPr="00F42CCD">
        <w:t xml:space="preserve"> syndrome</w:t>
      </w:r>
    </w:p>
    <w:p w14:paraId="7E51A09C" w14:textId="1559B58F" w:rsidR="003C10C1" w:rsidRDefault="00E466F3" w:rsidP="00677F6D">
      <w:pPr>
        <w:pStyle w:val="FooterTableFigure"/>
        <w:keepNext/>
      </w:pPr>
      <w:r w:rsidRPr="003639A6">
        <w:rPr>
          <w:vertAlign w:val="superscript"/>
        </w:rPr>
        <w:t>a</w:t>
      </w:r>
      <w:r w:rsidR="00606FBA">
        <w:t xml:space="preserve"> </w:t>
      </w:r>
      <w:r w:rsidR="00D01B0D">
        <w:t>Total cost to PBS for ravulizumab and eculizumab (with ravulizumab PBS-listed) added together, net of patient copayment</w:t>
      </w:r>
      <w:r w:rsidR="00C177E2">
        <w:t>.</w:t>
      </w:r>
    </w:p>
    <w:p w14:paraId="2D96EAD2" w14:textId="594EF2B5" w:rsidR="00E1325B" w:rsidRDefault="00E1325B" w:rsidP="00677F6D">
      <w:pPr>
        <w:pStyle w:val="FooterTableFigure"/>
        <w:keepNext/>
        <w:spacing w:after="0"/>
      </w:pPr>
      <w:r w:rsidRPr="00E1325B">
        <w:rPr>
          <w:vertAlign w:val="superscript"/>
        </w:rPr>
        <w:t>b</w:t>
      </w:r>
      <w:r>
        <w:rPr>
          <w:vertAlign w:val="superscript"/>
        </w:rPr>
        <w:t xml:space="preserve"> </w:t>
      </w:r>
      <w:r>
        <w:t>Calculated during evaluation</w:t>
      </w:r>
      <w:r w:rsidR="00C56365">
        <w:t xml:space="preserve"> from Table 134 of the submission.</w:t>
      </w:r>
    </w:p>
    <w:p w14:paraId="4B7A00C6" w14:textId="77777777" w:rsidR="00323D17" w:rsidRPr="009A6D58" w:rsidRDefault="00323D17" w:rsidP="00677F6D">
      <w:pPr>
        <w:keepNext/>
        <w:rPr>
          <w:rFonts w:ascii="Arial Narrow" w:hAnsi="Arial Narrow" w:cs="Arial"/>
          <w:i/>
          <w:sz w:val="18"/>
          <w:szCs w:val="18"/>
          <w:lang w:eastAsia="en-AU"/>
        </w:rPr>
      </w:pPr>
      <w:r w:rsidRPr="009A6D58">
        <w:rPr>
          <w:rFonts w:ascii="Arial Narrow" w:hAnsi="Arial Narrow" w:cs="Arial"/>
          <w:i/>
          <w:sz w:val="18"/>
          <w:szCs w:val="18"/>
          <w:lang w:eastAsia="en-AU"/>
        </w:rPr>
        <w:t xml:space="preserve">The redacted values correspond to the following ranges: </w:t>
      </w:r>
    </w:p>
    <w:p w14:paraId="227C7BE1" w14:textId="40D2702C" w:rsidR="00323D17" w:rsidRPr="009A6D58" w:rsidRDefault="00323D17" w:rsidP="00677F6D">
      <w:pPr>
        <w:keepNext/>
        <w:rPr>
          <w:rFonts w:ascii="Arial Narrow" w:hAnsi="Arial Narrow" w:cs="Arial"/>
          <w:i/>
          <w:sz w:val="18"/>
          <w:szCs w:val="18"/>
          <w:lang w:eastAsia="en-AU"/>
        </w:rPr>
      </w:pPr>
      <w:r w:rsidRPr="009A6D58">
        <w:rPr>
          <w:rFonts w:ascii="Arial Narrow" w:hAnsi="Arial Narrow" w:cs="Arial"/>
          <w:i/>
          <w:sz w:val="18"/>
          <w:szCs w:val="18"/>
          <w:vertAlign w:val="superscript"/>
          <w:lang w:eastAsia="en-AU"/>
        </w:rPr>
        <w:t>1</w:t>
      </w:r>
      <w:r>
        <w:rPr>
          <w:rFonts w:ascii="Arial Narrow" w:hAnsi="Arial Narrow" w:cs="Arial"/>
          <w:i/>
          <w:sz w:val="18"/>
          <w:szCs w:val="18"/>
          <w:lang w:eastAsia="en-AU"/>
        </w:rPr>
        <w:t xml:space="preserve"> </w:t>
      </w:r>
      <w:r w:rsidR="00C1183C" w:rsidRPr="00C1183C">
        <w:rPr>
          <w:rFonts w:ascii="Arial Narrow" w:hAnsi="Arial Narrow" w:cs="Arial"/>
          <w:i/>
          <w:sz w:val="18"/>
          <w:szCs w:val="18"/>
          <w:lang w:eastAsia="en-AU"/>
        </w:rPr>
        <w:t>&lt; 500</w:t>
      </w:r>
    </w:p>
    <w:p w14:paraId="1CA93950" w14:textId="2843E40E" w:rsidR="00323D17" w:rsidRPr="009A6D58" w:rsidRDefault="00323D17" w:rsidP="00677F6D">
      <w:pPr>
        <w:keepNext/>
        <w:rPr>
          <w:rFonts w:ascii="Arial Narrow" w:hAnsi="Arial Narrow" w:cs="Arial"/>
          <w:i/>
          <w:sz w:val="18"/>
          <w:szCs w:val="18"/>
          <w:lang w:eastAsia="en-AU"/>
        </w:rPr>
      </w:pPr>
      <w:r w:rsidRPr="009A6D58">
        <w:rPr>
          <w:rFonts w:ascii="Arial Narrow" w:hAnsi="Arial Narrow" w:cs="Arial"/>
          <w:i/>
          <w:sz w:val="18"/>
          <w:szCs w:val="18"/>
          <w:vertAlign w:val="superscript"/>
          <w:lang w:eastAsia="en-AU"/>
        </w:rPr>
        <w:t>2</w:t>
      </w:r>
      <w:r>
        <w:rPr>
          <w:rFonts w:ascii="Arial Narrow" w:hAnsi="Arial Narrow" w:cs="Arial"/>
          <w:i/>
          <w:sz w:val="18"/>
          <w:szCs w:val="18"/>
          <w:lang w:eastAsia="en-AU"/>
        </w:rPr>
        <w:t xml:space="preserve"> </w:t>
      </w:r>
      <w:r w:rsidR="00C1183C" w:rsidRPr="00C1183C">
        <w:rPr>
          <w:rFonts w:ascii="Arial Narrow" w:hAnsi="Arial Narrow" w:cs="Arial"/>
          <w:i/>
          <w:sz w:val="18"/>
          <w:szCs w:val="18"/>
          <w:lang w:eastAsia="en-AU"/>
        </w:rPr>
        <w:t>500 to &lt; 5,000</w:t>
      </w:r>
    </w:p>
    <w:p w14:paraId="23086BFC" w14:textId="48EDEBF0" w:rsidR="00323D17" w:rsidRDefault="00323D17" w:rsidP="00677F6D">
      <w:pPr>
        <w:keepNext/>
        <w:rPr>
          <w:rFonts w:ascii="Arial Narrow" w:hAnsi="Arial Narrow" w:cs="Arial"/>
          <w:i/>
          <w:sz w:val="18"/>
          <w:szCs w:val="18"/>
          <w:lang w:eastAsia="en-AU"/>
        </w:rPr>
      </w:pPr>
      <w:r w:rsidRPr="009A6D58">
        <w:rPr>
          <w:rFonts w:ascii="Arial Narrow" w:hAnsi="Arial Narrow" w:cs="Arial"/>
          <w:i/>
          <w:sz w:val="18"/>
          <w:szCs w:val="18"/>
          <w:vertAlign w:val="superscript"/>
          <w:lang w:eastAsia="en-AU"/>
        </w:rPr>
        <w:t>3</w:t>
      </w:r>
      <w:r>
        <w:rPr>
          <w:rFonts w:ascii="Arial Narrow" w:hAnsi="Arial Narrow" w:cs="Arial"/>
          <w:i/>
          <w:sz w:val="18"/>
          <w:szCs w:val="18"/>
          <w:lang w:eastAsia="en-AU"/>
        </w:rPr>
        <w:t xml:space="preserve"> </w:t>
      </w:r>
      <w:r w:rsidR="00C1183C" w:rsidRPr="00C1183C">
        <w:rPr>
          <w:rFonts w:ascii="Arial Narrow" w:hAnsi="Arial Narrow" w:cs="Arial"/>
          <w:i/>
          <w:sz w:val="18"/>
          <w:szCs w:val="18"/>
          <w:lang w:eastAsia="en-AU"/>
        </w:rPr>
        <w:t>$30 million to &lt; $40 million</w:t>
      </w:r>
    </w:p>
    <w:p w14:paraId="152365B0" w14:textId="50591984" w:rsidR="00323D17" w:rsidRDefault="00323D17" w:rsidP="00677F6D">
      <w:pPr>
        <w:keepNext/>
        <w:rPr>
          <w:rFonts w:ascii="Arial Narrow" w:hAnsi="Arial Narrow" w:cs="Arial"/>
          <w:i/>
          <w:sz w:val="18"/>
          <w:szCs w:val="18"/>
          <w:lang w:eastAsia="en-AU"/>
        </w:rPr>
      </w:pPr>
      <w:r>
        <w:rPr>
          <w:rFonts w:ascii="Arial Narrow" w:hAnsi="Arial Narrow" w:cs="Arial"/>
          <w:i/>
          <w:sz w:val="18"/>
          <w:szCs w:val="18"/>
          <w:vertAlign w:val="superscript"/>
          <w:lang w:eastAsia="en-AU"/>
        </w:rPr>
        <w:t>4</w:t>
      </w:r>
      <w:r>
        <w:rPr>
          <w:rFonts w:ascii="Arial Narrow" w:hAnsi="Arial Narrow" w:cs="Arial"/>
          <w:i/>
          <w:sz w:val="18"/>
          <w:szCs w:val="18"/>
          <w:lang w:eastAsia="en-AU"/>
        </w:rPr>
        <w:t xml:space="preserve"> </w:t>
      </w:r>
      <w:r w:rsidR="00C1183C" w:rsidRPr="00C1183C">
        <w:rPr>
          <w:rFonts w:ascii="Arial Narrow" w:hAnsi="Arial Narrow" w:cs="Arial"/>
          <w:i/>
          <w:sz w:val="18"/>
          <w:szCs w:val="18"/>
          <w:lang w:eastAsia="en-AU"/>
        </w:rPr>
        <w:t>$20 million to &lt; $30 million</w:t>
      </w:r>
    </w:p>
    <w:p w14:paraId="0A00BAD3" w14:textId="7BD462E7" w:rsidR="00323D17" w:rsidRDefault="00323D17" w:rsidP="00677F6D">
      <w:pPr>
        <w:keepNext/>
        <w:rPr>
          <w:rFonts w:ascii="Arial Narrow" w:hAnsi="Arial Narrow" w:cs="Arial"/>
          <w:i/>
          <w:sz w:val="18"/>
          <w:szCs w:val="18"/>
          <w:lang w:eastAsia="en-AU"/>
        </w:rPr>
      </w:pPr>
      <w:r>
        <w:rPr>
          <w:rFonts w:ascii="Arial Narrow" w:hAnsi="Arial Narrow" w:cs="Arial"/>
          <w:i/>
          <w:sz w:val="18"/>
          <w:szCs w:val="18"/>
          <w:vertAlign w:val="superscript"/>
          <w:lang w:eastAsia="en-AU"/>
        </w:rPr>
        <w:t>5</w:t>
      </w:r>
      <w:r>
        <w:rPr>
          <w:rFonts w:ascii="Arial Narrow" w:hAnsi="Arial Narrow" w:cs="Arial"/>
          <w:i/>
          <w:sz w:val="18"/>
          <w:szCs w:val="18"/>
          <w:lang w:eastAsia="en-AU"/>
        </w:rPr>
        <w:t xml:space="preserve"> </w:t>
      </w:r>
      <w:r w:rsidR="00C1183C" w:rsidRPr="00C1183C">
        <w:rPr>
          <w:rFonts w:ascii="Arial Narrow" w:hAnsi="Arial Narrow" w:cs="Arial"/>
          <w:i/>
          <w:sz w:val="18"/>
          <w:szCs w:val="18"/>
          <w:lang w:eastAsia="en-AU"/>
        </w:rPr>
        <w:t>$60 million to &lt; $70 million</w:t>
      </w:r>
    </w:p>
    <w:p w14:paraId="1C05414E" w14:textId="791D2491" w:rsidR="00C1183C" w:rsidRDefault="00323D17" w:rsidP="00677F6D">
      <w:pPr>
        <w:keepNext/>
        <w:rPr>
          <w:rFonts w:ascii="Arial Narrow" w:hAnsi="Arial Narrow" w:cs="Arial"/>
          <w:i/>
          <w:sz w:val="18"/>
          <w:szCs w:val="18"/>
          <w:lang w:eastAsia="en-AU"/>
        </w:rPr>
      </w:pPr>
      <w:proofErr w:type="gramStart"/>
      <w:r>
        <w:rPr>
          <w:rFonts w:ascii="Arial Narrow" w:hAnsi="Arial Narrow" w:cs="Arial"/>
          <w:i/>
          <w:sz w:val="18"/>
          <w:szCs w:val="18"/>
          <w:vertAlign w:val="superscript"/>
          <w:lang w:eastAsia="en-AU"/>
        </w:rPr>
        <w:t>6</w:t>
      </w:r>
      <w:r>
        <w:rPr>
          <w:rFonts w:ascii="Arial Narrow" w:hAnsi="Arial Narrow" w:cs="Arial"/>
          <w:i/>
          <w:sz w:val="18"/>
          <w:szCs w:val="18"/>
          <w:lang w:eastAsia="en-AU"/>
        </w:rPr>
        <w:t xml:space="preserve"> </w:t>
      </w:r>
      <w:r w:rsidR="00C1183C">
        <w:rPr>
          <w:rFonts w:ascii="Arial Narrow" w:hAnsi="Arial Narrow" w:cs="Arial"/>
          <w:i/>
          <w:sz w:val="18"/>
          <w:szCs w:val="18"/>
          <w:lang w:eastAsia="en-AU"/>
        </w:rPr>
        <w:t xml:space="preserve"> </w:t>
      </w:r>
      <w:r w:rsidR="00C1183C" w:rsidRPr="00C1183C">
        <w:rPr>
          <w:rFonts w:ascii="Arial Narrow" w:hAnsi="Arial Narrow" w:cs="Arial"/>
          <w:i/>
          <w:sz w:val="18"/>
          <w:szCs w:val="18"/>
          <w:lang w:eastAsia="en-AU"/>
        </w:rPr>
        <w:t>$</w:t>
      </w:r>
      <w:proofErr w:type="gramEnd"/>
      <w:r w:rsidR="00C1183C" w:rsidRPr="00C1183C">
        <w:rPr>
          <w:rFonts w:ascii="Arial Narrow" w:hAnsi="Arial Narrow" w:cs="Arial"/>
          <w:i/>
          <w:sz w:val="18"/>
          <w:szCs w:val="18"/>
          <w:lang w:eastAsia="en-AU"/>
        </w:rPr>
        <w:t>50 million to &lt; $60 million</w:t>
      </w:r>
    </w:p>
    <w:p w14:paraId="10A70B01" w14:textId="237D3138" w:rsidR="00C1183C" w:rsidRDefault="00C1183C" w:rsidP="00677F6D">
      <w:pPr>
        <w:keepNext/>
        <w:rPr>
          <w:rFonts w:ascii="Arial Narrow" w:hAnsi="Arial Narrow" w:cs="Arial"/>
          <w:i/>
          <w:sz w:val="18"/>
          <w:szCs w:val="18"/>
          <w:lang w:eastAsia="en-AU"/>
        </w:rPr>
      </w:pPr>
      <w:r>
        <w:rPr>
          <w:rFonts w:ascii="Arial Narrow" w:hAnsi="Arial Narrow" w:cs="Arial"/>
          <w:i/>
          <w:sz w:val="18"/>
          <w:szCs w:val="18"/>
          <w:vertAlign w:val="superscript"/>
          <w:lang w:eastAsia="en-AU"/>
        </w:rPr>
        <w:t>7</w:t>
      </w:r>
      <w:r>
        <w:rPr>
          <w:rFonts w:ascii="Arial Narrow" w:hAnsi="Arial Narrow" w:cs="Arial"/>
          <w:i/>
          <w:sz w:val="18"/>
          <w:szCs w:val="18"/>
          <w:lang w:eastAsia="en-AU"/>
        </w:rPr>
        <w:t xml:space="preserve"> </w:t>
      </w:r>
      <w:r w:rsidRPr="00C1183C">
        <w:rPr>
          <w:rFonts w:ascii="Arial Narrow" w:hAnsi="Arial Narrow" w:cs="Arial"/>
          <w:i/>
          <w:sz w:val="18"/>
          <w:szCs w:val="18"/>
          <w:lang w:eastAsia="en-AU"/>
        </w:rPr>
        <w:t>net cost saving</w:t>
      </w:r>
    </w:p>
    <w:p w14:paraId="735DEBA5" w14:textId="7B1B99D4" w:rsidR="00C1183C" w:rsidRDefault="00C1183C" w:rsidP="00677F6D">
      <w:pPr>
        <w:keepNext/>
        <w:rPr>
          <w:rFonts w:ascii="Arial Narrow" w:hAnsi="Arial Narrow" w:cs="Arial"/>
          <w:i/>
          <w:sz w:val="18"/>
          <w:szCs w:val="18"/>
          <w:lang w:eastAsia="en-AU"/>
        </w:rPr>
      </w:pPr>
      <w:r>
        <w:rPr>
          <w:rFonts w:ascii="Arial Narrow" w:hAnsi="Arial Narrow" w:cs="Arial"/>
          <w:i/>
          <w:sz w:val="18"/>
          <w:szCs w:val="18"/>
          <w:vertAlign w:val="superscript"/>
          <w:lang w:eastAsia="en-AU"/>
        </w:rPr>
        <w:t>8</w:t>
      </w:r>
      <w:r>
        <w:rPr>
          <w:rFonts w:ascii="Arial Narrow" w:hAnsi="Arial Narrow" w:cs="Arial"/>
          <w:i/>
          <w:sz w:val="18"/>
          <w:szCs w:val="18"/>
          <w:lang w:eastAsia="en-AU"/>
        </w:rPr>
        <w:t xml:space="preserve"> </w:t>
      </w:r>
      <w:r w:rsidRPr="00C1183C">
        <w:rPr>
          <w:rFonts w:ascii="Arial Narrow" w:hAnsi="Arial Narrow" w:cs="Arial"/>
          <w:i/>
          <w:sz w:val="18"/>
          <w:szCs w:val="18"/>
          <w:lang w:eastAsia="en-AU"/>
        </w:rPr>
        <w:t>$70 million to &lt; $80 million</w:t>
      </w:r>
    </w:p>
    <w:p w14:paraId="2098B5E0" w14:textId="77777777" w:rsidR="00121A97" w:rsidRDefault="00C1183C" w:rsidP="00677F6D">
      <w:pPr>
        <w:keepNext/>
        <w:rPr>
          <w:rFonts w:ascii="Arial Narrow" w:hAnsi="Arial Narrow" w:cs="Arial"/>
          <w:i/>
          <w:sz w:val="18"/>
          <w:szCs w:val="18"/>
          <w:lang w:eastAsia="en-AU"/>
        </w:rPr>
      </w:pPr>
      <w:r>
        <w:rPr>
          <w:rFonts w:ascii="Arial Narrow" w:hAnsi="Arial Narrow" w:cs="Arial"/>
          <w:i/>
          <w:sz w:val="18"/>
          <w:szCs w:val="18"/>
          <w:vertAlign w:val="superscript"/>
          <w:lang w:eastAsia="en-AU"/>
        </w:rPr>
        <w:t>9</w:t>
      </w:r>
      <w:r>
        <w:rPr>
          <w:rFonts w:ascii="Arial Narrow" w:hAnsi="Arial Narrow" w:cs="Arial"/>
          <w:i/>
          <w:sz w:val="18"/>
          <w:szCs w:val="18"/>
          <w:lang w:eastAsia="en-AU"/>
        </w:rPr>
        <w:t xml:space="preserve"> </w:t>
      </w:r>
      <w:r w:rsidRPr="00C1183C">
        <w:rPr>
          <w:rFonts w:ascii="Arial Narrow" w:hAnsi="Arial Narrow" w:cs="Arial"/>
          <w:i/>
          <w:sz w:val="18"/>
          <w:szCs w:val="18"/>
          <w:lang w:eastAsia="en-AU"/>
        </w:rPr>
        <w:t>$40 million to &lt; $50 million</w:t>
      </w:r>
    </w:p>
    <w:p w14:paraId="2E8D4A9B" w14:textId="7214979B" w:rsidR="00C1183C" w:rsidRDefault="00121A97" w:rsidP="00121A97">
      <w:pPr>
        <w:spacing w:after="120"/>
        <w:rPr>
          <w:rFonts w:ascii="Arial Narrow" w:hAnsi="Arial Narrow" w:cs="Arial"/>
          <w:i/>
          <w:sz w:val="18"/>
          <w:szCs w:val="18"/>
          <w:lang w:eastAsia="en-AU"/>
        </w:rPr>
      </w:pPr>
      <w:r>
        <w:rPr>
          <w:rFonts w:ascii="Arial Narrow" w:hAnsi="Arial Narrow" w:cs="Arial"/>
          <w:i/>
          <w:sz w:val="18"/>
          <w:szCs w:val="18"/>
          <w:vertAlign w:val="superscript"/>
          <w:lang w:eastAsia="en-AU"/>
        </w:rPr>
        <w:t>10</w:t>
      </w:r>
      <w:r>
        <w:rPr>
          <w:rFonts w:ascii="Arial Narrow" w:hAnsi="Arial Narrow" w:cs="Arial"/>
          <w:i/>
          <w:sz w:val="18"/>
          <w:szCs w:val="18"/>
          <w:lang w:eastAsia="en-AU"/>
        </w:rPr>
        <w:t xml:space="preserve"> $</w:t>
      </w:r>
      <w:r w:rsidRPr="00C1183C">
        <w:rPr>
          <w:rFonts w:ascii="Arial Narrow" w:hAnsi="Arial Narrow" w:cs="Arial"/>
          <w:i/>
          <w:sz w:val="18"/>
          <w:szCs w:val="18"/>
          <w:lang w:eastAsia="en-AU"/>
        </w:rPr>
        <w:t>80 million to &lt; $90 million</w:t>
      </w:r>
    </w:p>
    <w:p w14:paraId="309F2837" w14:textId="7BFC25BE" w:rsidR="00350E58" w:rsidRDefault="00350E58" w:rsidP="00B306AF">
      <w:pPr>
        <w:pStyle w:val="3-BodyText"/>
      </w:pPr>
      <w:r w:rsidRPr="00D64D6F">
        <w:t xml:space="preserve">While the submission estimated a </w:t>
      </w:r>
      <w:r w:rsidR="005C20E9">
        <w:t xml:space="preserve">net </w:t>
      </w:r>
      <w:r w:rsidRPr="00D64D6F">
        <w:t xml:space="preserve">cost saving for the PBS listing of ravulizumab, there remains considerable </w:t>
      </w:r>
      <w:r w:rsidR="003532A4" w:rsidRPr="00D64D6F">
        <w:t xml:space="preserve">overall </w:t>
      </w:r>
      <w:r w:rsidRPr="00D64D6F">
        <w:t>cost</w:t>
      </w:r>
      <w:r w:rsidR="003532A4" w:rsidRPr="00D64D6F">
        <w:t xml:space="preserve"> for aHUS treatments</w:t>
      </w:r>
      <w:r w:rsidRPr="00D64D6F">
        <w:t xml:space="preserve">. </w:t>
      </w:r>
      <w:r>
        <w:t>The following table provides Year 1, Year 6 and total cost over 6 years for ravulizumab</w:t>
      </w:r>
      <w:r w:rsidR="00AD1290">
        <w:t xml:space="preserve"> and eculizumab</w:t>
      </w:r>
      <w:r>
        <w:t>.</w:t>
      </w:r>
    </w:p>
    <w:p w14:paraId="4F299CF2" w14:textId="2A46CCE4" w:rsidR="00350E58" w:rsidRDefault="00350E58" w:rsidP="00677F6D">
      <w:pPr>
        <w:keepNext/>
      </w:pPr>
      <w:r w:rsidRPr="001E0B08">
        <w:rPr>
          <w:rFonts w:ascii="Arial Narrow" w:hAnsi="Arial Narrow"/>
          <w:b/>
          <w:bCs/>
          <w:sz w:val="20"/>
          <w:szCs w:val="20"/>
        </w:rPr>
        <w:lastRenderedPageBreak/>
        <w:t xml:space="preserve">Table </w:t>
      </w:r>
      <w:r w:rsidRPr="001E0B08">
        <w:rPr>
          <w:rFonts w:ascii="Arial Narrow" w:hAnsi="Arial Narrow"/>
          <w:b/>
          <w:bCs/>
          <w:sz w:val="20"/>
          <w:szCs w:val="20"/>
        </w:rPr>
        <w:fldChar w:fldCharType="begin" w:fldLock="1"/>
      </w:r>
      <w:r w:rsidRPr="001E0B08">
        <w:rPr>
          <w:rFonts w:ascii="Arial Narrow" w:hAnsi="Arial Narrow"/>
          <w:b/>
          <w:bCs/>
          <w:sz w:val="20"/>
          <w:szCs w:val="20"/>
        </w:rPr>
        <w:instrText xml:space="preserve"> SEQ Table \* ARABIC </w:instrText>
      </w:r>
      <w:r w:rsidRPr="001E0B08">
        <w:rPr>
          <w:rFonts w:ascii="Arial Narrow" w:hAnsi="Arial Narrow"/>
          <w:b/>
          <w:bCs/>
          <w:sz w:val="20"/>
          <w:szCs w:val="20"/>
        </w:rPr>
        <w:fldChar w:fldCharType="separate"/>
      </w:r>
      <w:r w:rsidR="00916EDA">
        <w:rPr>
          <w:rFonts w:ascii="Arial Narrow" w:hAnsi="Arial Narrow"/>
          <w:b/>
          <w:bCs/>
          <w:noProof/>
          <w:sz w:val="20"/>
          <w:szCs w:val="20"/>
        </w:rPr>
        <w:t>15</w:t>
      </w:r>
      <w:r w:rsidRPr="001E0B08">
        <w:rPr>
          <w:rFonts w:ascii="Arial Narrow" w:hAnsi="Arial Narrow"/>
          <w:b/>
          <w:bCs/>
          <w:noProof/>
          <w:sz w:val="20"/>
          <w:szCs w:val="20"/>
        </w:rPr>
        <w:fldChar w:fldCharType="end"/>
      </w:r>
      <w:r w:rsidRPr="001E0B08">
        <w:t>:</w:t>
      </w:r>
      <w:r w:rsidRPr="001E0B08">
        <w:rPr>
          <w:rStyle w:val="CommentReference"/>
          <w:szCs w:val="24"/>
        </w:rPr>
        <w:t xml:space="preserve"> Estimated net cost of ravulizumab and </w:t>
      </w:r>
      <w:proofErr w:type="gramStart"/>
      <w:r w:rsidRPr="001E0B08">
        <w:rPr>
          <w:rStyle w:val="CommentReference"/>
          <w:szCs w:val="24"/>
        </w:rPr>
        <w:t>eculizumab</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40"/>
        <w:gridCol w:w="992"/>
        <w:gridCol w:w="992"/>
        <w:gridCol w:w="1793"/>
      </w:tblGrid>
      <w:tr w:rsidR="00DF7F32" w:rsidRPr="00D1078F" w14:paraId="3E20F080" w14:textId="77777777" w:rsidTr="00323D17">
        <w:trPr>
          <w:tblHeader/>
        </w:trPr>
        <w:tc>
          <w:tcPr>
            <w:tcW w:w="2906" w:type="pct"/>
            <w:shd w:val="clear" w:color="auto" w:fill="auto"/>
            <w:vAlign w:val="center"/>
          </w:tcPr>
          <w:p w14:paraId="2C16BB0C" w14:textId="77777777" w:rsidR="00350E58" w:rsidRPr="003639A6" w:rsidRDefault="00350E58" w:rsidP="00677F6D">
            <w:pPr>
              <w:pStyle w:val="In-tableHeading"/>
              <w:jc w:val="center"/>
            </w:pPr>
          </w:p>
        </w:tc>
        <w:tc>
          <w:tcPr>
            <w:tcW w:w="550" w:type="pct"/>
            <w:shd w:val="clear" w:color="auto" w:fill="auto"/>
            <w:vAlign w:val="center"/>
          </w:tcPr>
          <w:p w14:paraId="7F128A68" w14:textId="77777777" w:rsidR="00350E58" w:rsidRPr="00D1078F" w:rsidRDefault="00350E58" w:rsidP="00677F6D">
            <w:pPr>
              <w:pStyle w:val="In-tableHeading"/>
              <w:jc w:val="center"/>
            </w:pPr>
            <w:r w:rsidRPr="00D1078F">
              <w:t>Year 1</w:t>
            </w:r>
          </w:p>
        </w:tc>
        <w:tc>
          <w:tcPr>
            <w:tcW w:w="550" w:type="pct"/>
            <w:shd w:val="clear" w:color="auto" w:fill="auto"/>
            <w:vAlign w:val="center"/>
          </w:tcPr>
          <w:p w14:paraId="0554A9D3" w14:textId="77777777" w:rsidR="00350E58" w:rsidRPr="00D1078F" w:rsidRDefault="00350E58" w:rsidP="00677F6D">
            <w:pPr>
              <w:pStyle w:val="In-tableHeading"/>
              <w:jc w:val="center"/>
            </w:pPr>
            <w:r w:rsidRPr="00D1078F">
              <w:t xml:space="preserve">Year </w:t>
            </w:r>
            <w:r>
              <w:t>6</w:t>
            </w:r>
          </w:p>
        </w:tc>
        <w:tc>
          <w:tcPr>
            <w:tcW w:w="994" w:type="pct"/>
            <w:shd w:val="clear" w:color="auto" w:fill="auto"/>
            <w:vAlign w:val="center"/>
          </w:tcPr>
          <w:p w14:paraId="1C03C8D0" w14:textId="77777777" w:rsidR="00350E58" w:rsidRPr="00D1078F" w:rsidRDefault="00350E58" w:rsidP="00677F6D">
            <w:pPr>
              <w:pStyle w:val="In-tableHeading"/>
              <w:jc w:val="center"/>
            </w:pPr>
            <w:r>
              <w:t>Total Years 1 to 6</w:t>
            </w:r>
          </w:p>
        </w:tc>
      </w:tr>
      <w:tr w:rsidR="00DF7F32" w:rsidRPr="00B85A30" w14:paraId="7443B331" w14:textId="77777777" w:rsidTr="00323D17">
        <w:tc>
          <w:tcPr>
            <w:tcW w:w="2906" w:type="pct"/>
            <w:shd w:val="clear" w:color="auto" w:fill="auto"/>
            <w:vAlign w:val="center"/>
          </w:tcPr>
          <w:p w14:paraId="027B50FC" w14:textId="77777777" w:rsidR="00350E58" w:rsidRPr="00B85A30" w:rsidRDefault="00350E58" w:rsidP="00677F6D">
            <w:pPr>
              <w:pStyle w:val="TableText0"/>
              <w:rPr>
                <w:rFonts w:ascii="Times" w:hAnsi="Times"/>
                <w:b/>
                <w:bCs w:val="0"/>
              </w:rPr>
            </w:pPr>
            <w:r w:rsidRPr="00B85A30">
              <w:rPr>
                <w:b/>
                <w:bCs w:val="0"/>
              </w:rPr>
              <w:t>Net cost of ravulizumab</w:t>
            </w:r>
          </w:p>
        </w:tc>
        <w:tc>
          <w:tcPr>
            <w:tcW w:w="550" w:type="pct"/>
            <w:shd w:val="clear" w:color="auto" w:fill="auto"/>
            <w:vAlign w:val="center"/>
          </w:tcPr>
          <w:p w14:paraId="4FDE8719" w14:textId="6B2C2682" w:rsidR="00350E58" w:rsidRPr="00323D17" w:rsidRDefault="00C47128" w:rsidP="00677F6D">
            <w:pPr>
              <w:pStyle w:val="TableText0"/>
              <w:jc w:val="center"/>
              <w:rPr>
                <w:b/>
                <w:bCs w:val="0"/>
                <w:color w:val="000000"/>
                <w:highlight w:val="darkGray"/>
              </w:rPr>
            </w:pPr>
            <w:r w:rsidRPr="00C47128">
              <w:rPr>
                <w:b/>
                <w:bCs w:val="0"/>
                <w:color w:val="000000"/>
                <w:spacing w:val="46"/>
                <w:shd w:val="solid" w:color="000000" w:fill="000000"/>
                <w:fitText w:val="507" w:id="-1236585720"/>
                <w14:textFill>
                  <w14:solidFill>
                    <w14:srgbClr w14:val="000000">
                      <w14:alpha w14:val="100000"/>
                    </w14:srgbClr>
                  </w14:solidFill>
                </w14:textFill>
              </w:rPr>
              <w:t>|||||</w:t>
            </w:r>
            <w:r w:rsidRPr="00C47128">
              <w:rPr>
                <w:b/>
                <w:bCs w:val="0"/>
                <w:color w:val="000000"/>
                <w:spacing w:val="2"/>
                <w:shd w:val="solid" w:color="000000" w:fill="000000"/>
                <w:fitText w:val="507" w:id="-1236585720"/>
                <w14:textFill>
                  <w14:solidFill>
                    <w14:srgbClr w14:val="000000">
                      <w14:alpha w14:val="100000"/>
                    </w14:srgbClr>
                  </w14:solidFill>
                </w14:textFill>
              </w:rPr>
              <w:t>|</w:t>
            </w:r>
            <w:r w:rsidR="00C1183C" w:rsidRPr="00C1183C">
              <w:rPr>
                <w:vertAlign w:val="superscript"/>
              </w:rPr>
              <w:t>1</w:t>
            </w:r>
          </w:p>
        </w:tc>
        <w:tc>
          <w:tcPr>
            <w:tcW w:w="550" w:type="pct"/>
            <w:shd w:val="clear" w:color="auto" w:fill="auto"/>
            <w:vAlign w:val="center"/>
          </w:tcPr>
          <w:p w14:paraId="26F1A2BA" w14:textId="1AD6B306" w:rsidR="00350E58" w:rsidRPr="00323D17" w:rsidRDefault="00C47128" w:rsidP="00677F6D">
            <w:pPr>
              <w:pStyle w:val="TableText0"/>
              <w:jc w:val="center"/>
              <w:rPr>
                <w:b/>
                <w:bCs w:val="0"/>
                <w:color w:val="000000"/>
                <w:highlight w:val="darkGray"/>
              </w:rPr>
            </w:pPr>
            <w:r w:rsidRPr="00C47128">
              <w:rPr>
                <w:b/>
                <w:bCs w:val="0"/>
                <w:color w:val="000000"/>
                <w:spacing w:val="46"/>
                <w:shd w:val="solid" w:color="000000" w:fill="000000"/>
                <w:fitText w:val="507" w:id="-1236585719"/>
                <w14:textFill>
                  <w14:solidFill>
                    <w14:srgbClr w14:val="000000">
                      <w14:alpha w14:val="100000"/>
                    </w14:srgbClr>
                  </w14:solidFill>
                </w14:textFill>
              </w:rPr>
              <w:t>|||||</w:t>
            </w:r>
            <w:r w:rsidRPr="00C47128">
              <w:rPr>
                <w:b/>
                <w:bCs w:val="0"/>
                <w:color w:val="000000"/>
                <w:spacing w:val="2"/>
                <w:shd w:val="solid" w:color="000000" w:fill="000000"/>
                <w:fitText w:val="507" w:id="-1236585719"/>
                <w14:textFill>
                  <w14:solidFill>
                    <w14:srgbClr w14:val="000000">
                      <w14:alpha w14:val="100000"/>
                    </w14:srgbClr>
                  </w14:solidFill>
                </w14:textFill>
              </w:rPr>
              <w:t>|</w:t>
            </w:r>
            <w:r w:rsidR="00C1183C">
              <w:rPr>
                <w:vertAlign w:val="superscript"/>
              </w:rPr>
              <w:t>5</w:t>
            </w:r>
          </w:p>
        </w:tc>
        <w:tc>
          <w:tcPr>
            <w:tcW w:w="994" w:type="pct"/>
            <w:shd w:val="clear" w:color="auto" w:fill="auto"/>
            <w:vAlign w:val="center"/>
          </w:tcPr>
          <w:p w14:paraId="1EFC7F7B" w14:textId="3B45D33C" w:rsidR="00350E58" w:rsidRPr="00323D17" w:rsidRDefault="00C47128" w:rsidP="00677F6D">
            <w:pPr>
              <w:pStyle w:val="TableText0"/>
              <w:jc w:val="center"/>
              <w:rPr>
                <w:b/>
                <w:bCs w:val="0"/>
                <w:color w:val="000000"/>
                <w:highlight w:val="darkGray"/>
              </w:rPr>
            </w:pPr>
            <w:r w:rsidRPr="00C47128">
              <w:rPr>
                <w:rFonts w:hint="eastAsia"/>
                <w:b/>
                <w:bCs w:val="0"/>
                <w:color w:val="000000"/>
                <w:w w:val="24"/>
                <w:shd w:val="solid" w:color="000000" w:fill="000000"/>
                <w:fitText w:val="108" w:id="-1236585718"/>
                <w14:textFill>
                  <w14:solidFill>
                    <w14:srgbClr w14:val="000000">
                      <w14:alpha w14:val="100000"/>
                    </w14:srgbClr>
                  </w14:solidFill>
                </w14:textFill>
              </w:rPr>
              <w:t xml:space="preserve">　</w:t>
            </w:r>
            <w:r w:rsidRPr="00C47128">
              <w:rPr>
                <w:b/>
                <w:bCs w:val="0"/>
                <w:color w:val="000000"/>
                <w:w w:val="24"/>
                <w:shd w:val="solid" w:color="000000" w:fill="000000"/>
                <w:fitText w:val="108" w:id="-1236585718"/>
                <w14:textFill>
                  <w14:solidFill>
                    <w14:srgbClr w14:val="000000">
                      <w14:alpha w14:val="100000"/>
                    </w14:srgbClr>
                  </w14:solidFill>
                </w14:textFill>
              </w:rPr>
              <w:t>|</w:t>
            </w:r>
            <w:r w:rsidRPr="00C47128">
              <w:rPr>
                <w:rFonts w:hint="eastAsia"/>
                <w:b/>
                <w:bCs w:val="0"/>
                <w:color w:val="000000"/>
                <w:spacing w:val="3"/>
                <w:w w:val="24"/>
                <w:shd w:val="solid" w:color="000000" w:fill="000000"/>
                <w:fitText w:val="108" w:id="-1236585718"/>
                <w14:textFill>
                  <w14:solidFill>
                    <w14:srgbClr w14:val="000000">
                      <w14:alpha w14:val="100000"/>
                    </w14:srgbClr>
                  </w14:solidFill>
                </w14:textFill>
              </w:rPr>
              <w:t xml:space="preserve">　</w:t>
            </w:r>
            <w:r w:rsidR="00121A97">
              <w:rPr>
                <w:vertAlign w:val="superscript"/>
              </w:rPr>
              <w:t>8</w:t>
            </w:r>
          </w:p>
        </w:tc>
      </w:tr>
      <w:tr w:rsidR="00DF7F32" w:rsidRPr="003639A6" w14:paraId="1D770F32" w14:textId="77777777" w:rsidTr="00323D17">
        <w:tc>
          <w:tcPr>
            <w:tcW w:w="2906" w:type="pct"/>
            <w:shd w:val="clear" w:color="auto" w:fill="auto"/>
            <w:vAlign w:val="center"/>
          </w:tcPr>
          <w:p w14:paraId="1625C867" w14:textId="706C2DB1" w:rsidR="00350E58" w:rsidRPr="003639A6" w:rsidRDefault="00350E58" w:rsidP="00677F6D">
            <w:pPr>
              <w:pStyle w:val="TableText0"/>
            </w:pPr>
            <w:r>
              <w:t>Net cost of eculizumab if ravulizumab is PBS-listed</w:t>
            </w:r>
            <w:r w:rsidR="00323D17">
              <w:t xml:space="preserve"> ($)</w:t>
            </w:r>
          </w:p>
        </w:tc>
        <w:tc>
          <w:tcPr>
            <w:tcW w:w="550" w:type="pct"/>
            <w:shd w:val="clear" w:color="auto" w:fill="auto"/>
            <w:vAlign w:val="center"/>
          </w:tcPr>
          <w:p w14:paraId="4285CEB7" w14:textId="29288499" w:rsidR="00350E58" w:rsidRPr="00323D17" w:rsidRDefault="00C47128" w:rsidP="00677F6D">
            <w:pPr>
              <w:pStyle w:val="TableText0"/>
              <w:jc w:val="center"/>
              <w:rPr>
                <w:color w:val="000000"/>
                <w:highlight w:val="darkGray"/>
              </w:rPr>
            </w:pPr>
            <w:r w:rsidRPr="00C47128">
              <w:rPr>
                <w:color w:val="000000"/>
                <w:spacing w:val="37"/>
                <w:shd w:val="solid" w:color="000000" w:fill="000000"/>
                <w:fitText w:val="441" w:id="-1236585717"/>
                <w14:textFill>
                  <w14:solidFill>
                    <w14:srgbClr w14:val="000000">
                      <w14:alpha w14:val="100000"/>
                    </w14:srgbClr>
                  </w14:solidFill>
                </w14:textFill>
              </w:rPr>
              <w:t>|||||</w:t>
            </w:r>
            <w:r w:rsidRPr="00C47128">
              <w:rPr>
                <w:color w:val="000000"/>
                <w:spacing w:val="1"/>
                <w:shd w:val="solid" w:color="000000" w:fill="000000"/>
                <w:fitText w:val="441" w:id="-1236585717"/>
                <w14:textFill>
                  <w14:solidFill>
                    <w14:srgbClr w14:val="000000">
                      <w14:alpha w14:val="100000"/>
                    </w14:srgbClr>
                  </w14:solidFill>
                </w14:textFill>
              </w:rPr>
              <w:t>|</w:t>
            </w:r>
            <w:r w:rsidR="00C1183C">
              <w:rPr>
                <w:vertAlign w:val="superscript"/>
              </w:rPr>
              <w:t>2</w:t>
            </w:r>
          </w:p>
        </w:tc>
        <w:tc>
          <w:tcPr>
            <w:tcW w:w="550" w:type="pct"/>
            <w:shd w:val="clear" w:color="auto" w:fill="auto"/>
            <w:vAlign w:val="center"/>
          </w:tcPr>
          <w:p w14:paraId="22581E45" w14:textId="4072189D" w:rsidR="00350E58" w:rsidRPr="00323D17" w:rsidRDefault="00C47128" w:rsidP="00677F6D">
            <w:pPr>
              <w:pStyle w:val="TableText0"/>
              <w:jc w:val="center"/>
              <w:rPr>
                <w:color w:val="000000"/>
                <w:highlight w:val="darkGray"/>
              </w:rPr>
            </w:pPr>
            <w:r w:rsidRPr="00C47128">
              <w:rPr>
                <w:color w:val="000000"/>
                <w:spacing w:val="37"/>
                <w:shd w:val="solid" w:color="000000" w:fill="000000"/>
                <w:fitText w:val="441" w:id="-1236585716"/>
                <w14:textFill>
                  <w14:solidFill>
                    <w14:srgbClr w14:val="000000">
                      <w14:alpha w14:val="100000"/>
                    </w14:srgbClr>
                  </w14:solidFill>
                </w14:textFill>
              </w:rPr>
              <w:t>|||||</w:t>
            </w:r>
            <w:r w:rsidRPr="00C47128">
              <w:rPr>
                <w:color w:val="000000"/>
                <w:spacing w:val="1"/>
                <w:shd w:val="solid" w:color="000000" w:fill="000000"/>
                <w:fitText w:val="441" w:id="-1236585716"/>
                <w14:textFill>
                  <w14:solidFill>
                    <w14:srgbClr w14:val="000000">
                      <w14:alpha w14:val="100000"/>
                    </w14:srgbClr>
                  </w14:solidFill>
                </w14:textFill>
              </w:rPr>
              <w:t>|</w:t>
            </w:r>
            <w:r w:rsidR="00C1183C">
              <w:rPr>
                <w:vertAlign w:val="superscript"/>
              </w:rPr>
              <w:t>2</w:t>
            </w:r>
          </w:p>
        </w:tc>
        <w:tc>
          <w:tcPr>
            <w:tcW w:w="994" w:type="pct"/>
            <w:shd w:val="clear" w:color="auto" w:fill="auto"/>
            <w:vAlign w:val="center"/>
          </w:tcPr>
          <w:p w14:paraId="298E041A" w14:textId="630BA7C7" w:rsidR="00350E58" w:rsidRPr="00323D17" w:rsidRDefault="00C47128" w:rsidP="00677F6D">
            <w:pPr>
              <w:pStyle w:val="TableText0"/>
              <w:jc w:val="center"/>
              <w:rPr>
                <w:color w:val="000000"/>
                <w:highlight w:val="darkGray"/>
              </w:rPr>
            </w:pPr>
            <w:r w:rsidRPr="00C47128">
              <w:rPr>
                <w:rFonts w:hint="eastAsia"/>
                <w:color w:val="000000"/>
                <w:w w:val="15"/>
                <w:shd w:val="solid" w:color="000000" w:fill="000000"/>
                <w:fitText w:val="42" w:id="-1236585715"/>
                <w14:textFill>
                  <w14:solidFill>
                    <w14:srgbClr w14:val="000000">
                      <w14:alpha w14:val="100000"/>
                    </w14:srgbClr>
                  </w14:solidFill>
                </w14:textFill>
              </w:rPr>
              <w:t xml:space="preserve">　</w:t>
            </w:r>
            <w:r w:rsidRPr="00C47128">
              <w:rPr>
                <w:color w:val="000000"/>
                <w:w w:val="15"/>
                <w:shd w:val="solid" w:color="000000" w:fill="000000"/>
                <w:fitText w:val="42" w:id="-1236585715"/>
                <w14:textFill>
                  <w14:solidFill>
                    <w14:srgbClr w14:val="000000">
                      <w14:alpha w14:val="100000"/>
                    </w14:srgbClr>
                  </w14:solidFill>
                </w14:textFill>
              </w:rPr>
              <w:t>|</w:t>
            </w:r>
            <w:r w:rsidRPr="00C47128">
              <w:rPr>
                <w:rFonts w:hint="eastAsia"/>
                <w:color w:val="000000"/>
                <w:spacing w:val="-23"/>
                <w:w w:val="15"/>
                <w:shd w:val="solid" w:color="000000" w:fill="000000"/>
                <w:fitText w:val="42" w:id="-1236585715"/>
                <w14:textFill>
                  <w14:solidFill>
                    <w14:srgbClr w14:val="000000">
                      <w14:alpha w14:val="100000"/>
                    </w14:srgbClr>
                  </w14:solidFill>
                </w14:textFill>
              </w:rPr>
              <w:t xml:space="preserve">　</w:t>
            </w:r>
            <w:r w:rsidR="00121A97">
              <w:rPr>
                <w:vertAlign w:val="superscript"/>
              </w:rPr>
              <w:t>9</w:t>
            </w:r>
          </w:p>
        </w:tc>
      </w:tr>
      <w:tr w:rsidR="00DF7F32" w14:paraId="67FF5783" w14:textId="77777777" w:rsidTr="00323D17">
        <w:tc>
          <w:tcPr>
            <w:tcW w:w="2906" w:type="pct"/>
            <w:shd w:val="clear" w:color="auto" w:fill="auto"/>
            <w:vAlign w:val="center"/>
          </w:tcPr>
          <w:p w14:paraId="5D5BFE79" w14:textId="1CFF44F0" w:rsidR="00350E58" w:rsidRDefault="00350E58" w:rsidP="00677F6D">
            <w:pPr>
              <w:pStyle w:val="TableText0"/>
            </w:pPr>
            <w:r>
              <w:t>Net cost of ravulizumab and eculizumab – total aHUS therapy cost</w:t>
            </w:r>
            <w:r w:rsidR="00323D17">
              <w:t xml:space="preserve"> ($)</w:t>
            </w:r>
          </w:p>
        </w:tc>
        <w:tc>
          <w:tcPr>
            <w:tcW w:w="550" w:type="pct"/>
            <w:shd w:val="clear" w:color="auto" w:fill="auto"/>
            <w:vAlign w:val="center"/>
          </w:tcPr>
          <w:p w14:paraId="2D3E4B3D" w14:textId="7C823427" w:rsidR="00350E58" w:rsidRPr="00323D17" w:rsidRDefault="00C47128" w:rsidP="00677F6D">
            <w:pPr>
              <w:pStyle w:val="TableText0"/>
              <w:jc w:val="center"/>
              <w:rPr>
                <w:highlight w:val="darkGray"/>
              </w:rPr>
            </w:pPr>
            <w:r w:rsidRPr="00C47128">
              <w:rPr>
                <w:color w:val="000000"/>
                <w:spacing w:val="37"/>
                <w:shd w:val="solid" w:color="000000" w:fill="000000"/>
                <w:fitText w:val="441" w:id="-1236585714"/>
                <w14:textFill>
                  <w14:solidFill>
                    <w14:srgbClr w14:val="000000">
                      <w14:alpha w14:val="100000"/>
                    </w14:srgbClr>
                  </w14:solidFill>
                </w14:textFill>
              </w:rPr>
              <w:t>|||||</w:t>
            </w:r>
            <w:r w:rsidRPr="00C47128">
              <w:rPr>
                <w:color w:val="000000"/>
                <w:spacing w:val="1"/>
                <w:shd w:val="solid" w:color="000000" w:fill="000000"/>
                <w:fitText w:val="441" w:id="-1236585714"/>
                <w14:textFill>
                  <w14:solidFill>
                    <w14:srgbClr w14:val="000000">
                      <w14:alpha w14:val="100000"/>
                    </w14:srgbClr>
                  </w14:solidFill>
                </w14:textFill>
              </w:rPr>
              <w:t>|</w:t>
            </w:r>
            <w:r w:rsidR="00C1183C">
              <w:rPr>
                <w:vertAlign w:val="superscript"/>
              </w:rPr>
              <w:t>3</w:t>
            </w:r>
          </w:p>
        </w:tc>
        <w:tc>
          <w:tcPr>
            <w:tcW w:w="550" w:type="pct"/>
            <w:shd w:val="clear" w:color="auto" w:fill="auto"/>
            <w:vAlign w:val="center"/>
          </w:tcPr>
          <w:p w14:paraId="49D9307C" w14:textId="6231266E" w:rsidR="00350E58" w:rsidRPr="00323D17" w:rsidRDefault="00C47128" w:rsidP="00677F6D">
            <w:pPr>
              <w:pStyle w:val="TableText0"/>
              <w:jc w:val="center"/>
              <w:rPr>
                <w:highlight w:val="darkGray"/>
              </w:rPr>
            </w:pPr>
            <w:r w:rsidRPr="00C47128">
              <w:rPr>
                <w:color w:val="000000"/>
                <w:spacing w:val="37"/>
                <w:shd w:val="solid" w:color="000000" w:fill="000000"/>
                <w:fitText w:val="441" w:id="-1236585713"/>
                <w14:textFill>
                  <w14:solidFill>
                    <w14:srgbClr w14:val="000000">
                      <w14:alpha w14:val="100000"/>
                    </w14:srgbClr>
                  </w14:solidFill>
                </w14:textFill>
              </w:rPr>
              <w:t>|||||</w:t>
            </w:r>
            <w:r w:rsidRPr="00C47128">
              <w:rPr>
                <w:color w:val="000000"/>
                <w:spacing w:val="1"/>
                <w:shd w:val="solid" w:color="000000" w:fill="000000"/>
                <w:fitText w:val="441" w:id="-1236585713"/>
                <w14:textFill>
                  <w14:solidFill>
                    <w14:srgbClr w14:val="000000">
                      <w14:alpha w14:val="100000"/>
                    </w14:srgbClr>
                  </w14:solidFill>
                </w14:textFill>
              </w:rPr>
              <w:t>|</w:t>
            </w:r>
            <w:r w:rsidR="00C1183C">
              <w:rPr>
                <w:vertAlign w:val="superscript"/>
              </w:rPr>
              <w:t>6</w:t>
            </w:r>
          </w:p>
        </w:tc>
        <w:tc>
          <w:tcPr>
            <w:tcW w:w="994" w:type="pct"/>
            <w:shd w:val="clear" w:color="auto" w:fill="auto"/>
            <w:vAlign w:val="center"/>
          </w:tcPr>
          <w:p w14:paraId="2C25F045" w14:textId="230B010C" w:rsidR="00350E58" w:rsidRPr="00323D17" w:rsidRDefault="00C47128" w:rsidP="00677F6D">
            <w:pPr>
              <w:pStyle w:val="TableText0"/>
              <w:jc w:val="center"/>
              <w:rPr>
                <w:highlight w:val="darkGray"/>
              </w:rPr>
            </w:pPr>
            <w:r w:rsidRPr="00C47128">
              <w:rPr>
                <w:rFonts w:hint="eastAsia"/>
                <w:color w:val="000000"/>
                <w:w w:val="15"/>
                <w:shd w:val="solid" w:color="000000" w:fill="000000"/>
                <w:fitText w:val="67" w:id="-1236585712"/>
                <w14:textFill>
                  <w14:solidFill>
                    <w14:srgbClr w14:val="000000">
                      <w14:alpha w14:val="100000"/>
                    </w14:srgbClr>
                  </w14:solidFill>
                </w14:textFill>
              </w:rPr>
              <w:t xml:space="preserve">　</w:t>
            </w:r>
            <w:r w:rsidRPr="00C47128">
              <w:rPr>
                <w:color w:val="000000"/>
                <w:w w:val="15"/>
                <w:shd w:val="solid" w:color="000000" w:fill="000000"/>
                <w:fitText w:val="67" w:id="-1236585712"/>
                <w14:textFill>
                  <w14:solidFill>
                    <w14:srgbClr w14:val="000000">
                      <w14:alpha w14:val="100000"/>
                    </w14:srgbClr>
                  </w14:solidFill>
                </w14:textFill>
              </w:rPr>
              <w:t>|</w:t>
            </w:r>
            <w:r w:rsidRPr="00C47128">
              <w:rPr>
                <w:rFonts w:hint="eastAsia"/>
                <w:color w:val="000000"/>
                <w:spacing w:val="1"/>
                <w:w w:val="15"/>
                <w:shd w:val="solid" w:color="000000" w:fill="000000"/>
                <w:fitText w:val="67" w:id="-1236585712"/>
                <w14:textFill>
                  <w14:solidFill>
                    <w14:srgbClr w14:val="000000">
                      <w14:alpha w14:val="100000"/>
                    </w14:srgbClr>
                  </w14:solidFill>
                </w14:textFill>
              </w:rPr>
              <w:t xml:space="preserve">　</w:t>
            </w:r>
            <w:r w:rsidR="00121A97">
              <w:rPr>
                <w:vertAlign w:val="superscript"/>
              </w:rPr>
              <w:t>10</w:t>
            </w:r>
          </w:p>
        </w:tc>
      </w:tr>
      <w:tr w:rsidR="00DF7F32" w:rsidRPr="003639A6" w14:paraId="00164732" w14:textId="77777777" w:rsidTr="00323D17">
        <w:tc>
          <w:tcPr>
            <w:tcW w:w="2906" w:type="pct"/>
            <w:shd w:val="clear" w:color="auto" w:fill="auto"/>
            <w:vAlign w:val="center"/>
          </w:tcPr>
          <w:p w14:paraId="1F4B1ABE" w14:textId="01ACE88E" w:rsidR="00350E58" w:rsidRDefault="00350E58" w:rsidP="00677F6D">
            <w:pPr>
              <w:pStyle w:val="TableText0"/>
            </w:pPr>
            <w:r>
              <w:t>Net cost of eculizumab if ravulizumab is not PBS-listed</w:t>
            </w:r>
            <w:r w:rsidR="00323D17">
              <w:t xml:space="preserve"> ($)</w:t>
            </w:r>
          </w:p>
        </w:tc>
        <w:tc>
          <w:tcPr>
            <w:tcW w:w="550" w:type="pct"/>
            <w:shd w:val="clear" w:color="auto" w:fill="auto"/>
            <w:vAlign w:val="center"/>
          </w:tcPr>
          <w:p w14:paraId="1F4D9D14" w14:textId="3AE8189A" w:rsidR="00350E58" w:rsidRPr="00323D17" w:rsidRDefault="00C47128" w:rsidP="00677F6D">
            <w:pPr>
              <w:pStyle w:val="TableText0"/>
              <w:jc w:val="center"/>
              <w:rPr>
                <w:color w:val="000000"/>
                <w:highlight w:val="darkGray"/>
              </w:rPr>
            </w:pPr>
            <w:r w:rsidRPr="00C47128">
              <w:rPr>
                <w:color w:val="000000"/>
                <w:spacing w:val="37"/>
                <w:shd w:val="solid" w:color="000000" w:fill="000000"/>
                <w:fitText w:val="441" w:id="-1236585728"/>
                <w14:textFill>
                  <w14:solidFill>
                    <w14:srgbClr w14:val="000000">
                      <w14:alpha w14:val="100000"/>
                    </w14:srgbClr>
                  </w14:solidFill>
                </w14:textFill>
              </w:rPr>
              <w:t>|||||</w:t>
            </w:r>
            <w:r w:rsidRPr="00C47128">
              <w:rPr>
                <w:color w:val="000000"/>
                <w:spacing w:val="1"/>
                <w:shd w:val="solid" w:color="000000" w:fill="000000"/>
                <w:fitText w:val="441" w:id="-1236585728"/>
                <w14:textFill>
                  <w14:solidFill>
                    <w14:srgbClr w14:val="000000">
                      <w14:alpha w14:val="100000"/>
                    </w14:srgbClr>
                  </w14:solidFill>
                </w14:textFill>
              </w:rPr>
              <w:t>|</w:t>
            </w:r>
            <w:r w:rsidR="00C1183C">
              <w:rPr>
                <w:vertAlign w:val="superscript"/>
              </w:rPr>
              <w:t>4</w:t>
            </w:r>
          </w:p>
        </w:tc>
        <w:tc>
          <w:tcPr>
            <w:tcW w:w="550" w:type="pct"/>
            <w:shd w:val="clear" w:color="auto" w:fill="auto"/>
            <w:vAlign w:val="center"/>
          </w:tcPr>
          <w:p w14:paraId="7F8FC8A0" w14:textId="694FE4F3" w:rsidR="00350E58" w:rsidRPr="00323D17" w:rsidRDefault="00C47128" w:rsidP="00677F6D">
            <w:pPr>
              <w:pStyle w:val="TableText0"/>
              <w:jc w:val="center"/>
              <w:rPr>
                <w:color w:val="000000"/>
                <w:highlight w:val="darkGray"/>
              </w:rPr>
            </w:pPr>
            <w:r w:rsidRPr="00C47128">
              <w:rPr>
                <w:color w:val="000000"/>
                <w:spacing w:val="37"/>
                <w:shd w:val="solid" w:color="000000" w:fill="000000"/>
                <w:fitText w:val="441" w:id="-1236585727"/>
                <w14:textFill>
                  <w14:solidFill>
                    <w14:srgbClr w14:val="000000">
                      <w14:alpha w14:val="100000"/>
                    </w14:srgbClr>
                  </w14:solidFill>
                </w14:textFill>
              </w:rPr>
              <w:t>|||||</w:t>
            </w:r>
            <w:r w:rsidRPr="00C47128">
              <w:rPr>
                <w:color w:val="000000"/>
                <w:spacing w:val="1"/>
                <w:shd w:val="solid" w:color="000000" w:fill="000000"/>
                <w:fitText w:val="441" w:id="-1236585727"/>
                <w14:textFill>
                  <w14:solidFill>
                    <w14:srgbClr w14:val="000000">
                      <w14:alpha w14:val="100000"/>
                    </w14:srgbClr>
                  </w14:solidFill>
                </w14:textFill>
              </w:rPr>
              <w:t>|</w:t>
            </w:r>
            <w:r w:rsidR="00C1183C">
              <w:rPr>
                <w:vertAlign w:val="superscript"/>
              </w:rPr>
              <w:t>7</w:t>
            </w:r>
          </w:p>
        </w:tc>
        <w:tc>
          <w:tcPr>
            <w:tcW w:w="994" w:type="pct"/>
            <w:shd w:val="clear" w:color="auto" w:fill="auto"/>
            <w:vAlign w:val="center"/>
          </w:tcPr>
          <w:p w14:paraId="4A10A373" w14:textId="776A7D8F" w:rsidR="00350E58" w:rsidRPr="00323D17" w:rsidRDefault="00C47128" w:rsidP="00677F6D">
            <w:pPr>
              <w:pStyle w:val="TableText0"/>
              <w:jc w:val="center"/>
              <w:rPr>
                <w:color w:val="000000"/>
                <w:highlight w:val="darkGray"/>
              </w:rPr>
            </w:pPr>
            <w:r w:rsidRPr="00C47128">
              <w:rPr>
                <w:rFonts w:hint="eastAsia"/>
                <w:color w:val="000000"/>
                <w:w w:val="15"/>
                <w:shd w:val="solid" w:color="000000" w:fill="000000"/>
                <w:fitText w:val="67" w:id="-1236585726"/>
                <w14:textFill>
                  <w14:solidFill>
                    <w14:srgbClr w14:val="000000">
                      <w14:alpha w14:val="100000"/>
                    </w14:srgbClr>
                  </w14:solidFill>
                </w14:textFill>
              </w:rPr>
              <w:t xml:space="preserve">　</w:t>
            </w:r>
            <w:r w:rsidRPr="00C47128">
              <w:rPr>
                <w:color w:val="000000"/>
                <w:w w:val="15"/>
                <w:shd w:val="solid" w:color="000000" w:fill="000000"/>
                <w:fitText w:val="67" w:id="-1236585726"/>
                <w14:textFill>
                  <w14:solidFill>
                    <w14:srgbClr w14:val="000000">
                      <w14:alpha w14:val="100000"/>
                    </w14:srgbClr>
                  </w14:solidFill>
                </w14:textFill>
              </w:rPr>
              <w:t>|</w:t>
            </w:r>
            <w:r w:rsidRPr="00C47128">
              <w:rPr>
                <w:rFonts w:hint="eastAsia"/>
                <w:color w:val="000000"/>
                <w:spacing w:val="1"/>
                <w:w w:val="15"/>
                <w:shd w:val="solid" w:color="000000" w:fill="000000"/>
                <w:fitText w:val="67" w:id="-1236585726"/>
                <w14:textFill>
                  <w14:solidFill>
                    <w14:srgbClr w14:val="000000">
                      <w14:alpha w14:val="100000"/>
                    </w14:srgbClr>
                  </w14:solidFill>
                </w14:textFill>
              </w:rPr>
              <w:t xml:space="preserve">　</w:t>
            </w:r>
            <w:r w:rsidR="00121A97">
              <w:rPr>
                <w:vertAlign w:val="superscript"/>
              </w:rPr>
              <w:t>11</w:t>
            </w:r>
          </w:p>
        </w:tc>
      </w:tr>
    </w:tbl>
    <w:p w14:paraId="649FBC29" w14:textId="77777777" w:rsidR="00350E58" w:rsidRDefault="00350E58" w:rsidP="00677F6D">
      <w:pPr>
        <w:pStyle w:val="FooterTableFigure"/>
        <w:keepNext/>
      </w:pPr>
      <w:r>
        <w:t>Source: Table 139, p249; Table 140, p250; Table 141, p251; Table 142, p252 of the submission.</w:t>
      </w:r>
    </w:p>
    <w:p w14:paraId="48B9906D" w14:textId="11105A01" w:rsidR="00350E58" w:rsidRDefault="00350E58" w:rsidP="00677F6D">
      <w:pPr>
        <w:pStyle w:val="FooterTableFigure"/>
        <w:keepNext/>
        <w:spacing w:after="0"/>
      </w:pPr>
      <w:r w:rsidRPr="00F42CCD">
        <w:t>aHUS</w:t>
      </w:r>
      <w:r>
        <w:t xml:space="preserve"> = </w:t>
      </w:r>
      <w:r w:rsidRPr="00F42CCD">
        <w:t xml:space="preserve">atypical haemolytic </w:t>
      </w:r>
      <w:r>
        <w:t>uraemic</w:t>
      </w:r>
      <w:r w:rsidRPr="00F42CCD">
        <w:t xml:space="preserve"> syndrome</w:t>
      </w:r>
    </w:p>
    <w:p w14:paraId="76FD15C3" w14:textId="77777777" w:rsidR="00323D17" w:rsidRPr="009A6D58" w:rsidRDefault="00323D17" w:rsidP="00677F6D">
      <w:pPr>
        <w:keepNext/>
        <w:rPr>
          <w:rFonts w:ascii="Arial Narrow" w:hAnsi="Arial Narrow" w:cs="Arial"/>
          <w:i/>
          <w:sz w:val="18"/>
          <w:szCs w:val="18"/>
          <w:lang w:eastAsia="en-AU"/>
        </w:rPr>
      </w:pPr>
      <w:r w:rsidRPr="009A6D58">
        <w:rPr>
          <w:rFonts w:ascii="Arial Narrow" w:hAnsi="Arial Narrow" w:cs="Arial"/>
          <w:i/>
          <w:sz w:val="18"/>
          <w:szCs w:val="18"/>
          <w:lang w:eastAsia="en-AU"/>
        </w:rPr>
        <w:t xml:space="preserve">The redacted values correspond to the following ranges: </w:t>
      </w:r>
    </w:p>
    <w:p w14:paraId="6593EA9A" w14:textId="2103A005" w:rsidR="00121A97" w:rsidRPr="009A6D58" w:rsidRDefault="00121A97" w:rsidP="00677F6D">
      <w:pPr>
        <w:keepNext/>
        <w:rPr>
          <w:rFonts w:ascii="Arial Narrow" w:hAnsi="Arial Narrow" w:cs="Arial"/>
          <w:i/>
          <w:sz w:val="18"/>
          <w:szCs w:val="18"/>
          <w:lang w:eastAsia="en-AU"/>
        </w:rPr>
      </w:pPr>
      <w:r w:rsidRPr="009A6D58">
        <w:rPr>
          <w:rFonts w:ascii="Arial Narrow" w:hAnsi="Arial Narrow" w:cs="Arial"/>
          <w:i/>
          <w:sz w:val="18"/>
          <w:szCs w:val="18"/>
          <w:vertAlign w:val="superscript"/>
          <w:lang w:eastAsia="en-AU"/>
        </w:rPr>
        <w:t>1</w:t>
      </w:r>
      <w:r>
        <w:rPr>
          <w:rFonts w:ascii="Arial Narrow" w:hAnsi="Arial Narrow" w:cs="Arial"/>
          <w:i/>
          <w:sz w:val="18"/>
          <w:szCs w:val="18"/>
          <w:lang w:eastAsia="en-AU"/>
        </w:rPr>
        <w:t xml:space="preserve"> </w:t>
      </w:r>
      <w:r w:rsidRPr="00C1183C">
        <w:rPr>
          <w:rFonts w:ascii="Arial Narrow" w:hAnsi="Arial Narrow" w:cs="Arial"/>
          <w:i/>
          <w:sz w:val="18"/>
          <w:szCs w:val="18"/>
          <w:lang w:eastAsia="en-AU"/>
        </w:rPr>
        <w:t>$30 million to &lt; $40 million</w:t>
      </w:r>
    </w:p>
    <w:p w14:paraId="769C0B94" w14:textId="4474370E" w:rsidR="00121A97" w:rsidRPr="009A6D58" w:rsidRDefault="00121A97" w:rsidP="00677F6D">
      <w:pPr>
        <w:keepNext/>
        <w:rPr>
          <w:rFonts w:ascii="Arial Narrow" w:hAnsi="Arial Narrow" w:cs="Arial"/>
          <w:i/>
          <w:sz w:val="18"/>
          <w:szCs w:val="18"/>
          <w:lang w:eastAsia="en-AU"/>
        </w:rPr>
      </w:pPr>
      <w:r w:rsidRPr="009A6D58">
        <w:rPr>
          <w:rFonts w:ascii="Arial Narrow" w:hAnsi="Arial Narrow" w:cs="Arial"/>
          <w:i/>
          <w:sz w:val="18"/>
          <w:szCs w:val="18"/>
          <w:vertAlign w:val="superscript"/>
          <w:lang w:eastAsia="en-AU"/>
        </w:rPr>
        <w:t>2</w:t>
      </w:r>
      <w:r>
        <w:rPr>
          <w:rFonts w:ascii="Arial Narrow" w:hAnsi="Arial Narrow" w:cs="Arial"/>
          <w:i/>
          <w:sz w:val="18"/>
          <w:szCs w:val="18"/>
          <w:lang w:eastAsia="en-AU"/>
        </w:rPr>
        <w:t xml:space="preserve"> </w:t>
      </w:r>
      <w:r w:rsidRPr="00C1183C">
        <w:rPr>
          <w:rFonts w:ascii="Arial Narrow" w:hAnsi="Arial Narrow" w:cs="Arial"/>
          <w:i/>
          <w:sz w:val="18"/>
          <w:szCs w:val="18"/>
          <w:lang w:eastAsia="en-AU"/>
        </w:rPr>
        <w:t>$20 million to &lt; $30 million</w:t>
      </w:r>
    </w:p>
    <w:p w14:paraId="5B7533B6" w14:textId="4BD7BF84" w:rsidR="00121A97" w:rsidRDefault="00121A97" w:rsidP="00677F6D">
      <w:pPr>
        <w:keepNext/>
        <w:rPr>
          <w:rFonts w:ascii="Arial Narrow" w:hAnsi="Arial Narrow" w:cs="Arial"/>
          <w:i/>
          <w:sz w:val="18"/>
          <w:szCs w:val="18"/>
          <w:lang w:eastAsia="en-AU"/>
        </w:rPr>
      </w:pPr>
      <w:r w:rsidRPr="009A6D58">
        <w:rPr>
          <w:rFonts w:ascii="Arial Narrow" w:hAnsi="Arial Narrow" w:cs="Arial"/>
          <w:i/>
          <w:sz w:val="18"/>
          <w:szCs w:val="18"/>
          <w:vertAlign w:val="superscript"/>
          <w:lang w:eastAsia="en-AU"/>
        </w:rPr>
        <w:t>3</w:t>
      </w:r>
      <w:r>
        <w:rPr>
          <w:rFonts w:ascii="Arial Narrow" w:hAnsi="Arial Narrow" w:cs="Arial"/>
          <w:i/>
          <w:sz w:val="18"/>
          <w:szCs w:val="18"/>
          <w:lang w:eastAsia="en-AU"/>
        </w:rPr>
        <w:t xml:space="preserve"> </w:t>
      </w:r>
      <w:r w:rsidRPr="00C1183C">
        <w:rPr>
          <w:rFonts w:ascii="Arial Narrow" w:hAnsi="Arial Narrow" w:cs="Arial"/>
          <w:i/>
          <w:sz w:val="18"/>
          <w:szCs w:val="18"/>
          <w:lang w:eastAsia="en-AU"/>
        </w:rPr>
        <w:t>$50 million to &lt; $60 million</w:t>
      </w:r>
    </w:p>
    <w:p w14:paraId="3A4DAC34" w14:textId="7929866A" w:rsidR="00121A97" w:rsidRDefault="00121A97" w:rsidP="00677F6D">
      <w:pPr>
        <w:keepNext/>
        <w:rPr>
          <w:rFonts w:ascii="Arial Narrow" w:hAnsi="Arial Narrow" w:cs="Arial"/>
          <w:i/>
          <w:sz w:val="18"/>
          <w:szCs w:val="18"/>
          <w:lang w:eastAsia="en-AU"/>
        </w:rPr>
      </w:pPr>
      <w:r>
        <w:rPr>
          <w:rFonts w:ascii="Arial Narrow" w:hAnsi="Arial Narrow" w:cs="Arial"/>
          <w:i/>
          <w:sz w:val="18"/>
          <w:szCs w:val="18"/>
          <w:vertAlign w:val="superscript"/>
          <w:lang w:eastAsia="en-AU"/>
        </w:rPr>
        <w:t>4</w:t>
      </w:r>
      <w:r>
        <w:rPr>
          <w:rFonts w:ascii="Arial Narrow" w:hAnsi="Arial Narrow" w:cs="Arial"/>
          <w:i/>
          <w:sz w:val="18"/>
          <w:szCs w:val="18"/>
          <w:lang w:eastAsia="en-AU"/>
        </w:rPr>
        <w:t xml:space="preserve"> </w:t>
      </w:r>
      <w:r w:rsidRPr="00C1183C">
        <w:rPr>
          <w:rFonts w:ascii="Arial Narrow" w:hAnsi="Arial Narrow" w:cs="Arial"/>
          <w:i/>
          <w:sz w:val="18"/>
          <w:szCs w:val="18"/>
          <w:lang w:eastAsia="en-AU"/>
        </w:rPr>
        <w:t>$60 million to &lt; $70 million</w:t>
      </w:r>
    </w:p>
    <w:p w14:paraId="50D40D9F" w14:textId="7506C863" w:rsidR="00121A97" w:rsidRDefault="00121A97" w:rsidP="00677F6D">
      <w:pPr>
        <w:keepNext/>
        <w:rPr>
          <w:rFonts w:ascii="Arial Narrow" w:hAnsi="Arial Narrow" w:cs="Arial"/>
          <w:i/>
          <w:sz w:val="18"/>
          <w:szCs w:val="18"/>
          <w:lang w:eastAsia="en-AU"/>
        </w:rPr>
      </w:pPr>
      <w:r>
        <w:rPr>
          <w:rFonts w:ascii="Arial Narrow" w:hAnsi="Arial Narrow" w:cs="Arial"/>
          <w:i/>
          <w:sz w:val="18"/>
          <w:szCs w:val="18"/>
          <w:vertAlign w:val="superscript"/>
          <w:lang w:eastAsia="en-AU"/>
        </w:rPr>
        <w:t>5</w:t>
      </w:r>
      <w:r>
        <w:rPr>
          <w:rFonts w:ascii="Arial Narrow" w:hAnsi="Arial Narrow" w:cs="Arial"/>
          <w:i/>
          <w:sz w:val="18"/>
          <w:szCs w:val="18"/>
          <w:lang w:eastAsia="en-AU"/>
        </w:rPr>
        <w:t xml:space="preserve"> </w:t>
      </w:r>
      <w:r w:rsidRPr="00C1183C">
        <w:rPr>
          <w:rFonts w:ascii="Arial Narrow" w:hAnsi="Arial Narrow" w:cs="Arial"/>
          <w:i/>
          <w:sz w:val="18"/>
          <w:szCs w:val="18"/>
          <w:lang w:eastAsia="en-AU"/>
        </w:rPr>
        <w:t>$40 million to &lt; $50 million</w:t>
      </w:r>
    </w:p>
    <w:p w14:paraId="721B7895" w14:textId="02F27B09" w:rsidR="00121A97" w:rsidRDefault="00121A97" w:rsidP="00677F6D">
      <w:pPr>
        <w:keepNext/>
        <w:rPr>
          <w:rFonts w:ascii="Arial Narrow" w:hAnsi="Arial Narrow" w:cs="Arial"/>
          <w:i/>
          <w:sz w:val="18"/>
          <w:szCs w:val="18"/>
          <w:lang w:eastAsia="en-AU"/>
        </w:rPr>
      </w:pPr>
      <w:proofErr w:type="gramStart"/>
      <w:r>
        <w:rPr>
          <w:rFonts w:ascii="Arial Narrow" w:hAnsi="Arial Narrow" w:cs="Arial"/>
          <w:i/>
          <w:sz w:val="18"/>
          <w:szCs w:val="18"/>
          <w:vertAlign w:val="superscript"/>
          <w:lang w:eastAsia="en-AU"/>
        </w:rPr>
        <w:t>6</w:t>
      </w:r>
      <w:r>
        <w:rPr>
          <w:rFonts w:ascii="Arial Narrow" w:hAnsi="Arial Narrow" w:cs="Arial"/>
          <w:i/>
          <w:sz w:val="18"/>
          <w:szCs w:val="18"/>
          <w:lang w:eastAsia="en-AU"/>
        </w:rPr>
        <w:t xml:space="preserve">  </w:t>
      </w:r>
      <w:r w:rsidRPr="00C1183C">
        <w:rPr>
          <w:rFonts w:ascii="Arial Narrow" w:hAnsi="Arial Narrow" w:cs="Arial"/>
          <w:i/>
          <w:sz w:val="18"/>
          <w:szCs w:val="18"/>
          <w:lang w:eastAsia="en-AU"/>
        </w:rPr>
        <w:t>$</w:t>
      </w:r>
      <w:proofErr w:type="gramEnd"/>
      <w:r w:rsidRPr="00C1183C">
        <w:rPr>
          <w:rFonts w:ascii="Arial Narrow" w:hAnsi="Arial Narrow" w:cs="Arial"/>
          <w:i/>
          <w:sz w:val="18"/>
          <w:szCs w:val="18"/>
          <w:lang w:eastAsia="en-AU"/>
        </w:rPr>
        <w:t>70 million to &lt; $80 million</w:t>
      </w:r>
    </w:p>
    <w:p w14:paraId="22EDD495" w14:textId="113D5016" w:rsidR="00121A97" w:rsidRDefault="00121A97" w:rsidP="00677F6D">
      <w:pPr>
        <w:keepNext/>
        <w:rPr>
          <w:rFonts w:ascii="Arial Narrow" w:hAnsi="Arial Narrow" w:cs="Arial"/>
          <w:i/>
          <w:sz w:val="18"/>
          <w:szCs w:val="18"/>
          <w:lang w:eastAsia="en-AU"/>
        </w:rPr>
      </w:pPr>
      <w:r>
        <w:rPr>
          <w:rFonts w:ascii="Arial Narrow" w:hAnsi="Arial Narrow" w:cs="Arial"/>
          <w:i/>
          <w:sz w:val="18"/>
          <w:szCs w:val="18"/>
          <w:vertAlign w:val="superscript"/>
          <w:lang w:eastAsia="en-AU"/>
        </w:rPr>
        <w:t>7</w:t>
      </w:r>
      <w:r>
        <w:rPr>
          <w:rFonts w:ascii="Arial Narrow" w:hAnsi="Arial Narrow" w:cs="Arial"/>
          <w:i/>
          <w:sz w:val="18"/>
          <w:szCs w:val="18"/>
          <w:lang w:eastAsia="en-AU"/>
        </w:rPr>
        <w:t xml:space="preserve"> $</w:t>
      </w:r>
      <w:r w:rsidRPr="00C1183C">
        <w:rPr>
          <w:rFonts w:ascii="Arial Narrow" w:hAnsi="Arial Narrow" w:cs="Arial"/>
          <w:i/>
          <w:sz w:val="18"/>
          <w:szCs w:val="18"/>
          <w:lang w:eastAsia="en-AU"/>
        </w:rPr>
        <w:t>80 million to &lt; $90 million</w:t>
      </w:r>
    </w:p>
    <w:p w14:paraId="190113B3" w14:textId="0494D390" w:rsidR="00121A97" w:rsidRDefault="00121A97" w:rsidP="00677F6D">
      <w:pPr>
        <w:keepNext/>
        <w:rPr>
          <w:rFonts w:ascii="Arial Narrow" w:hAnsi="Arial Narrow" w:cs="Arial"/>
          <w:i/>
          <w:sz w:val="18"/>
          <w:szCs w:val="18"/>
          <w:lang w:eastAsia="en-AU"/>
        </w:rPr>
      </w:pPr>
      <w:r>
        <w:rPr>
          <w:rFonts w:ascii="Arial Narrow" w:hAnsi="Arial Narrow" w:cs="Arial"/>
          <w:i/>
          <w:sz w:val="18"/>
          <w:szCs w:val="18"/>
          <w:vertAlign w:val="superscript"/>
          <w:lang w:eastAsia="en-AU"/>
        </w:rPr>
        <w:t>8</w:t>
      </w:r>
      <w:r>
        <w:rPr>
          <w:rFonts w:ascii="Arial Narrow" w:hAnsi="Arial Narrow" w:cs="Arial"/>
          <w:i/>
          <w:sz w:val="18"/>
          <w:szCs w:val="18"/>
          <w:lang w:eastAsia="en-AU"/>
        </w:rPr>
        <w:t xml:space="preserve"> </w:t>
      </w:r>
      <w:r w:rsidRPr="00121A97">
        <w:rPr>
          <w:rFonts w:ascii="Arial Narrow" w:hAnsi="Arial Narrow" w:cs="Arial"/>
          <w:i/>
          <w:sz w:val="18"/>
          <w:szCs w:val="18"/>
          <w:lang w:eastAsia="en-AU"/>
        </w:rPr>
        <w:t>$200 million to &lt; $300 million</w:t>
      </w:r>
    </w:p>
    <w:p w14:paraId="595D7D03" w14:textId="1BEFB58D" w:rsidR="00121A97" w:rsidRDefault="00121A97" w:rsidP="00677F6D">
      <w:pPr>
        <w:keepNext/>
        <w:rPr>
          <w:rFonts w:ascii="Arial Narrow" w:hAnsi="Arial Narrow" w:cs="Arial"/>
          <w:i/>
          <w:sz w:val="18"/>
          <w:szCs w:val="18"/>
          <w:lang w:eastAsia="en-AU"/>
        </w:rPr>
      </w:pPr>
      <w:r>
        <w:rPr>
          <w:rFonts w:ascii="Arial Narrow" w:hAnsi="Arial Narrow" w:cs="Arial"/>
          <w:i/>
          <w:sz w:val="18"/>
          <w:szCs w:val="18"/>
          <w:vertAlign w:val="superscript"/>
          <w:lang w:eastAsia="en-AU"/>
        </w:rPr>
        <w:t>9</w:t>
      </w:r>
      <w:r>
        <w:rPr>
          <w:rFonts w:ascii="Arial Narrow" w:hAnsi="Arial Narrow" w:cs="Arial"/>
          <w:i/>
          <w:sz w:val="18"/>
          <w:szCs w:val="18"/>
          <w:lang w:eastAsia="en-AU"/>
        </w:rPr>
        <w:t xml:space="preserve"> </w:t>
      </w:r>
      <w:r w:rsidRPr="00121A97">
        <w:rPr>
          <w:rFonts w:ascii="Arial Narrow" w:hAnsi="Arial Narrow" w:cs="Arial"/>
          <w:i/>
          <w:sz w:val="18"/>
          <w:szCs w:val="18"/>
          <w:lang w:eastAsia="en-AU"/>
        </w:rPr>
        <w:t>$100 million to &lt; $200 million</w:t>
      </w:r>
    </w:p>
    <w:p w14:paraId="7291C4C3" w14:textId="1E1E4AA7" w:rsidR="00121A97" w:rsidRDefault="00121A97" w:rsidP="00677F6D">
      <w:pPr>
        <w:keepNext/>
        <w:rPr>
          <w:rFonts w:ascii="Arial Narrow" w:hAnsi="Arial Narrow" w:cs="Arial"/>
          <w:i/>
          <w:sz w:val="18"/>
          <w:szCs w:val="18"/>
          <w:lang w:eastAsia="en-AU"/>
        </w:rPr>
      </w:pPr>
      <w:r>
        <w:rPr>
          <w:rFonts w:ascii="Arial Narrow" w:hAnsi="Arial Narrow" w:cs="Arial"/>
          <w:i/>
          <w:sz w:val="18"/>
          <w:szCs w:val="18"/>
          <w:vertAlign w:val="superscript"/>
          <w:lang w:eastAsia="en-AU"/>
        </w:rPr>
        <w:t>10</w:t>
      </w:r>
      <w:r>
        <w:rPr>
          <w:rFonts w:ascii="Arial Narrow" w:hAnsi="Arial Narrow" w:cs="Arial"/>
          <w:i/>
          <w:sz w:val="18"/>
          <w:szCs w:val="18"/>
          <w:lang w:eastAsia="en-AU"/>
        </w:rPr>
        <w:t xml:space="preserve"> </w:t>
      </w:r>
      <w:r w:rsidRPr="00121A97">
        <w:rPr>
          <w:rFonts w:ascii="Arial Narrow" w:hAnsi="Arial Narrow" w:cs="Arial"/>
          <w:i/>
          <w:sz w:val="18"/>
          <w:szCs w:val="18"/>
          <w:lang w:eastAsia="en-AU"/>
        </w:rPr>
        <w:t>$300 million to &lt; $400 million</w:t>
      </w:r>
    </w:p>
    <w:p w14:paraId="0B22BBD8" w14:textId="4E8CF268" w:rsidR="00121A97" w:rsidRDefault="00121A97" w:rsidP="00121A97">
      <w:pPr>
        <w:spacing w:after="120"/>
        <w:rPr>
          <w:rFonts w:ascii="Arial Narrow" w:hAnsi="Arial Narrow" w:cs="Arial"/>
          <w:i/>
          <w:sz w:val="18"/>
          <w:szCs w:val="18"/>
          <w:lang w:eastAsia="en-AU"/>
        </w:rPr>
      </w:pPr>
      <w:r>
        <w:rPr>
          <w:rFonts w:ascii="Arial Narrow" w:hAnsi="Arial Narrow" w:cs="Arial"/>
          <w:i/>
          <w:sz w:val="18"/>
          <w:szCs w:val="18"/>
          <w:vertAlign w:val="superscript"/>
          <w:lang w:eastAsia="en-AU"/>
        </w:rPr>
        <w:t>11</w:t>
      </w:r>
      <w:r>
        <w:rPr>
          <w:rFonts w:ascii="Arial Narrow" w:hAnsi="Arial Narrow" w:cs="Arial"/>
          <w:i/>
          <w:sz w:val="18"/>
          <w:szCs w:val="18"/>
          <w:lang w:eastAsia="en-AU"/>
        </w:rPr>
        <w:t xml:space="preserve"> </w:t>
      </w:r>
      <w:r w:rsidRPr="00121A97">
        <w:rPr>
          <w:rFonts w:ascii="Arial Narrow" w:hAnsi="Arial Narrow" w:cs="Arial"/>
          <w:i/>
          <w:sz w:val="18"/>
          <w:szCs w:val="18"/>
          <w:lang w:eastAsia="en-AU"/>
        </w:rPr>
        <w:t>$400 million to &lt; $500 million</w:t>
      </w:r>
    </w:p>
    <w:p w14:paraId="308E5F21" w14:textId="7B219F87" w:rsidR="00350E58" w:rsidRPr="00121A97" w:rsidRDefault="00350E58" w:rsidP="00121A97">
      <w:pPr>
        <w:pStyle w:val="3-BodyText"/>
        <w:rPr>
          <w:b/>
          <w:bCs/>
        </w:rPr>
      </w:pPr>
      <w:r>
        <w:t xml:space="preserve">The submission estimated a cost </w:t>
      </w:r>
      <w:r w:rsidR="00BA0F4B">
        <w:t xml:space="preserve">to the PBS of ravulizumab </w:t>
      </w:r>
      <w:r>
        <w:t xml:space="preserve">of </w:t>
      </w:r>
      <w:r w:rsidR="00121A97" w:rsidRPr="00121A97">
        <w:t>$30 million to &lt; $40 million</w:t>
      </w:r>
      <w:r w:rsidR="00121A97">
        <w:rPr>
          <w:b/>
          <w:bCs/>
        </w:rPr>
        <w:t xml:space="preserve"> </w:t>
      </w:r>
      <w:r>
        <w:t xml:space="preserve">in Year 1 and </w:t>
      </w:r>
      <w:r w:rsidR="00121A97" w:rsidRPr="00121A97">
        <w:t>$40 million to &lt; $50 million</w:t>
      </w:r>
      <w:r w:rsidR="00121A97" w:rsidRPr="00121A97">
        <w:rPr>
          <w:b/>
          <w:bCs/>
        </w:rPr>
        <w:t xml:space="preserve"> </w:t>
      </w:r>
      <w:r>
        <w:t xml:space="preserve">in Year 6, for a total of </w:t>
      </w:r>
      <w:r w:rsidR="00121A97" w:rsidRPr="00121A97">
        <w:t>$200 million to &lt; $300 million</w:t>
      </w:r>
      <w:r w:rsidR="00121A97" w:rsidRPr="00121A97">
        <w:rPr>
          <w:b/>
          <w:bCs/>
        </w:rPr>
        <w:t xml:space="preserve"> </w:t>
      </w:r>
      <w:r>
        <w:t>over the first 6 years of listing for the PBS listing of ravulizumab.</w:t>
      </w:r>
    </w:p>
    <w:p w14:paraId="75586731" w14:textId="546009E0" w:rsidR="000902D9" w:rsidRPr="00121A97" w:rsidRDefault="00350E58" w:rsidP="00121A97">
      <w:pPr>
        <w:pStyle w:val="3-BodyText"/>
        <w:rPr>
          <w:b/>
          <w:bCs/>
        </w:rPr>
      </w:pPr>
      <w:r w:rsidRPr="00D64D6F">
        <w:t xml:space="preserve">When cost offsets for eculizumab are included, there was an estimated </w:t>
      </w:r>
      <w:r w:rsidR="00754EF8" w:rsidRPr="00D64D6F">
        <w:t xml:space="preserve">cost saving of approximately </w:t>
      </w:r>
      <w:r w:rsidR="00121A97" w:rsidRPr="00121A97">
        <w:t>$10 million to &lt; $20 million</w:t>
      </w:r>
      <w:r w:rsidR="00121A97">
        <w:t xml:space="preserve"> </w:t>
      </w:r>
      <w:r w:rsidR="00754EF8" w:rsidRPr="00D64D6F">
        <w:t xml:space="preserve">in Year 1, increasing to </w:t>
      </w:r>
      <w:r w:rsidR="00121A97" w:rsidRPr="00121A97">
        <w:t>$10 million to &lt; $20 million</w:t>
      </w:r>
      <w:r w:rsidR="00121A97" w:rsidRPr="00D64D6F" w:rsidDel="00121A97">
        <w:t xml:space="preserve"> </w:t>
      </w:r>
      <w:r w:rsidR="00754EF8" w:rsidRPr="00D64D6F">
        <w:t xml:space="preserve">in Year 6, for a total </w:t>
      </w:r>
      <w:r w:rsidR="00B70642">
        <w:t xml:space="preserve">saving </w:t>
      </w:r>
      <w:r w:rsidR="00754EF8" w:rsidRPr="00D64D6F">
        <w:t xml:space="preserve">of </w:t>
      </w:r>
      <w:r w:rsidR="00121A97" w:rsidRPr="00121A97">
        <w:t>$70 million to &lt; $80 million</w:t>
      </w:r>
      <w:r w:rsidR="00121A97">
        <w:rPr>
          <w:b/>
          <w:bCs/>
        </w:rPr>
        <w:t xml:space="preserve"> </w:t>
      </w:r>
      <w:r w:rsidR="00754EF8" w:rsidRPr="00D64D6F">
        <w:t>over the first 6 years for the listing of ravulizumab.</w:t>
      </w:r>
    </w:p>
    <w:p w14:paraId="423CBBA3" w14:textId="6C956D58" w:rsidR="001E0EC1" w:rsidRPr="00D64D6F" w:rsidRDefault="001E0EC1" w:rsidP="00B306AF">
      <w:pPr>
        <w:pStyle w:val="3-BodyText"/>
      </w:pPr>
      <w:r w:rsidRPr="00D64D6F">
        <w:t xml:space="preserve">Given the </w:t>
      </w:r>
      <w:r w:rsidR="00B97992" w:rsidRPr="00D64D6F">
        <w:t xml:space="preserve">uncertainty </w:t>
      </w:r>
      <w:r w:rsidRPr="00D64D6F">
        <w:t xml:space="preserve">around the </w:t>
      </w:r>
      <w:r w:rsidR="00B97992" w:rsidRPr="00D64D6F">
        <w:t xml:space="preserve">patient weight data used in the </w:t>
      </w:r>
      <w:r w:rsidRPr="00D64D6F">
        <w:t>submission, along with</w:t>
      </w:r>
      <w:r w:rsidR="00DF0A72" w:rsidRPr="00D64D6F">
        <w:t xml:space="preserve"> lower substitution</w:t>
      </w:r>
      <w:r w:rsidRPr="00D64D6F">
        <w:t xml:space="preserve"> of eculizumab</w:t>
      </w:r>
      <w:r w:rsidR="007A0A7B" w:rsidRPr="00D64D6F">
        <w:t xml:space="preserve"> than predicted</w:t>
      </w:r>
      <w:r w:rsidRPr="00D64D6F">
        <w:t xml:space="preserve"> (</w:t>
      </w:r>
      <w:r w:rsidR="007A0A7B" w:rsidRPr="00D64D6F">
        <w:t>only 70% of prevalent patients in Years 1 and 2 instead of the 95% estimated by clinical experts</w:t>
      </w:r>
      <w:r w:rsidRPr="00D64D6F">
        <w:t>), the financial estimates are highly uncertain.</w:t>
      </w:r>
    </w:p>
    <w:p w14:paraId="5F65D5B4" w14:textId="0876D74D" w:rsidR="00BF6F4D" w:rsidRPr="003A48D2" w:rsidRDefault="00576972" w:rsidP="003A48D2">
      <w:pPr>
        <w:pStyle w:val="4-SubsectionHeading"/>
      </w:pPr>
      <w:bookmarkStart w:id="64" w:name="_Toc22897648"/>
      <w:bookmarkStart w:id="65" w:name="_Toc124929669"/>
      <w:r w:rsidRPr="003A48D2">
        <w:t>Quality Use of Medicines</w:t>
      </w:r>
      <w:bookmarkEnd w:id="64"/>
      <w:bookmarkEnd w:id="65"/>
    </w:p>
    <w:p w14:paraId="0E3EBB4B" w14:textId="77777777" w:rsidR="00484D43" w:rsidRDefault="00BF6F4D" w:rsidP="00B306AF">
      <w:pPr>
        <w:pStyle w:val="3-BodyText"/>
      </w:pPr>
      <w:r>
        <w:t>The submission described the pharmacovigilance activities required by the TGA to support the quality use of ravulizumab.</w:t>
      </w:r>
    </w:p>
    <w:p w14:paraId="38BD0AEF" w14:textId="5E116D0F" w:rsidR="00576972" w:rsidRPr="00BF6F4D" w:rsidRDefault="00B754FA" w:rsidP="00B306AF">
      <w:pPr>
        <w:pStyle w:val="3-BodyText"/>
      </w:pPr>
      <w:r>
        <w:t>T</w:t>
      </w:r>
      <w:r w:rsidR="00512B78">
        <w:t xml:space="preserve">he submission described the risk of </w:t>
      </w:r>
      <w:r w:rsidR="00512B78" w:rsidRPr="00A43121">
        <w:t>meningococcal infection</w:t>
      </w:r>
      <w:r w:rsidR="00512B78">
        <w:t xml:space="preserve"> with ravulizumab. </w:t>
      </w:r>
      <w:r w:rsidR="00484D43">
        <w:t xml:space="preserve">The PI recommended that </w:t>
      </w:r>
      <w:r w:rsidR="00484D43" w:rsidRPr="00A43121">
        <w:t xml:space="preserve">all patients must be vaccinated against meningococcal infections at least 2 weeks prior to administering the first dose of </w:t>
      </w:r>
      <w:r w:rsidR="00512B78">
        <w:t xml:space="preserve">ravulizumab, and patients </w:t>
      </w:r>
      <w:r w:rsidR="00484D43" w:rsidRPr="00A43121">
        <w:t>who initiate treatment less than 2 weeks after receiving a meningococcal vaccine must receive treatment with appropriate prophylactic antibiotics until 2 weeks after vaccination</w:t>
      </w:r>
      <w:r w:rsidR="00512B78">
        <w:t>.</w:t>
      </w:r>
      <w:r w:rsidR="00BF6F4D">
        <w:t xml:space="preserve"> </w:t>
      </w:r>
      <w:r w:rsidR="008B7B86">
        <w:t xml:space="preserve">The PBAC noted </w:t>
      </w:r>
      <w:r w:rsidR="00D011D5">
        <w:t xml:space="preserve">and agreed with </w:t>
      </w:r>
      <w:r w:rsidR="008B7B86">
        <w:t xml:space="preserve">the ATAGI’s advice dated 22 February 2023, which supported the determination </w:t>
      </w:r>
      <w:r w:rsidR="008B7B86" w:rsidRPr="008B7B86">
        <w:t>of meningococcal ACWY (MenACWY) and meningococcal B (MenB) on the National Immunisation Program to include patients treated with ravulizumab in addition to eculizumab.</w:t>
      </w:r>
    </w:p>
    <w:p w14:paraId="6015A395" w14:textId="2EDB6A4E" w:rsidR="00576972" w:rsidRPr="003A48D2" w:rsidRDefault="00576972" w:rsidP="003A48D2">
      <w:pPr>
        <w:pStyle w:val="4-SubsectionHeading"/>
      </w:pPr>
      <w:bookmarkStart w:id="66" w:name="_Toc22897649"/>
      <w:bookmarkStart w:id="67" w:name="_Toc124929670"/>
      <w:r w:rsidRPr="003A48D2">
        <w:lastRenderedPageBreak/>
        <w:t>Financial Management – Risk Sharing Arrangements</w:t>
      </w:r>
      <w:bookmarkEnd w:id="66"/>
      <w:bookmarkEnd w:id="67"/>
    </w:p>
    <w:p w14:paraId="54567979" w14:textId="5E7709DD" w:rsidR="008A3C3E" w:rsidRDefault="00BF6F4D" w:rsidP="00B306AF">
      <w:pPr>
        <w:pStyle w:val="3-BodyText"/>
      </w:pPr>
      <w:r>
        <w:t xml:space="preserve">The submission proposed </w:t>
      </w:r>
      <w:r w:rsidRPr="003B24CB">
        <w:t>a market cap for eculizumab and ravulizumab, with Commonwealth Payment Thresholds based upon agreed financial estimates.</w:t>
      </w:r>
    </w:p>
    <w:p w14:paraId="2E9BF857" w14:textId="63475C77" w:rsidR="009D6BFD" w:rsidRPr="001E2E84" w:rsidRDefault="009D6BFD" w:rsidP="009D6BFD">
      <w:pPr>
        <w:pStyle w:val="2-SectionHeading"/>
      </w:pPr>
      <w:bookmarkStart w:id="68" w:name="_Hlk76381249"/>
      <w:bookmarkStart w:id="69" w:name="_Hlk76377955"/>
      <w:bookmarkStart w:id="70" w:name="_Toc124929672"/>
      <w:r w:rsidRPr="001E2E84">
        <w:t>PBAC Outcome</w:t>
      </w:r>
    </w:p>
    <w:p w14:paraId="2204072A" w14:textId="72145780" w:rsidR="00D76EB1" w:rsidRPr="006219EF" w:rsidRDefault="00EA4184" w:rsidP="009D6BFD">
      <w:pPr>
        <w:widowControl w:val="0"/>
        <w:numPr>
          <w:ilvl w:val="1"/>
          <w:numId w:val="1"/>
        </w:numPr>
        <w:spacing w:after="120"/>
        <w:ind w:left="720"/>
        <w:rPr>
          <w:rFonts w:asciiTheme="minorHAnsi" w:hAnsiTheme="minorHAnsi" w:cs="Arial"/>
          <w:snapToGrid w:val="0"/>
          <w:color w:val="548DD4" w:themeColor="text2" w:themeTint="99"/>
          <w:lang w:val="en-GB"/>
        </w:rPr>
      </w:pPr>
      <w:bookmarkStart w:id="71" w:name="_Hlk111543188"/>
      <w:r>
        <w:rPr>
          <w:rFonts w:asciiTheme="minorHAnsi" w:hAnsiTheme="minorHAnsi" w:cs="Arial"/>
          <w:snapToGrid w:val="0"/>
          <w:lang w:val="en-GB"/>
        </w:rPr>
        <w:t>The PBAC deferred making a recommendation regarding the PBS listing of ravulizumab for the treatment of atypical haemolytic uraemic syndrome (aHUS)</w:t>
      </w:r>
      <w:r w:rsidR="008B7B86">
        <w:rPr>
          <w:rFonts w:asciiTheme="minorHAnsi" w:hAnsiTheme="minorHAnsi" w:cs="Arial"/>
          <w:snapToGrid w:val="0"/>
          <w:lang w:val="en-GB"/>
        </w:rPr>
        <w:t xml:space="preserve"> </w:t>
      </w:r>
      <w:r w:rsidR="008B7B86" w:rsidRPr="00D051DE">
        <w:rPr>
          <w:rFonts w:asciiTheme="minorHAnsi" w:hAnsiTheme="minorHAnsi" w:cs="Arial"/>
          <w:snapToGrid w:val="0"/>
          <w:lang w:val="en-GB"/>
        </w:rPr>
        <w:t xml:space="preserve">pending resolution of substantial restriction issues, and </w:t>
      </w:r>
      <w:r w:rsidR="002E3C52" w:rsidRPr="00D051DE">
        <w:rPr>
          <w:rFonts w:asciiTheme="minorHAnsi" w:hAnsiTheme="minorHAnsi" w:cs="Arial"/>
          <w:snapToGrid w:val="0"/>
          <w:lang w:val="en-GB"/>
        </w:rPr>
        <w:t xml:space="preserve">amendments to </w:t>
      </w:r>
      <w:r w:rsidR="00325FCC" w:rsidRPr="00D051DE">
        <w:rPr>
          <w:rFonts w:asciiTheme="minorHAnsi" w:hAnsiTheme="minorHAnsi" w:cs="Arial"/>
          <w:snapToGrid w:val="0"/>
          <w:lang w:val="en-GB"/>
        </w:rPr>
        <w:t>the</w:t>
      </w:r>
      <w:r w:rsidR="008B7B86" w:rsidRPr="00D051DE">
        <w:rPr>
          <w:rFonts w:asciiTheme="minorHAnsi" w:hAnsiTheme="minorHAnsi" w:cs="Arial"/>
          <w:snapToGrid w:val="0"/>
          <w:lang w:val="en-GB"/>
        </w:rPr>
        <w:t xml:space="preserve"> cost-minim</w:t>
      </w:r>
      <w:r w:rsidR="008B7B86">
        <w:rPr>
          <w:rFonts w:asciiTheme="minorHAnsi" w:hAnsiTheme="minorHAnsi" w:cs="Arial"/>
          <w:snapToGrid w:val="0"/>
          <w:lang w:val="en-GB"/>
        </w:rPr>
        <w:t>isation approach</w:t>
      </w:r>
      <w:r w:rsidR="00325FCC">
        <w:rPr>
          <w:rFonts w:asciiTheme="minorHAnsi" w:hAnsiTheme="minorHAnsi" w:cs="Arial"/>
          <w:snapToGrid w:val="0"/>
          <w:lang w:val="en-GB"/>
        </w:rPr>
        <w:t xml:space="preserve"> (CMA)</w:t>
      </w:r>
      <w:r w:rsidR="002E3C52">
        <w:rPr>
          <w:rFonts w:asciiTheme="minorHAnsi" w:hAnsiTheme="minorHAnsi" w:cs="Arial"/>
          <w:snapToGrid w:val="0"/>
          <w:lang w:val="en-GB"/>
        </w:rPr>
        <w:t xml:space="preserve"> and financial estimates</w:t>
      </w:r>
      <w:r>
        <w:rPr>
          <w:rFonts w:asciiTheme="minorHAnsi" w:hAnsiTheme="minorHAnsi" w:cs="Arial"/>
          <w:snapToGrid w:val="0"/>
          <w:lang w:val="en-GB"/>
        </w:rPr>
        <w:t xml:space="preserve">. </w:t>
      </w:r>
      <w:r w:rsidR="00A06A1F">
        <w:rPr>
          <w:rFonts w:asciiTheme="minorHAnsi" w:hAnsiTheme="minorHAnsi" w:cs="Arial"/>
          <w:snapToGrid w:val="0"/>
          <w:lang w:val="en-GB"/>
        </w:rPr>
        <w:t>The PBAC n</w:t>
      </w:r>
      <w:r w:rsidR="000B5065">
        <w:rPr>
          <w:rFonts w:asciiTheme="minorHAnsi" w:hAnsiTheme="minorHAnsi" w:cs="Arial"/>
          <w:snapToGrid w:val="0"/>
          <w:lang w:val="en-GB"/>
        </w:rPr>
        <w:t>oted</w:t>
      </w:r>
      <w:r w:rsidR="00412659">
        <w:rPr>
          <w:rFonts w:asciiTheme="minorHAnsi" w:hAnsiTheme="minorHAnsi" w:cs="Arial"/>
          <w:snapToGrid w:val="0"/>
          <w:lang w:val="en-GB"/>
        </w:rPr>
        <w:t xml:space="preserve"> that</w:t>
      </w:r>
      <w:r w:rsidR="00D76EB1">
        <w:rPr>
          <w:rFonts w:asciiTheme="minorHAnsi" w:hAnsiTheme="minorHAnsi" w:cs="Arial"/>
          <w:snapToGrid w:val="0"/>
          <w:lang w:val="en-GB"/>
        </w:rPr>
        <w:t xml:space="preserve"> the submission’s </w:t>
      </w:r>
      <w:r w:rsidR="008B7B86">
        <w:rPr>
          <w:rFonts w:asciiTheme="minorHAnsi" w:hAnsiTheme="minorHAnsi" w:cs="Arial"/>
          <w:snapToGrid w:val="0"/>
          <w:lang w:val="en-GB"/>
        </w:rPr>
        <w:t>request for</w:t>
      </w:r>
      <w:r w:rsidR="00412659">
        <w:rPr>
          <w:rFonts w:asciiTheme="minorHAnsi" w:hAnsiTheme="minorHAnsi" w:cs="Arial"/>
          <w:snapToGrid w:val="0"/>
          <w:lang w:val="en-GB"/>
        </w:rPr>
        <w:t xml:space="preserve"> PBS funding of ravulizumab for public hospital inpatients was inconsistent with PBS policy</w:t>
      </w:r>
      <w:r w:rsidR="00E12E96">
        <w:rPr>
          <w:rFonts w:asciiTheme="minorHAnsi" w:hAnsiTheme="minorHAnsi" w:cs="Arial"/>
          <w:snapToGrid w:val="0"/>
          <w:lang w:val="en-US"/>
        </w:rPr>
        <w:t xml:space="preserve">. </w:t>
      </w:r>
      <w:r w:rsidR="004E5BD3">
        <w:rPr>
          <w:rFonts w:asciiTheme="minorHAnsi" w:hAnsiTheme="minorHAnsi" w:cs="Arial"/>
          <w:snapToGrid w:val="0"/>
          <w:lang w:val="en-GB"/>
        </w:rPr>
        <w:t xml:space="preserve">The PBAC </w:t>
      </w:r>
      <w:r w:rsidR="00594CCF">
        <w:rPr>
          <w:rFonts w:asciiTheme="minorHAnsi" w:hAnsiTheme="minorHAnsi" w:cs="Arial"/>
          <w:snapToGrid w:val="0"/>
          <w:lang w:val="en-GB"/>
        </w:rPr>
        <w:t xml:space="preserve">also </w:t>
      </w:r>
      <w:r w:rsidR="004E5BD3">
        <w:rPr>
          <w:rFonts w:asciiTheme="minorHAnsi" w:hAnsiTheme="minorHAnsi" w:cs="Arial"/>
          <w:snapToGrid w:val="0"/>
          <w:lang w:val="en-GB"/>
        </w:rPr>
        <w:t xml:space="preserve">considered that the submission’s </w:t>
      </w:r>
      <w:r w:rsidR="002E3C52">
        <w:rPr>
          <w:rFonts w:asciiTheme="minorHAnsi" w:hAnsiTheme="minorHAnsi" w:cs="Arial"/>
          <w:snapToGrid w:val="0"/>
          <w:lang w:val="en-GB"/>
        </w:rPr>
        <w:t>CMA</w:t>
      </w:r>
      <w:r w:rsidR="004E5BD3">
        <w:rPr>
          <w:rFonts w:asciiTheme="minorHAnsi" w:hAnsiTheme="minorHAnsi" w:cs="Arial"/>
          <w:snapToGrid w:val="0"/>
          <w:lang w:val="en-GB"/>
        </w:rPr>
        <w:t xml:space="preserve"> had several uncertainties</w:t>
      </w:r>
      <w:r w:rsidR="00D153D9">
        <w:rPr>
          <w:rFonts w:asciiTheme="minorHAnsi" w:hAnsiTheme="minorHAnsi" w:cs="Arial"/>
          <w:snapToGrid w:val="0"/>
          <w:lang w:val="en-GB"/>
        </w:rPr>
        <w:t xml:space="preserve"> </w:t>
      </w:r>
      <w:r w:rsidR="006B67FE">
        <w:rPr>
          <w:rFonts w:asciiTheme="minorHAnsi" w:hAnsiTheme="minorHAnsi" w:cs="Arial"/>
          <w:snapToGrid w:val="0"/>
          <w:lang w:val="en-GB"/>
        </w:rPr>
        <w:t>which would need to be resolved</w:t>
      </w:r>
      <w:r w:rsidR="00F8612C">
        <w:rPr>
          <w:rFonts w:asciiTheme="minorHAnsi" w:hAnsiTheme="minorHAnsi" w:cs="Arial"/>
          <w:snapToGrid w:val="0"/>
          <w:lang w:val="en-GB"/>
        </w:rPr>
        <w:t xml:space="preserve"> to ensure the cost of ravulizumab would be no greater than that of eculizumab</w:t>
      </w:r>
      <w:r w:rsidR="006B67FE">
        <w:rPr>
          <w:rFonts w:asciiTheme="minorHAnsi" w:hAnsiTheme="minorHAnsi" w:cs="Arial"/>
          <w:snapToGrid w:val="0"/>
          <w:lang w:val="en-GB"/>
        </w:rPr>
        <w:t xml:space="preserve">. The PBAC considered the estimated </w:t>
      </w:r>
      <w:r w:rsidR="00C22048">
        <w:rPr>
          <w:rFonts w:asciiTheme="minorHAnsi" w:hAnsiTheme="minorHAnsi" w:cs="Arial"/>
          <w:snapToGrid w:val="0"/>
          <w:lang w:val="en-GB"/>
        </w:rPr>
        <w:t xml:space="preserve">linear </w:t>
      </w:r>
      <w:r w:rsidR="006B67FE">
        <w:rPr>
          <w:rFonts w:asciiTheme="minorHAnsi" w:hAnsiTheme="minorHAnsi" w:cs="Arial"/>
          <w:snapToGrid w:val="0"/>
          <w:lang w:val="en-GB"/>
        </w:rPr>
        <w:t xml:space="preserve">growth in utilisation </w:t>
      </w:r>
      <w:r w:rsidR="006B67FE" w:rsidRPr="005923E5">
        <w:rPr>
          <w:rFonts w:asciiTheme="minorHAnsi" w:hAnsiTheme="minorHAnsi" w:cs="Arial"/>
          <w:snapToGrid w:val="0"/>
          <w:lang w:val="en-GB"/>
        </w:rPr>
        <w:t>over the forward estimates was not justified and that a risk sharing arrangement</w:t>
      </w:r>
      <w:r w:rsidR="00594CCF" w:rsidRPr="005923E5">
        <w:rPr>
          <w:rFonts w:asciiTheme="minorHAnsi" w:hAnsiTheme="minorHAnsi" w:cs="Arial"/>
          <w:snapToGrid w:val="0"/>
          <w:lang w:val="en-GB"/>
        </w:rPr>
        <w:t xml:space="preserve"> (RSA)</w:t>
      </w:r>
      <w:r w:rsidR="006B67FE" w:rsidRPr="005923E5">
        <w:rPr>
          <w:rFonts w:asciiTheme="minorHAnsi" w:hAnsiTheme="minorHAnsi" w:cs="Arial"/>
          <w:snapToGrid w:val="0"/>
          <w:lang w:val="en-GB"/>
        </w:rPr>
        <w:t xml:space="preserve"> with 100% rebate to cover</w:t>
      </w:r>
      <w:r w:rsidR="004E5BD3" w:rsidRPr="005923E5">
        <w:rPr>
          <w:rFonts w:asciiTheme="minorHAnsi" w:hAnsiTheme="minorHAnsi" w:cs="Arial"/>
          <w:snapToGrid w:val="0"/>
          <w:lang w:val="en-GB"/>
        </w:rPr>
        <w:t xml:space="preserve"> the overall </w:t>
      </w:r>
      <w:r w:rsidR="00C22048" w:rsidRPr="005923E5">
        <w:rPr>
          <w:rFonts w:asciiTheme="minorHAnsi" w:hAnsiTheme="minorHAnsi" w:cs="Arial"/>
          <w:snapToGrid w:val="0"/>
          <w:lang w:val="en-GB"/>
        </w:rPr>
        <w:t xml:space="preserve">PBS </w:t>
      </w:r>
      <w:r w:rsidR="004E5BD3" w:rsidRPr="005923E5">
        <w:rPr>
          <w:rFonts w:asciiTheme="minorHAnsi" w:hAnsiTheme="minorHAnsi" w:cs="Arial"/>
          <w:snapToGrid w:val="0"/>
          <w:lang w:val="en-GB"/>
        </w:rPr>
        <w:t xml:space="preserve">cost of </w:t>
      </w:r>
      <w:r w:rsidR="006B67FE" w:rsidRPr="005923E5">
        <w:rPr>
          <w:rFonts w:asciiTheme="minorHAnsi" w:hAnsiTheme="minorHAnsi" w:cs="Arial"/>
          <w:snapToGrid w:val="0"/>
          <w:lang w:val="en-GB"/>
        </w:rPr>
        <w:t xml:space="preserve">aHUS </w:t>
      </w:r>
      <w:r w:rsidR="004E5BD3" w:rsidRPr="005923E5">
        <w:rPr>
          <w:rFonts w:asciiTheme="minorHAnsi" w:hAnsiTheme="minorHAnsi" w:cs="Arial"/>
          <w:snapToGrid w:val="0"/>
          <w:lang w:val="en-GB"/>
        </w:rPr>
        <w:t xml:space="preserve">therapy with </w:t>
      </w:r>
      <w:r w:rsidR="006B67FE" w:rsidRPr="005923E5">
        <w:rPr>
          <w:rFonts w:asciiTheme="minorHAnsi" w:hAnsiTheme="minorHAnsi" w:cs="Arial"/>
          <w:snapToGrid w:val="0"/>
          <w:lang w:val="en-GB"/>
        </w:rPr>
        <w:t xml:space="preserve">a C5 inhibitor </w:t>
      </w:r>
      <w:r w:rsidR="00C22048" w:rsidRPr="005923E5">
        <w:rPr>
          <w:rFonts w:asciiTheme="minorHAnsi" w:hAnsiTheme="minorHAnsi" w:cs="Arial"/>
          <w:snapToGrid w:val="0"/>
          <w:lang w:val="en-GB"/>
        </w:rPr>
        <w:t>would be re</w:t>
      </w:r>
      <w:r w:rsidR="00C22048">
        <w:rPr>
          <w:rFonts w:asciiTheme="minorHAnsi" w:hAnsiTheme="minorHAnsi" w:cs="Arial"/>
          <w:snapToGrid w:val="0"/>
          <w:lang w:val="en-GB"/>
        </w:rPr>
        <w:t>quired</w:t>
      </w:r>
      <w:r w:rsidR="004E5BD3">
        <w:rPr>
          <w:rFonts w:asciiTheme="minorHAnsi" w:hAnsiTheme="minorHAnsi" w:cs="Arial"/>
          <w:snapToGrid w:val="0"/>
          <w:lang w:val="en-GB"/>
        </w:rPr>
        <w:t xml:space="preserve">. </w:t>
      </w:r>
    </w:p>
    <w:p w14:paraId="53DAEBC6" w14:textId="292B6DFD" w:rsidR="005D6606" w:rsidRPr="00C22048" w:rsidRDefault="006219EF" w:rsidP="005D6606">
      <w:pPr>
        <w:widowControl w:val="0"/>
        <w:numPr>
          <w:ilvl w:val="1"/>
          <w:numId w:val="1"/>
        </w:numPr>
        <w:spacing w:after="120"/>
        <w:ind w:left="720"/>
      </w:pPr>
      <w:bookmarkStart w:id="72" w:name="_Ref130553419"/>
      <w:bookmarkStart w:id="73" w:name="_Ref131681808"/>
      <w:r w:rsidRPr="00E34FD2">
        <w:rPr>
          <w:rFonts w:asciiTheme="minorHAnsi" w:hAnsiTheme="minorHAnsi" w:cs="Arial"/>
          <w:snapToGrid w:val="0"/>
          <w:lang w:val="en-GB"/>
        </w:rPr>
        <w:t xml:space="preserve">The PBAC advised that the initial </w:t>
      </w:r>
      <w:r w:rsidR="00C661CF">
        <w:rPr>
          <w:rFonts w:asciiTheme="minorHAnsi" w:hAnsiTheme="minorHAnsi" w:cs="Arial"/>
          <w:snapToGrid w:val="0"/>
          <w:lang w:val="en-GB"/>
        </w:rPr>
        <w:t xml:space="preserve">ravulizumab </w:t>
      </w:r>
      <w:r w:rsidRPr="00E34FD2">
        <w:rPr>
          <w:rFonts w:asciiTheme="minorHAnsi" w:hAnsiTheme="minorHAnsi" w:cs="Arial"/>
          <w:snapToGrid w:val="0"/>
          <w:lang w:val="en-GB"/>
        </w:rPr>
        <w:t xml:space="preserve">restriction should include the administrative note, ‘This drug is not PBS-subsidised if it is administered to an in-patient in a public hospital setting’, consistent with restrictions for other drugs that are </w:t>
      </w:r>
      <w:r w:rsidR="005D7B19">
        <w:rPr>
          <w:rFonts w:asciiTheme="minorHAnsi" w:hAnsiTheme="minorHAnsi" w:cs="Arial"/>
          <w:snapToGrid w:val="0"/>
          <w:lang w:val="en-GB"/>
        </w:rPr>
        <w:t>routinely</w:t>
      </w:r>
      <w:r w:rsidR="005D7B19" w:rsidRPr="00E34FD2">
        <w:rPr>
          <w:rFonts w:asciiTheme="minorHAnsi" w:hAnsiTheme="minorHAnsi" w:cs="Arial"/>
          <w:snapToGrid w:val="0"/>
          <w:lang w:val="en-GB"/>
        </w:rPr>
        <w:t xml:space="preserve"> </w:t>
      </w:r>
      <w:r w:rsidRPr="00E34FD2">
        <w:rPr>
          <w:rFonts w:asciiTheme="minorHAnsi" w:hAnsiTheme="minorHAnsi" w:cs="Arial"/>
          <w:snapToGrid w:val="0"/>
          <w:lang w:val="en-GB"/>
        </w:rPr>
        <w:t>initiated in a public hospital setting (</w:t>
      </w:r>
      <w:proofErr w:type="gramStart"/>
      <w:r w:rsidRPr="00E34FD2">
        <w:rPr>
          <w:rFonts w:asciiTheme="minorHAnsi" w:hAnsiTheme="minorHAnsi" w:cs="Arial"/>
          <w:snapToGrid w:val="0"/>
          <w:lang w:val="en-GB"/>
        </w:rPr>
        <w:t>e.g.</w:t>
      </w:r>
      <w:proofErr w:type="gramEnd"/>
      <w:r w:rsidRPr="00E34FD2">
        <w:rPr>
          <w:rFonts w:asciiTheme="minorHAnsi" w:hAnsiTheme="minorHAnsi" w:cs="Arial"/>
          <w:snapToGrid w:val="0"/>
          <w:lang w:val="en-GB"/>
        </w:rPr>
        <w:t xml:space="preserve"> midostaurin and blinatumomab). </w:t>
      </w:r>
      <w:r>
        <w:rPr>
          <w:rFonts w:asciiTheme="minorHAnsi" w:hAnsiTheme="minorHAnsi" w:cs="Arial"/>
          <w:snapToGrid w:val="0"/>
          <w:lang w:val="en-GB"/>
        </w:rPr>
        <w:t>The PBAC considered that all initiations for aHUS treatment would take place in an inpatient setting</w:t>
      </w:r>
      <w:r w:rsidR="00C661CF">
        <w:rPr>
          <w:rFonts w:asciiTheme="minorHAnsi" w:hAnsiTheme="minorHAnsi" w:cs="Arial"/>
          <w:snapToGrid w:val="0"/>
          <w:lang w:val="en-GB"/>
        </w:rPr>
        <w:t>, given the acute nature of patients presenting with this disease</w:t>
      </w:r>
      <w:r>
        <w:rPr>
          <w:rFonts w:asciiTheme="minorHAnsi" w:hAnsiTheme="minorHAnsi" w:cs="Arial"/>
          <w:snapToGrid w:val="0"/>
          <w:lang w:val="en-GB"/>
        </w:rPr>
        <w:t xml:space="preserve">. As such, the continued PBS subsidy of eculizumab for public hospital inpatients would create a disincentive </w:t>
      </w:r>
      <w:r w:rsidR="00F26051">
        <w:rPr>
          <w:rFonts w:asciiTheme="minorHAnsi" w:hAnsiTheme="minorHAnsi" w:cs="Arial"/>
          <w:snapToGrid w:val="0"/>
          <w:lang w:val="en-GB"/>
        </w:rPr>
        <w:t xml:space="preserve">for the initiation of </w:t>
      </w:r>
      <w:r>
        <w:rPr>
          <w:rFonts w:asciiTheme="minorHAnsi" w:hAnsiTheme="minorHAnsi" w:cs="Arial"/>
          <w:snapToGrid w:val="0"/>
          <w:lang w:val="en-GB"/>
        </w:rPr>
        <w:t xml:space="preserve">ravulizumab. </w:t>
      </w:r>
      <w:r w:rsidR="005D7B19">
        <w:rPr>
          <w:rFonts w:asciiTheme="minorHAnsi" w:hAnsiTheme="minorHAnsi" w:cs="Arial"/>
          <w:snapToGrid w:val="0"/>
          <w:lang w:val="en-GB"/>
        </w:rPr>
        <w:t>It is likely that</w:t>
      </w:r>
      <w:r>
        <w:rPr>
          <w:rFonts w:asciiTheme="minorHAnsi" w:hAnsiTheme="minorHAnsi" w:cs="Arial"/>
          <w:snapToGrid w:val="0"/>
          <w:lang w:val="en-GB"/>
        </w:rPr>
        <w:t xml:space="preserve"> patients would be expected to initiate</w:t>
      </w:r>
      <w:r w:rsidR="00C661CF">
        <w:rPr>
          <w:rFonts w:asciiTheme="minorHAnsi" w:hAnsiTheme="minorHAnsi" w:cs="Arial"/>
          <w:snapToGrid w:val="0"/>
          <w:lang w:val="en-GB"/>
        </w:rPr>
        <w:t xml:space="preserve"> with</w:t>
      </w:r>
      <w:r w:rsidR="00F26051">
        <w:rPr>
          <w:rFonts w:asciiTheme="minorHAnsi" w:hAnsiTheme="minorHAnsi" w:cs="Arial"/>
          <w:snapToGrid w:val="0"/>
          <w:lang w:val="en-GB"/>
        </w:rPr>
        <w:t xml:space="preserve"> PBS</w:t>
      </w:r>
      <w:r w:rsidR="00C661CF">
        <w:rPr>
          <w:rFonts w:asciiTheme="minorHAnsi" w:hAnsiTheme="minorHAnsi" w:cs="Arial"/>
          <w:snapToGrid w:val="0"/>
          <w:lang w:val="en-GB"/>
        </w:rPr>
        <w:t xml:space="preserve"> eculizumab, and then switch to ravulizumab (with its additional loading dose)</w:t>
      </w:r>
      <w:r w:rsidR="00F8612C">
        <w:rPr>
          <w:rFonts w:asciiTheme="minorHAnsi" w:hAnsiTheme="minorHAnsi" w:cs="Arial"/>
          <w:snapToGrid w:val="0"/>
          <w:lang w:val="en-GB"/>
        </w:rPr>
        <w:t xml:space="preserve"> upon discharge</w:t>
      </w:r>
      <w:r w:rsidR="00C661CF">
        <w:rPr>
          <w:rFonts w:asciiTheme="minorHAnsi" w:hAnsiTheme="minorHAnsi" w:cs="Arial"/>
          <w:snapToGrid w:val="0"/>
          <w:lang w:val="en-GB"/>
        </w:rPr>
        <w:t>.</w:t>
      </w:r>
      <w:r w:rsidR="005E7ADA">
        <w:rPr>
          <w:rFonts w:asciiTheme="minorHAnsi" w:hAnsiTheme="minorHAnsi" w:cs="Arial"/>
          <w:snapToGrid w:val="0"/>
          <w:lang w:val="en-GB"/>
        </w:rPr>
        <w:t xml:space="preserve"> Also</w:t>
      </w:r>
      <w:r w:rsidR="009E502A">
        <w:rPr>
          <w:rFonts w:asciiTheme="minorHAnsi" w:hAnsiTheme="minorHAnsi" w:cs="Arial"/>
          <w:snapToGrid w:val="0"/>
          <w:lang w:val="en-GB"/>
        </w:rPr>
        <w:t>,</w:t>
      </w:r>
      <w:r w:rsidR="005E7ADA">
        <w:rPr>
          <w:rFonts w:asciiTheme="minorHAnsi" w:hAnsiTheme="minorHAnsi" w:cs="Arial"/>
          <w:snapToGrid w:val="0"/>
          <w:lang w:val="en-GB"/>
        </w:rPr>
        <w:t xml:space="preserve"> multiple inpatient admissions are expected.</w:t>
      </w:r>
      <w:r w:rsidR="002E3C52">
        <w:rPr>
          <w:rFonts w:asciiTheme="minorHAnsi" w:hAnsiTheme="minorHAnsi" w:cs="Arial"/>
          <w:snapToGrid w:val="0"/>
          <w:lang w:val="en-GB"/>
        </w:rPr>
        <w:t xml:space="preserve"> </w:t>
      </w:r>
      <w:r w:rsidR="00C661CF" w:rsidRPr="00D051DE">
        <w:rPr>
          <w:rFonts w:asciiTheme="minorHAnsi" w:hAnsiTheme="minorHAnsi" w:cs="Arial"/>
          <w:snapToGrid w:val="0"/>
          <w:lang w:val="en-GB"/>
        </w:rPr>
        <w:t xml:space="preserve">The PBAC requested that the Department develop amendments to </w:t>
      </w:r>
      <w:r w:rsidR="002E3C52" w:rsidRPr="00D051DE">
        <w:rPr>
          <w:rFonts w:asciiTheme="minorHAnsi" w:hAnsiTheme="minorHAnsi" w:cs="Arial"/>
          <w:snapToGrid w:val="0"/>
          <w:lang w:val="en-GB"/>
        </w:rPr>
        <w:t>aHUS restrictions: removing public hospital inpatient use</w:t>
      </w:r>
      <w:r w:rsidR="00B240DD" w:rsidRPr="00D051DE">
        <w:rPr>
          <w:rFonts w:asciiTheme="minorHAnsi" w:hAnsiTheme="minorHAnsi" w:cs="Arial"/>
          <w:snapToGrid w:val="0"/>
          <w:lang w:val="en-GB"/>
        </w:rPr>
        <w:t xml:space="preserve"> for ravulizumab</w:t>
      </w:r>
      <w:r w:rsidR="002E3C52" w:rsidRPr="00D051DE">
        <w:rPr>
          <w:rFonts w:asciiTheme="minorHAnsi" w:hAnsiTheme="minorHAnsi" w:cs="Arial"/>
          <w:snapToGrid w:val="0"/>
          <w:lang w:val="en-GB"/>
        </w:rPr>
        <w:t>; allowing non-PBS patients who would have met the PBS criteria at time of initiation</w:t>
      </w:r>
      <w:r w:rsidR="00D557BF" w:rsidRPr="00D051DE">
        <w:rPr>
          <w:rFonts w:asciiTheme="minorHAnsi" w:hAnsiTheme="minorHAnsi" w:cs="Arial"/>
          <w:snapToGrid w:val="0"/>
          <w:lang w:val="en-GB"/>
        </w:rPr>
        <w:t xml:space="preserve"> of C5 inhibitor therapy</w:t>
      </w:r>
      <w:r w:rsidR="002E3C52" w:rsidRPr="00D051DE">
        <w:rPr>
          <w:rFonts w:asciiTheme="minorHAnsi" w:hAnsiTheme="minorHAnsi" w:cs="Arial"/>
          <w:snapToGrid w:val="0"/>
          <w:lang w:val="en-GB"/>
        </w:rPr>
        <w:t xml:space="preserve"> to transition to PBS subsidised therapy</w:t>
      </w:r>
      <w:r w:rsidR="00D557BF" w:rsidRPr="00D051DE">
        <w:rPr>
          <w:rFonts w:asciiTheme="minorHAnsi" w:hAnsiTheme="minorHAnsi" w:cs="Arial"/>
          <w:snapToGrid w:val="0"/>
          <w:lang w:val="en-GB"/>
        </w:rPr>
        <w:t xml:space="preserve"> upon discharge from hospital</w:t>
      </w:r>
      <w:r w:rsidR="002E3C52" w:rsidRPr="00D051DE">
        <w:rPr>
          <w:rFonts w:asciiTheme="minorHAnsi" w:hAnsiTheme="minorHAnsi" w:cs="Arial"/>
          <w:snapToGrid w:val="0"/>
          <w:lang w:val="en-GB"/>
        </w:rPr>
        <w:t>; allowing patients who are responding to treatment to switch once between eculizumab and ravulizumab and vice versa</w:t>
      </w:r>
      <w:r w:rsidR="00C90571" w:rsidRPr="00D051DE">
        <w:rPr>
          <w:rFonts w:asciiTheme="minorHAnsi" w:hAnsiTheme="minorHAnsi" w:cs="Arial"/>
          <w:snapToGrid w:val="0"/>
          <w:lang w:val="en-GB"/>
        </w:rPr>
        <w:t xml:space="preserve"> (noting unlimited switching from ravulizumab to eculizumab would be permitted for pregnancy or breastfeeding); and </w:t>
      </w:r>
      <w:r w:rsidR="009A1E0C" w:rsidRPr="00D051DE">
        <w:rPr>
          <w:rFonts w:asciiTheme="minorHAnsi" w:hAnsiTheme="minorHAnsi" w:cs="Arial"/>
          <w:snapToGrid w:val="0"/>
          <w:lang w:val="en-GB"/>
        </w:rPr>
        <w:t>permitting one switch to</w:t>
      </w:r>
      <w:r w:rsidR="00080638" w:rsidRPr="00D051DE">
        <w:rPr>
          <w:rFonts w:asciiTheme="minorHAnsi" w:hAnsiTheme="minorHAnsi" w:cs="Arial"/>
          <w:snapToGrid w:val="0"/>
          <w:lang w:val="en-GB"/>
        </w:rPr>
        <w:t xml:space="preserve"> eculizumab </w:t>
      </w:r>
      <w:r w:rsidR="009A1E0C" w:rsidRPr="00D051DE">
        <w:rPr>
          <w:rFonts w:asciiTheme="minorHAnsi" w:hAnsiTheme="minorHAnsi" w:cs="Arial"/>
          <w:snapToGrid w:val="0"/>
          <w:lang w:val="en-GB"/>
        </w:rPr>
        <w:t>for patients who have experienced treatment failure with ravulizumab</w:t>
      </w:r>
      <w:r w:rsidR="002E3C52" w:rsidRPr="00D051DE">
        <w:rPr>
          <w:rFonts w:asciiTheme="minorHAnsi" w:hAnsiTheme="minorHAnsi" w:cs="Arial"/>
          <w:snapToGrid w:val="0"/>
          <w:lang w:val="en-GB"/>
        </w:rPr>
        <w:t>. The</w:t>
      </w:r>
      <w:r w:rsidR="002E3C52">
        <w:rPr>
          <w:rFonts w:asciiTheme="minorHAnsi" w:hAnsiTheme="minorHAnsi" w:cs="Arial"/>
          <w:snapToGrid w:val="0"/>
          <w:lang w:val="en-GB"/>
        </w:rPr>
        <w:t xml:space="preserve"> PBAC also considered that the duration of therapy available under the ravulizumab and eculizumab restrictions should be more closely aligned.</w:t>
      </w:r>
      <w:bookmarkEnd w:id="72"/>
      <w:r w:rsidR="002E3C52">
        <w:rPr>
          <w:rFonts w:asciiTheme="minorHAnsi" w:hAnsiTheme="minorHAnsi" w:cs="Arial"/>
          <w:snapToGrid w:val="0"/>
          <w:lang w:val="en-GB"/>
        </w:rPr>
        <w:t xml:space="preserve"> </w:t>
      </w:r>
      <w:r w:rsidR="005D6606">
        <w:t xml:space="preserve">The PBAC also noted the pre-PBAC response’s comments regarding the ongoing utility of ADAMTS13 testing in the diagnosis of </w:t>
      </w:r>
      <w:proofErr w:type="gramStart"/>
      <w:r w:rsidR="005D6606">
        <w:t>aHUS, and</w:t>
      </w:r>
      <w:proofErr w:type="gramEnd"/>
      <w:r w:rsidR="005D6606">
        <w:t xml:space="preserve"> agreed that this testing should be maintained in the aHUS PBS restrictions.</w:t>
      </w:r>
      <w:bookmarkEnd w:id="73"/>
    </w:p>
    <w:p w14:paraId="1DC985E3" w14:textId="1CDD5623" w:rsidR="002262A6" w:rsidRPr="002262A6" w:rsidRDefault="002262A6" w:rsidP="006219EF">
      <w:pPr>
        <w:widowControl w:val="0"/>
        <w:numPr>
          <w:ilvl w:val="1"/>
          <w:numId w:val="1"/>
        </w:numPr>
        <w:spacing w:after="120"/>
        <w:ind w:left="720"/>
      </w:pPr>
      <w:r>
        <w:t xml:space="preserve">The PBAC noted the ESC concern that patients may require a reduced interval between maintenance doses to </w:t>
      </w:r>
      <w:r w:rsidR="00080638">
        <w:t xml:space="preserve">avoid waning of treatment effect, as has been </w:t>
      </w:r>
      <w:r w:rsidR="00080638">
        <w:lastRenderedPageBreak/>
        <w:t xml:space="preserve">experienced in a small number of cases in the PNH setting where breakthrough haemolysis </w:t>
      </w:r>
      <w:r w:rsidR="00C30ED6">
        <w:t xml:space="preserve">(BTH) </w:t>
      </w:r>
      <w:r w:rsidR="00080638">
        <w:t>is a risk</w:t>
      </w:r>
      <w:r w:rsidR="004E0B59">
        <w:t xml:space="preserve"> </w:t>
      </w:r>
      <w:r w:rsidR="00080638">
        <w:t>(</w:t>
      </w:r>
      <w:r w:rsidR="00C30ED6">
        <w:t xml:space="preserve">this was provided as anecdotal evidence by PBAC and also noted in </w:t>
      </w:r>
      <w:r w:rsidR="00080638">
        <w:t xml:space="preserve">the sponsor hearing </w:t>
      </w:r>
      <w:r w:rsidR="00C30ED6">
        <w:t xml:space="preserve">that in </w:t>
      </w:r>
      <w:r w:rsidR="00080638">
        <w:t>the UK</w:t>
      </w:r>
      <w:r w:rsidR="00B76A03">
        <w:t>,</w:t>
      </w:r>
      <w:r w:rsidR="00080638">
        <w:t xml:space="preserve"> </w:t>
      </w:r>
      <w:r w:rsidR="002D7520">
        <w:t>&lt;500</w:t>
      </w:r>
      <w:r w:rsidR="00B76A03">
        <w:t xml:space="preserve"> </w:t>
      </w:r>
      <w:r w:rsidR="00080638">
        <w:t xml:space="preserve">out of </w:t>
      </w:r>
      <w:r w:rsidR="002D7520">
        <w:t>&lt;500</w:t>
      </w:r>
      <w:r w:rsidR="00080638">
        <w:t xml:space="preserve"> ravulizumab patients</w:t>
      </w:r>
      <w:r w:rsidR="00B76A03">
        <w:t xml:space="preserve"> </w:t>
      </w:r>
      <w:r w:rsidR="00080638">
        <w:t>had returned to eculizumab</w:t>
      </w:r>
      <w:r w:rsidR="00C30ED6">
        <w:t xml:space="preserve">, although these </w:t>
      </w:r>
      <w:r w:rsidR="004E0B59">
        <w:t>were</w:t>
      </w:r>
      <w:r w:rsidR="00C30ED6">
        <w:t xml:space="preserve"> not associated with BTH</w:t>
      </w:r>
      <w:r w:rsidR="00080638">
        <w:t>).</w:t>
      </w:r>
      <w:r>
        <w:t xml:space="preserve"> </w:t>
      </w:r>
      <w:r w:rsidR="00080638" w:rsidRPr="0DA23CF4">
        <w:rPr>
          <w:rFonts w:asciiTheme="minorHAnsi" w:hAnsiTheme="minorHAnsi" w:cs="Arial"/>
          <w:snapToGrid w:val="0"/>
          <w:lang w:val="en-GB"/>
        </w:rPr>
        <w:t>The PBAC considered the inclusion of a criteri</w:t>
      </w:r>
      <w:r w:rsidR="0098301F" w:rsidRPr="0DA23CF4">
        <w:rPr>
          <w:rFonts w:asciiTheme="minorHAnsi" w:hAnsiTheme="minorHAnsi" w:cs="Arial"/>
          <w:snapToGrid w:val="0"/>
          <w:lang w:val="en-GB"/>
        </w:rPr>
        <w:t>on</w:t>
      </w:r>
      <w:r w:rsidR="00080638" w:rsidRPr="0DA23CF4">
        <w:rPr>
          <w:rFonts w:asciiTheme="minorHAnsi" w:hAnsiTheme="minorHAnsi" w:cs="Arial"/>
          <w:snapToGrid w:val="0"/>
          <w:lang w:val="en-GB"/>
        </w:rPr>
        <w:t xml:space="preserve"> that prohibits use of eculizumab in patients who have experienced ‘treatment failure’ with ravulizumab may restrict patients fr</w:t>
      </w:r>
      <w:r w:rsidR="00BF446F" w:rsidRPr="0DA23CF4">
        <w:rPr>
          <w:rFonts w:asciiTheme="minorHAnsi" w:hAnsiTheme="minorHAnsi" w:cs="Arial"/>
          <w:snapToGrid w:val="0"/>
          <w:lang w:val="en-GB"/>
        </w:rPr>
        <w:t>o</w:t>
      </w:r>
      <w:r w:rsidR="00080638" w:rsidRPr="0DA23CF4">
        <w:rPr>
          <w:rFonts w:asciiTheme="minorHAnsi" w:hAnsiTheme="minorHAnsi" w:cs="Arial"/>
          <w:snapToGrid w:val="0"/>
          <w:lang w:val="en-GB"/>
        </w:rPr>
        <w:t>m appropriate treatment in such cases. Therefore</w:t>
      </w:r>
      <w:r w:rsidR="00BF446F" w:rsidRPr="0DA23CF4">
        <w:rPr>
          <w:rFonts w:asciiTheme="minorHAnsi" w:hAnsiTheme="minorHAnsi" w:cs="Arial"/>
          <w:snapToGrid w:val="0"/>
          <w:lang w:val="en-GB"/>
        </w:rPr>
        <w:t>,</w:t>
      </w:r>
      <w:r w:rsidR="00080638" w:rsidRPr="0DA23CF4">
        <w:rPr>
          <w:rFonts w:asciiTheme="minorHAnsi" w:hAnsiTheme="minorHAnsi" w:cs="Arial"/>
          <w:snapToGrid w:val="0"/>
          <w:lang w:val="en-GB"/>
        </w:rPr>
        <w:t xml:space="preserve"> PBAC suggested that to avoid repeated treatment switching, as stated above in paragraph </w:t>
      </w:r>
      <w:r w:rsidR="00080638" w:rsidRPr="0DA23CF4">
        <w:rPr>
          <w:rFonts w:asciiTheme="minorHAnsi" w:hAnsiTheme="minorHAnsi" w:cs="Arial"/>
          <w:snapToGrid w:val="0"/>
          <w:lang w:val="en-GB"/>
        </w:rPr>
        <w:fldChar w:fldCharType="begin" w:fldLock="1"/>
      </w:r>
      <w:r w:rsidR="00080638" w:rsidRPr="0DA23CF4">
        <w:rPr>
          <w:rFonts w:asciiTheme="minorHAnsi" w:hAnsiTheme="minorHAnsi" w:cs="Arial"/>
          <w:snapToGrid w:val="0"/>
          <w:lang w:val="en-GB"/>
        </w:rPr>
        <w:instrText xml:space="preserve"> REF _Ref130553419 \r \h </w:instrText>
      </w:r>
      <w:r w:rsidR="00080638" w:rsidRPr="0DA23CF4">
        <w:rPr>
          <w:rFonts w:asciiTheme="minorHAnsi" w:hAnsiTheme="minorHAnsi" w:cs="Arial"/>
          <w:snapToGrid w:val="0"/>
          <w:lang w:val="en-GB"/>
        </w:rPr>
      </w:r>
      <w:r w:rsidR="00080638" w:rsidRPr="0DA23CF4">
        <w:rPr>
          <w:rFonts w:asciiTheme="minorHAnsi" w:hAnsiTheme="minorHAnsi" w:cs="Arial"/>
          <w:snapToGrid w:val="0"/>
          <w:lang w:val="en-GB"/>
        </w:rPr>
        <w:fldChar w:fldCharType="separate"/>
      </w:r>
      <w:r w:rsidR="00916EDA">
        <w:rPr>
          <w:rFonts w:asciiTheme="minorHAnsi" w:hAnsiTheme="minorHAnsi" w:cs="Arial"/>
          <w:snapToGrid w:val="0"/>
          <w:lang w:val="en-GB"/>
        </w:rPr>
        <w:t>7.2</w:t>
      </w:r>
      <w:r w:rsidR="00080638" w:rsidRPr="0DA23CF4">
        <w:rPr>
          <w:rFonts w:asciiTheme="minorHAnsi" w:hAnsiTheme="minorHAnsi" w:cs="Arial"/>
          <w:snapToGrid w:val="0"/>
          <w:lang w:val="en-GB"/>
        </w:rPr>
        <w:fldChar w:fldCharType="end"/>
      </w:r>
      <w:r w:rsidR="00080638" w:rsidRPr="0DA23CF4">
        <w:rPr>
          <w:rFonts w:asciiTheme="minorHAnsi" w:hAnsiTheme="minorHAnsi" w:cs="Arial"/>
          <w:snapToGrid w:val="0"/>
          <w:lang w:val="en-GB"/>
        </w:rPr>
        <w:t xml:space="preserve">, </w:t>
      </w:r>
      <w:r w:rsidR="00C30ED6" w:rsidRPr="0DA23CF4">
        <w:rPr>
          <w:rFonts w:asciiTheme="minorHAnsi" w:hAnsiTheme="minorHAnsi" w:cs="Arial"/>
          <w:snapToGrid w:val="0"/>
          <w:lang w:val="en-GB"/>
        </w:rPr>
        <w:t xml:space="preserve">that </w:t>
      </w:r>
      <w:r w:rsidR="00080638" w:rsidRPr="0DA23CF4">
        <w:rPr>
          <w:rFonts w:asciiTheme="minorHAnsi" w:hAnsiTheme="minorHAnsi" w:cs="Arial"/>
          <w:snapToGrid w:val="0"/>
          <w:lang w:val="en-GB"/>
        </w:rPr>
        <w:t>pat</w:t>
      </w:r>
      <w:r w:rsidR="00C30ED6" w:rsidRPr="0DA23CF4">
        <w:rPr>
          <w:rFonts w:asciiTheme="minorHAnsi" w:hAnsiTheme="minorHAnsi" w:cs="Arial"/>
          <w:snapToGrid w:val="0"/>
          <w:lang w:val="en-GB"/>
        </w:rPr>
        <w:t>i</w:t>
      </w:r>
      <w:r w:rsidR="00080638" w:rsidRPr="0DA23CF4">
        <w:rPr>
          <w:rFonts w:asciiTheme="minorHAnsi" w:hAnsiTheme="minorHAnsi" w:cs="Arial"/>
          <w:snapToGrid w:val="0"/>
          <w:lang w:val="en-GB"/>
        </w:rPr>
        <w:t xml:space="preserve">ents be offered </w:t>
      </w:r>
      <w:r w:rsidR="00BF446F" w:rsidRPr="0DA23CF4">
        <w:rPr>
          <w:rFonts w:asciiTheme="minorHAnsi" w:hAnsiTheme="minorHAnsi" w:cs="Arial"/>
          <w:snapToGrid w:val="0"/>
          <w:lang w:val="en-GB"/>
        </w:rPr>
        <w:t>one</w:t>
      </w:r>
      <w:r w:rsidR="00080638" w:rsidRPr="0DA23CF4">
        <w:rPr>
          <w:rFonts w:asciiTheme="minorHAnsi" w:hAnsiTheme="minorHAnsi" w:cs="Arial"/>
          <w:snapToGrid w:val="0"/>
          <w:lang w:val="en-GB"/>
        </w:rPr>
        <w:t xml:space="preserve"> opportunity to switch </w:t>
      </w:r>
      <w:r w:rsidR="00BF446F" w:rsidRPr="0DA23CF4">
        <w:rPr>
          <w:rFonts w:asciiTheme="minorHAnsi" w:hAnsiTheme="minorHAnsi" w:cs="Arial"/>
          <w:snapToGrid w:val="0"/>
          <w:lang w:val="en-GB"/>
        </w:rPr>
        <w:t>from ravulizum</w:t>
      </w:r>
      <w:r w:rsidR="00B76A03" w:rsidRPr="0DA23CF4">
        <w:rPr>
          <w:rFonts w:asciiTheme="minorHAnsi" w:hAnsiTheme="minorHAnsi" w:cs="Arial"/>
          <w:snapToGrid w:val="0"/>
          <w:lang w:val="en-GB"/>
        </w:rPr>
        <w:t>a</w:t>
      </w:r>
      <w:r w:rsidR="00BF446F" w:rsidRPr="0DA23CF4">
        <w:rPr>
          <w:rFonts w:asciiTheme="minorHAnsi" w:hAnsiTheme="minorHAnsi" w:cs="Arial"/>
          <w:snapToGrid w:val="0"/>
          <w:lang w:val="en-GB"/>
        </w:rPr>
        <w:t>b to eculizumab if they experience ‘treatment failure’ with ravulizumab.</w:t>
      </w:r>
    </w:p>
    <w:p w14:paraId="6BD6B278" w14:textId="639534E3" w:rsidR="00C22048" w:rsidRPr="00594CCF" w:rsidRDefault="008C0F54" w:rsidP="006219EF">
      <w:pPr>
        <w:widowControl w:val="0"/>
        <w:numPr>
          <w:ilvl w:val="1"/>
          <w:numId w:val="1"/>
        </w:numPr>
        <w:spacing w:after="120"/>
        <w:ind w:left="720"/>
      </w:pPr>
      <w:r>
        <w:rPr>
          <w:rFonts w:asciiTheme="minorHAnsi" w:hAnsiTheme="minorHAnsi" w:cs="Arial"/>
          <w:snapToGrid w:val="0"/>
          <w:lang w:val="en-GB"/>
        </w:rPr>
        <w:t xml:space="preserve">The PBAC noted the Expert Reference Group is currently available to </w:t>
      </w:r>
      <w:r w:rsidRPr="0098301F">
        <w:rPr>
          <w:rFonts w:asciiTheme="minorHAnsi" w:hAnsiTheme="minorHAnsi" w:cs="Arial"/>
          <w:snapToGrid w:val="0"/>
          <w:lang w:val="en-GB"/>
        </w:rPr>
        <w:t xml:space="preserve">review </w:t>
      </w:r>
      <w:r>
        <w:rPr>
          <w:rFonts w:asciiTheme="minorHAnsi" w:hAnsiTheme="minorHAnsi" w:cs="Arial"/>
          <w:snapToGrid w:val="0"/>
          <w:lang w:val="en-GB"/>
        </w:rPr>
        <w:t xml:space="preserve">certain </w:t>
      </w:r>
      <w:r w:rsidRPr="0098301F">
        <w:rPr>
          <w:rFonts w:asciiTheme="minorHAnsi" w:hAnsiTheme="minorHAnsi" w:cs="Arial"/>
          <w:snapToGrid w:val="0"/>
          <w:lang w:val="en-GB"/>
        </w:rPr>
        <w:t>applications for</w:t>
      </w:r>
      <w:r>
        <w:rPr>
          <w:rFonts w:asciiTheme="minorHAnsi" w:hAnsiTheme="minorHAnsi" w:cs="Arial"/>
          <w:snapToGrid w:val="0"/>
          <w:lang w:val="en-GB"/>
        </w:rPr>
        <w:t xml:space="preserve"> access to PBS-subsidised eculizumab for aHUS. </w:t>
      </w:r>
      <w:r w:rsidR="00B13E7E">
        <w:rPr>
          <w:rFonts w:asciiTheme="minorHAnsi" w:hAnsiTheme="minorHAnsi" w:cs="Arial"/>
          <w:snapToGrid w:val="0"/>
          <w:lang w:val="en-GB"/>
        </w:rPr>
        <w:t xml:space="preserve">The PBAC advised the Expert Reference Group should be consulted on the revised aHUS restrictions. </w:t>
      </w:r>
      <w:r w:rsidR="00C22048">
        <w:rPr>
          <w:rFonts w:asciiTheme="minorHAnsi" w:hAnsiTheme="minorHAnsi" w:cs="Arial"/>
          <w:snapToGrid w:val="0"/>
          <w:lang w:val="en-GB"/>
        </w:rPr>
        <w:t xml:space="preserve">The PBAC </w:t>
      </w:r>
      <w:r w:rsidR="00594CCF">
        <w:rPr>
          <w:rFonts w:asciiTheme="minorHAnsi" w:hAnsiTheme="minorHAnsi" w:cs="Arial"/>
          <w:snapToGrid w:val="0"/>
          <w:lang w:val="en-GB"/>
        </w:rPr>
        <w:t xml:space="preserve">requested the Department </w:t>
      </w:r>
      <w:r w:rsidR="00B13E7E">
        <w:rPr>
          <w:rFonts w:asciiTheme="minorHAnsi" w:hAnsiTheme="minorHAnsi" w:cs="Arial"/>
          <w:snapToGrid w:val="0"/>
          <w:lang w:val="en-GB"/>
        </w:rPr>
        <w:t xml:space="preserve">then </w:t>
      </w:r>
      <w:r w:rsidR="00594CCF">
        <w:rPr>
          <w:rFonts w:asciiTheme="minorHAnsi" w:hAnsiTheme="minorHAnsi" w:cs="Arial"/>
          <w:snapToGrid w:val="0"/>
          <w:lang w:val="en-GB"/>
        </w:rPr>
        <w:t xml:space="preserve">reconsider the </w:t>
      </w:r>
      <w:r w:rsidR="00C22048">
        <w:rPr>
          <w:rFonts w:asciiTheme="minorHAnsi" w:hAnsiTheme="minorHAnsi" w:cs="Arial"/>
          <w:snapToGrid w:val="0"/>
          <w:lang w:val="en-GB"/>
        </w:rPr>
        <w:t xml:space="preserve">ongoing </w:t>
      </w:r>
      <w:r w:rsidR="0098301F" w:rsidRPr="005923E5">
        <w:rPr>
          <w:rFonts w:asciiTheme="minorHAnsi" w:hAnsiTheme="minorHAnsi" w:cs="Arial"/>
          <w:snapToGrid w:val="0"/>
          <w:lang w:val="en-GB"/>
        </w:rPr>
        <w:t xml:space="preserve">need for </w:t>
      </w:r>
      <w:r w:rsidR="00B13E7E" w:rsidRPr="005923E5">
        <w:rPr>
          <w:rFonts w:asciiTheme="minorHAnsi" w:hAnsiTheme="minorHAnsi" w:cs="Arial"/>
          <w:snapToGrid w:val="0"/>
          <w:lang w:val="en-GB"/>
        </w:rPr>
        <w:t>the Expert Reference Group. The</w:t>
      </w:r>
      <w:r w:rsidR="00F8612C" w:rsidRPr="005923E5">
        <w:rPr>
          <w:rFonts w:asciiTheme="minorHAnsi" w:hAnsiTheme="minorHAnsi" w:cs="Arial"/>
          <w:snapToGrid w:val="0"/>
          <w:lang w:val="en-GB"/>
        </w:rPr>
        <w:t xml:space="preserve"> PBAC proposed that b</w:t>
      </w:r>
      <w:r w:rsidR="00594CCF" w:rsidRPr="005923E5">
        <w:rPr>
          <w:rFonts w:asciiTheme="minorHAnsi" w:hAnsiTheme="minorHAnsi" w:cs="Arial"/>
          <w:snapToGrid w:val="0"/>
          <w:lang w:val="en-GB"/>
        </w:rPr>
        <w:t xml:space="preserve">y implementing </w:t>
      </w:r>
      <w:proofErr w:type="gramStart"/>
      <w:r w:rsidR="00594CCF" w:rsidRPr="005923E5">
        <w:rPr>
          <w:rFonts w:asciiTheme="minorHAnsi" w:hAnsiTheme="minorHAnsi" w:cs="Arial"/>
          <w:snapToGrid w:val="0"/>
          <w:lang w:val="en-GB"/>
        </w:rPr>
        <w:t>a</w:t>
      </w:r>
      <w:proofErr w:type="gramEnd"/>
      <w:r w:rsidR="00594CCF" w:rsidRPr="005923E5">
        <w:rPr>
          <w:rFonts w:asciiTheme="minorHAnsi" w:hAnsiTheme="minorHAnsi" w:cs="Arial"/>
          <w:snapToGrid w:val="0"/>
          <w:lang w:val="en-GB"/>
        </w:rPr>
        <w:t xml:space="preserve"> RSA with a 100% re</w:t>
      </w:r>
      <w:r w:rsidR="00594CCF">
        <w:rPr>
          <w:rFonts w:asciiTheme="minorHAnsi" w:hAnsiTheme="minorHAnsi" w:cs="Arial"/>
          <w:snapToGrid w:val="0"/>
          <w:lang w:val="en-GB"/>
        </w:rPr>
        <w:t xml:space="preserve">bate over </w:t>
      </w:r>
      <w:r w:rsidR="00F8612C">
        <w:rPr>
          <w:rFonts w:asciiTheme="minorHAnsi" w:hAnsiTheme="minorHAnsi" w:cs="Arial"/>
          <w:snapToGrid w:val="0"/>
          <w:lang w:val="en-GB"/>
        </w:rPr>
        <w:t xml:space="preserve">an appropriate annual </w:t>
      </w:r>
      <w:r w:rsidR="00594CCF">
        <w:rPr>
          <w:rFonts w:asciiTheme="minorHAnsi" w:hAnsiTheme="minorHAnsi" w:cs="Arial"/>
          <w:snapToGrid w:val="0"/>
          <w:lang w:val="en-GB"/>
        </w:rPr>
        <w:t xml:space="preserve">cap, the risk to the Australian Government of inappropriate </w:t>
      </w:r>
      <w:r w:rsidR="00F8612C">
        <w:rPr>
          <w:rFonts w:asciiTheme="minorHAnsi" w:hAnsiTheme="minorHAnsi" w:cs="Arial"/>
          <w:snapToGrid w:val="0"/>
          <w:lang w:val="en-GB"/>
        </w:rPr>
        <w:t xml:space="preserve">use </w:t>
      </w:r>
      <w:r w:rsidR="00594CCF">
        <w:rPr>
          <w:rFonts w:asciiTheme="minorHAnsi" w:hAnsiTheme="minorHAnsi" w:cs="Arial"/>
          <w:snapToGrid w:val="0"/>
          <w:lang w:val="en-GB"/>
        </w:rPr>
        <w:t xml:space="preserve">would largely be </w:t>
      </w:r>
      <w:r w:rsidR="0098301F">
        <w:rPr>
          <w:rFonts w:asciiTheme="minorHAnsi" w:hAnsiTheme="minorHAnsi" w:cs="Arial"/>
          <w:snapToGrid w:val="0"/>
          <w:lang w:val="en-GB"/>
        </w:rPr>
        <w:t xml:space="preserve">mitigated </w:t>
      </w:r>
      <w:r w:rsidR="00594CCF">
        <w:rPr>
          <w:rFonts w:asciiTheme="minorHAnsi" w:hAnsiTheme="minorHAnsi" w:cs="Arial"/>
          <w:snapToGrid w:val="0"/>
          <w:lang w:val="en-GB"/>
        </w:rPr>
        <w:t xml:space="preserve">and it may no longer be necessary </w:t>
      </w:r>
      <w:r w:rsidR="00F8612C">
        <w:rPr>
          <w:rFonts w:asciiTheme="minorHAnsi" w:hAnsiTheme="minorHAnsi" w:cs="Arial"/>
          <w:snapToGrid w:val="0"/>
          <w:lang w:val="en-GB"/>
        </w:rPr>
        <w:t>retain the services of the Expert Reference Group.</w:t>
      </w:r>
      <w:r w:rsidR="00594CCF">
        <w:rPr>
          <w:rFonts w:asciiTheme="minorHAnsi" w:hAnsiTheme="minorHAnsi" w:cs="Arial"/>
          <w:snapToGrid w:val="0"/>
          <w:lang w:val="en-GB"/>
        </w:rPr>
        <w:t xml:space="preserve"> </w:t>
      </w:r>
    </w:p>
    <w:p w14:paraId="49C3C438" w14:textId="40D20C2A" w:rsidR="00594CCF" w:rsidRPr="00434B37" w:rsidRDefault="00F8612C" w:rsidP="00DB4077">
      <w:pPr>
        <w:widowControl w:val="0"/>
        <w:numPr>
          <w:ilvl w:val="1"/>
          <w:numId w:val="1"/>
        </w:numPr>
        <w:spacing w:after="120"/>
        <w:ind w:left="720"/>
      </w:pPr>
      <w:r>
        <w:t>The PBAC noted that</w:t>
      </w:r>
      <w:r w:rsidR="00594CCF" w:rsidRPr="00594CCF">
        <w:t xml:space="preserve"> a grandfathering restriction was requested, however this was not provided by the sponsor. It </w:t>
      </w:r>
      <w:r>
        <w:t>wa</w:t>
      </w:r>
      <w:r w:rsidR="00594CCF" w:rsidRPr="00594CCF">
        <w:t>s unclear how far through therapy patients would be when switching from non-PBS supply to PBS supply</w:t>
      </w:r>
      <w:r>
        <w:t xml:space="preserve"> and consideration of the necessary criteria for this restriction </w:t>
      </w:r>
      <w:r w:rsidR="007375DE">
        <w:t>wa</w:t>
      </w:r>
      <w:r>
        <w:t>s required</w:t>
      </w:r>
      <w:r w:rsidR="00594CCF" w:rsidRPr="00594CCF">
        <w:t>.</w:t>
      </w:r>
    </w:p>
    <w:bookmarkEnd w:id="71"/>
    <w:p w14:paraId="74ADBBEF" w14:textId="244018D6" w:rsidR="00B854A8" w:rsidRDefault="00B854A8" w:rsidP="009D6BFD">
      <w:pPr>
        <w:widowControl w:val="0"/>
        <w:numPr>
          <w:ilvl w:val="1"/>
          <w:numId w:val="1"/>
        </w:numPr>
        <w:spacing w:after="120"/>
        <w:ind w:left="720"/>
        <w:rPr>
          <w:rFonts w:asciiTheme="minorHAnsi" w:hAnsiTheme="minorHAnsi" w:cs="Arial"/>
          <w:snapToGrid w:val="0"/>
          <w:color w:val="548DD4" w:themeColor="text2" w:themeTint="99"/>
          <w:lang w:val="en-GB"/>
        </w:rPr>
      </w:pPr>
      <w:r>
        <w:rPr>
          <w:rFonts w:asciiTheme="minorHAnsi" w:hAnsiTheme="minorHAnsi" w:cs="Arial"/>
          <w:snapToGrid w:val="0"/>
          <w:lang w:val="en-GB"/>
        </w:rPr>
        <w:t xml:space="preserve">The PBAC acknowledged the consumer comments, which highlighted </w:t>
      </w:r>
      <w:r w:rsidR="00032900">
        <w:rPr>
          <w:rFonts w:asciiTheme="minorHAnsi" w:hAnsiTheme="minorHAnsi" w:cs="Arial"/>
          <w:snapToGrid w:val="0"/>
          <w:lang w:val="en-GB"/>
        </w:rPr>
        <w:t xml:space="preserve">expected </w:t>
      </w:r>
      <w:r>
        <w:rPr>
          <w:rFonts w:asciiTheme="minorHAnsi" w:hAnsiTheme="minorHAnsi" w:cs="Arial"/>
          <w:snapToGrid w:val="0"/>
          <w:lang w:val="en-GB"/>
        </w:rPr>
        <w:t>quality of life benefits associated with the extended treatment duration of ravulizumab</w:t>
      </w:r>
      <w:r w:rsidR="00032900">
        <w:rPr>
          <w:rFonts w:asciiTheme="minorHAnsi" w:hAnsiTheme="minorHAnsi" w:cs="Arial"/>
          <w:snapToGrid w:val="0"/>
          <w:lang w:val="en-GB"/>
        </w:rPr>
        <w:t xml:space="preserve"> compared with eculizumab. The PBAC noted that this aligned with the submission’s assumption that most patients who are now on long-term treatment with eculizumab will switch to ravulizumab because of a preference for a </w:t>
      </w:r>
      <w:r w:rsidR="005D7B19">
        <w:rPr>
          <w:rFonts w:asciiTheme="minorHAnsi" w:hAnsiTheme="minorHAnsi" w:cs="Arial"/>
          <w:snapToGrid w:val="0"/>
          <w:lang w:val="en-GB"/>
        </w:rPr>
        <w:t xml:space="preserve">longer </w:t>
      </w:r>
      <w:r w:rsidR="00032900">
        <w:rPr>
          <w:rFonts w:asciiTheme="minorHAnsi" w:hAnsiTheme="minorHAnsi" w:cs="Arial"/>
          <w:snapToGrid w:val="0"/>
          <w:lang w:val="en-GB"/>
        </w:rPr>
        <w:t xml:space="preserve">dosing interval. </w:t>
      </w:r>
    </w:p>
    <w:p w14:paraId="35856A5D" w14:textId="19AEA88D" w:rsidR="009D6BFD" w:rsidRDefault="00032900" w:rsidP="009D6BFD">
      <w:pPr>
        <w:widowControl w:val="0"/>
        <w:numPr>
          <w:ilvl w:val="1"/>
          <w:numId w:val="1"/>
        </w:numPr>
        <w:spacing w:after="120"/>
        <w:ind w:left="720"/>
        <w:rPr>
          <w:rFonts w:asciiTheme="minorHAnsi" w:hAnsiTheme="minorHAnsi" w:cs="Arial"/>
          <w:snapToGrid w:val="0"/>
          <w:lang w:val="en-GB"/>
        </w:rPr>
      </w:pPr>
      <w:r w:rsidRPr="00FC2B74">
        <w:rPr>
          <w:rFonts w:asciiTheme="minorHAnsi" w:hAnsiTheme="minorHAnsi" w:cs="Arial"/>
          <w:snapToGrid w:val="0"/>
          <w:lang w:val="en-GB"/>
        </w:rPr>
        <w:t>The PBAC accepted</w:t>
      </w:r>
      <w:r w:rsidRPr="00032900">
        <w:rPr>
          <w:rFonts w:asciiTheme="minorHAnsi" w:hAnsiTheme="minorHAnsi" w:cs="Arial"/>
          <w:snapToGrid w:val="0"/>
          <w:lang w:val="en-GB"/>
        </w:rPr>
        <w:t xml:space="preserve"> that eculizumab was the appropriate comparator, as </w:t>
      </w:r>
      <w:r w:rsidR="00FC2B74">
        <w:rPr>
          <w:rFonts w:asciiTheme="minorHAnsi" w:hAnsiTheme="minorHAnsi" w:cs="Arial"/>
          <w:snapToGrid w:val="0"/>
          <w:lang w:val="en-GB"/>
        </w:rPr>
        <w:t xml:space="preserve">ravulizumab </w:t>
      </w:r>
      <w:r w:rsidR="00FC2B74" w:rsidRPr="0404D8CE">
        <w:rPr>
          <w:lang w:val="en-US"/>
        </w:rPr>
        <w:t>was designed by re-engineering the eculizumab</w:t>
      </w:r>
      <w:r w:rsidR="00FC2B74">
        <w:rPr>
          <w:lang w:val="en-US"/>
        </w:rPr>
        <w:t xml:space="preserve"> </w:t>
      </w:r>
      <w:r w:rsidR="00FC2B74" w:rsidRPr="0404D8CE">
        <w:rPr>
          <w:lang w:val="en-US"/>
        </w:rPr>
        <w:t>molecule to approximately quadruple the half-life of the drug</w:t>
      </w:r>
      <w:r w:rsidR="00FC2B74" w:rsidRPr="003A48D2">
        <w:t>, and accordingly exhibits identical mechanisms of action</w:t>
      </w:r>
      <w:r w:rsidR="00FC2B74">
        <w:rPr>
          <w:rFonts w:asciiTheme="minorHAnsi" w:hAnsiTheme="minorHAnsi" w:cs="Arial"/>
          <w:snapToGrid w:val="0"/>
          <w:lang w:val="en-GB"/>
        </w:rPr>
        <w:t xml:space="preserve"> but with an </w:t>
      </w:r>
      <w:r w:rsidR="00FC2B74" w:rsidRPr="0404D8CE">
        <w:rPr>
          <w:lang w:val="en-US"/>
        </w:rPr>
        <w:t>extended dosing interval</w:t>
      </w:r>
      <w:r w:rsidR="00FC2B74">
        <w:rPr>
          <w:lang w:val="en-US"/>
        </w:rPr>
        <w:t xml:space="preserve">. Eculizumab is </w:t>
      </w:r>
      <w:r w:rsidRPr="00032900">
        <w:rPr>
          <w:rFonts w:asciiTheme="minorHAnsi" w:hAnsiTheme="minorHAnsi" w:cs="Arial"/>
          <w:snapToGrid w:val="0"/>
          <w:lang w:val="en-GB"/>
        </w:rPr>
        <w:t>the only therapy specifically available on the PBS for aHUS.</w:t>
      </w:r>
    </w:p>
    <w:p w14:paraId="1C2CFBC5" w14:textId="4E7D98F7" w:rsidR="00032900" w:rsidRPr="00032900" w:rsidRDefault="00032900" w:rsidP="009D6BFD">
      <w:pPr>
        <w:widowControl w:val="0"/>
        <w:numPr>
          <w:ilvl w:val="1"/>
          <w:numId w:val="1"/>
        </w:numPr>
        <w:spacing w:after="120"/>
        <w:ind w:left="720"/>
        <w:rPr>
          <w:rFonts w:asciiTheme="minorHAnsi" w:hAnsiTheme="minorHAnsi" w:cs="Arial"/>
          <w:snapToGrid w:val="0"/>
          <w:lang w:val="en-GB"/>
        </w:rPr>
      </w:pPr>
      <w:r>
        <w:rPr>
          <w:rFonts w:asciiTheme="minorHAnsi" w:hAnsiTheme="minorHAnsi" w:cs="Arial"/>
          <w:snapToGrid w:val="0"/>
          <w:lang w:val="en-GB"/>
        </w:rPr>
        <w:t>The PBAC recognised that the clinical evidence presented to support the claim of noninferiority was subject to serious limitations</w:t>
      </w:r>
      <w:r w:rsidR="000B2212">
        <w:rPr>
          <w:rFonts w:asciiTheme="minorHAnsi" w:hAnsiTheme="minorHAnsi" w:cs="Arial"/>
          <w:snapToGrid w:val="0"/>
          <w:lang w:val="en-GB"/>
        </w:rPr>
        <w:t xml:space="preserve">, as it was based on </w:t>
      </w:r>
      <w:r>
        <w:rPr>
          <w:rFonts w:asciiTheme="minorHAnsi" w:hAnsiTheme="minorHAnsi" w:cs="Arial"/>
          <w:snapToGrid w:val="0"/>
          <w:lang w:val="en-GB"/>
        </w:rPr>
        <w:t>single arm studies</w:t>
      </w:r>
      <w:r w:rsidR="000B2212">
        <w:rPr>
          <w:rFonts w:asciiTheme="minorHAnsi" w:hAnsiTheme="minorHAnsi" w:cs="Arial"/>
          <w:snapToGrid w:val="0"/>
          <w:lang w:val="en-GB"/>
        </w:rPr>
        <w:t xml:space="preserve"> and weak </w:t>
      </w:r>
      <w:r>
        <w:rPr>
          <w:rFonts w:asciiTheme="minorHAnsi" w:hAnsiTheme="minorHAnsi" w:cs="Arial"/>
          <w:snapToGrid w:val="0"/>
          <w:lang w:val="en-GB"/>
        </w:rPr>
        <w:t>indirect treatment comparisons</w:t>
      </w:r>
      <w:r w:rsidR="0012360F">
        <w:rPr>
          <w:rFonts w:asciiTheme="minorHAnsi" w:hAnsiTheme="minorHAnsi" w:cs="Arial"/>
          <w:snapToGrid w:val="0"/>
          <w:lang w:val="en-GB"/>
        </w:rPr>
        <w:t xml:space="preserve"> (ITCs). The PBAC also considered that the original uncertainties associated with the size of the benefit of eculizumab compounded the uncertainty of the ITCs.</w:t>
      </w:r>
      <w:r w:rsidR="000B2212">
        <w:rPr>
          <w:rFonts w:asciiTheme="minorHAnsi" w:hAnsiTheme="minorHAnsi" w:cs="Arial"/>
          <w:snapToGrid w:val="0"/>
          <w:lang w:val="en-GB"/>
        </w:rPr>
        <w:t xml:space="preserve"> </w:t>
      </w:r>
      <w:r w:rsidR="0012360F">
        <w:rPr>
          <w:rFonts w:asciiTheme="minorHAnsi" w:hAnsiTheme="minorHAnsi" w:cs="Arial"/>
          <w:snapToGrid w:val="0"/>
          <w:lang w:val="en-GB"/>
        </w:rPr>
        <w:t>Nonetheless</w:t>
      </w:r>
      <w:r w:rsidR="000B2212">
        <w:rPr>
          <w:rFonts w:asciiTheme="minorHAnsi" w:hAnsiTheme="minorHAnsi" w:cs="Arial"/>
          <w:snapToGrid w:val="0"/>
          <w:lang w:val="en-GB"/>
        </w:rPr>
        <w:t xml:space="preserve">, the PBAC acknowledged that head-to-head trials were unlikely to be feasible for this rare condition. </w:t>
      </w:r>
    </w:p>
    <w:p w14:paraId="3A9C0930" w14:textId="2C14329C" w:rsidR="00490E74" w:rsidRPr="00490E74" w:rsidRDefault="00490E74" w:rsidP="00B306AF">
      <w:pPr>
        <w:pStyle w:val="3-BodyText"/>
        <w:rPr>
          <w:lang w:val="en-GB" w:eastAsia="en-GB"/>
        </w:rPr>
      </w:pPr>
      <w:r>
        <w:rPr>
          <w:lang w:val="en-GB"/>
        </w:rPr>
        <w:t>The PBAC considered that the claim of noninferior comparative effectiveness</w:t>
      </w:r>
      <w:r w:rsidR="006337DA">
        <w:rPr>
          <w:lang w:val="en-GB"/>
        </w:rPr>
        <w:t xml:space="preserve"> in terms of </w:t>
      </w:r>
      <w:r w:rsidR="008F43A2">
        <w:rPr>
          <w:lang w:val="en-GB"/>
        </w:rPr>
        <w:t xml:space="preserve">complete TMA response, </w:t>
      </w:r>
      <w:r w:rsidR="006337DA">
        <w:rPr>
          <w:lang w:val="en-GB"/>
        </w:rPr>
        <w:t>normalisation of platelet count and LDH improvement in renal function</w:t>
      </w:r>
      <w:r>
        <w:rPr>
          <w:lang w:val="en-GB"/>
        </w:rPr>
        <w:t xml:space="preserve"> was uncertain, but reasonable based on biological plausibility and </w:t>
      </w:r>
      <w:r w:rsidRPr="00490E74">
        <w:rPr>
          <w:lang w:val="en-GB" w:eastAsia="en-GB"/>
        </w:rPr>
        <w:t xml:space="preserve">the </w:t>
      </w:r>
      <w:r w:rsidRPr="00490E74">
        <w:rPr>
          <w:lang w:val="en-GB" w:eastAsia="en-GB"/>
        </w:rPr>
        <w:lastRenderedPageBreak/>
        <w:t>limited data available in the context of a rare and life-threatening disease.</w:t>
      </w:r>
      <w:r w:rsidR="007A39F6">
        <w:rPr>
          <w:lang w:val="en-GB" w:eastAsia="en-GB"/>
        </w:rPr>
        <w:t xml:space="preserve"> Similarly, the PBAC considered that the claim of noninferior comparative safety was uncertain but reasonable. </w:t>
      </w:r>
    </w:p>
    <w:p w14:paraId="2B5D0315" w14:textId="78107525" w:rsidR="00C36C32" w:rsidRPr="00D051DE" w:rsidRDefault="004C25A3" w:rsidP="009D6BFD">
      <w:pPr>
        <w:widowControl w:val="0"/>
        <w:numPr>
          <w:ilvl w:val="1"/>
          <w:numId w:val="1"/>
        </w:numPr>
        <w:spacing w:after="120"/>
        <w:ind w:left="720"/>
        <w:rPr>
          <w:rFonts w:asciiTheme="minorHAnsi" w:hAnsiTheme="minorHAnsi" w:cs="Arial"/>
          <w:snapToGrid w:val="0"/>
          <w:color w:val="548DD4" w:themeColor="text2" w:themeTint="99"/>
          <w:lang w:val="en-GB"/>
        </w:rPr>
      </w:pPr>
      <w:r>
        <w:rPr>
          <w:rFonts w:asciiTheme="minorHAnsi" w:hAnsiTheme="minorHAnsi" w:cs="Arial"/>
          <w:snapToGrid w:val="0"/>
          <w:lang w:val="en-GB"/>
        </w:rPr>
        <w:t xml:space="preserve">The PBAC considered that the submission’s </w:t>
      </w:r>
      <w:r w:rsidR="00325FCC">
        <w:rPr>
          <w:rFonts w:asciiTheme="minorHAnsi" w:hAnsiTheme="minorHAnsi" w:cs="Arial"/>
          <w:snapToGrid w:val="0"/>
          <w:lang w:val="en-GB"/>
        </w:rPr>
        <w:t>CMA</w:t>
      </w:r>
      <w:r>
        <w:rPr>
          <w:rFonts w:asciiTheme="minorHAnsi" w:hAnsiTheme="minorHAnsi" w:cs="Arial"/>
          <w:snapToGrid w:val="0"/>
          <w:lang w:val="en-GB"/>
        </w:rPr>
        <w:t xml:space="preserve"> was subject to </w:t>
      </w:r>
      <w:r w:rsidR="009863AE">
        <w:rPr>
          <w:rFonts w:asciiTheme="minorHAnsi" w:hAnsiTheme="minorHAnsi" w:cs="Arial"/>
          <w:snapToGrid w:val="0"/>
          <w:lang w:val="en-GB"/>
        </w:rPr>
        <w:t>substantial</w:t>
      </w:r>
      <w:r>
        <w:rPr>
          <w:rFonts w:asciiTheme="minorHAnsi" w:hAnsiTheme="minorHAnsi" w:cs="Arial"/>
          <w:snapToGrid w:val="0"/>
          <w:lang w:val="en-GB"/>
        </w:rPr>
        <w:t xml:space="preserve"> uncertainties arising from the unknown </w:t>
      </w:r>
      <w:r w:rsidR="006337DA">
        <w:rPr>
          <w:rFonts w:asciiTheme="minorHAnsi" w:hAnsiTheme="minorHAnsi" w:cs="Arial"/>
          <w:snapToGrid w:val="0"/>
          <w:lang w:val="en-GB"/>
        </w:rPr>
        <w:t xml:space="preserve">trial-based </w:t>
      </w:r>
      <w:r>
        <w:rPr>
          <w:rFonts w:asciiTheme="minorHAnsi" w:hAnsiTheme="minorHAnsi" w:cs="Arial"/>
          <w:snapToGrid w:val="0"/>
          <w:lang w:val="en-GB"/>
        </w:rPr>
        <w:t xml:space="preserve">equi-effective doses, the unknown weight of patients in clinical practice, and the unknown number of vials </w:t>
      </w:r>
      <w:r w:rsidR="006337DA">
        <w:rPr>
          <w:rFonts w:asciiTheme="minorHAnsi" w:hAnsiTheme="minorHAnsi" w:cs="Arial"/>
          <w:snapToGrid w:val="0"/>
          <w:lang w:val="en-GB"/>
        </w:rPr>
        <w:t xml:space="preserve">that will be </w:t>
      </w:r>
      <w:r>
        <w:rPr>
          <w:rFonts w:asciiTheme="minorHAnsi" w:hAnsiTheme="minorHAnsi" w:cs="Arial"/>
          <w:snapToGrid w:val="0"/>
          <w:lang w:val="en-GB"/>
        </w:rPr>
        <w:t xml:space="preserve">administered per dose in practice. </w:t>
      </w:r>
      <w:r w:rsidR="00325FCC">
        <w:rPr>
          <w:rFonts w:asciiTheme="minorHAnsi" w:hAnsiTheme="minorHAnsi" w:cs="Arial"/>
          <w:snapToGrid w:val="0"/>
          <w:lang w:val="en-GB"/>
        </w:rPr>
        <w:t xml:space="preserve">The PBAC noted that the Australian Government should </w:t>
      </w:r>
      <w:r w:rsidR="00325FCC" w:rsidRPr="00325FCC">
        <w:rPr>
          <w:rFonts w:asciiTheme="minorHAnsi" w:hAnsiTheme="minorHAnsi" w:cs="Arial"/>
          <w:snapToGrid w:val="0"/>
          <w:lang w:val="en-GB"/>
        </w:rPr>
        <w:t xml:space="preserve">not bear the financial risk of </w:t>
      </w:r>
      <w:r w:rsidR="00325FCC">
        <w:rPr>
          <w:rFonts w:asciiTheme="minorHAnsi" w:hAnsiTheme="minorHAnsi" w:cs="Arial"/>
          <w:snapToGrid w:val="0"/>
          <w:lang w:val="en-GB"/>
        </w:rPr>
        <w:t>these uncertainties</w:t>
      </w:r>
      <w:r w:rsidR="00325FCC" w:rsidRPr="00325FCC">
        <w:rPr>
          <w:rFonts w:asciiTheme="minorHAnsi" w:hAnsiTheme="minorHAnsi" w:cs="Arial"/>
          <w:snapToGrid w:val="0"/>
          <w:lang w:val="en-GB"/>
        </w:rPr>
        <w:t xml:space="preserve"> because the Australian population already has access to therapy that is at least as effective and safe</w:t>
      </w:r>
      <w:r w:rsidR="00325FCC">
        <w:rPr>
          <w:rFonts w:asciiTheme="minorHAnsi" w:hAnsiTheme="minorHAnsi" w:cs="Arial"/>
          <w:snapToGrid w:val="0"/>
          <w:lang w:val="en-GB"/>
        </w:rPr>
        <w:t xml:space="preserve">. </w:t>
      </w:r>
      <w:r w:rsidR="00CB4784">
        <w:rPr>
          <w:rFonts w:asciiTheme="minorHAnsi" w:hAnsiTheme="minorHAnsi" w:cs="Arial"/>
          <w:snapToGrid w:val="0"/>
          <w:lang w:val="en-GB"/>
        </w:rPr>
        <w:t xml:space="preserve">The PBAC noted that the patient weights derived from Study 311 were the most conservative scenario, but that the submission’s CMA did not adequately account for patients who </w:t>
      </w:r>
      <w:r w:rsidR="00CB4784" w:rsidRPr="00D051DE">
        <w:rPr>
          <w:rFonts w:asciiTheme="minorHAnsi" w:hAnsiTheme="minorHAnsi" w:cs="Arial"/>
          <w:snapToGrid w:val="0"/>
          <w:lang w:val="en-GB"/>
        </w:rPr>
        <w:t>will switch from eculizumab to ravulizumab and incu</w:t>
      </w:r>
      <w:r w:rsidR="00B7680F" w:rsidRPr="00D051DE">
        <w:rPr>
          <w:rFonts w:asciiTheme="minorHAnsi" w:hAnsiTheme="minorHAnsi" w:cs="Arial"/>
          <w:snapToGrid w:val="0"/>
          <w:lang w:val="en-GB"/>
        </w:rPr>
        <w:t xml:space="preserve">r an additional loading dose and nor did it adequately account for the </w:t>
      </w:r>
      <w:r w:rsidR="00A80D0D" w:rsidRPr="00D051DE">
        <w:rPr>
          <w:rFonts w:asciiTheme="minorHAnsi" w:hAnsiTheme="minorHAnsi" w:cs="Arial"/>
          <w:snapToGrid w:val="0"/>
          <w:lang w:val="en-GB"/>
        </w:rPr>
        <w:t xml:space="preserve">different </w:t>
      </w:r>
      <w:r w:rsidR="000F1318" w:rsidRPr="00D051DE">
        <w:rPr>
          <w:rFonts w:asciiTheme="minorHAnsi" w:hAnsiTheme="minorHAnsi" w:cs="Arial"/>
          <w:snapToGrid w:val="0"/>
          <w:lang w:val="en-GB"/>
        </w:rPr>
        <w:t>duration of therapies supplied under each restriction phase</w:t>
      </w:r>
      <w:r w:rsidR="00B7680F" w:rsidRPr="00D051DE">
        <w:rPr>
          <w:rFonts w:asciiTheme="minorHAnsi" w:hAnsiTheme="minorHAnsi" w:cs="Arial"/>
          <w:snapToGrid w:val="0"/>
          <w:lang w:val="en-GB"/>
        </w:rPr>
        <w:t>. The PBAC agreed with the ESC that these parameters should be accounted for in determining the price of ravulizumab.</w:t>
      </w:r>
    </w:p>
    <w:p w14:paraId="27600D13" w14:textId="57CE4DD5" w:rsidR="00325FCC" w:rsidRPr="00D051DE" w:rsidRDefault="00E80747" w:rsidP="0DA23CF4">
      <w:pPr>
        <w:widowControl w:val="0"/>
        <w:numPr>
          <w:ilvl w:val="1"/>
          <w:numId w:val="1"/>
        </w:numPr>
        <w:spacing w:after="120"/>
        <w:ind w:left="720"/>
        <w:rPr>
          <w:rFonts w:asciiTheme="minorHAnsi" w:hAnsiTheme="minorHAnsi" w:cs="Arial"/>
          <w:snapToGrid w:val="0"/>
          <w:color w:val="548DD4" w:themeColor="text2" w:themeTint="99"/>
          <w:lang w:val="en-GB"/>
        </w:rPr>
      </w:pPr>
      <w:r w:rsidRPr="0DA23CF4">
        <w:rPr>
          <w:rFonts w:asciiTheme="minorHAnsi" w:hAnsiTheme="minorHAnsi" w:cs="Arial"/>
          <w:snapToGrid w:val="0"/>
          <w:lang w:val="en-GB"/>
        </w:rPr>
        <w:t xml:space="preserve">The PBAC </w:t>
      </w:r>
      <w:r w:rsidR="00C36C32" w:rsidRPr="0DA23CF4">
        <w:rPr>
          <w:rFonts w:asciiTheme="minorHAnsi" w:hAnsiTheme="minorHAnsi" w:cs="Arial"/>
          <w:snapToGrid w:val="0"/>
          <w:lang w:val="en-GB"/>
        </w:rPr>
        <w:t xml:space="preserve">noted the considerable cost per patient per year of aHUS treatment and </w:t>
      </w:r>
      <w:r w:rsidRPr="0DA23CF4">
        <w:rPr>
          <w:rFonts w:asciiTheme="minorHAnsi" w:hAnsiTheme="minorHAnsi" w:cs="Arial"/>
          <w:snapToGrid w:val="0"/>
          <w:lang w:val="en-GB"/>
        </w:rPr>
        <w:t>that a reduced price f</w:t>
      </w:r>
      <w:r w:rsidR="00C316FA" w:rsidRPr="0DA23CF4">
        <w:rPr>
          <w:rFonts w:asciiTheme="minorHAnsi" w:hAnsiTheme="minorHAnsi" w:cs="Arial"/>
          <w:snapToGrid w:val="0"/>
          <w:lang w:val="en-GB"/>
        </w:rPr>
        <w:t>o</w:t>
      </w:r>
      <w:r w:rsidRPr="0DA23CF4">
        <w:rPr>
          <w:rFonts w:asciiTheme="minorHAnsi" w:hAnsiTheme="minorHAnsi" w:cs="Arial"/>
          <w:snapToGrid w:val="0"/>
          <w:lang w:val="en-GB"/>
        </w:rPr>
        <w:t>r ravulizumab was offered</w:t>
      </w:r>
      <w:r w:rsidR="00C316FA" w:rsidRPr="0DA23CF4">
        <w:rPr>
          <w:rFonts w:asciiTheme="minorHAnsi" w:hAnsiTheme="minorHAnsi" w:cs="Arial"/>
          <w:snapToGrid w:val="0"/>
          <w:lang w:val="en-GB"/>
        </w:rPr>
        <w:t xml:space="preserve"> to account for in-patient use for the </w:t>
      </w:r>
      <w:proofErr w:type="gramStart"/>
      <w:r w:rsidR="00C47128" w:rsidRPr="009B3E29">
        <w:rPr>
          <w:rFonts w:asciiTheme="minorHAnsi" w:hAnsiTheme="minorHAnsi" w:cs="Arial"/>
          <w:snapToGrid w:val="0"/>
          <w:color w:val="000000"/>
          <w:w w:val="24"/>
          <w:shd w:val="solid" w:color="000000" w:fill="000000"/>
          <w:fitText w:val="80" w:id="-1236585725"/>
          <w:lang w:val="en-GB"/>
          <w14:textFill>
            <w14:solidFill>
              <w14:srgbClr w14:val="000000">
                <w14:alpha w14:val="100000"/>
              </w14:srgbClr>
            </w14:solidFill>
          </w14:textFill>
        </w:rPr>
        <w:t xml:space="preserve">|  </w:t>
      </w:r>
      <w:r w:rsidR="00C47128" w:rsidRPr="009B3E29">
        <w:rPr>
          <w:rFonts w:asciiTheme="minorHAnsi" w:hAnsiTheme="minorHAnsi" w:cs="Arial"/>
          <w:snapToGrid w:val="0"/>
          <w:color w:val="000000"/>
          <w:spacing w:val="1"/>
          <w:w w:val="24"/>
          <w:shd w:val="solid" w:color="000000" w:fill="000000"/>
          <w:fitText w:val="80" w:id="-1236585725"/>
          <w:lang w:val="en-GB"/>
          <w14:textFill>
            <w14:solidFill>
              <w14:srgbClr w14:val="000000">
                <w14:alpha w14:val="100000"/>
              </w14:srgbClr>
            </w14:solidFill>
          </w14:textFill>
        </w:rPr>
        <w:t>|</w:t>
      </w:r>
      <w:proofErr w:type="gramEnd"/>
      <w:r w:rsidR="00B70E2D" w:rsidRPr="0DA23CF4">
        <w:rPr>
          <w:rFonts w:asciiTheme="minorHAnsi" w:hAnsiTheme="minorHAnsi" w:cs="Arial"/>
          <w:snapToGrid w:val="0"/>
          <w:lang w:val="en-GB"/>
        </w:rPr>
        <w:t xml:space="preserve">. However as noted in paragraph </w:t>
      </w:r>
      <w:r w:rsidR="009E502A" w:rsidRPr="0DA23CF4">
        <w:rPr>
          <w:rFonts w:asciiTheme="minorHAnsi" w:hAnsiTheme="minorHAnsi" w:cs="Arial"/>
          <w:snapToGrid w:val="0"/>
          <w:lang w:val="en-GB"/>
        </w:rPr>
        <w:fldChar w:fldCharType="begin" w:fldLock="1"/>
      </w:r>
      <w:r w:rsidR="009E502A" w:rsidRPr="0DA23CF4">
        <w:rPr>
          <w:rFonts w:asciiTheme="minorHAnsi" w:hAnsiTheme="minorHAnsi" w:cs="Arial"/>
          <w:snapToGrid w:val="0"/>
          <w:lang w:val="en-GB"/>
        </w:rPr>
        <w:instrText xml:space="preserve"> REF _Ref131681808 \r \h </w:instrText>
      </w:r>
      <w:r w:rsidR="00BE7518" w:rsidRPr="0DA23CF4">
        <w:rPr>
          <w:rFonts w:asciiTheme="minorHAnsi" w:hAnsiTheme="minorHAnsi" w:cs="Arial"/>
          <w:snapToGrid w:val="0"/>
          <w:lang w:val="en-GB"/>
        </w:rPr>
        <w:instrText xml:space="preserve"> \* MERGEFORMAT </w:instrText>
      </w:r>
      <w:r w:rsidR="009E502A" w:rsidRPr="0DA23CF4">
        <w:rPr>
          <w:rFonts w:asciiTheme="minorHAnsi" w:hAnsiTheme="minorHAnsi" w:cs="Arial"/>
          <w:snapToGrid w:val="0"/>
          <w:lang w:val="en-GB"/>
        </w:rPr>
      </w:r>
      <w:r w:rsidR="009E502A" w:rsidRPr="0DA23CF4">
        <w:rPr>
          <w:rFonts w:asciiTheme="minorHAnsi" w:hAnsiTheme="minorHAnsi" w:cs="Arial"/>
          <w:snapToGrid w:val="0"/>
          <w:lang w:val="en-GB"/>
        </w:rPr>
        <w:fldChar w:fldCharType="separate"/>
      </w:r>
      <w:r w:rsidR="00916EDA">
        <w:rPr>
          <w:rFonts w:asciiTheme="minorHAnsi" w:hAnsiTheme="minorHAnsi" w:cs="Arial"/>
          <w:snapToGrid w:val="0"/>
          <w:lang w:val="en-GB"/>
        </w:rPr>
        <w:t>7.2</w:t>
      </w:r>
      <w:r w:rsidR="009E502A" w:rsidRPr="0DA23CF4">
        <w:rPr>
          <w:rFonts w:asciiTheme="minorHAnsi" w:hAnsiTheme="minorHAnsi" w:cs="Arial"/>
          <w:snapToGrid w:val="0"/>
          <w:lang w:val="en-GB"/>
        </w:rPr>
        <w:fldChar w:fldCharType="end"/>
      </w:r>
      <w:r w:rsidR="009E502A" w:rsidRPr="0DA23CF4">
        <w:rPr>
          <w:rFonts w:asciiTheme="minorHAnsi" w:hAnsiTheme="minorHAnsi" w:cs="Arial"/>
          <w:snapToGrid w:val="0"/>
          <w:lang w:val="en-GB"/>
        </w:rPr>
        <w:t>,</w:t>
      </w:r>
      <w:r w:rsidR="00C316FA" w:rsidRPr="0DA23CF4">
        <w:rPr>
          <w:rFonts w:asciiTheme="minorHAnsi" w:hAnsiTheme="minorHAnsi" w:cs="Arial"/>
          <w:snapToGrid w:val="0"/>
          <w:lang w:val="en-GB"/>
        </w:rPr>
        <w:t xml:space="preserve"> </w:t>
      </w:r>
      <w:r w:rsidR="00753AD2" w:rsidRPr="0DA23CF4">
        <w:rPr>
          <w:rFonts w:asciiTheme="minorHAnsi" w:hAnsiTheme="minorHAnsi" w:cs="Arial"/>
          <w:snapToGrid w:val="0"/>
          <w:lang w:val="en-GB"/>
        </w:rPr>
        <w:t xml:space="preserve">routine </w:t>
      </w:r>
      <w:r w:rsidR="00C316FA" w:rsidRPr="0DA23CF4">
        <w:rPr>
          <w:rFonts w:asciiTheme="minorHAnsi" w:hAnsiTheme="minorHAnsi" w:cs="Arial"/>
          <w:snapToGrid w:val="0"/>
          <w:lang w:val="en-GB"/>
        </w:rPr>
        <w:t>PBS supply</w:t>
      </w:r>
      <w:r w:rsidR="00B70E2D" w:rsidRPr="0DA23CF4">
        <w:rPr>
          <w:rFonts w:asciiTheme="minorHAnsi" w:hAnsiTheme="minorHAnsi" w:cs="Arial"/>
          <w:snapToGrid w:val="0"/>
          <w:lang w:val="en-GB"/>
        </w:rPr>
        <w:t xml:space="preserve"> does not cover use</w:t>
      </w:r>
      <w:r w:rsidR="00C316FA" w:rsidRPr="0DA23CF4">
        <w:rPr>
          <w:rFonts w:asciiTheme="minorHAnsi" w:hAnsiTheme="minorHAnsi" w:cs="Arial"/>
          <w:snapToGrid w:val="0"/>
          <w:lang w:val="en-GB"/>
        </w:rPr>
        <w:t xml:space="preserve"> for public hospital in-patients. </w:t>
      </w:r>
    </w:p>
    <w:p w14:paraId="352D9BCE" w14:textId="008514EC" w:rsidR="00992908" w:rsidRPr="005923E5" w:rsidRDefault="00992908" w:rsidP="009D6BFD">
      <w:pPr>
        <w:widowControl w:val="0"/>
        <w:numPr>
          <w:ilvl w:val="1"/>
          <w:numId w:val="1"/>
        </w:numPr>
        <w:spacing w:after="120"/>
        <w:ind w:left="720"/>
        <w:rPr>
          <w:color w:val="548DD4" w:themeColor="text2" w:themeTint="99"/>
        </w:rPr>
      </w:pPr>
      <w:r>
        <w:rPr>
          <w:rFonts w:asciiTheme="minorHAnsi" w:hAnsiTheme="minorHAnsi" w:cs="Arial"/>
          <w:snapToGrid w:val="0"/>
          <w:lang w:val="en-GB"/>
        </w:rPr>
        <w:t>The PBAC requested that the financial estimates be updated based on the revised cost-minimised price.</w:t>
      </w:r>
      <w:r w:rsidR="00E5022C">
        <w:rPr>
          <w:rFonts w:asciiTheme="minorHAnsi" w:hAnsiTheme="minorHAnsi" w:cs="Arial"/>
          <w:snapToGrid w:val="0"/>
          <w:lang w:val="en-GB"/>
        </w:rPr>
        <w:t xml:space="preserve"> </w:t>
      </w:r>
      <w:r w:rsidR="00371661">
        <w:rPr>
          <w:rFonts w:asciiTheme="minorHAnsi" w:hAnsiTheme="minorHAnsi" w:cs="Arial"/>
          <w:snapToGrid w:val="0"/>
          <w:lang w:val="en-GB"/>
        </w:rPr>
        <w:t xml:space="preserve">The PBAC noted that the </w:t>
      </w:r>
      <w:r w:rsidR="00371661" w:rsidRPr="00E5022C">
        <w:rPr>
          <w:rFonts w:asciiTheme="minorHAnsi" w:hAnsiTheme="minorHAnsi" w:cs="Arial"/>
          <w:snapToGrid w:val="0"/>
          <w:lang w:val="en-GB"/>
        </w:rPr>
        <w:t>financial estimates did not appear to estimate the proportion of all ravulizumab-treated patients who would have switched from eculizumab versus the proportion who would have initiated on ravulizumab</w:t>
      </w:r>
      <w:r w:rsidR="00371661">
        <w:rPr>
          <w:rFonts w:asciiTheme="minorHAnsi" w:hAnsiTheme="minorHAnsi" w:cs="Arial"/>
          <w:snapToGrid w:val="0"/>
          <w:lang w:val="en-GB"/>
        </w:rPr>
        <w:t xml:space="preserve">. This would assist in calculating a revised CMA price which accounted for treatment switching and the additional ravulizumab loading dose requirements. </w:t>
      </w:r>
      <w:r w:rsidR="00E5022C">
        <w:rPr>
          <w:rFonts w:asciiTheme="minorHAnsi" w:hAnsiTheme="minorHAnsi" w:cs="Arial"/>
          <w:snapToGrid w:val="0"/>
          <w:lang w:val="en-GB"/>
        </w:rPr>
        <w:t xml:space="preserve">The PBAC </w:t>
      </w:r>
      <w:r w:rsidR="00371661">
        <w:rPr>
          <w:rFonts w:asciiTheme="minorHAnsi" w:hAnsiTheme="minorHAnsi" w:cs="Arial"/>
          <w:snapToGrid w:val="0"/>
          <w:lang w:val="en-GB"/>
        </w:rPr>
        <w:t xml:space="preserve">also </w:t>
      </w:r>
      <w:r w:rsidR="00E5022C">
        <w:rPr>
          <w:rFonts w:asciiTheme="minorHAnsi" w:hAnsiTheme="minorHAnsi" w:cs="Arial"/>
          <w:snapToGrid w:val="0"/>
          <w:lang w:val="en-GB"/>
        </w:rPr>
        <w:t xml:space="preserve">noted that the submission’s projected </w:t>
      </w:r>
      <w:r w:rsidR="00B76A03">
        <w:rPr>
          <w:rFonts w:asciiTheme="minorHAnsi" w:hAnsiTheme="minorHAnsi" w:cs="Arial"/>
          <w:snapToGrid w:val="0"/>
          <w:lang w:val="en-GB"/>
        </w:rPr>
        <w:t xml:space="preserve">linear </w:t>
      </w:r>
      <w:r w:rsidR="00E5022C">
        <w:rPr>
          <w:rFonts w:asciiTheme="minorHAnsi" w:hAnsiTheme="minorHAnsi" w:cs="Arial"/>
          <w:snapToGrid w:val="0"/>
          <w:lang w:val="en-GB"/>
        </w:rPr>
        <w:t xml:space="preserve">growth in </w:t>
      </w:r>
      <w:r w:rsidR="00371661">
        <w:rPr>
          <w:rFonts w:asciiTheme="minorHAnsi" w:hAnsiTheme="minorHAnsi" w:cs="Arial"/>
          <w:snapToGrid w:val="0"/>
          <w:lang w:val="en-GB"/>
        </w:rPr>
        <w:t xml:space="preserve">treated </w:t>
      </w:r>
      <w:r w:rsidR="00E5022C">
        <w:rPr>
          <w:rFonts w:asciiTheme="minorHAnsi" w:hAnsiTheme="minorHAnsi" w:cs="Arial"/>
          <w:snapToGrid w:val="0"/>
          <w:lang w:val="en-GB"/>
        </w:rPr>
        <w:t xml:space="preserve">patients did not reflect the stabilisation of patient numbers noted in the 2020 DUSC review (see paragraph </w:t>
      </w:r>
      <w:r w:rsidR="00E5022C" w:rsidRPr="005923E5">
        <w:rPr>
          <w:rFonts w:asciiTheme="minorHAnsi" w:hAnsiTheme="minorHAnsi" w:cs="Arial"/>
          <w:snapToGrid w:val="0"/>
          <w:lang w:val="en-GB"/>
        </w:rPr>
        <w:fldChar w:fldCharType="begin" w:fldLock="1"/>
      </w:r>
      <w:r w:rsidR="00E5022C" w:rsidRPr="005923E5">
        <w:rPr>
          <w:rFonts w:asciiTheme="minorHAnsi" w:hAnsiTheme="minorHAnsi" w:cs="Arial"/>
          <w:snapToGrid w:val="0"/>
          <w:lang w:val="en-GB"/>
        </w:rPr>
        <w:instrText xml:space="preserve"> REF _Ref123735662 \r \h </w:instrText>
      </w:r>
      <w:r w:rsidR="005923E5">
        <w:rPr>
          <w:rFonts w:asciiTheme="minorHAnsi" w:hAnsiTheme="minorHAnsi" w:cs="Arial"/>
          <w:snapToGrid w:val="0"/>
          <w:lang w:val="en-GB"/>
        </w:rPr>
        <w:instrText xml:space="preserve"> \* MERGEFORMAT </w:instrText>
      </w:r>
      <w:r w:rsidR="00E5022C" w:rsidRPr="005923E5">
        <w:rPr>
          <w:rFonts w:asciiTheme="minorHAnsi" w:hAnsiTheme="minorHAnsi" w:cs="Arial"/>
          <w:snapToGrid w:val="0"/>
          <w:lang w:val="en-GB"/>
        </w:rPr>
      </w:r>
      <w:r w:rsidR="00E5022C" w:rsidRPr="005923E5">
        <w:rPr>
          <w:rFonts w:asciiTheme="minorHAnsi" w:hAnsiTheme="minorHAnsi" w:cs="Arial"/>
          <w:snapToGrid w:val="0"/>
          <w:lang w:val="en-GB"/>
        </w:rPr>
        <w:fldChar w:fldCharType="separate"/>
      </w:r>
      <w:r w:rsidR="00916EDA">
        <w:rPr>
          <w:rFonts w:asciiTheme="minorHAnsi" w:hAnsiTheme="minorHAnsi" w:cs="Arial"/>
          <w:snapToGrid w:val="0"/>
          <w:lang w:val="en-GB"/>
        </w:rPr>
        <w:t>2.4</w:t>
      </w:r>
      <w:r w:rsidR="00E5022C" w:rsidRPr="005923E5">
        <w:rPr>
          <w:rFonts w:asciiTheme="minorHAnsi" w:hAnsiTheme="minorHAnsi" w:cs="Arial"/>
          <w:snapToGrid w:val="0"/>
          <w:lang w:val="en-GB"/>
        </w:rPr>
        <w:fldChar w:fldCharType="end"/>
      </w:r>
      <w:r w:rsidR="00B76A03" w:rsidRPr="005923E5">
        <w:rPr>
          <w:rFonts w:asciiTheme="minorHAnsi" w:hAnsiTheme="minorHAnsi" w:cs="Arial"/>
          <w:snapToGrid w:val="0"/>
          <w:lang w:val="en-GB"/>
        </w:rPr>
        <w:t xml:space="preserve"> and </w:t>
      </w:r>
      <w:r w:rsidR="00B76A03" w:rsidRPr="005923E5">
        <w:rPr>
          <w:rFonts w:asciiTheme="minorHAnsi" w:hAnsiTheme="minorHAnsi" w:cs="Arial"/>
          <w:snapToGrid w:val="0"/>
          <w:lang w:val="en-GB"/>
        </w:rPr>
        <w:fldChar w:fldCharType="begin" w:fldLock="1"/>
      </w:r>
      <w:r w:rsidR="00B76A03" w:rsidRPr="005923E5">
        <w:rPr>
          <w:rFonts w:asciiTheme="minorHAnsi" w:hAnsiTheme="minorHAnsi" w:cs="Arial"/>
          <w:snapToGrid w:val="0"/>
          <w:lang w:val="en-GB"/>
        </w:rPr>
        <w:instrText xml:space="preserve"> REF _Ref120628620 \h </w:instrText>
      </w:r>
      <w:r w:rsidR="005923E5">
        <w:rPr>
          <w:rFonts w:asciiTheme="minorHAnsi" w:hAnsiTheme="minorHAnsi" w:cs="Arial"/>
          <w:snapToGrid w:val="0"/>
          <w:lang w:val="en-GB"/>
        </w:rPr>
        <w:instrText xml:space="preserve"> \* MERGEFORMAT </w:instrText>
      </w:r>
      <w:r w:rsidR="00B76A03" w:rsidRPr="005923E5">
        <w:rPr>
          <w:rFonts w:asciiTheme="minorHAnsi" w:hAnsiTheme="minorHAnsi" w:cs="Arial"/>
          <w:snapToGrid w:val="0"/>
          <w:lang w:val="en-GB"/>
        </w:rPr>
      </w:r>
      <w:r w:rsidR="00B76A03" w:rsidRPr="005923E5">
        <w:rPr>
          <w:rFonts w:asciiTheme="minorHAnsi" w:hAnsiTheme="minorHAnsi" w:cs="Arial"/>
          <w:snapToGrid w:val="0"/>
          <w:lang w:val="en-GB"/>
        </w:rPr>
        <w:fldChar w:fldCharType="separate"/>
      </w:r>
      <w:r w:rsidR="00916EDA">
        <w:t xml:space="preserve">Table </w:t>
      </w:r>
      <w:r w:rsidR="00916EDA">
        <w:rPr>
          <w:noProof/>
        </w:rPr>
        <w:t>14</w:t>
      </w:r>
      <w:r w:rsidR="00B76A03" w:rsidRPr="005923E5">
        <w:rPr>
          <w:rFonts w:asciiTheme="minorHAnsi" w:hAnsiTheme="minorHAnsi" w:cs="Arial"/>
          <w:snapToGrid w:val="0"/>
          <w:lang w:val="en-GB"/>
        </w:rPr>
        <w:fldChar w:fldCharType="end"/>
      </w:r>
      <w:r w:rsidR="00E5022C" w:rsidRPr="005923E5">
        <w:rPr>
          <w:rFonts w:asciiTheme="minorHAnsi" w:hAnsiTheme="minorHAnsi" w:cs="Arial"/>
          <w:snapToGrid w:val="0"/>
          <w:lang w:val="en-GB"/>
        </w:rPr>
        <w:t>) and that this should be rectified</w:t>
      </w:r>
      <w:r w:rsidR="00371661" w:rsidRPr="005923E5">
        <w:rPr>
          <w:rFonts w:asciiTheme="minorHAnsi" w:hAnsiTheme="minorHAnsi" w:cs="Arial"/>
          <w:snapToGrid w:val="0"/>
          <w:lang w:val="en-GB"/>
        </w:rPr>
        <w:t xml:space="preserve"> as the listing of ravulizumab is not expected to grow the market</w:t>
      </w:r>
      <w:r w:rsidR="00E5022C" w:rsidRPr="005923E5">
        <w:rPr>
          <w:rFonts w:asciiTheme="minorHAnsi" w:hAnsiTheme="minorHAnsi" w:cs="Arial"/>
          <w:snapToGrid w:val="0"/>
          <w:lang w:val="en-GB"/>
        </w:rPr>
        <w:t xml:space="preserve">. The PBAC considered an RSA would be required with an overall expenditure cap for aHUS at no increase to that projected for eculizumab, with 100% rebate over the annual caps. </w:t>
      </w:r>
    </w:p>
    <w:p w14:paraId="081C47D4" w14:textId="7D01413D" w:rsidR="00927FC1" w:rsidRPr="00E00C04" w:rsidRDefault="003B466F" w:rsidP="009D6BFD">
      <w:pPr>
        <w:widowControl w:val="0"/>
        <w:numPr>
          <w:ilvl w:val="1"/>
          <w:numId w:val="1"/>
        </w:numPr>
        <w:spacing w:after="120"/>
        <w:ind w:left="720"/>
        <w:rPr>
          <w:color w:val="548DD4" w:themeColor="text2" w:themeTint="99"/>
        </w:rPr>
      </w:pPr>
      <w:r w:rsidRPr="005923E5">
        <w:rPr>
          <w:rFonts w:asciiTheme="minorHAnsi" w:hAnsiTheme="minorHAnsi" w:cs="Arial"/>
          <w:snapToGrid w:val="0"/>
          <w:lang w:val="en-GB"/>
        </w:rPr>
        <w:t>T</w:t>
      </w:r>
      <w:r w:rsidR="00927FC1" w:rsidRPr="005923E5">
        <w:rPr>
          <w:rFonts w:asciiTheme="minorHAnsi" w:hAnsiTheme="minorHAnsi" w:cs="Arial"/>
          <w:snapToGrid w:val="0"/>
          <w:lang w:val="en-GB"/>
        </w:rPr>
        <w:t>he PBAC</w:t>
      </w:r>
      <w:r w:rsidRPr="005923E5">
        <w:rPr>
          <w:rFonts w:asciiTheme="minorHAnsi" w:hAnsiTheme="minorHAnsi" w:cs="Arial"/>
          <w:snapToGrid w:val="0"/>
          <w:lang w:val="en-GB"/>
        </w:rPr>
        <w:t xml:space="preserve"> also</w:t>
      </w:r>
      <w:r w:rsidR="00927FC1">
        <w:rPr>
          <w:rFonts w:asciiTheme="minorHAnsi" w:hAnsiTheme="minorHAnsi" w:cs="Arial"/>
          <w:snapToGrid w:val="0"/>
          <w:lang w:val="en-GB"/>
        </w:rPr>
        <w:t xml:space="preserve"> recommended </w:t>
      </w:r>
      <w:r>
        <w:rPr>
          <w:rFonts w:asciiTheme="minorHAnsi" w:hAnsiTheme="minorHAnsi" w:cs="Arial"/>
          <w:snapToGrid w:val="0"/>
          <w:lang w:val="en-GB"/>
        </w:rPr>
        <w:t xml:space="preserve">a change to the circumstances under which </w:t>
      </w:r>
      <w:r w:rsidR="000D0F4D">
        <w:rPr>
          <w:rFonts w:asciiTheme="minorHAnsi" w:hAnsiTheme="minorHAnsi" w:cs="Arial"/>
          <w:snapToGrid w:val="0"/>
          <w:lang w:val="en-GB"/>
        </w:rPr>
        <w:t xml:space="preserve">certain </w:t>
      </w:r>
      <w:r>
        <w:rPr>
          <w:rFonts w:asciiTheme="minorHAnsi" w:hAnsiTheme="minorHAnsi" w:cs="Arial"/>
          <w:snapToGrid w:val="0"/>
          <w:lang w:val="en-GB"/>
        </w:rPr>
        <w:t xml:space="preserve">meningococcal ACWY (MenACWY) and </w:t>
      </w:r>
      <w:r w:rsidRPr="003B466F">
        <w:rPr>
          <w:rFonts w:asciiTheme="minorHAnsi" w:hAnsiTheme="minorHAnsi" w:cs="Arial"/>
          <w:snapToGrid w:val="0"/>
        </w:rPr>
        <w:t>meningococcal B (MenB)</w:t>
      </w:r>
      <w:r>
        <w:rPr>
          <w:rFonts w:asciiTheme="minorHAnsi" w:hAnsiTheme="minorHAnsi" w:cs="Arial"/>
          <w:snapToGrid w:val="0"/>
        </w:rPr>
        <w:t xml:space="preserve"> </w:t>
      </w:r>
      <w:r w:rsidR="00A8275A">
        <w:rPr>
          <w:rFonts w:asciiTheme="minorHAnsi" w:hAnsiTheme="minorHAnsi" w:cs="Arial"/>
          <w:snapToGrid w:val="0"/>
        </w:rPr>
        <w:t xml:space="preserve">vaccines </w:t>
      </w:r>
      <w:r>
        <w:rPr>
          <w:rFonts w:asciiTheme="minorHAnsi" w:hAnsiTheme="minorHAnsi" w:cs="Arial"/>
          <w:snapToGrid w:val="0"/>
        </w:rPr>
        <w:t xml:space="preserve">be made available as designated vaccines for the purposes of Section 9B of the </w:t>
      </w:r>
      <w:r>
        <w:rPr>
          <w:rFonts w:asciiTheme="minorHAnsi" w:hAnsiTheme="minorHAnsi" w:cs="Arial"/>
          <w:i/>
          <w:iCs/>
          <w:snapToGrid w:val="0"/>
        </w:rPr>
        <w:t xml:space="preserve">National Health Act 1953. </w:t>
      </w:r>
      <w:r>
        <w:rPr>
          <w:rFonts w:asciiTheme="minorHAnsi" w:hAnsiTheme="minorHAnsi" w:cs="Arial"/>
          <w:snapToGrid w:val="0"/>
        </w:rPr>
        <w:t xml:space="preserve">The PBAC recommended that </w:t>
      </w:r>
      <w:r w:rsidR="000D0F4D">
        <w:rPr>
          <w:rFonts w:asciiTheme="minorHAnsi" w:hAnsiTheme="minorHAnsi" w:cs="Arial"/>
          <w:snapToGrid w:val="0"/>
        </w:rPr>
        <w:t>the following</w:t>
      </w:r>
      <w:r>
        <w:rPr>
          <w:rFonts w:asciiTheme="minorHAnsi" w:hAnsiTheme="minorHAnsi" w:cs="Arial"/>
          <w:snapToGrid w:val="0"/>
        </w:rPr>
        <w:t xml:space="preserve"> vaccines </w:t>
      </w:r>
      <w:r w:rsidR="000D0F4D">
        <w:rPr>
          <w:rFonts w:asciiTheme="minorHAnsi" w:hAnsiTheme="minorHAnsi" w:cs="Arial"/>
          <w:snapToGrid w:val="0"/>
        </w:rPr>
        <w:t>should</w:t>
      </w:r>
      <w:r>
        <w:rPr>
          <w:rFonts w:asciiTheme="minorHAnsi" w:hAnsiTheme="minorHAnsi" w:cs="Arial"/>
          <w:snapToGrid w:val="0"/>
        </w:rPr>
        <w:t xml:space="preserve"> be made available</w:t>
      </w:r>
      <w:r w:rsidR="000D0F4D">
        <w:rPr>
          <w:rFonts w:asciiTheme="minorHAnsi" w:hAnsiTheme="minorHAnsi" w:cs="Arial"/>
          <w:snapToGrid w:val="0"/>
        </w:rPr>
        <w:t xml:space="preserve"> as designated vaccines for </w:t>
      </w:r>
      <w:r>
        <w:rPr>
          <w:rFonts w:asciiTheme="minorHAnsi" w:hAnsiTheme="minorHAnsi" w:cs="Arial"/>
          <w:snapToGrid w:val="0"/>
        </w:rPr>
        <w:t>patients treated with ravuli</w:t>
      </w:r>
      <w:r w:rsidR="00E00C04">
        <w:rPr>
          <w:rFonts w:asciiTheme="minorHAnsi" w:hAnsiTheme="minorHAnsi" w:cs="Arial"/>
          <w:snapToGrid w:val="0"/>
        </w:rPr>
        <w:t xml:space="preserve">zumab as well as eculizumab, and </w:t>
      </w:r>
      <w:r w:rsidR="00BA1389">
        <w:rPr>
          <w:rFonts w:asciiTheme="minorHAnsi" w:hAnsiTheme="minorHAnsi" w:cs="Arial"/>
          <w:snapToGrid w:val="0"/>
        </w:rPr>
        <w:t xml:space="preserve">noted </w:t>
      </w:r>
      <w:r w:rsidR="00E00C04">
        <w:rPr>
          <w:rFonts w:asciiTheme="minorHAnsi" w:hAnsiTheme="minorHAnsi" w:cs="Arial"/>
          <w:snapToGrid w:val="0"/>
        </w:rPr>
        <w:t>that this aligned with the ATAGI’s advice:</w:t>
      </w:r>
    </w:p>
    <w:p w14:paraId="36D4B3F5" w14:textId="7170C3BF" w:rsidR="00E00C04" w:rsidRDefault="00E00C04" w:rsidP="001376A6">
      <w:pPr>
        <w:pStyle w:val="3-BodyText"/>
        <w:numPr>
          <w:ilvl w:val="0"/>
          <w:numId w:val="9"/>
        </w:numPr>
        <w:ind w:left="1080"/>
      </w:pPr>
      <w:r w:rsidRPr="00E00C04">
        <w:t>Meningococcal polysaccharide serogroups A, C, W</w:t>
      </w:r>
      <w:r w:rsidRPr="00E00C04">
        <w:noBreakHyphen/>
        <w:t>135 and Y conjugate</w:t>
      </w:r>
      <w:r>
        <w:t xml:space="preserve"> – </w:t>
      </w:r>
      <w:r w:rsidRPr="00E00C04">
        <w:t>Nimenrix®</w:t>
      </w:r>
    </w:p>
    <w:p w14:paraId="19015B8C" w14:textId="213D8A49" w:rsidR="00E00C04" w:rsidRDefault="00E00C04" w:rsidP="001376A6">
      <w:pPr>
        <w:pStyle w:val="3-BodyText"/>
        <w:numPr>
          <w:ilvl w:val="0"/>
          <w:numId w:val="9"/>
        </w:numPr>
        <w:ind w:left="1080"/>
      </w:pPr>
      <w:r w:rsidRPr="00E00C04">
        <w:t>Meningococcal </w:t>
      </w:r>
      <w:r w:rsidRPr="00E00C04">
        <w:rPr>
          <w:i/>
          <w:iCs/>
        </w:rPr>
        <w:t>Neisseria meningitidis, </w:t>
      </w:r>
      <w:r w:rsidRPr="00E00C04">
        <w:t>Meningococcal polysaccharide serogroups A, C, W</w:t>
      </w:r>
      <w:r w:rsidRPr="00E00C04">
        <w:noBreakHyphen/>
        <w:t>135 and Y conjugate serogroups A, C, W and Y</w:t>
      </w:r>
      <w:r>
        <w:t xml:space="preserve"> – </w:t>
      </w:r>
      <w:r w:rsidRPr="00E00C04">
        <w:t>MenQuadfi®</w:t>
      </w:r>
    </w:p>
    <w:p w14:paraId="50EEE04B" w14:textId="3618445C" w:rsidR="00E00C04" w:rsidRDefault="00E00C04" w:rsidP="001376A6">
      <w:pPr>
        <w:pStyle w:val="3-BodyText"/>
        <w:numPr>
          <w:ilvl w:val="0"/>
          <w:numId w:val="9"/>
        </w:numPr>
        <w:ind w:left="1080"/>
      </w:pPr>
      <w:r w:rsidRPr="00E00C04">
        <w:lastRenderedPageBreak/>
        <w:t>Multicomponent meningococcal group B (4CMenB)</w:t>
      </w:r>
      <w:r>
        <w:t xml:space="preserve"> – </w:t>
      </w:r>
      <w:r w:rsidRPr="00E00C04">
        <w:t>Bexsero®</w:t>
      </w:r>
    </w:p>
    <w:p w14:paraId="5C034401" w14:textId="0C971566" w:rsidR="00C02687" w:rsidRPr="00E00C04" w:rsidRDefault="00A8275A" w:rsidP="00504974">
      <w:pPr>
        <w:pStyle w:val="3-BodyText"/>
        <w:numPr>
          <w:ilvl w:val="0"/>
          <w:numId w:val="9"/>
        </w:numPr>
        <w:spacing w:after="0"/>
        <w:ind w:left="1080"/>
      </w:pPr>
      <w:r w:rsidRPr="00A8275A">
        <w:t>Meningococcal (Groups A,</w:t>
      </w:r>
      <w:r w:rsidR="001376A6">
        <w:t xml:space="preserve"> </w:t>
      </w:r>
      <w:r w:rsidRPr="00A8275A">
        <w:t>C,</w:t>
      </w:r>
      <w:r w:rsidR="001376A6">
        <w:t xml:space="preserve"> </w:t>
      </w:r>
      <w:r w:rsidRPr="00A8275A">
        <w:t>W-135 and Y) Oligosaccharide CRM197 Conjugate Vaccine (Men ACWY-CRM)</w:t>
      </w:r>
      <w:r>
        <w:t xml:space="preserve"> – </w:t>
      </w:r>
      <w:r w:rsidR="00C02687">
        <w:t>Menveo®</w:t>
      </w:r>
    </w:p>
    <w:p w14:paraId="707AEB2B" w14:textId="77777777" w:rsidR="009D6BFD" w:rsidRPr="00D76D04" w:rsidRDefault="009D6BFD" w:rsidP="009D6BFD">
      <w:pPr>
        <w:spacing w:before="240"/>
        <w:rPr>
          <w:rFonts w:asciiTheme="minorHAnsi" w:hAnsiTheme="minorHAnsi" w:cs="Arial"/>
          <w:b/>
          <w:bCs/>
          <w:snapToGrid w:val="0"/>
          <w:lang w:val="en-GB"/>
        </w:rPr>
      </w:pPr>
      <w:r w:rsidRPr="00D76D04">
        <w:rPr>
          <w:rFonts w:asciiTheme="minorHAnsi" w:hAnsiTheme="minorHAnsi" w:cs="Arial"/>
          <w:b/>
          <w:bCs/>
          <w:snapToGrid w:val="0"/>
          <w:lang w:val="en-GB"/>
        </w:rPr>
        <w:t>Outcome:</w:t>
      </w:r>
    </w:p>
    <w:p w14:paraId="6F863371" w14:textId="7EC01998" w:rsidR="00E00C04" w:rsidRPr="00323D17" w:rsidRDefault="009D6BFD" w:rsidP="00323D17">
      <w:pPr>
        <w:rPr>
          <w:rFonts w:asciiTheme="minorHAnsi" w:hAnsiTheme="minorHAnsi" w:cs="Arial"/>
          <w:bCs/>
          <w:snapToGrid w:val="0"/>
          <w:lang w:val="en-GB"/>
        </w:rPr>
      </w:pPr>
      <w:r w:rsidRPr="00D76D04">
        <w:rPr>
          <w:rFonts w:asciiTheme="minorHAnsi" w:hAnsiTheme="minorHAnsi" w:cs="Arial"/>
          <w:bCs/>
          <w:snapToGrid w:val="0"/>
          <w:lang w:val="en-GB"/>
        </w:rPr>
        <w:t>Deferred</w:t>
      </w:r>
      <w:bookmarkStart w:id="74" w:name="_Hlk76377978"/>
      <w:bookmarkEnd w:id="68"/>
      <w:bookmarkEnd w:id="69"/>
    </w:p>
    <w:bookmarkEnd w:id="70"/>
    <w:bookmarkEnd w:id="74"/>
    <w:p w14:paraId="7C31A1A7" w14:textId="70D2C2C8" w:rsidR="00323D17" w:rsidRPr="00323D17" w:rsidRDefault="00323D17" w:rsidP="00323D17">
      <w:pPr>
        <w:pStyle w:val="2-SectionHeading"/>
      </w:pPr>
      <w:r w:rsidRPr="00C07617">
        <w:t>Context for Decision</w:t>
      </w:r>
    </w:p>
    <w:p w14:paraId="171384D9" w14:textId="77777777" w:rsidR="00323D17" w:rsidRPr="007129F2" w:rsidRDefault="00323D17" w:rsidP="00323D17">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2DC3200" w14:textId="0B2AA9C8" w:rsidR="00323D17" w:rsidRPr="00323D17" w:rsidRDefault="00323D17" w:rsidP="00323D17">
      <w:pPr>
        <w:pStyle w:val="2-SectionHeading"/>
      </w:pPr>
      <w:r>
        <w:t>Sponsor’s Comment</w:t>
      </w:r>
    </w:p>
    <w:p w14:paraId="2B689025" w14:textId="504D10A1" w:rsidR="379AC1FA" w:rsidRDefault="379AC1FA" w:rsidP="00690E50">
      <w:pPr>
        <w:spacing w:after="120"/>
        <w:ind w:left="720"/>
        <w:rPr>
          <w:rFonts w:eastAsia="Calibri" w:cs="Calibri"/>
        </w:rPr>
      </w:pPr>
      <w:r w:rsidRPr="379AC1FA">
        <w:rPr>
          <w:rFonts w:eastAsia="Calibri" w:cs="Calibri"/>
          <w:sz w:val="22"/>
          <w:szCs w:val="22"/>
        </w:rPr>
        <w:t>Alexion is committed to working with the PBAC and Department of Health and Aged Care to enable PBS reimbursement of ravulizumab for people with aHUS; an ultra-rare, life-threatening condition.</w:t>
      </w:r>
    </w:p>
    <w:p w14:paraId="08B0BFDA" w14:textId="518CCD60" w:rsidR="00BF547B" w:rsidRDefault="00BF547B">
      <w:pPr>
        <w:jc w:val="left"/>
        <w:rPr>
          <w:rFonts w:ascii="Arial Narrow" w:hAnsi="Arial Narrow"/>
          <w:sz w:val="18"/>
        </w:rPr>
      </w:pPr>
      <w:r>
        <w:br w:type="page"/>
      </w:r>
    </w:p>
    <w:p w14:paraId="6E04446F" w14:textId="0E436B85" w:rsidR="00BF547B" w:rsidRPr="00A22427" w:rsidRDefault="00BF547B" w:rsidP="00BF547B">
      <w:pPr>
        <w:pStyle w:val="2-SectionHeading"/>
        <w:numPr>
          <w:ilvl w:val="0"/>
          <w:numId w:val="0"/>
        </w:numPr>
        <w:ind w:left="720" w:hanging="720"/>
        <w:rPr>
          <w:color w:val="FF0000"/>
          <w:sz w:val="28"/>
          <w:szCs w:val="28"/>
          <w:highlight w:val="yellow"/>
        </w:rPr>
      </w:pPr>
      <w:r w:rsidRPr="00A22427">
        <w:rPr>
          <w:rFonts w:eastAsia="Calibri"/>
          <w:color w:val="FF0000"/>
          <w:sz w:val="28"/>
          <w:szCs w:val="28"/>
        </w:rPr>
        <w:lastRenderedPageBreak/>
        <w:t xml:space="preserve">Addendum to the March 2023 PBAC </w:t>
      </w:r>
      <w:r>
        <w:rPr>
          <w:rFonts w:eastAsia="Calibri"/>
          <w:color w:val="FF0000"/>
          <w:sz w:val="28"/>
          <w:szCs w:val="28"/>
        </w:rPr>
        <w:t>Public Summary Document</w:t>
      </w:r>
      <w:r w:rsidRPr="00A22427">
        <w:rPr>
          <w:rFonts w:eastAsia="Calibri"/>
          <w:color w:val="FF0000"/>
          <w:sz w:val="28"/>
          <w:szCs w:val="28"/>
        </w:rPr>
        <w:t>:</w:t>
      </w:r>
    </w:p>
    <w:p w14:paraId="5C61C8D0" w14:textId="4B89DF35" w:rsidR="00BF547B" w:rsidRPr="00A22427" w:rsidRDefault="00BF547B" w:rsidP="00BF547B">
      <w:pPr>
        <w:pStyle w:val="1-MainHeading"/>
        <w:ind w:left="993" w:hanging="993"/>
      </w:pPr>
      <w:r w:rsidRPr="00A22427">
        <w:t>4.02</w:t>
      </w:r>
      <w:r w:rsidRPr="00A22427">
        <w:tab/>
        <w:t>RAVULIZUMAB,</w:t>
      </w:r>
      <w:r w:rsidRPr="00A22427">
        <w:br/>
      </w:r>
      <w:r w:rsidRPr="00A22427">
        <w:rPr>
          <w:rFonts w:cstheme="minorHAnsi"/>
          <w:color w:val="000000"/>
        </w:rPr>
        <w:t>Solution concentrate for I.V. infusion 300 mg in 3</w:t>
      </w:r>
      <w:r>
        <w:rPr>
          <w:rFonts w:cstheme="minorHAnsi"/>
          <w:color w:val="000000"/>
        </w:rPr>
        <w:t> </w:t>
      </w:r>
      <w:r w:rsidRPr="00A22427">
        <w:rPr>
          <w:rFonts w:cstheme="minorHAnsi"/>
          <w:color w:val="000000"/>
        </w:rPr>
        <w:t>mL</w:t>
      </w:r>
      <w:r w:rsidRPr="00A22427">
        <w:rPr>
          <w:rFonts w:cstheme="minorHAnsi"/>
          <w:color w:val="000000"/>
        </w:rPr>
        <w:br/>
        <w:t>Solution concentrate for I.V. infusion 1,100 mg in 11 mL</w:t>
      </w:r>
      <w:r w:rsidR="00740926" w:rsidRPr="00740926">
        <w:rPr>
          <w:rFonts w:cstheme="minorHAnsi"/>
        </w:rPr>
        <w:t xml:space="preserve"> </w:t>
      </w:r>
      <w:r w:rsidRPr="00A22427">
        <w:rPr>
          <w:rFonts w:cstheme="minorHAnsi"/>
        </w:rPr>
        <w:br/>
      </w:r>
      <w:r w:rsidRPr="00A22427">
        <w:t>Ultomiris</w:t>
      </w:r>
      <w:r w:rsidRPr="00A22427">
        <w:rPr>
          <w:vertAlign w:val="superscript"/>
        </w:rPr>
        <w:t>®</w:t>
      </w:r>
      <w:r w:rsidRPr="00A22427">
        <w:t>,</w:t>
      </w:r>
      <w:r w:rsidRPr="00A22427">
        <w:br/>
        <w:t xml:space="preserve">Alexion Pharmaceuticals Australasia Pty Ltd. </w:t>
      </w:r>
    </w:p>
    <w:p w14:paraId="2E61BB0A" w14:textId="77777777" w:rsidR="00BF547B" w:rsidRPr="00A22427" w:rsidRDefault="00BF547B" w:rsidP="00BF547B">
      <w:pPr>
        <w:pStyle w:val="2-SectionHeading"/>
        <w:numPr>
          <w:ilvl w:val="0"/>
          <w:numId w:val="1"/>
        </w:numPr>
      </w:pPr>
      <w:r w:rsidRPr="00A22427">
        <w:t>Background</w:t>
      </w:r>
    </w:p>
    <w:p w14:paraId="7651428D" w14:textId="77777777" w:rsidR="00BF547B" w:rsidRPr="00A22427" w:rsidRDefault="00BF547B" w:rsidP="00BF547B">
      <w:pPr>
        <w:pStyle w:val="3-BodyText"/>
        <w:ind w:left="709"/>
      </w:pPr>
      <w:r w:rsidRPr="00A22427">
        <w:t>At the March 2023 PBAC meeting, the PBAC deferred their decision regarding the requested Section 100 Authority Required listing of ravulizumab for the treatment of atypical haemolytic uraemic syndrome (aHUS) pending resolution of substantial restriction issues, and amendments to the cost-minimisation approach (CMA) and budget impact model. The response to the deferral provided further information and sought to address the PBAC’s concerns.</w:t>
      </w:r>
    </w:p>
    <w:p w14:paraId="267305D9" w14:textId="77777777" w:rsidR="00BF547B" w:rsidRPr="00A22427" w:rsidRDefault="00BF547B" w:rsidP="00BF547B">
      <w:pPr>
        <w:pStyle w:val="3-BodyText"/>
        <w:ind w:left="709"/>
      </w:pPr>
      <w:r w:rsidRPr="00A22427">
        <w:t>At the March 2023 meeting, the PBAC noted the aHUS Expert Reference Group was available to review certain applications for access to PBS-subsidised eculizumab for aHUS and advised it should be consulted on the revised aHUS restrictions for ravulizumab. Subsequently, PBAC representatives and members of the Department of Health met with the aHUS Expert Reference Group in May 2023 to discuss (i) no PBS subsidy with administration of ravulizumab to inpatients in a public hospital setting; (ii) treatment switching between eculizumab (more frequent dosing) and ravulizumab (less frequent dosing) and vice versa; and (iii) other issues such as admission to hospital for any reason while on a medication for aHUS.</w:t>
      </w:r>
    </w:p>
    <w:p w14:paraId="25B41B98" w14:textId="77777777" w:rsidR="00BF547B" w:rsidRPr="00A22427" w:rsidRDefault="00BF547B" w:rsidP="00BF547B">
      <w:pPr>
        <w:pStyle w:val="3-BodyText"/>
        <w:ind w:left="709"/>
      </w:pPr>
      <w:r w:rsidRPr="00A22427">
        <w:t>At the March 2023 meeting, the PBAC considered that the following changes may address the outstanding issues without requiring re-evaluation:</w:t>
      </w:r>
      <w:r w:rsidRPr="00A22427">
        <w:rPr>
          <w:color w:val="0066FF"/>
        </w:rPr>
        <w:t xml:space="preserve">  </w:t>
      </w:r>
    </w:p>
    <w:p w14:paraId="09934DD2" w14:textId="77777777" w:rsidR="00BF547B" w:rsidRPr="00A22427" w:rsidRDefault="00BF547B" w:rsidP="00BF547B">
      <w:pPr>
        <w:pStyle w:val="ListParagraph"/>
        <w:numPr>
          <w:ilvl w:val="0"/>
          <w:numId w:val="31"/>
        </w:numPr>
        <w:ind w:left="1134"/>
      </w:pPr>
      <w:r w:rsidRPr="00A22427">
        <w:t xml:space="preserve">The requested ravulizumab PBS restriction should be amended to preclude use in public hospital inpatients, noting that PBS funding in these patients is inconsistent with PBS policy (paragraph </w:t>
      </w:r>
      <w:r w:rsidRPr="00A22427">
        <w:fldChar w:fldCharType="begin" w:fldLock="1"/>
      </w:r>
      <w:r w:rsidRPr="00A22427">
        <w:instrText xml:space="preserve"> REF _Ref139894524 \r \h </w:instrText>
      </w:r>
      <w:r>
        <w:instrText xml:space="preserve"> \* MERGEFORMAT </w:instrText>
      </w:r>
      <w:r w:rsidRPr="00A22427">
        <w:fldChar w:fldCharType="separate"/>
      </w:r>
      <w:r w:rsidRPr="00A22427">
        <w:t>7.1</w:t>
      </w:r>
      <w:r w:rsidRPr="00A22427">
        <w:fldChar w:fldCharType="end"/>
      </w:r>
      <w:r w:rsidRPr="00A22427">
        <w:t>).</w:t>
      </w:r>
    </w:p>
    <w:p w14:paraId="731D1C38" w14:textId="7868409B" w:rsidR="00BF547B" w:rsidRPr="00A22427" w:rsidRDefault="00BF547B" w:rsidP="00BF547B">
      <w:pPr>
        <w:pStyle w:val="ListParagraph"/>
        <w:numPr>
          <w:ilvl w:val="0"/>
          <w:numId w:val="31"/>
        </w:numPr>
        <w:ind w:left="1134"/>
      </w:pPr>
      <w:r w:rsidRPr="00A22427">
        <w:t xml:space="preserve">The CMA should be amended with respect to specific uncertain parameters so that the Australian Government does not bear the financial risk of these uncertainties, given the Australian population already has access to therapy that is at least as effective and safe. The submission’s CMA had several uncertainties which would need to be resolved to ensure the cost of ravulizumab would be no greater than that of eculizumab (paragraph </w:t>
      </w:r>
      <w:r w:rsidRPr="00A22427">
        <w:fldChar w:fldCharType="begin" w:fldLock="1"/>
      </w:r>
      <w:r w:rsidRPr="00A22427">
        <w:instrText xml:space="preserve"> REF _Ref136614008 \r \h  \* MERGEFORMAT </w:instrText>
      </w:r>
      <w:r w:rsidRPr="00A22427">
        <w:fldChar w:fldCharType="separate"/>
      </w:r>
      <w:r w:rsidRPr="00A22427">
        <w:t>7.10</w:t>
      </w:r>
      <w:r w:rsidRPr="00A22427">
        <w:fldChar w:fldCharType="end"/>
      </w:r>
      <w:r w:rsidRPr="00A22427">
        <w:t>).</w:t>
      </w:r>
    </w:p>
    <w:p w14:paraId="3ED0939E" w14:textId="77777777" w:rsidR="00BF547B" w:rsidRPr="00A22427" w:rsidRDefault="00BF547B" w:rsidP="00BF547B">
      <w:pPr>
        <w:pStyle w:val="ListParagraph"/>
        <w:numPr>
          <w:ilvl w:val="0"/>
          <w:numId w:val="31"/>
        </w:numPr>
        <w:ind w:left="1134"/>
      </w:pPr>
      <w:r w:rsidRPr="00A22427">
        <w:t xml:space="preserve">The financial estimates should be adjusted to include an estimate for the proportion of all ravulizumab-treated patients who would switch from eculizumab </w:t>
      </w:r>
      <w:r w:rsidRPr="00A22427">
        <w:lastRenderedPageBreak/>
        <w:t xml:space="preserve">versus the proportion who would initiate on ravulizumab. Further, the PBAC considered the estimated linear growth in utilisation over the forward estimates was not justified and that a risk sharing arrangement (RSA) with 100% rebate to cover the overall PBS cost of aHUS therapy with a C5 inhibitor would be required (paragraph </w:t>
      </w:r>
      <w:r w:rsidRPr="00A22427">
        <w:fldChar w:fldCharType="begin" w:fldLock="1"/>
      </w:r>
      <w:r w:rsidRPr="00A22427">
        <w:instrText xml:space="preserve"> REF _Ref136617313 \r \h  \* MERGEFORMAT </w:instrText>
      </w:r>
      <w:r w:rsidRPr="00A22427">
        <w:fldChar w:fldCharType="separate"/>
      </w:r>
      <w:r w:rsidRPr="00A22427">
        <w:t>7.12</w:t>
      </w:r>
      <w:r w:rsidRPr="00A22427">
        <w:fldChar w:fldCharType="end"/>
      </w:r>
      <w:r w:rsidRPr="00A22427">
        <w:t>).</w:t>
      </w:r>
    </w:p>
    <w:p w14:paraId="62BBF73A" w14:textId="77777777" w:rsidR="00BF547B" w:rsidRPr="00A22427" w:rsidRDefault="00BF547B" w:rsidP="00BF547B">
      <w:pPr>
        <w:pStyle w:val="3-BodyText"/>
        <w:ind w:left="709"/>
      </w:pPr>
      <w:r w:rsidRPr="00A22427">
        <w:rPr>
          <w:highlight w:val="yellow"/>
        </w:rPr>
        <w:fldChar w:fldCharType="begin" w:fldLock="1"/>
      </w:r>
      <w:r w:rsidRPr="00A22427">
        <w:instrText xml:space="preserve"> REF _Ref136617419 \h </w:instrText>
      </w:r>
      <w:r w:rsidRPr="00A22427">
        <w:rPr>
          <w:highlight w:val="yellow"/>
        </w:rPr>
      </w:r>
      <w:r w:rsidRPr="00A22427">
        <w:rPr>
          <w:highlight w:val="yellow"/>
        </w:rPr>
        <w:fldChar w:fldCharType="separate"/>
      </w:r>
      <w:r w:rsidRPr="00A22427">
        <w:t>Table 16</w:t>
      </w:r>
      <w:r w:rsidRPr="00A22427">
        <w:rPr>
          <w:highlight w:val="yellow"/>
        </w:rPr>
        <w:fldChar w:fldCharType="end"/>
      </w:r>
      <w:r w:rsidRPr="00A22427">
        <w:t xml:space="preserve"> summarises how the response to the deferral addressed each of these issues. The response to the deferral provided 2 scenarios for PBAC consideration: a Base case aligning with PBS policy of no PBS funding for public hospital inpatients; and Scenario 1, which would include PBS funding at a discounted price for initiation of ravulizumab under the same circumstances as eculizumab, which allows PBS funding for inpatients in both private and public hospital settings. </w:t>
      </w:r>
    </w:p>
    <w:p w14:paraId="60085C50" w14:textId="77777777" w:rsidR="00BF547B" w:rsidRPr="00A22427" w:rsidRDefault="00BF547B" w:rsidP="00BF547B">
      <w:pPr>
        <w:pStyle w:val="Caption"/>
        <w:rPr>
          <w:rStyle w:val="CommentReference"/>
        </w:rPr>
      </w:pPr>
      <w:bookmarkStart w:id="75" w:name="_Ref136617419"/>
      <w:r w:rsidRPr="00A22427">
        <w:t xml:space="preserve">Table </w:t>
      </w:r>
      <w:r w:rsidR="00497513">
        <w:fldChar w:fldCharType="begin" w:fldLock="1"/>
      </w:r>
      <w:r w:rsidR="00497513">
        <w:instrText xml:space="preserve"> SEQ Table \* ARABIC </w:instrText>
      </w:r>
      <w:r w:rsidR="00497513">
        <w:fldChar w:fldCharType="separate"/>
      </w:r>
      <w:r w:rsidRPr="00A22427">
        <w:t>16</w:t>
      </w:r>
      <w:r w:rsidR="00497513">
        <w:fldChar w:fldCharType="end"/>
      </w:r>
      <w:bookmarkEnd w:id="75"/>
      <w:r w:rsidRPr="00A22427">
        <w:rPr>
          <w:rStyle w:val="CommentReference"/>
          <w:b/>
          <w:bCs w:val="0"/>
        </w:rPr>
        <w:t xml:space="preserve">: Summary of changes made in the response to the </w:t>
      </w:r>
      <w:proofErr w:type="gramStart"/>
      <w:r w:rsidRPr="00A22427">
        <w:rPr>
          <w:rStyle w:val="CommentReference"/>
          <w:b/>
          <w:bCs w:val="0"/>
        </w:rPr>
        <w:t>deferral</w:t>
      </w:r>
      <w:proofErr w:type="gramEnd"/>
    </w:p>
    <w:tbl>
      <w:tblPr>
        <w:tblStyle w:val="Tabellengitternetz9pt1"/>
        <w:tblW w:w="0" w:type="auto"/>
        <w:tblInd w:w="0" w:type="dxa"/>
        <w:tblLook w:val="04A0" w:firstRow="1" w:lastRow="0" w:firstColumn="1" w:lastColumn="0" w:noHBand="0" w:noVBand="1"/>
      </w:tblPr>
      <w:tblGrid>
        <w:gridCol w:w="3397"/>
        <w:gridCol w:w="3402"/>
        <w:gridCol w:w="2218"/>
      </w:tblGrid>
      <w:tr w:rsidR="00BF547B" w:rsidRPr="00A22427" w14:paraId="04B89A30" w14:textId="77777777" w:rsidTr="00DF6E70">
        <w:trPr>
          <w:tblHeader/>
        </w:trPr>
        <w:tc>
          <w:tcPr>
            <w:tcW w:w="3397" w:type="dxa"/>
            <w:hideMark/>
          </w:tcPr>
          <w:p w14:paraId="3BCA46A6" w14:textId="52837DBB" w:rsidR="00BF547B" w:rsidRPr="00A22427" w:rsidRDefault="00BF547B" w:rsidP="00DF6E70">
            <w:pPr>
              <w:jc w:val="center"/>
              <w:rPr>
                <w:rFonts w:ascii="Arial Narrow" w:hAnsi="Arial Narrow"/>
                <w:b/>
                <w:bCs/>
                <w:sz w:val="20"/>
                <w:szCs w:val="20"/>
              </w:rPr>
            </w:pPr>
            <w:r w:rsidRPr="00A22427">
              <w:rPr>
                <w:rFonts w:ascii="Arial Narrow" w:hAnsi="Arial Narrow"/>
                <w:b/>
                <w:bCs/>
                <w:sz w:val="20"/>
                <w:szCs w:val="20"/>
              </w:rPr>
              <w:t xml:space="preserve">PBAC </w:t>
            </w:r>
            <w:r w:rsidR="00665019">
              <w:rPr>
                <w:rFonts w:ascii="Arial Narrow" w:hAnsi="Arial Narrow"/>
                <w:b/>
                <w:bCs/>
                <w:sz w:val="20"/>
                <w:szCs w:val="20"/>
              </w:rPr>
              <w:t>PSD</w:t>
            </w:r>
            <w:r w:rsidR="00665019" w:rsidRPr="00A22427">
              <w:rPr>
                <w:rFonts w:ascii="Arial Narrow" w:hAnsi="Arial Narrow"/>
                <w:b/>
                <w:bCs/>
                <w:sz w:val="20"/>
                <w:szCs w:val="20"/>
              </w:rPr>
              <w:t xml:space="preserve"> </w:t>
            </w:r>
          </w:p>
          <w:p w14:paraId="5A05231F" w14:textId="77777777" w:rsidR="00BF547B" w:rsidRPr="00A22427" w:rsidRDefault="00BF547B" w:rsidP="00DF6E70">
            <w:pPr>
              <w:jc w:val="center"/>
              <w:rPr>
                <w:rFonts w:ascii="Arial Narrow" w:hAnsi="Arial Narrow"/>
                <w:b/>
                <w:bCs/>
                <w:sz w:val="20"/>
                <w:szCs w:val="20"/>
              </w:rPr>
            </w:pPr>
            <w:r w:rsidRPr="00A22427">
              <w:rPr>
                <w:rFonts w:ascii="Arial Narrow" w:hAnsi="Arial Narrow"/>
                <w:b/>
                <w:bCs/>
                <w:sz w:val="20"/>
                <w:szCs w:val="20"/>
              </w:rPr>
              <w:t>March 2023</w:t>
            </w:r>
          </w:p>
        </w:tc>
        <w:tc>
          <w:tcPr>
            <w:tcW w:w="3402" w:type="dxa"/>
            <w:hideMark/>
          </w:tcPr>
          <w:p w14:paraId="12214DC8" w14:textId="77777777" w:rsidR="00BF547B" w:rsidRPr="00A22427" w:rsidRDefault="00BF547B" w:rsidP="00DF6E70">
            <w:pPr>
              <w:jc w:val="center"/>
              <w:rPr>
                <w:rFonts w:ascii="Arial Narrow" w:hAnsi="Arial Narrow"/>
                <w:b/>
                <w:bCs/>
                <w:sz w:val="20"/>
                <w:szCs w:val="20"/>
              </w:rPr>
            </w:pPr>
            <w:r w:rsidRPr="00A22427">
              <w:rPr>
                <w:rFonts w:ascii="Arial Narrow" w:hAnsi="Arial Narrow"/>
                <w:b/>
                <w:bCs/>
                <w:sz w:val="20"/>
                <w:szCs w:val="20"/>
              </w:rPr>
              <w:t>Response to the deferral (Base Case)</w:t>
            </w:r>
          </w:p>
          <w:p w14:paraId="22B1AC41" w14:textId="77777777" w:rsidR="00BF547B" w:rsidRPr="00A22427" w:rsidRDefault="00BF547B" w:rsidP="00DF6E70">
            <w:pPr>
              <w:jc w:val="center"/>
              <w:rPr>
                <w:rFonts w:ascii="Arial Narrow" w:hAnsi="Arial Narrow"/>
                <w:b/>
                <w:bCs/>
                <w:sz w:val="20"/>
                <w:szCs w:val="20"/>
              </w:rPr>
            </w:pPr>
            <w:r w:rsidRPr="00A22427">
              <w:rPr>
                <w:rFonts w:ascii="Arial Narrow" w:hAnsi="Arial Narrow"/>
                <w:b/>
                <w:bCs/>
                <w:sz w:val="20"/>
                <w:szCs w:val="20"/>
              </w:rPr>
              <w:t>July 2023</w:t>
            </w:r>
          </w:p>
        </w:tc>
        <w:tc>
          <w:tcPr>
            <w:tcW w:w="2218" w:type="dxa"/>
          </w:tcPr>
          <w:p w14:paraId="1529EEBE" w14:textId="77777777" w:rsidR="00BF547B" w:rsidRPr="00A22427" w:rsidRDefault="00BF547B" w:rsidP="00DF6E70">
            <w:pPr>
              <w:jc w:val="center"/>
              <w:rPr>
                <w:rFonts w:ascii="Arial Narrow" w:hAnsi="Arial Narrow"/>
                <w:b/>
                <w:bCs/>
                <w:sz w:val="20"/>
                <w:szCs w:val="20"/>
              </w:rPr>
            </w:pPr>
            <w:r w:rsidRPr="00A22427">
              <w:rPr>
                <w:rFonts w:ascii="Arial Narrow" w:hAnsi="Arial Narrow"/>
                <w:b/>
                <w:bCs/>
                <w:sz w:val="20"/>
                <w:szCs w:val="20"/>
              </w:rPr>
              <w:t>Addressed?</w:t>
            </w:r>
          </w:p>
        </w:tc>
      </w:tr>
      <w:tr w:rsidR="00BF547B" w:rsidRPr="00A22427" w14:paraId="47BCB983" w14:textId="77777777" w:rsidTr="00DF6E70">
        <w:tc>
          <w:tcPr>
            <w:tcW w:w="9017" w:type="dxa"/>
            <w:gridSpan w:val="3"/>
            <w:tcBorders>
              <w:bottom w:val="single" w:sz="4" w:space="0" w:color="auto"/>
            </w:tcBorders>
            <w:shd w:val="clear" w:color="auto" w:fill="D9D9D9" w:themeFill="background1" w:themeFillShade="D9"/>
          </w:tcPr>
          <w:p w14:paraId="38FFC887" w14:textId="77777777" w:rsidR="00BF547B" w:rsidRPr="00A22427" w:rsidRDefault="00BF547B" w:rsidP="00DF6E70">
            <w:pPr>
              <w:jc w:val="left"/>
              <w:rPr>
                <w:rFonts w:ascii="Arial Narrow" w:hAnsi="Arial Narrow"/>
                <w:b/>
                <w:bCs/>
                <w:sz w:val="20"/>
                <w:szCs w:val="20"/>
                <w:highlight w:val="lightGray"/>
              </w:rPr>
            </w:pPr>
            <w:r w:rsidRPr="00A22427">
              <w:rPr>
                <w:rFonts w:ascii="Arial Narrow" w:hAnsi="Arial Narrow"/>
                <w:b/>
                <w:bCs/>
                <w:sz w:val="20"/>
                <w:szCs w:val="20"/>
              </w:rPr>
              <w:t>Requested listing</w:t>
            </w:r>
          </w:p>
        </w:tc>
      </w:tr>
      <w:tr w:rsidR="00BF547B" w:rsidRPr="00A22427" w14:paraId="6B71E74F" w14:textId="77777777" w:rsidTr="00DF6E70">
        <w:trPr>
          <w:trHeight w:val="1058"/>
        </w:trPr>
        <w:tc>
          <w:tcPr>
            <w:tcW w:w="3397" w:type="dxa"/>
            <w:tcBorders>
              <w:bottom w:val="nil"/>
            </w:tcBorders>
          </w:tcPr>
          <w:p w14:paraId="2E25A198" w14:textId="77777777" w:rsidR="00BF547B" w:rsidRPr="00A22427" w:rsidRDefault="00BF547B" w:rsidP="00DF6E70">
            <w:pPr>
              <w:jc w:val="left"/>
              <w:rPr>
                <w:rFonts w:ascii="Arial Narrow" w:hAnsi="Arial Narrow"/>
                <w:sz w:val="20"/>
                <w:szCs w:val="20"/>
                <w:lang w:eastAsia="en-US"/>
              </w:rPr>
            </w:pPr>
            <w:r w:rsidRPr="00A22427">
              <w:rPr>
                <w:rFonts w:ascii="Arial Narrow" w:hAnsi="Arial Narrow"/>
                <w:sz w:val="20"/>
                <w:szCs w:val="20"/>
                <w:lang w:eastAsia="en-US"/>
              </w:rPr>
              <w:t xml:space="preserve">The PBAC advised the atypical hemolytic uremic syndrome (aHUS) Expert Reference Group should be consulted on the revised aHUS restrictions (paragraph </w:t>
            </w:r>
            <w:r w:rsidRPr="00A22427">
              <w:rPr>
                <w:rFonts w:ascii="Arial Narrow" w:hAnsi="Arial Narrow"/>
                <w:sz w:val="20"/>
                <w:szCs w:val="20"/>
                <w:lang w:eastAsia="en-US"/>
              </w:rPr>
              <w:fldChar w:fldCharType="begin" w:fldLock="1"/>
            </w:r>
            <w:r w:rsidRPr="00A22427">
              <w:rPr>
                <w:rFonts w:ascii="Arial Narrow" w:hAnsi="Arial Narrow"/>
                <w:sz w:val="20"/>
                <w:szCs w:val="20"/>
                <w:lang w:eastAsia="en-US"/>
              </w:rPr>
              <w:instrText xml:space="preserve"> REF _Ref140844868 \r \h </w:instrText>
            </w:r>
            <w:r w:rsidRPr="00A22427">
              <w:rPr>
                <w:rFonts w:ascii="Arial Narrow" w:hAnsi="Arial Narrow"/>
                <w:sz w:val="20"/>
                <w:szCs w:val="20"/>
                <w:lang w:eastAsia="en-US"/>
              </w:rPr>
            </w:r>
            <w:r w:rsidRPr="00A22427">
              <w:rPr>
                <w:rFonts w:ascii="Arial Narrow" w:hAnsi="Arial Narrow"/>
                <w:sz w:val="20"/>
                <w:szCs w:val="20"/>
                <w:lang w:eastAsia="en-US"/>
              </w:rPr>
              <w:fldChar w:fldCharType="separate"/>
            </w:r>
            <w:r w:rsidRPr="00A22427">
              <w:rPr>
                <w:rFonts w:ascii="Arial Narrow" w:hAnsi="Arial Narrow"/>
                <w:sz w:val="20"/>
                <w:szCs w:val="20"/>
                <w:lang w:eastAsia="en-US"/>
              </w:rPr>
              <w:t>7.4</w:t>
            </w:r>
            <w:r w:rsidRPr="00A22427">
              <w:rPr>
                <w:rFonts w:ascii="Arial Narrow" w:hAnsi="Arial Narrow"/>
                <w:sz w:val="20"/>
                <w:szCs w:val="20"/>
                <w:lang w:eastAsia="en-US"/>
              </w:rPr>
              <w:fldChar w:fldCharType="end"/>
            </w:r>
            <w:r w:rsidRPr="00A22427">
              <w:rPr>
                <w:rFonts w:ascii="Arial Narrow" w:hAnsi="Arial Narrow"/>
                <w:sz w:val="20"/>
                <w:szCs w:val="20"/>
                <w:lang w:eastAsia="en-US"/>
              </w:rPr>
              <w:t>). Following this consultation, it was proposed the requested PBS restriction should be amended to preclude use in public hospital inpatients, noting that PBS funding in these patients is inconsistent with PBS policy. There would be associated flow on restriction criteria required, to (i) allow non-PBS patients to transition to PBS subsidised therapy upon hospital discharge; and (ii) allow patients to switch between eculizumab and ravulizumab and vice versa.</w:t>
            </w:r>
          </w:p>
        </w:tc>
        <w:tc>
          <w:tcPr>
            <w:tcW w:w="3402" w:type="dxa"/>
            <w:tcBorders>
              <w:bottom w:val="nil"/>
            </w:tcBorders>
          </w:tcPr>
          <w:p w14:paraId="624962E3" w14:textId="197B5FDA" w:rsidR="00BF547B" w:rsidRPr="00A22427" w:rsidRDefault="00BF547B" w:rsidP="003F4D85">
            <w:pPr>
              <w:ind w:left="38" w:hanging="38"/>
              <w:jc w:val="left"/>
              <w:rPr>
                <w:rFonts w:ascii="Arial Narrow" w:hAnsi="Arial Narrow"/>
                <w:sz w:val="20"/>
                <w:szCs w:val="20"/>
                <w:lang w:eastAsia="en-US"/>
              </w:rPr>
            </w:pPr>
            <w:r w:rsidRPr="00A22427">
              <w:rPr>
                <w:rFonts w:ascii="Arial Narrow" w:hAnsi="Arial Narrow"/>
                <w:sz w:val="20"/>
                <w:szCs w:val="20"/>
                <w:lang w:eastAsia="en-US"/>
              </w:rPr>
              <w:t xml:space="preserve">The response to the deferral broadly agreed with the intent of the restrictions provided by the Department, following input from the aHUS Expert Reference Group. The response to the deferral proposed that: (i) the ravulizumab restriction should broadly align with the eculizumab restriction, with the exception of the note ‘ravulizumab is not PBS-subsidised if it is prescribed to an inpatient in a public hospital setting’ for the base case option; (ii) unlimited switching between eculizumab and ravulizumab may occur based upon clinical judgement; (iii) treatment phases for ravulizumab should take the most conservative durations; (iv) non-PBS patients will be able to transition to PBS subsidised therapy upon hospital discharge. </w:t>
            </w:r>
          </w:p>
        </w:tc>
        <w:tc>
          <w:tcPr>
            <w:tcW w:w="2218" w:type="dxa"/>
            <w:tcBorders>
              <w:bottom w:val="nil"/>
            </w:tcBorders>
          </w:tcPr>
          <w:p w14:paraId="346395AD" w14:textId="77777777" w:rsidR="00BF547B" w:rsidRPr="00A22427" w:rsidRDefault="00BF547B" w:rsidP="00DF6E70">
            <w:pPr>
              <w:ind w:left="31"/>
              <w:jc w:val="left"/>
              <w:rPr>
                <w:rFonts w:ascii="Arial Narrow" w:hAnsi="Arial Narrow"/>
                <w:sz w:val="20"/>
                <w:szCs w:val="20"/>
                <w:lang w:eastAsia="en-US"/>
              </w:rPr>
            </w:pPr>
            <w:r w:rsidRPr="00A22427">
              <w:rPr>
                <w:rFonts w:ascii="Arial Narrow" w:hAnsi="Arial Narrow"/>
                <w:sz w:val="20"/>
                <w:szCs w:val="20"/>
                <w:lang w:eastAsia="en-US"/>
              </w:rPr>
              <w:t>Yes, for the base case. In relation to point (i), the PBAC re-iterated that inpatient prescribing of PBS-funded ravulizumab would be inconsistent with PBS policy and as such Scenario 1 was not under consideration.</w:t>
            </w:r>
          </w:p>
        </w:tc>
      </w:tr>
      <w:tr w:rsidR="00BF547B" w:rsidRPr="00A22427" w14:paraId="6F4054AE" w14:textId="77777777" w:rsidTr="00DF6E70">
        <w:tc>
          <w:tcPr>
            <w:tcW w:w="9017" w:type="dxa"/>
            <w:gridSpan w:val="3"/>
            <w:tcBorders>
              <w:bottom w:val="single" w:sz="4" w:space="0" w:color="auto"/>
            </w:tcBorders>
            <w:shd w:val="clear" w:color="auto" w:fill="D9D9D9" w:themeFill="background1" w:themeFillShade="D9"/>
          </w:tcPr>
          <w:p w14:paraId="0BC3BD42" w14:textId="77777777" w:rsidR="00BF547B" w:rsidRPr="00A22427" w:rsidRDefault="00BF547B" w:rsidP="00DF6E70">
            <w:pPr>
              <w:rPr>
                <w:rFonts w:ascii="Arial Narrow" w:hAnsi="Arial Narrow"/>
                <w:b/>
                <w:bCs/>
                <w:sz w:val="20"/>
                <w:szCs w:val="20"/>
                <w:highlight w:val="lightGray"/>
              </w:rPr>
            </w:pPr>
            <w:r w:rsidRPr="00A22427">
              <w:rPr>
                <w:rFonts w:ascii="Arial Narrow" w:hAnsi="Arial Narrow"/>
                <w:b/>
                <w:bCs/>
                <w:sz w:val="20"/>
                <w:szCs w:val="20"/>
              </w:rPr>
              <w:t xml:space="preserve">Cost minimisation approach </w:t>
            </w:r>
          </w:p>
        </w:tc>
      </w:tr>
      <w:tr w:rsidR="00BF547B" w:rsidRPr="00A22427" w14:paraId="73DABF07" w14:textId="77777777" w:rsidTr="00DF6E70">
        <w:trPr>
          <w:trHeight w:val="1005"/>
        </w:trPr>
        <w:tc>
          <w:tcPr>
            <w:tcW w:w="3397" w:type="dxa"/>
            <w:tcBorders>
              <w:bottom w:val="single" w:sz="4" w:space="0" w:color="auto"/>
            </w:tcBorders>
          </w:tcPr>
          <w:p w14:paraId="11FD90E6" w14:textId="77777777" w:rsidR="00BF547B" w:rsidRPr="00A22427" w:rsidRDefault="00BF547B" w:rsidP="00DF6E70">
            <w:pPr>
              <w:spacing w:after="120"/>
              <w:jc w:val="left"/>
              <w:rPr>
                <w:rFonts w:ascii="Arial Narrow" w:hAnsi="Arial Narrow" w:cs="Calibri"/>
                <w:sz w:val="20"/>
                <w:szCs w:val="20"/>
                <w:highlight w:val="lightGray"/>
              </w:rPr>
            </w:pPr>
            <w:r w:rsidRPr="00A22427">
              <w:rPr>
                <w:rFonts w:ascii="Arial Narrow" w:hAnsi="Arial Narrow"/>
                <w:sz w:val="20"/>
                <w:szCs w:val="20"/>
              </w:rPr>
              <w:t xml:space="preserve">Uncertainty regarding trial-based equi-effective doses, </w:t>
            </w:r>
            <w:r w:rsidRPr="00A22427">
              <w:rPr>
                <w:rFonts w:ascii="Arial Narrow" w:hAnsi="Arial Narrow"/>
                <w:sz w:val="20"/>
                <w:szCs w:val="20"/>
                <w:lang w:eastAsia="en-US"/>
              </w:rPr>
              <w:t xml:space="preserve">weight of patients in clinical practice, and the number of vials that will be administered per dose in practice (paragraph </w:t>
            </w:r>
            <w:r w:rsidRPr="00A22427">
              <w:rPr>
                <w:rFonts w:ascii="Arial Narrow" w:hAnsi="Arial Narrow"/>
                <w:sz w:val="20"/>
                <w:szCs w:val="20"/>
                <w:lang w:eastAsia="en-US"/>
              </w:rPr>
              <w:fldChar w:fldCharType="begin" w:fldLock="1"/>
            </w:r>
            <w:r w:rsidRPr="00A22427">
              <w:rPr>
                <w:rFonts w:ascii="Arial Narrow" w:hAnsi="Arial Narrow"/>
                <w:sz w:val="20"/>
                <w:szCs w:val="20"/>
                <w:lang w:eastAsia="en-US"/>
              </w:rPr>
              <w:instrText xml:space="preserve"> REF _Ref136614008 \r \h </w:instrText>
            </w:r>
            <w:r w:rsidRPr="00A22427">
              <w:rPr>
                <w:rFonts w:ascii="Arial Narrow" w:hAnsi="Arial Narrow"/>
                <w:sz w:val="20"/>
                <w:szCs w:val="20"/>
                <w:lang w:eastAsia="en-US"/>
              </w:rPr>
            </w:r>
            <w:r w:rsidRPr="00A22427">
              <w:rPr>
                <w:rFonts w:ascii="Arial Narrow" w:hAnsi="Arial Narrow"/>
                <w:sz w:val="20"/>
                <w:szCs w:val="20"/>
                <w:lang w:eastAsia="en-US"/>
              </w:rPr>
              <w:fldChar w:fldCharType="separate"/>
            </w:r>
            <w:r w:rsidRPr="00A22427">
              <w:rPr>
                <w:rFonts w:ascii="Arial Narrow" w:hAnsi="Arial Narrow"/>
                <w:sz w:val="20"/>
                <w:szCs w:val="20"/>
                <w:lang w:eastAsia="en-US"/>
              </w:rPr>
              <w:t>7.10</w:t>
            </w:r>
            <w:r w:rsidRPr="00A22427">
              <w:rPr>
                <w:rFonts w:ascii="Arial Narrow" w:hAnsi="Arial Narrow"/>
                <w:sz w:val="20"/>
                <w:szCs w:val="20"/>
                <w:lang w:eastAsia="en-US"/>
              </w:rPr>
              <w:fldChar w:fldCharType="end"/>
            </w:r>
            <w:r w:rsidRPr="00A22427">
              <w:rPr>
                <w:rFonts w:ascii="Arial Narrow" w:hAnsi="Arial Narrow"/>
                <w:sz w:val="20"/>
                <w:szCs w:val="20"/>
                <w:lang w:eastAsia="en-US"/>
              </w:rPr>
              <w:t xml:space="preserve">). </w:t>
            </w:r>
          </w:p>
        </w:tc>
        <w:tc>
          <w:tcPr>
            <w:tcW w:w="3402" w:type="dxa"/>
            <w:tcBorders>
              <w:bottom w:val="single" w:sz="4" w:space="0" w:color="auto"/>
            </w:tcBorders>
          </w:tcPr>
          <w:p w14:paraId="47AC7A6E" w14:textId="77777777" w:rsidR="00BF547B" w:rsidRPr="00A22427" w:rsidRDefault="00BF547B" w:rsidP="00665019">
            <w:pPr>
              <w:jc w:val="left"/>
              <w:rPr>
                <w:rFonts w:ascii="Arial Narrow" w:hAnsi="Arial Narrow"/>
                <w:sz w:val="20"/>
                <w:szCs w:val="20"/>
              </w:rPr>
            </w:pPr>
            <w:r w:rsidRPr="00A22427">
              <w:rPr>
                <w:rFonts w:ascii="Arial Narrow" w:hAnsi="Arial Narrow"/>
                <w:sz w:val="20"/>
                <w:szCs w:val="20"/>
              </w:rPr>
              <w:t xml:space="preserve">The response to the deferral included the SAS output from the 311 </w:t>
            </w:r>
            <w:proofErr w:type="gramStart"/>
            <w:r w:rsidRPr="00A22427">
              <w:rPr>
                <w:rFonts w:ascii="Arial Narrow" w:hAnsi="Arial Narrow"/>
                <w:sz w:val="20"/>
                <w:szCs w:val="20"/>
              </w:rPr>
              <w:t>trial</w:t>
            </w:r>
            <w:proofErr w:type="gramEnd"/>
            <w:r w:rsidRPr="00A22427">
              <w:rPr>
                <w:rFonts w:ascii="Arial Narrow" w:hAnsi="Arial Narrow"/>
                <w:sz w:val="20"/>
                <w:szCs w:val="20"/>
              </w:rPr>
              <w:t xml:space="preserve">, showing patient level data of treatment exposure. The analysis demonstrated the dose-equivalence relied upon in the March 2023 submission favours eculizumab, with exposure in the 311 trial lower than what was assumed in the March 2023 submission (which relied upon the Product Information dosing). The revised CMA remains unchanged from the March 2023 submission regarding the dose-equivalence. This approach was conservative. </w:t>
            </w:r>
          </w:p>
        </w:tc>
        <w:tc>
          <w:tcPr>
            <w:tcW w:w="2218" w:type="dxa"/>
          </w:tcPr>
          <w:p w14:paraId="3EE1B49D" w14:textId="77777777" w:rsidR="00BF547B" w:rsidRPr="00A22427" w:rsidRDefault="00BF547B" w:rsidP="00DF6E70">
            <w:pPr>
              <w:jc w:val="left"/>
              <w:rPr>
                <w:rFonts w:ascii="Arial Narrow" w:hAnsi="Arial Narrow" w:cs="Calibri"/>
                <w:sz w:val="20"/>
                <w:szCs w:val="20"/>
              </w:rPr>
            </w:pPr>
            <w:r w:rsidRPr="00A22427">
              <w:rPr>
                <w:rFonts w:ascii="Arial Narrow" w:hAnsi="Arial Narrow" w:cs="Calibri"/>
                <w:sz w:val="20"/>
                <w:szCs w:val="20"/>
              </w:rPr>
              <w:t>Yes</w:t>
            </w:r>
          </w:p>
        </w:tc>
      </w:tr>
      <w:tr w:rsidR="00BF547B" w:rsidRPr="00A22427" w14:paraId="42238AF1" w14:textId="77777777" w:rsidTr="00665019">
        <w:trPr>
          <w:trHeight w:val="1191"/>
        </w:trPr>
        <w:tc>
          <w:tcPr>
            <w:tcW w:w="3397" w:type="dxa"/>
            <w:tcBorders>
              <w:bottom w:val="dashed" w:sz="4" w:space="0" w:color="auto"/>
            </w:tcBorders>
          </w:tcPr>
          <w:p w14:paraId="29DF6123" w14:textId="77777777" w:rsidR="00BF547B" w:rsidRPr="00A22427" w:rsidRDefault="00BF547B" w:rsidP="00665019">
            <w:pPr>
              <w:jc w:val="left"/>
              <w:rPr>
                <w:rFonts w:ascii="Arial Narrow" w:hAnsi="Arial Narrow"/>
                <w:sz w:val="20"/>
                <w:szCs w:val="20"/>
              </w:rPr>
            </w:pPr>
            <w:r w:rsidRPr="00A22427">
              <w:rPr>
                <w:rFonts w:ascii="Arial Narrow" w:hAnsi="Arial Narrow"/>
                <w:sz w:val="20"/>
                <w:szCs w:val="20"/>
                <w:lang w:eastAsia="en-US"/>
              </w:rPr>
              <w:lastRenderedPageBreak/>
              <w:t xml:space="preserve">CMA did not adequately account for patients who will switch from eculizumab to ravulizumab and incur an additional loading dose, nor did it account for the different duration of therapies supplied under each restriction phase (paragraph </w:t>
            </w:r>
            <w:r w:rsidRPr="00A22427">
              <w:rPr>
                <w:rFonts w:ascii="Arial Narrow" w:hAnsi="Arial Narrow"/>
                <w:sz w:val="20"/>
                <w:szCs w:val="20"/>
                <w:lang w:eastAsia="en-US"/>
              </w:rPr>
              <w:fldChar w:fldCharType="begin" w:fldLock="1"/>
            </w:r>
            <w:r w:rsidRPr="00A22427">
              <w:rPr>
                <w:rFonts w:ascii="Arial Narrow" w:hAnsi="Arial Narrow"/>
                <w:sz w:val="20"/>
                <w:szCs w:val="20"/>
                <w:lang w:eastAsia="en-US"/>
              </w:rPr>
              <w:instrText xml:space="preserve"> REF _Ref136614008 \r \h </w:instrText>
            </w:r>
            <w:r w:rsidRPr="00A22427">
              <w:rPr>
                <w:rFonts w:ascii="Arial Narrow" w:hAnsi="Arial Narrow"/>
                <w:sz w:val="20"/>
                <w:szCs w:val="20"/>
                <w:lang w:eastAsia="en-US"/>
              </w:rPr>
            </w:r>
            <w:r w:rsidRPr="00A22427">
              <w:rPr>
                <w:rFonts w:ascii="Arial Narrow" w:hAnsi="Arial Narrow"/>
                <w:sz w:val="20"/>
                <w:szCs w:val="20"/>
                <w:lang w:eastAsia="en-US"/>
              </w:rPr>
              <w:fldChar w:fldCharType="separate"/>
            </w:r>
            <w:r w:rsidRPr="00A22427">
              <w:rPr>
                <w:rFonts w:ascii="Arial Narrow" w:hAnsi="Arial Narrow"/>
                <w:sz w:val="20"/>
                <w:szCs w:val="20"/>
                <w:lang w:eastAsia="en-US"/>
              </w:rPr>
              <w:t>7.10</w:t>
            </w:r>
            <w:r w:rsidRPr="00A22427">
              <w:rPr>
                <w:rFonts w:ascii="Arial Narrow" w:hAnsi="Arial Narrow"/>
                <w:sz w:val="20"/>
                <w:szCs w:val="20"/>
                <w:lang w:eastAsia="en-US"/>
              </w:rPr>
              <w:fldChar w:fldCharType="end"/>
            </w:r>
            <w:r w:rsidRPr="00A22427">
              <w:rPr>
                <w:rFonts w:ascii="Arial Narrow" w:hAnsi="Arial Narrow"/>
                <w:sz w:val="20"/>
                <w:szCs w:val="20"/>
                <w:lang w:eastAsia="en-US"/>
              </w:rPr>
              <w:t>).</w:t>
            </w:r>
          </w:p>
        </w:tc>
        <w:tc>
          <w:tcPr>
            <w:tcW w:w="3402" w:type="dxa"/>
            <w:tcBorders>
              <w:bottom w:val="dashed" w:sz="4" w:space="0" w:color="auto"/>
            </w:tcBorders>
          </w:tcPr>
          <w:p w14:paraId="799E3D46" w14:textId="77777777" w:rsidR="00BF547B" w:rsidRPr="00A22427" w:rsidRDefault="00BF547B" w:rsidP="00665019">
            <w:pPr>
              <w:jc w:val="left"/>
              <w:rPr>
                <w:rFonts w:ascii="Arial Narrow" w:hAnsi="Arial Narrow"/>
                <w:sz w:val="20"/>
                <w:szCs w:val="20"/>
                <w:highlight w:val="yellow"/>
              </w:rPr>
            </w:pPr>
            <w:r w:rsidRPr="00A22427">
              <w:rPr>
                <w:rFonts w:ascii="Arial Narrow" w:hAnsi="Arial Narrow"/>
                <w:sz w:val="20"/>
                <w:szCs w:val="20"/>
              </w:rPr>
              <w:t xml:space="preserve">The response to the deferral included the additional loading dose in CMA </w:t>
            </w:r>
            <w:r w:rsidRPr="00A22427">
              <w:rPr>
                <w:rFonts w:ascii="Arial Narrow" w:hAnsi="Arial Narrow"/>
                <w:sz w:val="20"/>
                <w:szCs w:val="20"/>
                <w:lang w:eastAsia="en-US"/>
              </w:rPr>
              <w:t>for patients who will switch from eculizumab to ravulizumab</w:t>
            </w:r>
            <w:r w:rsidRPr="00A22427">
              <w:rPr>
                <w:rFonts w:ascii="Arial Narrow" w:hAnsi="Arial Narrow"/>
                <w:sz w:val="20"/>
                <w:szCs w:val="20"/>
              </w:rPr>
              <w:t xml:space="preserve"> and </w:t>
            </w:r>
            <w:r w:rsidRPr="00A22427">
              <w:rPr>
                <w:rFonts w:ascii="Arial Narrow" w:hAnsi="Arial Narrow"/>
                <w:sz w:val="20"/>
                <w:szCs w:val="20"/>
                <w:lang w:eastAsia="en-US"/>
              </w:rPr>
              <w:t>accounted for the different duration of therapies supplied under each restriction phase</w:t>
            </w:r>
            <w:r w:rsidRPr="00A22427">
              <w:rPr>
                <w:rFonts w:ascii="Arial Narrow" w:hAnsi="Arial Narrow"/>
                <w:sz w:val="20"/>
                <w:szCs w:val="20"/>
              </w:rPr>
              <w:t>.</w:t>
            </w:r>
          </w:p>
        </w:tc>
        <w:tc>
          <w:tcPr>
            <w:tcW w:w="2218" w:type="dxa"/>
            <w:tcBorders>
              <w:bottom w:val="dashed" w:sz="4" w:space="0" w:color="auto"/>
            </w:tcBorders>
          </w:tcPr>
          <w:p w14:paraId="46A1A429" w14:textId="77777777" w:rsidR="00BF547B" w:rsidRPr="00A22427" w:rsidRDefault="00BF547B" w:rsidP="00DF6E70">
            <w:pPr>
              <w:jc w:val="left"/>
              <w:rPr>
                <w:rFonts w:ascii="Arial Narrow" w:hAnsi="Arial Narrow" w:cs="Calibri"/>
                <w:sz w:val="20"/>
                <w:szCs w:val="20"/>
              </w:rPr>
            </w:pPr>
            <w:r w:rsidRPr="00A22427">
              <w:rPr>
                <w:rFonts w:ascii="Arial Narrow" w:hAnsi="Arial Narrow" w:cs="Calibri"/>
                <w:sz w:val="20"/>
                <w:szCs w:val="20"/>
              </w:rPr>
              <w:t>Yes</w:t>
            </w:r>
          </w:p>
        </w:tc>
      </w:tr>
      <w:tr w:rsidR="00BF547B" w:rsidRPr="00A22427" w14:paraId="60C089DA" w14:textId="77777777" w:rsidTr="00DF6E70">
        <w:tc>
          <w:tcPr>
            <w:tcW w:w="9017" w:type="dxa"/>
            <w:gridSpan w:val="3"/>
            <w:tcBorders>
              <w:bottom w:val="single" w:sz="4" w:space="0" w:color="auto"/>
            </w:tcBorders>
            <w:shd w:val="clear" w:color="auto" w:fill="D9D9D9" w:themeFill="background1" w:themeFillShade="D9"/>
          </w:tcPr>
          <w:p w14:paraId="6896156B" w14:textId="77777777" w:rsidR="00BF547B" w:rsidRPr="00A22427" w:rsidRDefault="00BF547B" w:rsidP="00DF6E70">
            <w:pPr>
              <w:contextualSpacing/>
              <w:rPr>
                <w:rFonts w:ascii="Arial Narrow" w:hAnsi="Arial Narrow" w:cs="Calibri"/>
                <w:b/>
                <w:bCs/>
                <w:sz w:val="20"/>
                <w:szCs w:val="20"/>
                <w:highlight w:val="lightGray"/>
              </w:rPr>
            </w:pPr>
            <w:r w:rsidRPr="00A22427">
              <w:rPr>
                <w:rFonts w:ascii="Arial Narrow" w:hAnsi="Arial Narrow" w:cs="Calibri"/>
                <w:b/>
                <w:bCs/>
                <w:sz w:val="20"/>
                <w:szCs w:val="20"/>
              </w:rPr>
              <w:t>Financial estimates</w:t>
            </w:r>
          </w:p>
        </w:tc>
      </w:tr>
      <w:tr w:rsidR="00BF547B" w:rsidRPr="00A22427" w14:paraId="3CC4FAD3" w14:textId="77777777" w:rsidTr="00DF6E70">
        <w:tc>
          <w:tcPr>
            <w:tcW w:w="3397" w:type="dxa"/>
            <w:tcBorders>
              <w:bottom w:val="single" w:sz="4" w:space="0" w:color="auto"/>
            </w:tcBorders>
          </w:tcPr>
          <w:p w14:paraId="5575642F" w14:textId="77777777" w:rsidR="00BF547B" w:rsidRPr="00A22427" w:rsidRDefault="00BF547B" w:rsidP="00DF6E70">
            <w:pPr>
              <w:jc w:val="left"/>
              <w:rPr>
                <w:rFonts w:ascii="Arial Narrow" w:hAnsi="Arial Narrow" w:cs="Calibri"/>
                <w:sz w:val="20"/>
                <w:szCs w:val="20"/>
                <w:highlight w:val="lightGray"/>
              </w:rPr>
            </w:pPr>
            <w:r w:rsidRPr="00A22427">
              <w:rPr>
                <w:rFonts w:ascii="Arial Narrow" w:hAnsi="Arial Narrow"/>
                <w:sz w:val="20"/>
                <w:szCs w:val="20"/>
              </w:rPr>
              <w:t xml:space="preserve">Did not appear to estimate the proportion of all ravulizumab-treated patients who would have switched from eculizumab versus the proportion who would have initiated on ravulizumab (paragraph </w:t>
            </w:r>
            <w:r w:rsidRPr="00A22427">
              <w:rPr>
                <w:rFonts w:ascii="Arial Narrow" w:hAnsi="Arial Narrow"/>
                <w:sz w:val="20"/>
                <w:szCs w:val="20"/>
              </w:rPr>
              <w:fldChar w:fldCharType="begin" w:fldLock="1"/>
            </w:r>
            <w:r w:rsidRPr="00A22427">
              <w:rPr>
                <w:rFonts w:ascii="Arial Narrow" w:hAnsi="Arial Narrow"/>
                <w:sz w:val="20"/>
                <w:szCs w:val="20"/>
              </w:rPr>
              <w:instrText xml:space="preserve"> REF _Ref136617313 \r \h </w:instrText>
            </w:r>
            <w:r w:rsidRPr="00A22427">
              <w:rPr>
                <w:rFonts w:ascii="Arial Narrow" w:hAnsi="Arial Narrow"/>
                <w:sz w:val="20"/>
                <w:szCs w:val="20"/>
              </w:rPr>
            </w:r>
            <w:r w:rsidRPr="00A22427">
              <w:rPr>
                <w:rFonts w:ascii="Arial Narrow" w:hAnsi="Arial Narrow"/>
                <w:sz w:val="20"/>
                <w:szCs w:val="20"/>
              </w:rPr>
              <w:fldChar w:fldCharType="separate"/>
            </w:r>
            <w:r w:rsidRPr="00A22427">
              <w:rPr>
                <w:rFonts w:ascii="Arial Narrow" w:hAnsi="Arial Narrow"/>
                <w:sz w:val="20"/>
                <w:szCs w:val="20"/>
              </w:rPr>
              <w:t>7.12</w:t>
            </w:r>
            <w:r w:rsidRPr="00A22427">
              <w:rPr>
                <w:rFonts w:ascii="Arial Narrow" w:hAnsi="Arial Narrow"/>
                <w:sz w:val="20"/>
                <w:szCs w:val="20"/>
              </w:rPr>
              <w:fldChar w:fldCharType="end"/>
            </w:r>
            <w:r w:rsidRPr="00A22427">
              <w:rPr>
                <w:rFonts w:ascii="Arial Narrow" w:hAnsi="Arial Narrow"/>
                <w:sz w:val="20"/>
                <w:szCs w:val="20"/>
              </w:rPr>
              <w:t>).</w:t>
            </w:r>
          </w:p>
        </w:tc>
        <w:tc>
          <w:tcPr>
            <w:tcW w:w="3402" w:type="dxa"/>
            <w:tcBorders>
              <w:bottom w:val="single" w:sz="4" w:space="0" w:color="auto"/>
            </w:tcBorders>
          </w:tcPr>
          <w:p w14:paraId="4649AEC8" w14:textId="26AE901A" w:rsidR="00BF547B" w:rsidRPr="00A22427" w:rsidRDefault="00BF547B" w:rsidP="00DF6E70">
            <w:pPr>
              <w:jc w:val="left"/>
              <w:rPr>
                <w:rFonts w:ascii="Arial Narrow" w:hAnsi="Arial Narrow" w:cs="Calibri"/>
                <w:sz w:val="20"/>
                <w:szCs w:val="20"/>
              </w:rPr>
            </w:pPr>
            <w:r w:rsidRPr="00A22427">
              <w:rPr>
                <w:rFonts w:ascii="Arial Narrow" w:hAnsi="Arial Narrow" w:cs="Calibri"/>
                <w:sz w:val="20"/>
                <w:szCs w:val="20"/>
              </w:rPr>
              <w:t xml:space="preserve">The response to the deferral proposed that the additional loading dose requirements for the prevalent eculizumab population that will switch to ravulizumab will </w:t>
            </w:r>
            <w:r w:rsidR="00740926" w:rsidRPr="00740926">
              <w:rPr>
                <w:rFonts w:ascii="Arial Narrow" w:hAnsi="Arial Narrow" w:cs="Calibri"/>
                <w:color w:val="000000"/>
                <w:spacing w:val="27"/>
                <w:sz w:val="20"/>
                <w:szCs w:val="20"/>
                <w:shd w:val="solid" w:color="000000" w:fill="000000"/>
                <w:fitText w:val="1100" w:id="-1168355580"/>
                <w14:textFill>
                  <w14:solidFill>
                    <w14:srgbClr w14:val="000000">
                      <w14:alpha w14:val="100000"/>
                    </w14:srgbClr>
                  </w14:solidFill>
                </w14:textFill>
              </w:rPr>
              <w:t>|||||||||||||||</w:t>
            </w:r>
            <w:r w:rsidR="00740926" w:rsidRPr="00740926">
              <w:rPr>
                <w:rFonts w:ascii="Arial Narrow" w:hAnsi="Arial Narrow" w:cs="Calibri"/>
                <w:color w:val="000000"/>
                <w:spacing w:val="7"/>
                <w:sz w:val="20"/>
                <w:szCs w:val="20"/>
                <w:shd w:val="solid" w:color="000000" w:fill="000000"/>
                <w:fitText w:val="1100" w:id="-1168355580"/>
                <w14:textFill>
                  <w14:solidFill>
                    <w14:srgbClr w14:val="000000">
                      <w14:alpha w14:val="100000"/>
                    </w14:srgbClr>
                  </w14:solidFill>
                </w14:textFill>
              </w:rPr>
              <w:t>|</w:t>
            </w:r>
            <w:r w:rsidRPr="00A22427">
              <w:rPr>
                <w:rFonts w:ascii="Arial Narrow" w:hAnsi="Arial Narrow" w:cs="Calibri"/>
                <w:sz w:val="20"/>
                <w:szCs w:val="20"/>
              </w:rPr>
              <w:t xml:space="preserve"> with ravulizumab therapy will not result in additional cost to Government. </w:t>
            </w:r>
            <w:r w:rsidR="00740926" w:rsidRPr="00740926">
              <w:rPr>
                <w:rFonts w:ascii="Arial Narrow" w:hAnsi="Arial Narrow" w:cs="Calibri"/>
                <w:color w:val="000000"/>
                <w:spacing w:val="40"/>
                <w:sz w:val="20"/>
                <w:szCs w:val="20"/>
                <w:shd w:val="solid" w:color="000000" w:fill="000000"/>
                <w:fitText w:val="326" w:id="-1168355579"/>
                <w14:textFill>
                  <w14:solidFill>
                    <w14:srgbClr w14:val="000000">
                      <w14:alpha w14:val="100000"/>
                    </w14:srgbClr>
                  </w14:solidFill>
                </w14:textFill>
              </w:rPr>
              <w:t>|||</w:t>
            </w:r>
            <w:r w:rsidR="00740926" w:rsidRPr="00740926">
              <w:rPr>
                <w:rFonts w:ascii="Arial Narrow" w:hAnsi="Arial Narrow" w:cs="Calibri"/>
                <w:color w:val="000000"/>
                <w:spacing w:val="27"/>
                <w:sz w:val="20"/>
                <w:szCs w:val="20"/>
                <w:shd w:val="solid" w:color="000000" w:fill="000000"/>
                <w:fitText w:val="326" w:id="-1168355579"/>
                <w14:textFill>
                  <w14:solidFill>
                    <w14:srgbClr w14:val="000000">
                      <w14:alpha w14:val="100000"/>
                    </w14:srgbClr>
                  </w14:solidFill>
                </w14:textFill>
              </w:rPr>
              <w:t>|</w:t>
            </w:r>
            <w:r w:rsidRPr="00A22427">
              <w:rPr>
                <w:rFonts w:ascii="Arial Narrow" w:hAnsi="Arial Narrow" w:cs="Calibri"/>
                <w:sz w:val="20"/>
                <w:szCs w:val="20"/>
              </w:rPr>
              <w:t>are then built into the price of ravulizumab for the proportion of patients that will initiate on eculizumab therapy and switch to ravulizumab in the future, so no further reduction is necessary.</w:t>
            </w:r>
          </w:p>
        </w:tc>
        <w:tc>
          <w:tcPr>
            <w:tcW w:w="2218" w:type="dxa"/>
            <w:tcBorders>
              <w:bottom w:val="single" w:sz="4" w:space="0" w:color="auto"/>
            </w:tcBorders>
          </w:tcPr>
          <w:p w14:paraId="13C30C8B" w14:textId="77777777" w:rsidR="00BF547B" w:rsidRPr="00A22427" w:rsidRDefault="00BF547B" w:rsidP="00DF6E70">
            <w:pPr>
              <w:jc w:val="left"/>
              <w:rPr>
                <w:rFonts w:ascii="Arial Narrow" w:hAnsi="Arial Narrow" w:cs="Calibri"/>
                <w:sz w:val="20"/>
                <w:szCs w:val="20"/>
              </w:rPr>
            </w:pPr>
            <w:r w:rsidRPr="00A22427">
              <w:rPr>
                <w:rFonts w:ascii="Arial Narrow" w:hAnsi="Arial Narrow" w:cs="Calibri"/>
                <w:sz w:val="20"/>
                <w:szCs w:val="20"/>
              </w:rPr>
              <w:t>Yes</w:t>
            </w:r>
          </w:p>
        </w:tc>
      </w:tr>
      <w:tr w:rsidR="00BF547B" w:rsidRPr="00A22427" w14:paraId="2E11F345" w14:textId="77777777" w:rsidTr="00DF6E70">
        <w:tc>
          <w:tcPr>
            <w:tcW w:w="3397" w:type="dxa"/>
            <w:tcBorders>
              <w:bottom w:val="single" w:sz="4" w:space="0" w:color="auto"/>
            </w:tcBorders>
          </w:tcPr>
          <w:p w14:paraId="6BD751AF" w14:textId="77777777" w:rsidR="00BF547B" w:rsidRPr="00A22427" w:rsidRDefault="00BF547B" w:rsidP="00DF6E70">
            <w:pPr>
              <w:jc w:val="left"/>
              <w:rPr>
                <w:rFonts w:ascii="Arial Narrow" w:hAnsi="Arial Narrow"/>
                <w:sz w:val="20"/>
                <w:szCs w:val="20"/>
              </w:rPr>
            </w:pPr>
            <w:r w:rsidRPr="00A22427">
              <w:rPr>
                <w:rFonts w:ascii="Arial Narrow" w:hAnsi="Arial Narrow"/>
                <w:sz w:val="20"/>
                <w:szCs w:val="20"/>
                <w:lang w:eastAsia="en-US"/>
              </w:rPr>
              <w:t xml:space="preserve">Clarify projected linear growth in treated patients given that the listing of ravulizumab is not expected to grow the market (paragraph </w:t>
            </w:r>
            <w:r w:rsidRPr="00A22427">
              <w:rPr>
                <w:rFonts w:ascii="Arial Narrow" w:hAnsi="Arial Narrow"/>
                <w:sz w:val="20"/>
                <w:szCs w:val="20"/>
                <w:lang w:eastAsia="en-US"/>
              </w:rPr>
              <w:fldChar w:fldCharType="begin" w:fldLock="1"/>
            </w:r>
            <w:r w:rsidRPr="00A22427">
              <w:rPr>
                <w:rFonts w:ascii="Arial Narrow" w:hAnsi="Arial Narrow"/>
                <w:sz w:val="20"/>
                <w:szCs w:val="20"/>
                <w:lang w:eastAsia="en-US"/>
              </w:rPr>
              <w:instrText xml:space="preserve"> REF _Ref136617313 \r \h </w:instrText>
            </w:r>
            <w:r w:rsidRPr="00A22427">
              <w:rPr>
                <w:rFonts w:ascii="Arial Narrow" w:hAnsi="Arial Narrow"/>
                <w:sz w:val="20"/>
                <w:szCs w:val="20"/>
                <w:lang w:eastAsia="en-US"/>
              </w:rPr>
            </w:r>
            <w:r w:rsidRPr="00A22427">
              <w:rPr>
                <w:rFonts w:ascii="Arial Narrow" w:hAnsi="Arial Narrow"/>
                <w:sz w:val="20"/>
                <w:szCs w:val="20"/>
                <w:lang w:eastAsia="en-US"/>
              </w:rPr>
              <w:fldChar w:fldCharType="separate"/>
            </w:r>
            <w:r w:rsidRPr="00A22427">
              <w:rPr>
                <w:rFonts w:ascii="Arial Narrow" w:hAnsi="Arial Narrow"/>
                <w:sz w:val="20"/>
                <w:szCs w:val="20"/>
                <w:lang w:eastAsia="en-US"/>
              </w:rPr>
              <w:t>7.12</w:t>
            </w:r>
            <w:r w:rsidRPr="00A22427">
              <w:rPr>
                <w:rFonts w:ascii="Arial Narrow" w:hAnsi="Arial Narrow"/>
                <w:sz w:val="20"/>
                <w:szCs w:val="20"/>
                <w:lang w:eastAsia="en-US"/>
              </w:rPr>
              <w:fldChar w:fldCharType="end"/>
            </w:r>
            <w:r w:rsidRPr="00A22427">
              <w:rPr>
                <w:rFonts w:ascii="Arial Narrow" w:hAnsi="Arial Narrow"/>
                <w:sz w:val="20"/>
                <w:szCs w:val="20"/>
                <w:lang w:eastAsia="en-US"/>
              </w:rPr>
              <w:t>).</w:t>
            </w:r>
          </w:p>
        </w:tc>
        <w:tc>
          <w:tcPr>
            <w:tcW w:w="3402" w:type="dxa"/>
            <w:tcBorders>
              <w:bottom w:val="single" w:sz="4" w:space="0" w:color="auto"/>
            </w:tcBorders>
          </w:tcPr>
          <w:p w14:paraId="3E658908" w14:textId="0E007678" w:rsidR="00BF547B" w:rsidRPr="00A22427" w:rsidRDefault="00BF547B" w:rsidP="00DF6E70">
            <w:pPr>
              <w:jc w:val="left"/>
              <w:rPr>
                <w:rFonts w:ascii="Arial Narrow" w:hAnsi="Arial Narrow" w:cs="Calibri"/>
                <w:sz w:val="20"/>
                <w:szCs w:val="20"/>
              </w:rPr>
            </w:pPr>
            <w:r w:rsidRPr="00A22427">
              <w:rPr>
                <w:rFonts w:ascii="Arial Narrow" w:hAnsi="Arial Narrow" w:cs="Calibri"/>
                <w:sz w:val="20"/>
                <w:szCs w:val="20"/>
              </w:rPr>
              <w:t>The response to the deferral applied a linear growth trend with increased patient numbers (</w:t>
            </w:r>
            <w:r w:rsidR="00740926" w:rsidRPr="00740926">
              <w:rPr>
                <w:rFonts w:ascii="Arial Narrow" w:hAnsi="Arial Narrow" w:cs="Calibri"/>
                <w:color w:val="000000"/>
                <w:spacing w:val="54"/>
                <w:sz w:val="20"/>
                <w:szCs w:val="20"/>
                <w:shd w:val="solid" w:color="000000" w:fill="000000"/>
                <w:fitText w:val="340" w:id="-1168355578"/>
                <w14:textFill>
                  <w14:solidFill>
                    <w14:srgbClr w14:val="000000">
                      <w14:alpha w14:val="100000"/>
                    </w14:srgbClr>
                  </w14:solidFill>
                </w14:textFill>
              </w:rPr>
              <w:t>|||</w:t>
            </w:r>
            <w:r w:rsidR="00740926" w:rsidRPr="00740926">
              <w:rPr>
                <w:rFonts w:ascii="Arial Narrow" w:hAnsi="Arial Narrow" w:cs="Calibri"/>
                <w:color w:val="000000"/>
                <w:spacing w:val="14"/>
                <w:sz w:val="20"/>
                <w:szCs w:val="20"/>
                <w:shd w:val="solid" w:color="000000" w:fill="000000"/>
                <w:fitText w:val="340" w:id="-1168355578"/>
                <w14:textFill>
                  <w14:solidFill>
                    <w14:srgbClr w14:val="000000">
                      <w14:alpha w14:val="100000"/>
                    </w14:srgbClr>
                  </w14:solidFill>
                </w14:textFill>
              </w:rPr>
              <w:t>|</w:t>
            </w:r>
            <w:r w:rsidR="008827F3">
              <w:rPr>
                <w:rFonts w:ascii="Arial Narrow" w:hAnsi="Arial Narrow" w:cs="Calibri"/>
                <w:sz w:val="20"/>
                <w:szCs w:val="20"/>
                <w:vertAlign w:val="superscript"/>
              </w:rPr>
              <w:t>1</w:t>
            </w:r>
            <w:r w:rsidRPr="00A22427">
              <w:rPr>
                <w:rFonts w:ascii="Arial Narrow" w:hAnsi="Arial Narrow" w:cs="Calibri"/>
                <w:sz w:val="20"/>
                <w:szCs w:val="20"/>
              </w:rPr>
              <w:t xml:space="preserve"> patients over 6 years) compared to the March 2023 consideration (</w:t>
            </w:r>
            <w:r w:rsidR="00740926" w:rsidRPr="00740926">
              <w:rPr>
                <w:rFonts w:ascii="Arial Narrow" w:hAnsi="Arial Narrow" w:cs="Calibri"/>
                <w:color w:val="000000"/>
                <w:spacing w:val="40"/>
                <w:sz w:val="20"/>
                <w:szCs w:val="20"/>
                <w:shd w:val="solid" w:color="000000" w:fill="000000"/>
                <w:fitText w:val="326" w:id="-1168355577"/>
                <w14:textFill>
                  <w14:solidFill>
                    <w14:srgbClr w14:val="000000">
                      <w14:alpha w14:val="100000"/>
                    </w14:srgbClr>
                  </w14:solidFill>
                </w14:textFill>
              </w:rPr>
              <w:t>|||</w:t>
            </w:r>
            <w:r w:rsidR="00740926" w:rsidRPr="00740926">
              <w:rPr>
                <w:rFonts w:ascii="Arial Narrow" w:hAnsi="Arial Narrow" w:cs="Calibri"/>
                <w:color w:val="000000"/>
                <w:spacing w:val="27"/>
                <w:sz w:val="20"/>
                <w:szCs w:val="20"/>
                <w:shd w:val="solid" w:color="000000" w:fill="000000"/>
                <w:fitText w:val="326" w:id="-1168355577"/>
                <w14:textFill>
                  <w14:solidFill>
                    <w14:srgbClr w14:val="000000">
                      <w14:alpha w14:val="100000"/>
                    </w14:srgbClr>
                  </w14:solidFill>
                </w14:textFill>
              </w:rPr>
              <w:t>|</w:t>
            </w:r>
            <w:r w:rsidR="008827F3" w:rsidRPr="008827F3">
              <w:rPr>
                <w:rFonts w:ascii="Arial Narrow" w:hAnsi="Arial Narrow" w:cs="Calibri"/>
                <w:sz w:val="20"/>
                <w:szCs w:val="20"/>
                <w:vertAlign w:val="superscript"/>
              </w:rPr>
              <w:t>1</w:t>
            </w:r>
            <w:r w:rsidRPr="00A22427">
              <w:rPr>
                <w:rFonts w:ascii="Arial Narrow" w:hAnsi="Arial Narrow" w:cs="Calibri"/>
                <w:sz w:val="20"/>
                <w:szCs w:val="20"/>
              </w:rPr>
              <w:t xml:space="preserve"> patients over 6 years).</w:t>
            </w:r>
          </w:p>
        </w:tc>
        <w:tc>
          <w:tcPr>
            <w:tcW w:w="2218" w:type="dxa"/>
            <w:tcBorders>
              <w:bottom w:val="single" w:sz="4" w:space="0" w:color="auto"/>
            </w:tcBorders>
          </w:tcPr>
          <w:p w14:paraId="5846C575" w14:textId="77777777" w:rsidR="00BF547B" w:rsidRPr="00A22427" w:rsidRDefault="00BF547B" w:rsidP="00DF6E70">
            <w:pPr>
              <w:jc w:val="left"/>
              <w:rPr>
                <w:rFonts w:ascii="Arial Narrow" w:hAnsi="Arial Narrow" w:cs="Calibri"/>
                <w:sz w:val="20"/>
                <w:szCs w:val="20"/>
              </w:rPr>
            </w:pPr>
            <w:r w:rsidRPr="00A22427">
              <w:rPr>
                <w:rFonts w:ascii="Arial Narrow" w:hAnsi="Arial Narrow" w:cs="Calibri"/>
                <w:sz w:val="20"/>
                <w:szCs w:val="20"/>
              </w:rPr>
              <w:t xml:space="preserve">No. </w:t>
            </w:r>
          </w:p>
        </w:tc>
      </w:tr>
      <w:tr w:rsidR="00BF547B" w:rsidRPr="00A22427" w14:paraId="1AF62B14" w14:textId="77777777" w:rsidTr="00DF6E70">
        <w:tc>
          <w:tcPr>
            <w:tcW w:w="9017" w:type="dxa"/>
            <w:gridSpan w:val="3"/>
            <w:tcBorders>
              <w:top w:val="single" w:sz="4" w:space="0" w:color="auto"/>
            </w:tcBorders>
            <w:shd w:val="clear" w:color="auto" w:fill="D9D9D9" w:themeFill="background1" w:themeFillShade="D9"/>
          </w:tcPr>
          <w:p w14:paraId="01AE68C6" w14:textId="77777777" w:rsidR="00BF547B" w:rsidRPr="00A22427" w:rsidRDefault="00BF547B" w:rsidP="00DF6E70">
            <w:pPr>
              <w:rPr>
                <w:rFonts w:ascii="Arial Narrow" w:hAnsi="Arial Narrow" w:cs="Calibri"/>
                <w:b/>
                <w:bCs/>
                <w:sz w:val="20"/>
                <w:szCs w:val="20"/>
              </w:rPr>
            </w:pPr>
            <w:r w:rsidRPr="00A22427">
              <w:rPr>
                <w:rFonts w:ascii="Arial Narrow" w:hAnsi="Arial Narrow" w:cs="Calibri"/>
                <w:b/>
                <w:bCs/>
                <w:sz w:val="20"/>
                <w:szCs w:val="20"/>
              </w:rPr>
              <w:t>Risk sharing arrangements</w:t>
            </w:r>
          </w:p>
        </w:tc>
      </w:tr>
      <w:tr w:rsidR="00BF547B" w:rsidRPr="00A22427" w14:paraId="116267FE" w14:textId="77777777" w:rsidTr="00DF6E70">
        <w:tc>
          <w:tcPr>
            <w:tcW w:w="3397" w:type="dxa"/>
          </w:tcPr>
          <w:p w14:paraId="70DF6C1E" w14:textId="77777777" w:rsidR="00BF547B" w:rsidRPr="00A22427" w:rsidRDefault="00BF547B" w:rsidP="00DF6E70">
            <w:pPr>
              <w:jc w:val="left"/>
              <w:rPr>
                <w:rFonts w:ascii="Arial Narrow" w:hAnsi="Arial Narrow" w:cs="Calibri"/>
                <w:sz w:val="20"/>
                <w:szCs w:val="20"/>
                <w:highlight w:val="lightGray"/>
              </w:rPr>
            </w:pPr>
            <w:r w:rsidRPr="00A22427">
              <w:rPr>
                <w:rFonts w:ascii="Arial Narrow" w:hAnsi="Arial Narrow" w:cs="Calibri"/>
                <w:sz w:val="20"/>
                <w:szCs w:val="20"/>
              </w:rPr>
              <w:t xml:space="preserve">A risk sharing arrangement should be employed to cover the overall PBS cost of aHUS treatment with a C5 inhibitor therapy (paragraph </w:t>
            </w:r>
            <w:r w:rsidRPr="00A22427">
              <w:rPr>
                <w:rFonts w:ascii="Arial Narrow" w:hAnsi="Arial Narrow" w:cs="Calibri"/>
                <w:sz w:val="20"/>
                <w:szCs w:val="20"/>
              </w:rPr>
              <w:fldChar w:fldCharType="begin" w:fldLock="1"/>
            </w:r>
            <w:r w:rsidRPr="00A22427">
              <w:rPr>
                <w:rFonts w:ascii="Arial Narrow" w:hAnsi="Arial Narrow" w:cs="Calibri"/>
                <w:sz w:val="20"/>
                <w:szCs w:val="20"/>
              </w:rPr>
              <w:instrText xml:space="preserve"> REF _Ref136617313 \r \h </w:instrText>
            </w:r>
            <w:r w:rsidRPr="00A22427">
              <w:rPr>
                <w:rFonts w:ascii="Arial Narrow" w:hAnsi="Arial Narrow" w:cs="Calibri"/>
                <w:sz w:val="20"/>
                <w:szCs w:val="20"/>
              </w:rPr>
            </w:r>
            <w:r w:rsidRPr="00A22427">
              <w:rPr>
                <w:rFonts w:ascii="Arial Narrow" w:hAnsi="Arial Narrow" w:cs="Calibri"/>
                <w:sz w:val="20"/>
                <w:szCs w:val="20"/>
              </w:rPr>
              <w:fldChar w:fldCharType="separate"/>
            </w:r>
            <w:r w:rsidRPr="00A22427">
              <w:rPr>
                <w:rFonts w:ascii="Arial Narrow" w:hAnsi="Arial Narrow" w:cs="Calibri"/>
                <w:sz w:val="20"/>
                <w:szCs w:val="20"/>
              </w:rPr>
              <w:t>7.12</w:t>
            </w:r>
            <w:r w:rsidRPr="00A22427">
              <w:rPr>
                <w:rFonts w:ascii="Arial Narrow" w:hAnsi="Arial Narrow" w:cs="Calibri"/>
                <w:sz w:val="20"/>
                <w:szCs w:val="20"/>
              </w:rPr>
              <w:fldChar w:fldCharType="end"/>
            </w:r>
            <w:r w:rsidRPr="00A22427">
              <w:rPr>
                <w:rFonts w:ascii="Arial Narrow" w:hAnsi="Arial Narrow" w:cs="Calibri"/>
                <w:sz w:val="20"/>
                <w:szCs w:val="20"/>
              </w:rPr>
              <w:t xml:space="preserve">). </w:t>
            </w:r>
          </w:p>
        </w:tc>
        <w:tc>
          <w:tcPr>
            <w:tcW w:w="3402" w:type="dxa"/>
          </w:tcPr>
          <w:p w14:paraId="4643A12D" w14:textId="77777777" w:rsidR="00BF547B" w:rsidRPr="00A22427" w:rsidRDefault="00BF547B" w:rsidP="00DF6E70">
            <w:pPr>
              <w:spacing w:after="120"/>
              <w:jc w:val="left"/>
              <w:rPr>
                <w:rFonts w:ascii="Arial Narrow" w:hAnsi="Arial Narrow" w:cs="Calibri"/>
                <w:sz w:val="20"/>
                <w:szCs w:val="20"/>
                <w:highlight w:val="lightGray"/>
              </w:rPr>
            </w:pPr>
            <w:r w:rsidRPr="00A22427">
              <w:rPr>
                <w:rFonts w:ascii="Arial Narrow" w:hAnsi="Arial Narrow" w:cs="Calibri"/>
                <w:sz w:val="20"/>
                <w:szCs w:val="20"/>
              </w:rPr>
              <w:t xml:space="preserve">The response indicated that the Sponsor is willing to </w:t>
            </w:r>
            <w:proofErr w:type="gramStart"/>
            <w:r w:rsidRPr="00A22427">
              <w:rPr>
                <w:rFonts w:ascii="Arial Narrow" w:hAnsi="Arial Narrow" w:cs="Calibri"/>
                <w:sz w:val="20"/>
                <w:szCs w:val="20"/>
              </w:rPr>
              <w:t>enter into</w:t>
            </w:r>
            <w:proofErr w:type="gramEnd"/>
            <w:r w:rsidRPr="00A22427">
              <w:rPr>
                <w:rFonts w:ascii="Arial Narrow" w:hAnsi="Arial Narrow" w:cs="Calibri"/>
                <w:sz w:val="20"/>
                <w:szCs w:val="20"/>
              </w:rPr>
              <w:t xml:space="preserve"> the specified RSA.</w:t>
            </w:r>
          </w:p>
        </w:tc>
        <w:tc>
          <w:tcPr>
            <w:tcW w:w="2218" w:type="dxa"/>
          </w:tcPr>
          <w:p w14:paraId="2B8B12F1" w14:textId="77777777" w:rsidR="00BF547B" w:rsidRPr="00A22427" w:rsidRDefault="00BF547B" w:rsidP="00DF6E70">
            <w:pPr>
              <w:jc w:val="left"/>
              <w:rPr>
                <w:rFonts w:ascii="Arial Narrow" w:hAnsi="Arial Narrow" w:cs="Calibri"/>
                <w:sz w:val="20"/>
                <w:szCs w:val="20"/>
              </w:rPr>
            </w:pPr>
            <w:r w:rsidRPr="00A22427">
              <w:rPr>
                <w:rFonts w:ascii="Arial Narrow" w:hAnsi="Arial Narrow" w:cs="Calibri"/>
                <w:sz w:val="20"/>
                <w:szCs w:val="20"/>
              </w:rPr>
              <w:t>Yes</w:t>
            </w:r>
          </w:p>
        </w:tc>
      </w:tr>
    </w:tbl>
    <w:p w14:paraId="2F11109A" w14:textId="2D18FDC5" w:rsidR="008827F3" w:rsidRPr="009A6D58" w:rsidRDefault="008827F3" w:rsidP="008827F3">
      <w:pPr>
        <w:rPr>
          <w:rFonts w:ascii="Arial Narrow" w:hAnsi="Arial Narrow" w:cs="Arial"/>
          <w:i/>
          <w:sz w:val="18"/>
          <w:szCs w:val="18"/>
          <w:lang w:eastAsia="en-AU"/>
        </w:rPr>
      </w:pPr>
      <w:r w:rsidRPr="009A6D58">
        <w:rPr>
          <w:rFonts w:ascii="Arial Narrow" w:hAnsi="Arial Narrow" w:cs="Arial"/>
          <w:i/>
          <w:sz w:val="18"/>
          <w:szCs w:val="18"/>
          <w:lang w:eastAsia="en-AU"/>
        </w:rPr>
        <w:t xml:space="preserve">The redacted values correspond to the following ranges: </w:t>
      </w:r>
    </w:p>
    <w:p w14:paraId="3CB6A9EE" w14:textId="27643E80" w:rsidR="008827F3" w:rsidRPr="009A6D58" w:rsidRDefault="008827F3" w:rsidP="008827F3">
      <w:pPr>
        <w:spacing w:after="120"/>
        <w:rPr>
          <w:rFonts w:ascii="Arial Narrow" w:hAnsi="Arial Narrow" w:cs="Arial"/>
          <w:i/>
          <w:sz w:val="18"/>
          <w:szCs w:val="18"/>
          <w:lang w:eastAsia="en-AU"/>
        </w:rPr>
      </w:pPr>
      <w:r w:rsidRPr="009A6D58">
        <w:rPr>
          <w:rFonts w:ascii="Arial Narrow" w:hAnsi="Arial Narrow" w:cs="Arial"/>
          <w:i/>
          <w:sz w:val="18"/>
          <w:szCs w:val="18"/>
          <w:vertAlign w:val="superscript"/>
          <w:lang w:eastAsia="en-AU"/>
        </w:rPr>
        <w:t>1</w:t>
      </w:r>
      <w:r>
        <w:rPr>
          <w:rFonts w:ascii="Arial Narrow" w:hAnsi="Arial Narrow" w:cs="Arial"/>
          <w:i/>
          <w:sz w:val="18"/>
          <w:szCs w:val="18"/>
          <w:lang w:eastAsia="en-AU"/>
        </w:rPr>
        <w:t xml:space="preserve"> 500 to &lt; 5,000</w:t>
      </w:r>
    </w:p>
    <w:p w14:paraId="2C10BF75" w14:textId="77777777" w:rsidR="00BF547B" w:rsidRPr="00A22427" w:rsidRDefault="00BF547B" w:rsidP="00BF547B">
      <w:pPr>
        <w:pStyle w:val="3-BodyText"/>
        <w:ind w:left="709"/>
        <w:rPr>
          <w:rStyle w:val="CommentReference"/>
          <w:rFonts w:asciiTheme="minorHAnsi" w:hAnsiTheme="minorHAnsi" w:cstheme="minorHAnsi"/>
          <w:b w:val="0"/>
          <w:sz w:val="24"/>
          <w:szCs w:val="24"/>
        </w:rPr>
      </w:pPr>
      <w:r w:rsidRPr="00A22427">
        <w:t>The text and tables below summarise the Base Case provided in the response to the deferral, and Scenario 1 where relevant.</w:t>
      </w:r>
    </w:p>
    <w:p w14:paraId="198DADD1" w14:textId="77777777" w:rsidR="00BF547B" w:rsidRPr="00A22427" w:rsidRDefault="00BF547B" w:rsidP="00BF547B">
      <w:pPr>
        <w:pStyle w:val="2-SectionHeading"/>
        <w:numPr>
          <w:ilvl w:val="0"/>
          <w:numId w:val="1"/>
        </w:numPr>
      </w:pPr>
      <w:r w:rsidRPr="00A22427">
        <w:t xml:space="preserve">Requested </w:t>
      </w:r>
      <w:proofErr w:type="gramStart"/>
      <w:r w:rsidRPr="00A22427">
        <w:t>listing</w:t>
      </w:r>
      <w:proofErr w:type="gramEnd"/>
    </w:p>
    <w:p w14:paraId="6B51FB3F" w14:textId="77777777" w:rsidR="00BF547B" w:rsidRPr="00A22427" w:rsidRDefault="00BF547B" w:rsidP="00BF547B">
      <w:pPr>
        <w:pStyle w:val="3-BodyText"/>
        <w:ind w:left="709"/>
      </w:pPr>
      <w:r w:rsidRPr="00A22427">
        <w:t>The requested restriction in the response to the deferral had the following overarching elements in the Base Case:</w:t>
      </w:r>
    </w:p>
    <w:p w14:paraId="4320954D" w14:textId="77777777" w:rsidR="00BF547B" w:rsidRPr="0083731E" w:rsidRDefault="00BF547B" w:rsidP="00BF547B">
      <w:pPr>
        <w:pStyle w:val="ListParagraph"/>
        <w:numPr>
          <w:ilvl w:val="0"/>
          <w:numId w:val="31"/>
        </w:numPr>
        <w:ind w:left="1134"/>
      </w:pPr>
      <w:r w:rsidRPr="0083731E">
        <w:t>Inclusion of a note in the restriction to specify that ‘ravulizumab is not PBS-subsidised if it is prescribed to an in-patient in a public hospital setting</w:t>
      </w:r>
      <w:proofErr w:type="gramStart"/>
      <w:r w:rsidRPr="0083731E">
        <w:t>’;</w:t>
      </w:r>
      <w:proofErr w:type="gramEnd"/>
    </w:p>
    <w:p w14:paraId="540C76B9" w14:textId="55FA84AB" w:rsidR="00BF547B" w:rsidRPr="0083731E" w:rsidRDefault="00BF547B" w:rsidP="00BF547B">
      <w:pPr>
        <w:pStyle w:val="ListParagraph"/>
        <w:numPr>
          <w:ilvl w:val="0"/>
          <w:numId w:val="31"/>
        </w:numPr>
        <w:ind w:left="1134"/>
      </w:pPr>
      <w:r w:rsidRPr="0083731E">
        <w:rPr>
          <w:rFonts w:eastAsia="Calibri"/>
        </w:rPr>
        <w:t>Patients receiving non-PBS subsidised ravulizumab treatment who would have met the PBS criteria at time of initiation of C5 inhibitor therapy should be able to transition to PBS subsidised ravulizumab post-</w:t>
      </w:r>
      <w:proofErr w:type="gramStart"/>
      <w:r w:rsidRPr="0083731E">
        <w:rPr>
          <w:rFonts w:eastAsia="Calibri"/>
        </w:rPr>
        <w:t>discharge;</w:t>
      </w:r>
      <w:proofErr w:type="gramEnd"/>
    </w:p>
    <w:p w14:paraId="7D33898B" w14:textId="77777777" w:rsidR="00BF547B" w:rsidRPr="0083731E" w:rsidRDefault="00BF547B" w:rsidP="00BF547B">
      <w:pPr>
        <w:pStyle w:val="ListParagraph"/>
        <w:numPr>
          <w:ilvl w:val="0"/>
          <w:numId w:val="31"/>
        </w:numPr>
        <w:ind w:left="1134"/>
      </w:pPr>
      <w:r w:rsidRPr="0083731E">
        <w:rPr>
          <w:rFonts w:eastAsia="Calibri"/>
        </w:rPr>
        <w:t>PBS subsidised public/private in-hospital patients initiated with eculizumab should be able to switch to PBS-subsidised ravulizumab post-discharge, and therefore facilitating treatment switching between PBS funded eculizumab and PBS funded ravulizumab is a key requirement for the restrictions of both eculizumab and ravulizumab.</w:t>
      </w:r>
    </w:p>
    <w:p w14:paraId="3D30A0BE" w14:textId="32CC44A9" w:rsidR="00BF547B" w:rsidRPr="00A22427" w:rsidRDefault="00BF547B" w:rsidP="00BF547B">
      <w:pPr>
        <w:pStyle w:val="3-BodyText"/>
        <w:ind w:left="709"/>
      </w:pPr>
      <w:r w:rsidRPr="00A22427">
        <w:rPr>
          <w:rFonts w:eastAsia="Calibri"/>
        </w:rPr>
        <w:lastRenderedPageBreak/>
        <w:t xml:space="preserve">As discussed in paragraph </w:t>
      </w:r>
      <w:r w:rsidRPr="00A22427">
        <w:rPr>
          <w:rFonts w:eastAsia="Calibri"/>
        </w:rPr>
        <w:fldChar w:fldCharType="begin" w:fldLock="1"/>
      </w:r>
      <w:r w:rsidRPr="00A22427">
        <w:rPr>
          <w:rFonts w:eastAsia="Calibri"/>
        </w:rPr>
        <w:instrText xml:space="preserve"> REF _Ref136949414 \r \h  \* MERGEFORMAT </w:instrText>
      </w:r>
      <w:r w:rsidRPr="00A22427">
        <w:rPr>
          <w:rFonts w:eastAsia="Calibri"/>
        </w:rPr>
      </w:r>
      <w:r w:rsidRPr="00A22427">
        <w:rPr>
          <w:rFonts w:eastAsia="Calibri"/>
        </w:rPr>
        <w:fldChar w:fldCharType="separate"/>
      </w:r>
      <w:r w:rsidRPr="00A22427">
        <w:rPr>
          <w:rFonts w:eastAsia="Calibri"/>
        </w:rPr>
        <w:t>4.5</w:t>
      </w:r>
      <w:r w:rsidRPr="00A22427">
        <w:rPr>
          <w:rFonts w:eastAsia="Calibri"/>
        </w:rPr>
        <w:fldChar w:fldCharType="end"/>
      </w:r>
      <w:r w:rsidRPr="00A22427">
        <w:rPr>
          <w:rFonts w:eastAsia="Calibri"/>
        </w:rPr>
        <w:t xml:space="preserve"> of the March 2023 </w:t>
      </w:r>
      <w:r w:rsidR="00665019">
        <w:rPr>
          <w:rFonts w:eastAsia="Calibri"/>
        </w:rPr>
        <w:t>PSD</w:t>
      </w:r>
      <w:r w:rsidRPr="00A22427">
        <w:rPr>
          <w:rFonts w:eastAsia="Calibri"/>
        </w:rPr>
        <w:t xml:space="preserve">, </w:t>
      </w:r>
      <w:r w:rsidRPr="00A22427">
        <w:t>most patients who are currently on long-term treatment with eculizumab will switch to ravulizumab because of a preference for a greater dosing interval.</w:t>
      </w:r>
    </w:p>
    <w:p w14:paraId="0D936D9F" w14:textId="77777777" w:rsidR="00BF547B" w:rsidRPr="0083731E" w:rsidRDefault="00BF547B" w:rsidP="00BF547B">
      <w:pPr>
        <w:pStyle w:val="3-BodyText"/>
        <w:ind w:left="709"/>
      </w:pPr>
      <w:r w:rsidRPr="0083731E">
        <w:fldChar w:fldCharType="begin" w:fldLock="1"/>
      </w:r>
      <w:r w:rsidRPr="0083731E">
        <w:instrText xml:space="preserve"> REF _Ref136948323 \h </w:instrText>
      </w:r>
      <w:r w:rsidRPr="0083731E">
        <w:fldChar w:fldCharType="separate"/>
      </w:r>
      <w:r w:rsidRPr="0083731E">
        <w:t>Table 17</w:t>
      </w:r>
      <w:r w:rsidRPr="0083731E">
        <w:fldChar w:fldCharType="end"/>
      </w:r>
      <w:r w:rsidRPr="0083731E">
        <w:t xml:space="preserve"> summarises the changes made to the requested listing in the response to the deferral (Base Case).</w:t>
      </w:r>
    </w:p>
    <w:p w14:paraId="6BE12302" w14:textId="77777777" w:rsidR="00BF547B" w:rsidRPr="00A22427" w:rsidRDefault="00BF547B" w:rsidP="00BF547B">
      <w:pPr>
        <w:pStyle w:val="Caption"/>
        <w:rPr>
          <w:szCs w:val="20"/>
        </w:rPr>
      </w:pPr>
      <w:bookmarkStart w:id="76" w:name="_Ref136948323"/>
      <w:r w:rsidRPr="00A22427">
        <w:t xml:space="preserve">Table </w:t>
      </w:r>
      <w:r w:rsidR="00497513">
        <w:fldChar w:fldCharType="begin" w:fldLock="1"/>
      </w:r>
      <w:r w:rsidR="00497513">
        <w:instrText xml:space="preserve"> SEQ Table \* ARABIC </w:instrText>
      </w:r>
      <w:r w:rsidR="00497513">
        <w:fldChar w:fldCharType="separate"/>
      </w:r>
      <w:r w:rsidRPr="00A22427">
        <w:t>17</w:t>
      </w:r>
      <w:r w:rsidR="00497513">
        <w:fldChar w:fldCharType="end"/>
      </w:r>
      <w:bookmarkEnd w:id="76"/>
      <w:r w:rsidRPr="00A22427">
        <w:t xml:space="preserve">: </w:t>
      </w:r>
      <w:r w:rsidRPr="00A22427">
        <w:rPr>
          <w:szCs w:val="20"/>
        </w:rPr>
        <w:t xml:space="preserve">Summary of changes made in the response to the deferral (Base Case) with respect to the requested </w:t>
      </w:r>
      <w:proofErr w:type="gramStart"/>
      <w:r w:rsidRPr="00A22427">
        <w:rPr>
          <w:szCs w:val="20"/>
        </w:rPr>
        <w:t>listing</w:t>
      </w:r>
      <w:proofErr w:type="gramEnd"/>
    </w:p>
    <w:tbl>
      <w:tblPr>
        <w:tblStyle w:val="Tabellengitternetz9pt1"/>
        <w:tblW w:w="0" w:type="auto"/>
        <w:tblInd w:w="0" w:type="dxa"/>
        <w:tblLook w:val="04A0" w:firstRow="1" w:lastRow="0" w:firstColumn="1" w:lastColumn="0" w:noHBand="0" w:noVBand="1"/>
      </w:tblPr>
      <w:tblGrid>
        <w:gridCol w:w="3397"/>
        <w:gridCol w:w="3402"/>
        <w:gridCol w:w="2218"/>
      </w:tblGrid>
      <w:tr w:rsidR="00BF547B" w:rsidRPr="00A22427" w14:paraId="27DF2F12" w14:textId="77777777" w:rsidTr="00DF6E70">
        <w:trPr>
          <w:tblHeader/>
        </w:trPr>
        <w:tc>
          <w:tcPr>
            <w:tcW w:w="3397" w:type="dxa"/>
            <w:hideMark/>
          </w:tcPr>
          <w:p w14:paraId="3708F10C" w14:textId="6172D5EB" w:rsidR="00BF547B" w:rsidRPr="00A22427" w:rsidRDefault="00BF547B" w:rsidP="00DF6E70">
            <w:pPr>
              <w:jc w:val="center"/>
              <w:rPr>
                <w:rFonts w:ascii="Arial Narrow" w:hAnsi="Arial Narrow"/>
                <w:b/>
                <w:bCs/>
                <w:sz w:val="20"/>
                <w:szCs w:val="20"/>
              </w:rPr>
            </w:pPr>
            <w:r w:rsidRPr="00A22427">
              <w:rPr>
                <w:rFonts w:ascii="Arial Narrow" w:hAnsi="Arial Narrow"/>
                <w:b/>
                <w:bCs/>
                <w:sz w:val="20"/>
                <w:szCs w:val="20"/>
              </w:rPr>
              <w:t xml:space="preserve">PBAC </w:t>
            </w:r>
            <w:r w:rsidR="008827F3">
              <w:rPr>
                <w:rFonts w:ascii="Arial Narrow" w:hAnsi="Arial Narrow"/>
                <w:b/>
                <w:bCs/>
                <w:sz w:val="20"/>
                <w:szCs w:val="20"/>
              </w:rPr>
              <w:t>PSD</w:t>
            </w:r>
            <w:r w:rsidR="008827F3" w:rsidRPr="00A22427">
              <w:rPr>
                <w:rFonts w:ascii="Arial Narrow" w:hAnsi="Arial Narrow"/>
                <w:b/>
                <w:bCs/>
                <w:sz w:val="20"/>
                <w:szCs w:val="20"/>
              </w:rPr>
              <w:t xml:space="preserve"> </w:t>
            </w:r>
            <w:r w:rsidRPr="00A22427">
              <w:rPr>
                <w:rFonts w:ascii="Arial Narrow" w:hAnsi="Arial Narrow"/>
                <w:b/>
                <w:bCs/>
                <w:sz w:val="20"/>
                <w:szCs w:val="20"/>
              </w:rPr>
              <w:t xml:space="preserve">recommended </w:t>
            </w:r>
            <w:proofErr w:type="gramStart"/>
            <w:r w:rsidRPr="00A22427">
              <w:rPr>
                <w:rFonts w:ascii="Arial Narrow" w:hAnsi="Arial Narrow"/>
                <w:b/>
                <w:bCs/>
                <w:sz w:val="20"/>
                <w:szCs w:val="20"/>
              </w:rPr>
              <w:t>change</w:t>
            </w:r>
            <w:proofErr w:type="gramEnd"/>
          </w:p>
          <w:p w14:paraId="6D1433CC" w14:textId="77777777" w:rsidR="00BF547B" w:rsidRPr="00A22427" w:rsidRDefault="00BF547B" w:rsidP="00DF6E70">
            <w:pPr>
              <w:keepNext/>
              <w:keepLines/>
              <w:jc w:val="center"/>
              <w:rPr>
                <w:rFonts w:ascii="Arial Narrow" w:hAnsi="Arial Narrow"/>
                <w:b/>
                <w:bCs/>
                <w:sz w:val="20"/>
                <w:szCs w:val="20"/>
              </w:rPr>
            </w:pPr>
            <w:r w:rsidRPr="00A22427">
              <w:rPr>
                <w:rFonts w:ascii="Arial Narrow" w:hAnsi="Arial Narrow"/>
                <w:b/>
                <w:bCs/>
                <w:sz w:val="20"/>
                <w:szCs w:val="20"/>
              </w:rPr>
              <w:t>March 2023</w:t>
            </w:r>
          </w:p>
        </w:tc>
        <w:tc>
          <w:tcPr>
            <w:tcW w:w="3402" w:type="dxa"/>
            <w:hideMark/>
          </w:tcPr>
          <w:p w14:paraId="3B13FC2A" w14:textId="77777777" w:rsidR="00BF547B" w:rsidRPr="00A22427" w:rsidRDefault="00BF547B" w:rsidP="00DF6E70">
            <w:pPr>
              <w:jc w:val="center"/>
              <w:rPr>
                <w:rFonts w:ascii="Arial Narrow" w:hAnsi="Arial Narrow"/>
                <w:b/>
                <w:bCs/>
                <w:sz w:val="20"/>
                <w:szCs w:val="20"/>
              </w:rPr>
            </w:pPr>
            <w:r w:rsidRPr="00A22427">
              <w:rPr>
                <w:rFonts w:ascii="Arial Narrow" w:hAnsi="Arial Narrow"/>
                <w:b/>
                <w:bCs/>
                <w:sz w:val="20"/>
                <w:szCs w:val="20"/>
              </w:rPr>
              <w:t>Response to the deferral (Base Case)</w:t>
            </w:r>
          </w:p>
          <w:p w14:paraId="08BDB632" w14:textId="77777777" w:rsidR="00BF547B" w:rsidRPr="00A22427" w:rsidRDefault="00BF547B" w:rsidP="00DF6E70">
            <w:pPr>
              <w:keepNext/>
              <w:keepLines/>
              <w:jc w:val="center"/>
              <w:rPr>
                <w:rFonts w:ascii="Arial Narrow" w:hAnsi="Arial Narrow"/>
                <w:b/>
                <w:bCs/>
                <w:sz w:val="20"/>
                <w:szCs w:val="20"/>
              </w:rPr>
            </w:pPr>
            <w:r w:rsidRPr="00A22427">
              <w:rPr>
                <w:rFonts w:ascii="Arial Narrow" w:hAnsi="Arial Narrow"/>
                <w:b/>
                <w:bCs/>
                <w:sz w:val="20"/>
                <w:szCs w:val="20"/>
              </w:rPr>
              <w:t>July 2023</w:t>
            </w:r>
          </w:p>
        </w:tc>
        <w:tc>
          <w:tcPr>
            <w:tcW w:w="2218" w:type="dxa"/>
          </w:tcPr>
          <w:p w14:paraId="710354F5" w14:textId="77777777" w:rsidR="00BF547B" w:rsidRPr="00A22427" w:rsidRDefault="00BF547B" w:rsidP="00DF6E70">
            <w:pPr>
              <w:keepNext/>
              <w:keepLines/>
              <w:jc w:val="center"/>
              <w:rPr>
                <w:rFonts w:ascii="Arial Narrow" w:hAnsi="Arial Narrow"/>
                <w:b/>
                <w:bCs/>
                <w:sz w:val="20"/>
                <w:szCs w:val="20"/>
              </w:rPr>
            </w:pPr>
            <w:r w:rsidRPr="00A22427">
              <w:rPr>
                <w:rFonts w:ascii="Arial Narrow" w:hAnsi="Arial Narrow"/>
                <w:b/>
                <w:bCs/>
                <w:sz w:val="20"/>
                <w:szCs w:val="20"/>
              </w:rPr>
              <w:t>Addressed?</w:t>
            </w:r>
          </w:p>
        </w:tc>
      </w:tr>
      <w:tr w:rsidR="00BF547B" w:rsidRPr="00A22427" w14:paraId="4909FE65" w14:textId="77777777" w:rsidTr="00DF6E70">
        <w:trPr>
          <w:trHeight w:val="1013"/>
        </w:trPr>
        <w:tc>
          <w:tcPr>
            <w:tcW w:w="3397" w:type="dxa"/>
          </w:tcPr>
          <w:p w14:paraId="381D86F4" w14:textId="77777777" w:rsidR="00BF547B" w:rsidRPr="00A22427" w:rsidRDefault="00BF547B" w:rsidP="00DF6E70">
            <w:pPr>
              <w:keepNext/>
              <w:keepLines/>
              <w:spacing w:after="120"/>
              <w:contextualSpacing/>
              <w:jc w:val="left"/>
              <w:rPr>
                <w:rFonts w:ascii="Arial Narrow" w:hAnsi="Arial Narrow"/>
                <w:sz w:val="20"/>
                <w:szCs w:val="20"/>
              </w:rPr>
            </w:pPr>
            <w:r w:rsidRPr="00A22427">
              <w:rPr>
                <w:rFonts w:ascii="Arial Narrow" w:hAnsi="Arial Narrow"/>
                <w:sz w:val="20"/>
                <w:szCs w:val="20"/>
              </w:rPr>
              <w:t>Preclude use in public hospital inpatients, noting that PBS funding in these patients is inconsistent with PBS policy. The initial ravulizumab restriction should include the administrative note, “This drug is not PBS-subsidised if it is administered to an in-patient in a public hospital setting”.</w:t>
            </w:r>
          </w:p>
        </w:tc>
        <w:tc>
          <w:tcPr>
            <w:tcW w:w="3402" w:type="dxa"/>
          </w:tcPr>
          <w:p w14:paraId="5FCF0812" w14:textId="77777777" w:rsidR="00BF547B" w:rsidRPr="00A22427" w:rsidRDefault="00BF547B" w:rsidP="00DF6E70">
            <w:pPr>
              <w:keepNext/>
              <w:keepLines/>
              <w:spacing w:after="120"/>
              <w:jc w:val="left"/>
              <w:rPr>
                <w:rFonts w:ascii="Arial Narrow" w:hAnsi="Arial Narrow"/>
                <w:sz w:val="20"/>
                <w:szCs w:val="20"/>
              </w:rPr>
            </w:pPr>
            <w:r w:rsidRPr="00A22427">
              <w:rPr>
                <w:rFonts w:ascii="Arial Narrow" w:hAnsi="Arial Narrow"/>
                <w:sz w:val="20"/>
                <w:szCs w:val="20"/>
              </w:rPr>
              <w:t>The response proposed that the ravulizumab restriction should broadly align with the eculizumab PBS restriction, and add a note, “Ravulizumab is not PBS-subsidised if it is prescribed to an in-patient in a public hospital setting”.</w:t>
            </w:r>
          </w:p>
        </w:tc>
        <w:tc>
          <w:tcPr>
            <w:tcW w:w="2218" w:type="dxa"/>
          </w:tcPr>
          <w:p w14:paraId="247574AE" w14:textId="77777777" w:rsidR="00BF547B" w:rsidRPr="00A22427" w:rsidRDefault="00BF547B" w:rsidP="00DF6E70">
            <w:pPr>
              <w:keepNext/>
              <w:keepLines/>
              <w:jc w:val="left"/>
              <w:rPr>
                <w:rFonts w:ascii="Arial Narrow" w:hAnsi="Arial Narrow"/>
                <w:sz w:val="20"/>
                <w:szCs w:val="20"/>
              </w:rPr>
            </w:pPr>
            <w:r w:rsidRPr="00A22427">
              <w:rPr>
                <w:rFonts w:ascii="Arial Narrow" w:hAnsi="Arial Narrow"/>
                <w:sz w:val="20"/>
                <w:szCs w:val="20"/>
              </w:rPr>
              <w:t>Yes</w:t>
            </w:r>
          </w:p>
        </w:tc>
      </w:tr>
      <w:tr w:rsidR="00BF547B" w:rsidRPr="00A22427" w14:paraId="3C16FA6F" w14:textId="77777777" w:rsidTr="00DF6E70">
        <w:tc>
          <w:tcPr>
            <w:tcW w:w="3397" w:type="dxa"/>
          </w:tcPr>
          <w:p w14:paraId="1F713199" w14:textId="77777777" w:rsidR="00BF547B" w:rsidRPr="00A22427" w:rsidRDefault="00BF547B" w:rsidP="00DF6E70">
            <w:pPr>
              <w:keepNext/>
              <w:keepLines/>
              <w:contextualSpacing/>
              <w:jc w:val="left"/>
              <w:rPr>
                <w:rFonts w:ascii="Arial Narrow" w:hAnsi="Arial Narrow"/>
                <w:sz w:val="20"/>
                <w:szCs w:val="20"/>
              </w:rPr>
            </w:pPr>
            <w:r w:rsidRPr="00A22427">
              <w:rPr>
                <w:rFonts w:ascii="Arial Narrow" w:hAnsi="Arial Narrow"/>
                <w:sz w:val="20"/>
                <w:szCs w:val="20"/>
                <w:lang w:eastAsia="en-US"/>
              </w:rPr>
              <w:t>Align the duration of therapy available more closely under the ravulizumab and eculizumab restrictions.</w:t>
            </w:r>
          </w:p>
        </w:tc>
        <w:tc>
          <w:tcPr>
            <w:tcW w:w="3402" w:type="dxa"/>
          </w:tcPr>
          <w:p w14:paraId="54888A4E" w14:textId="77777777" w:rsidR="00BF547B" w:rsidRPr="00A22427" w:rsidRDefault="00BF547B" w:rsidP="00DF6E70">
            <w:pPr>
              <w:keepNext/>
              <w:keepLines/>
              <w:jc w:val="left"/>
              <w:rPr>
                <w:rFonts w:ascii="Arial Narrow" w:hAnsi="Arial Narrow"/>
                <w:b/>
                <w:bCs/>
                <w:sz w:val="20"/>
                <w:szCs w:val="20"/>
              </w:rPr>
            </w:pPr>
            <w:r w:rsidRPr="00A22427">
              <w:rPr>
                <w:rFonts w:ascii="Arial Narrow" w:hAnsi="Arial Narrow"/>
                <w:sz w:val="20"/>
                <w:szCs w:val="20"/>
              </w:rPr>
              <w:t>The response proposed that the treatment phases for ravulizumab should take the most conservative durations, where appropriate.</w:t>
            </w:r>
          </w:p>
        </w:tc>
        <w:tc>
          <w:tcPr>
            <w:tcW w:w="2218" w:type="dxa"/>
          </w:tcPr>
          <w:p w14:paraId="152EB65E" w14:textId="77777777" w:rsidR="00BF547B" w:rsidRPr="00A22427" w:rsidRDefault="00BF547B" w:rsidP="00DF6E70">
            <w:pPr>
              <w:keepNext/>
              <w:keepLines/>
              <w:jc w:val="left"/>
              <w:rPr>
                <w:rFonts w:ascii="Arial Narrow" w:hAnsi="Arial Narrow"/>
                <w:sz w:val="20"/>
                <w:szCs w:val="20"/>
              </w:rPr>
            </w:pPr>
            <w:r w:rsidRPr="00A22427">
              <w:rPr>
                <w:rFonts w:ascii="Arial Narrow" w:hAnsi="Arial Narrow"/>
                <w:sz w:val="20"/>
                <w:szCs w:val="20"/>
              </w:rPr>
              <w:t>Yes</w:t>
            </w:r>
          </w:p>
        </w:tc>
      </w:tr>
      <w:tr w:rsidR="00BF547B" w:rsidRPr="00A22427" w14:paraId="29EBF204" w14:textId="77777777" w:rsidTr="00DF6E70">
        <w:tc>
          <w:tcPr>
            <w:tcW w:w="3397" w:type="dxa"/>
          </w:tcPr>
          <w:p w14:paraId="58923656" w14:textId="77777777" w:rsidR="00BF547B" w:rsidRPr="00A22427" w:rsidRDefault="00BF547B" w:rsidP="008827F3">
            <w:pPr>
              <w:keepNext/>
              <w:keepLines/>
              <w:ind w:left="33" w:hanging="6"/>
              <w:contextualSpacing/>
              <w:jc w:val="left"/>
              <w:rPr>
                <w:rFonts w:ascii="Arial Narrow" w:hAnsi="Arial Narrow"/>
                <w:sz w:val="20"/>
                <w:szCs w:val="20"/>
              </w:rPr>
            </w:pPr>
            <w:r w:rsidRPr="00A22427">
              <w:rPr>
                <w:rFonts w:ascii="Arial Narrow" w:hAnsi="Arial Narrow"/>
                <w:sz w:val="20"/>
                <w:szCs w:val="20"/>
                <w:lang w:eastAsia="en-US"/>
              </w:rPr>
              <w:t xml:space="preserve">Allow patients receiving non-PBS subsidised treatment with ravulizumab who would have met the PBS criteria at time of initiation of </w:t>
            </w:r>
            <w:bookmarkStart w:id="77" w:name="_Hlk136960206"/>
            <w:r w:rsidRPr="00A22427">
              <w:rPr>
                <w:rFonts w:ascii="Arial Narrow" w:hAnsi="Arial Narrow"/>
                <w:sz w:val="20"/>
                <w:szCs w:val="20"/>
                <w:lang w:eastAsia="en-US"/>
              </w:rPr>
              <w:t xml:space="preserve">C5 inhibitor therapy </w:t>
            </w:r>
            <w:bookmarkEnd w:id="77"/>
            <w:r w:rsidRPr="00A22427">
              <w:rPr>
                <w:rFonts w:ascii="Arial Narrow" w:hAnsi="Arial Narrow"/>
                <w:sz w:val="20"/>
                <w:szCs w:val="20"/>
                <w:lang w:eastAsia="en-US"/>
              </w:rPr>
              <w:t xml:space="preserve">to transition to PBS subsidised </w:t>
            </w:r>
            <w:r w:rsidRPr="00A22427">
              <w:rPr>
                <w:rFonts w:ascii="Arial Narrow" w:hAnsi="Arial Narrow"/>
                <w:sz w:val="20"/>
                <w:szCs w:val="20"/>
              </w:rPr>
              <w:t xml:space="preserve">ravulizumab </w:t>
            </w:r>
            <w:r w:rsidRPr="00A22427">
              <w:rPr>
                <w:rFonts w:ascii="Arial Narrow" w:hAnsi="Arial Narrow"/>
                <w:sz w:val="20"/>
                <w:szCs w:val="20"/>
                <w:lang w:eastAsia="en-US"/>
              </w:rPr>
              <w:t>upon discharge from hospital.</w:t>
            </w:r>
          </w:p>
        </w:tc>
        <w:tc>
          <w:tcPr>
            <w:tcW w:w="3402" w:type="dxa"/>
          </w:tcPr>
          <w:p w14:paraId="7C3B5C0D" w14:textId="77777777" w:rsidR="00BF547B" w:rsidRPr="00A22427" w:rsidRDefault="00BF547B" w:rsidP="00DF6E70">
            <w:pPr>
              <w:pStyle w:val="ListBullet"/>
              <w:keepNext/>
              <w:keepLines/>
              <w:numPr>
                <w:ilvl w:val="0"/>
                <w:numId w:val="0"/>
              </w:numPr>
              <w:spacing w:after="120"/>
              <w:contextualSpacing w:val="0"/>
              <w:jc w:val="left"/>
              <w:rPr>
                <w:rFonts w:ascii="Arial Narrow" w:hAnsi="Arial Narrow"/>
                <w:sz w:val="20"/>
                <w:szCs w:val="20"/>
              </w:rPr>
            </w:pPr>
            <w:r w:rsidRPr="00A22427">
              <w:rPr>
                <w:rFonts w:ascii="Arial Narrow" w:hAnsi="Arial Narrow"/>
                <w:sz w:val="20"/>
                <w:szCs w:val="20"/>
              </w:rPr>
              <w:t>The response proposed that a balance of supply or transition arrangement may be necessary.</w:t>
            </w:r>
          </w:p>
        </w:tc>
        <w:tc>
          <w:tcPr>
            <w:tcW w:w="2218" w:type="dxa"/>
          </w:tcPr>
          <w:p w14:paraId="0C47649F" w14:textId="77777777" w:rsidR="00BF547B" w:rsidRPr="00A22427" w:rsidRDefault="00BF547B" w:rsidP="00DF6E70">
            <w:pPr>
              <w:keepNext/>
              <w:keepLines/>
              <w:jc w:val="left"/>
              <w:rPr>
                <w:rFonts w:ascii="Arial Narrow" w:hAnsi="Arial Narrow"/>
                <w:sz w:val="20"/>
                <w:szCs w:val="20"/>
              </w:rPr>
            </w:pPr>
            <w:r w:rsidRPr="00A22427">
              <w:rPr>
                <w:rFonts w:ascii="Arial Narrow" w:hAnsi="Arial Narrow"/>
                <w:sz w:val="20"/>
                <w:szCs w:val="20"/>
              </w:rPr>
              <w:t>Yes</w:t>
            </w:r>
          </w:p>
        </w:tc>
      </w:tr>
      <w:tr w:rsidR="00BF547B" w:rsidRPr="00A22427" w14:paraId="5C3796AC" w14:textId="77777777" w:rsidTr="00DF6E70">
        <w:tc>
          <w:tcPr>
            <w:tcW w:w="3397" w:type="dxa"/>
          </w:tcPr>
          <w:p w14:paraId="5BB05D84" w14:textId="77777777" w:rsidR="00BF547B" w:rsidRPr="00A22427" w:rsidRDefault="00BF547B" w:rsidP="00DF6E70">
            <w:pPr>
              <w:keepNext/>
              <w:keepLines/>
              <w:spacing w:after="120"/>
              <w:contextualSpacing/>
              <w:jc w:val="left"/>
              <w:rPr>
                <w:rFonts w:ascii="Arial Narrow" w:hAnsi="Arial Narrow"/>
                <w:sz w:val="20"/>
                <w:szCs w:val="20"/>
              </w:rPr>
            </w:pPr>
            <w:r w:rsidRPr="00A22427">
              <w:rPr>
                <w:rFonts w:ascii="Arial Narrow" w:hAnsi="Arial Narrow"/>
                <w:sz w:val="20"/>
                <w:szCs w:val="20"/>
                <w:lang w:eastAsia="en-US"/>
              </w:rPr>
              <w:t>Allow patients who are responding to treatment to switch once between eculizumab and ravulizumab and vice versa and permit one switch to eculizumab for patients who have experienced treatment failure with ravulizumab.</w:t>
            </w:r>
          </w:p>
        </w:tc>
        <w:tc>
          <w:tcPr>
            <w:tcW w:w="3402" w:type="dxa"/>
          </w:tcPr>
          <w:p w14:paraId="18007788" w14:textId="77777777" w:rsidR="00BF547B" w:rsidRPr="00A22427" w:rsidRDefault="00BF547B" w:rsidP="00DF6E70">
            <w:pPr>
              <w:keepNext/>
              <w:keepLines/>
              <w:jc w:val="left"/>
              <w:rPr>
                <w:rFonts w:ascii="Arial Narrow" w:hAnsi="Arial Narrow"/>
                <w:sz w:val="20"/>
                <w:szCs w:val="20"/>
              </w:rPr>
            </w:pPr>
            <w:r w:rsidRPr="00A22427">
              <w:rPr>
                <w:rFonts w:ascii="Arial Narrow" w:hAnsi="Arial Narrow"/>
                <w:sz w:val="20"/>
                <w:szCs w:val="20"/>
              </w:rPr>
              <w:t>Following aHUS Expert Reference Group consultation, no limit on switching between C5 inhibitor therapies was proposed for consideration by the sponsor. The response to the deferral proposed that unlimited switching between eculizumab and ravulizumab may occur, based upon clinical judgement.</w:t>
            </w:r>
          </w:p>
        </w:tc>
        <w:tc>
          <w:tcPr>
            <w:tcW w:w="2218" w:type="dxa"/>
          </w:tcPr>
          <w:p w14:paraId="64F6696E" w14:textId="77777777" w:rsidR="00BF547B" w:rsidRPr="00A22427" w:rsidRDefault="00BF547B" w:rsidP="00DF6E70">
            <w:pPr>
              <w:keepNext/>
              <w:keepLines/>
              <w:jc w:val="left"/>
              <w:rPr>
                <w:rFonts w:ascii="Arial Narrow" w:hAnsi="Arial Narrow"/>
                <w:sz w:val="20"/>
                <w:szCs w:val="20"/>
              </w:rPr>
            </w:pPr>
            <w:r w:rsidRPr="00A22427">
              <w:rPr>
                <w:rFonts w:ascii="Arial Narrow" w:hAnsi="Arial Narrow"/>
                <w:sz w:val="20"/>
                <w:szCs w:val="20"/>
              </w:rPr>
              <w:t>Yes.</w:t>
            </w:r>
          </w:p>
        </w:tc>
      </w:tr>
    </w:tbl>
    <w:p w14:paraId="5B9C2C09" w14:textId="0D858000" w:rsidR="00BF547B" w:rsidRPr="00A22427" w:rsidRDefault="00BF547B" w:rsidP="00BF547B">
      <w:pPr>
        <w:pStyle w:val="3-BodyText"/>
        <w:spacing w:before="120"/>
        <w:ind w:left="709"/>
      </w:pPr>
      <w:r w:rsidRPr="00A22427">
        <w:t>The response to the deferral noted that a small number of patients who may initiate ravulizumab in a private hospital will have access to PBS-funded ravulizumab, as the note in the restriction would prohibit PBS-funded access to public hospital inpatients only.</w:t>
      </w:r>
    </w:p>
    <w:p w14:paraId="11523029" w14:textId="558C3B7E" w:rsidR="00BF547B" w:rsidRPr="00A22427" w:rsidRDefault="00BF547B" w:rsidP="00BF547B">
      <w:pPr>
        <w:pStyle w:val="3-BodyText"/>
        <w:ind w:left="709"/>
      </w:pPr>
      <w:r w:rsidRPr="00A22427">
        <w:t xml:space="preserve">The response to the deferral acknowledged </w:t>
      </w:r>
      <w:proofErr w:type="gramStart"/>
      <w:r w:rsidRPr="00A22427">
        <w:t>with regard to</w:t>
      </w:r>
      <w:proofErr w:type="gramEnd"/>
      <w:r w:rsidRPr="00A22427">
        <w:t xml:space="preserve"> </w:t>
      </w:r>
      <w:r w:rsidRPr="00A22427">
        <w:rPr>
          <w:b/>
          <w:bCs/>
        </w:rPr>
        <w:t>treatment initiation</w:t>
      </w:r>
      <w:r w:rsidRPr="00A22427">
        <w:t>:</w:t>
      </w:r>
    </w:p>
    <w:p w14:paraId="190E5509" w14:textId="77777777" w:rsidR="00BF547B" w:rsidRPr="00A22427" w:rsidRDefault="00BF547B" w:rsidP="00BF547B">
      <w:pPr>
        <w:pStyle w:val="ListParagraph"/>
        <w:numPr>
          <w:ilvl w:val="0"/>
          <w:numId w:val="31"/>
        </w:numPr>
        <w:ind w:left="1134"/>
      </w:pPr>
      <w:r w:rsidRPr="00A22427">
        <w:rPr>
          <w:rFonts w:eastAsia="Calibri"/>
        </w:rPr>
        <w:t xml:space="preserve">That a balance of supply or transition arrangement may be necessary to allow patients receiving </w:t>
      </w:r>
      <w:r w:rsidRPr="00B42B3C">
        <w:rPr>
          <w:rFonts w:eastAsia="Calibri"/>
          <w:b/>
          <w:bCs/>
        </w:rPr>
        <w:t>non-PBS subsidised treatment with ravulizumab</w:t>
      </w:r>
      <w:r w:rsidRPr="00A22427">
        <w:rPr>
          <w:rFonts w:eastAsia="Calibri"/>
        </w:rPr>
        <w:t xml:space="preserve"> who would have met the PBS criteria at time of initiation of C5 inhibitor therapy to transition to PBS subsidised ravulizumab upon discharge from </w:t>
      </w:r>
      <w:proofErr w:type="gramStart"/>
      <w:r w:rsidRPr="00A22427">
        <w:rPr>
          <w:rFonts w:eastAsia="Calibri"/>
        </w:rPr>
        <w:t>hospital;</w:t>
      </w:r>
      <w:proofErr w:type="gramEnd"/>
    </w:p>
    <w:p w14:paraId="55E10054" w14:textId="77777777" w:rsidR="00BF547B" w:rsidRPr="00A22427" w:rsidRDefault="00BF547B" w:rsidP="00BF547B">
      <w:pPr>
        <w:pStyle w:val="ListParagraph"/>
        <w:numPr>
          <w:ilvl w:val="0"/>
          <w:numId w:val="31"/>
        </w:numPr>
        <w:ind w:left="1134"/>
      </w:pPr>
      <w:r w:rsidRPr="00A22427">
        <w:rPr>
          <w:rFonts w:eastAsia="Calibri"/>
        </w:rPr>
        <w:t xml:space="preserve">That patients in the public hospital system will </w:t>
      </w:r>
      <w:r w:rsidRPr="00B42B3C">
        <w:rPr>
          <w:rFonts w:eastAsia="Calibri"/>
          <w:b/>
          <w:bCs/>
        </w:rPr>
        <w:t>initiate treatment with PBS-subsidised eculizumab</w:t>
      </w:r>
      <w:r w:rsidRPr="00A22427">
        <w:rPr>
          <w:rFonts w:eastAsia="Calibri"/>
        </w:rPr>
        <w:t xml:space="preserve"> and subsequently switch to PBS-subsidised ravulizumab post-discharge. Facilitating treatment switching between PBS funded eculizumab </w:t>
      </w:r>
      <w:r w:rsidRPr="00A22427">
        <w:rPr>
          <w:rFonts w:eastAsia="Calibri"/>
        </w:rPr>
        <w:lastRenderedPageBreak/>
        <w:t>and PBS funded ravulizumab is therefore a key requirement for the restrictions of both eculizumab and ravulizumab.</w:t>
      </w:r>
    </w:p>
    <w:p w14:paraId="33D669FD" w14:textId="7FD33327" w:rsidR="00BF547B" w:rsidRPr="00A22427" w:rsidRDefault="00BF547B" w:rsidP="00BF547B">
      <w:pPr>
        <w:pStyle w:val="3-BodyText"/>
        <w:ind w:left="709"/>
      </w:pPr>
      <w:bookmarkStart w:id="78" w:name="_Ref140775061"/>
      <w:r w:rsidRPr="00A22427">
        <w:t xml:space="preserve">The response to the deferral stated with respect to </w:t>
      </w:r>
      <w:r w:rsidRPr="00A22427">
        <w:rPr>
          <w:b/>
          <w:bCs/>
        </w:rPr>
        <w:t>duration of therapy</w:t>
      </w:r>
      <w:r w:rsidRPr="00A22427">
        <w:t>:</w:t>
      </w:r>
      <w:bookmarkEnd w:id="78"/>
    </w:p>
    <w:p w14:paraId="43ACCFB9" w14:textId="77777777" w:rsidR="00BF547B" w:rsidRPr="00A22427" w:rsidRDefault="00BF547B" w:rsidP="00BF547B">
      <w:pPr>
        <w:pStyle w:val="ListParagraph"/>
        <w:numPr>
          <w:ilvl w:val="0"/>
          <w:numId w:val="31"/>
        </w:numPr>
        <w:ind w:left="1134"/>
        <w:rPr>
          <w:i/>
          <w:iCs/>
        </w:rPr>
      </w:pPr>
      <w:r w:rsidRPr="00A22427">
        <w:t>Initial and continuing treatment phases:</w:t>
      </w:r>
    </w:p>
    <w:p w14:paraId="57A9CA9E" w14:textId="77777777" w:rsidR="00BF547B" w:rsidRPr="00A22427" w:rsidRDefault="00BF547B" w:rsidP="00BF547B">
      <w:pPr>
        <w:pStyle w:val="3-BodyText"/>
        <w:numPr>
          <w:ilvl w:val="0"/>
          <w:numId w:val="0"/>
        </w:numPr>
        <w:ind w:left="1134"/>
        <w:rPr>
          <w:rFonts w:eastAsia="Calibri"/>
        </w:rPr>
      </w:pPr>
      <w:r w:rsidRPr="00A22427">
        <w:rPr>
          <w:rFonts w:eastAsia="Calibri"/>
        </w:rPr>
        <w:t>The extended initial and continuing treatment phases have been merged, although the continuing treatment phase duration for ravulizumab has been reduced to a maximum of 72 weeks (i.e., 9 x 8-weekly doses). While this is more conservative than 82 weeks proposed in the March 2023 submission (which was proposed to also include the 2-week loading dose for patients switching within this treatment phase), it is considerably shorter than the 80 weeks (56 weeks extended initial + 24 weeks continuing) of treatment currently in place for eculizumab.</w:t>
      </w:r>
    </w:p>
    <w:p w14:paraId="27CEE425" w14:textId="77777777" w:rsidR="00BF547B" w:rsidRPr="00A22427" w:rsidRDefault="00BF547B" w:rsidP="00BF547B">
      <w:pPr>
        <w:pStyle w:val="3-BodyText"/>
        <w:numPr>
          <w:ilvl w:val="0"/>
          <w:numId w:val="0"/>
        </w:numPr>
        <w:ind w:left="720"/>
      </w:pPr>
      <w:r w:rsidRPr="00A22427">
        <w:t>The Secretariat noted that as the dosing requirements for ravulizumab are different in the loading dose and the maintenance dose, two separate restrictions are required to accommodate such a listing: one for a loading dose, and a balance of supply for the maintenance period</w:t>
      </w:r>
      <w:r>
        <w:t xml:space="preserve"> </w:t>
      </w:r>
      <w:r w:rsidRPr="00871B21">
        <w:t>which covers the required doses for this treatment phase</w:t>
      </w:r>
      <w:r w:rsidRPr="00A22427">
        <w:t>.</w:t>
      </w:r>
    </w:p>
    <w:p w14:paraId="471323A0" w14:textId="77777777" w:rsidR="00BF547B" w:rsidRPr="00A22427" w:rsidRDefault="00BF547B" w:rsidP="00BF547B">
      <w:pPr>
        <w:pStyle w:val="ListParagraph"/>
        <w:numPr>
          <w:ilvl w:val="0"/>
          <w:numId w:val="31"/>
        </w:numPr>
        <w:ind w:left="1134"/>
        <w:rPr>
          <w:i/>
          <w:iCs/>
        </w:rPr>
      </w:pPr>
      <w:r w:rsidRPr="00A22427">
        <w:rPr>
          <w:rFonts w:eastAsia="Calibri"/>
        </w:rPr>
        <w:t>Recommencement treatment phase:</w:t>
      </w:r>
    </w:p>
    <w:p w14:paraId="444A9634" w14:textId="77777777" w:rsidR="00BF547B" w:rsidRPr="00A22427" w:rsidRDefault="00BF547B" w:rsidP="00BF547B">
      <w:pPr>
        <w:pStyle w:val="3-BodyText"/>
        <w:numPr>
          <w:ilvl w:val="0"/>
          <w:numId w:val="0"/>
        </w:numPr>
        <w:ind w:left="1134"/>
      </w:pPr>
      <w:r w:rsidRPr="00A22427">
        <w:rPr>
          <w:rFonts w:eastAsia="Calibri"/>
        </w:rPr>
        <w:t>The Sponsor requested that the recommencement treatment phase allow for up to 26 weeks of treatment of ravulizumab (i.e., 1 x 2-week loading dose and 3 x 8-weekly maintenance doses). Given that recommencement of treatment should be considered analogous to initiating treatment with ravulizumab, a 26-week treatment duration would more appropriately align with the initial treatment phase for ravulizumab.</w:t>
      </w:r>
    </w:p>
    <w:p w14:paraId="7C712400" w14:textId="58657FAF" w:rsidR="00BF547B" w:rsidRPr="00A22427" w:rsidRDefault="00BF547B" w:rsidP="00BF547B">
      <w:pPr>
        <w:pStyle w:val="3-BodyText"/>
        <w:numPr>
          <w:ilvl w:val="0"/>
          <w:numId w:val="0"/>
        </w:numPr>
        <w:ind w:left="720"/>
      </w:pPr>
      <w:r w:rsidRPr="00A22427">
        <w:t>The Secretariat noted that 26 weeks of treatment with ravulizumab compares to 24</w:t>
      </w:r>
      <w:r w:rsidR="008827F3">
        <w:t> </w:t>
      </w:r>
      <w:r w:rsidRPr="00A22427">
        <w:t>weeks of eculizumab in the same recommencement phase.</w:t>
      </w:r>
    </w:p>
    <w:p w14:paraId="1B7F0F69" w14:textId="77777777" w:rsidR="00BF547B" w:rsidRPr="00A22427" w:rsidRDefault="00BF547B" w:rsidP="00BF547B">
      <w:pPr>
        <w:pStyle w:val="3-BodyText"/>
        <w:ind w:left="709"/>
      </w:pPr>
      <w:r w:rsidRPr="00A22427">
        <w:t xml:space="preserve">The response to the deferral stated with respect to </w:t>
      </w:r>
      <w:r w:rsidRPr="00A22427">
        <w:rPr>
          <w:b/>
          <w:bCs/>
        </w:rPr>
        <w:t>switching therapy</w:t>
      </w:r>
      <w:r w:rsidRPr="00A22427">
        <w:t xml:space="preserve"> (p4):</w:t>
      </w:r>
    </w:p>
    <w:p w14:paraId="747EE8E9" w14:textId="77777777" w:rsidR="00BF547B" w:rsidRPr="00A22427" w:rsidRDefault="00BF547B" w:rsidP="00BF547B">
      <w:pPr>
        <w:pStyle w:val="3-BodyText"/>
        <w:numPr>
          <w:ilvl w:val="0"/>
          <w:numId w:val="0"/>
        </w:numPr>
        <w:ind w:left="1134"/>
        <w:rPr>
          <w:rFonts w:eastAsia="Calibri"/>
        </w:rPr>
      </w:pPr>
      <w:r w:rsidRPr="00A22427">
        <w:rPr>
          <w:rFonts w:eastAsia="Calibri"/>
        </w:rPr>
        <w:t xml:space="preserve">That additional “switch from eculizumab” treatment phases aim to facilitate transitioning from eculizumab to ravulizumab. The concept of a separate switch restriction was proposed by the Secretariat for the March 2023 consideration. The intent of this switching restriction is to permit access to the 2-week loading dose of ravulizumab and facilitate switching from eculizumab regardless of how long patients have been taking eculizumab. To enable this switch to occur at the various treatment phases, three switch listings were proposed: </w:t>
      </w:r>
    </w:p>
    <w:p w14:paraId="43BA3492" w14:textId="77777777" w:rsidR="00BF547B" w:rsidRPr="00A22427" w:rsidRDefault="00BF547B" w:rsidP="00BF547B">
      <w:pPr>
        <w:pStyle w:val="3-BodyText"/>
        <w:numPr>
          <w:ilvl w:val="0"/>
          <w:numId w:val="30"/>
        </w:numPr>
      </w:pPr>
      <w:r w:rsidRPr="00A22427">
        <w:rPr>
          <w:rFonts w:eastAsia="Calibri"/>
        </w:rPr>
        <w:t>during initial treatment (within the first 6 months of C5 inhibitor therapy prior to response criteria being assessed</w:t>
      </w:r>
      <w:proofErr w:type="gramStart"/>
      <w:r w:rsidRPr="00A22427">
        <w:rPr>
          <w:rFonts w:eastAsia="Calibri"/>
        </w:rPr>
        <w:t>);</w:t>
      </w:r>
      <w:proofErr w:type="gramEnd"/>
      <w:r w:rsidRPr="00A22427">
        <w:rPr>
          <w:rFonts w:eastAsia="Calibri"/>
        </w:rPr>
        <w:t xml:space="preserve"> </w:t>
      </w:r>
    </w:p>
    <w:p w14:paraId="597F9DAE" w14:textId="77777777" w:rsidR="00BF547B" w:rsidRPr="00A22427" w:rsidRDefault="00BF547B" w:rsidP="00BF547B">
      <w:pPr>
        <w:pStyle w:val="3-BodyText"/>
        <w:numPr>
          <w:ilvl w:val="0"/>
          <w:numId w:val="30"/>
        </w:numPr>
      </w:pPr>
      <w:r w:rsidRPr="00A22427">
        <w:rPr>
          <w:rFonts w:eastAsia="Calibri"/>
        </w:rPr>
        <w:t>during continuing treatment (once response criteria is assessed</w:t>
      </w:r>
      <w:proofErr w:type="gramStart"/>
      <w:r w:rsidRPr="00A22427">
        <w:rPr>
          <w:rFonts w:eastAsia="Calibri"/>
        </w:rPr>
        <w:t>);</w:t>
      </w:r>
      <w:proofErr w:type="gramEnd"/>
      <w:r w:rsidRPr="00A22427">
        <w:rPr>
          <w:rFonts w:eastAsia="Calibri"/>
        </w:rPr>
        <w:t xml:space="preserve"> </w:t>
      </w:r>
    </w:p>
    <w:p w14:paraId="0FD0F17C" w14:textId="77777777" w:rsidR="00BF547B" w:rsidRPr="00A22427" w:rsidRDefault="00BF547B" w:rsidP="00BF547B">
      <w:pPr>
        <w:pStyle w:val="3-BodyText"/>
        <w:numPr>
          <w:ilvl w:val="0"/>
          <w:numId w:val="30"/>
        </w:numPr>
      </w:pPr>
      <w:r w:rsidRPr="00A22427">
        <w:rPr>
          <w:rFonts w:eastAsia="Calibri"/>
        </w:rPr>
        <w:t>during continuing recommencement of treatment.</w:t>
      </w:r>
    </w:p>
    <w:p w14:paraId="5DCCCA48" w14:textId="77777777" w:rsidR="00BF547B" w:rsidRPr="00A22427" w:rsidRDefault="00BF547B" w:rsidP="00BF547B">
      <w:pPr>
        <w:pStyle w:val="3-BodyText"/>
        <w:ind w:left="709"/>
      </w:pPr>
      <w:r w:rsidRPr="00A22427">
        <w:lastRenderedPageBreak/>
        <w:t>The Secretariat noted that the outlined treatment switching phases proposed by the Sponsor only caters for the loading dose of ravulizumab and does not consider how to enable patients with further maintenance doses of ravulizumab. Furthermore, the addition of these three restrictions may be confusing and add another layer of complexity for prescribers to navigate. Adversely, this will also then flow onto eculizumab as three additional switching restrictions would be required.</w:t>
      </w:r>
    </w:p>
    <w:p w14:paraId="14791AC1" w14:textId="77777777" w:rsidR="00BF547B" w:rsidRPr="00A22427" w:rsidRDefault="00BF547B" w:rsidP="00BF547B">
      <w:pPr>
        <w:pStyle w:val="3-BodyText"/>
        <w:ind w:left="709"/>
      </w:pPr>
      <w:r w:rsidRPr="00A22427">
        <w:t xml:space="preserve">The PBAC was asked to consider, for patients who are switching, whether the eculizumab administered immediately prior to switching would count to the duration of therapy needed before providing a response, </w:t>
      </w:r>
      <w:proofErr w:type="gramStart"/>
      <w:r w:rsidRPr="00A22427">
        <w:t>i.e.</w:t>
      </w:r>
      <w:proofErr w:type="gramEnd"/>
      <w:r w:rsidRPr="00A22427">
        <w:t xml:space="preserve"> the 24 (eculizumab) or 26 (ravulizumab) weeks of therapy per phase. This would alter the restrictions and require prescribers to apply clinical judgement in requesting the appropriate number of ravulizumab doses when switching.</w:t>
      </w:r>
    </w:p>
    <w:p w14:paraId="0504157D" w14:textId="77777777" w:rsidR="00BF547B" w:rsidRPr="00A22427" w:rsidRDefault="00BF547B" w:rsidP="00BF547B">
      <w:pPr>
        <w:pStyle w:val="3-BodyText"/>
        <w:ind w:left="709"/>
      </w:pPr>
      <w:r w:rsidRPr="00A22427">
        <w:t xml:space="preserve">The Secretariat noted that for patients who are switching, a previous application outlining eligibility to either the initial, continuing, or recommencement treatment of the previous C5 inhibitor would have been submitted to Services Australia. The PBAC was asked to advise whether any further documentation is required to be included in the switching criteria. If no further supporting documentation is required, the PBAC was asked to consider whether a lower authority level such as telephone/electronic would be suitable for immediate switching as this would provide a non-delayed authority approval. </w:t>
      </w:r>
    </w:p>
    <w:p w14:paraId="08B918CE" w14:textId="48E0532F" w:rsidR="00BF547B" w:rsidRPr="00A22427" w:rsidRDefault="00BF547B" w:rsidP="00BF547B">
      <w:pPr>
        <w:pStyle w:val="3-BodyText"/>
        <w:ind w:left="709"/>
      </w:pPr>
      <w:r w:rsidRPr="00A22427">
        <w:t xml:space="preserve">The response to the deferral stated with respect to </w:t>
      </w:r>
      <w:r w:rsidRPr="00A22427">
        <w:rPr>
          <w:b/>
          <w:bCs/>
        </w:rPr>
        <w:t>grandfathered patients</w:t>
      </w:r>
      <w:r w:rsidRPr="00A22427">
        <w:t>:</w:t>
      </w:r>
    </w:p>
    <w:p w14:paraId="3FF959BF" w14:textId="77777777" w:rsidR="00BF547B" w:rsidRPr="00A22427" w:rsidRDefault="00BF547B" w:rsidP="00BF547B">
      <w:pPr>
        <w:pStyle w:val="3-BodyText"/>
        <w:numPr>
          <w:ilvl w:val="0"/>
          <w:numId w:val="0"/>
        </w:numPr>
        <w:ind w:left="1134"/>
        <w:rPr>
          <w:rFonts w:eastAsia="Calibri"/>
        </w:rPr>
      </w:pPr>
      <w:r w:rsidRPr="00A22427">
        <w:rPr>
          <w:rFonts w:eastAsia="Calibri"/>
        </w:rPr>
        <w:t xml:space="preserve">According to the Department’s proposed Grandfathering restriction, a Grandfathered patient can access up to 24 weeks of treatment before they must qualify under the Continuing treatment criteria for continued PBS access to ravulizumab. The wording of the Grandfathered restriction, as it is understood by Alexion, therefore permits a patient to access PBS ravulizumab if they are within the “initial treatment” period as well as the “continuing treatment” period. Therefore, </w:t>
      </w:r>
      <w:proofErr w:type="gramStart"/>
      <w:r w:rsidRPr="00A22427">
        <w:rPr>
          <w:rFonts w:eastAsia="Calibri"/>
        </w:rPr>
        <w:t>in the event that</w:t>
      </w:r>
      <w:proofErr w:type="gramEnd"/>
      <w:r w:rsidRPr="00A22427">
        <w:rPr>
          <w:rFonts w:eastAsia="Calibri"/>
        </w:rPr>
        <w:t xml:space="preserve"> a patient is in the “continuing treatment” period, i.e., received at least 26 weeks of non-PBS ravulizumab prior to PBS listing, then they would be required to demonstrate ongoing treatment response and not have experienced treatment failure, according to the clinical criteria proposed in the restriction.</w:t>
      </w:r>
    </w:p>
    <w:p w14:paraId="5BF4D618" w14:textId="60E42084" w:rsidR="00BF547B" w:rsidRPr="00B41982" w:rsidRDefault="00BF547B" w:rsidP="00BF547B">
      <w:pPr>
        <w:pStyle w:val="3-BodyText"/>
        <w:numPr>
          <w:ilvl w:val="0"/>
          <w:numId w:val="0"/>
        </w:numPr>
        <w:ind w:left="709"/>
        <w:rPr>
          <w:i/>
          <w:iCs/>
        </w:rPr>
      </w:pPr>
      <w:r w:rsidRPr="00B41982">
        <w:rPr>
          <w:i/>
          <w:iCs/>
          <w:snapToGrid/>
        </w:rPr>
        <w:t>For more detail on PBAC’s view, see section 1</w:t>
      </w:r>
      <w:r w:rsidR="00951531">
        <w:rPr>
          <w:i/>
          <w:iCs/>
          <w:snapToGrid/>
        </w:rPr>
        <w:t>3</w:t>
      </w:r>
      <w:r w:rsidRPr="00B41982">
        <w:rPr>
          <w:i/>
          <w:iCs/>
          <w:snapToGrid/>
        </w:rPr>
        <w:t xml:space="preserve"> PBAC </w:t>
      </w:r>
      <w:r>
        <w:rPr>
          <w:i/>
          <w:iCs/>
          <w:snapToGrid/>
        </w:rPr>
        <w:t>O</w:t>
      </w:r>
      <w:r w:rsidRPr="00B41982">
        <w:rPr>
          <w:i/>
          <w:iCs/>
          <w:snapToGrid/>
        </w:rPr>
        <w:t>utcome.</w:t>
      </w:r>
    </w:p>
    <w:p w14:paraId="5AC62B29" w14:textId="77777777" w:rsidR="00BF547B" w:rsidRPr="00A22427" w:rsidRDefault="00BF547B" w:rsidP="00BF547B">
      <w:pPr>
        <w:pStyle w:val="2-SectionHeading"/>
        <w:numPr>
          <w:ilvl w:val="0"/>
          <w:numId w:val="1"/>
        </w:numPr>
      </w:pPr>
      <w:r w:rsidRPr="00A22427">
        <w:t>Consideration of the evidence</w:t>
      </w:r>
    </w:p>
    <w:p w14:paraId="7F72B8EE" w14:textId="77777777" w:rsidR="00BF547B" w:rsidRPr="00A22427" w:rsidRDefault="00BF547B" w:rsidP="00BF547B">
      <w:pPr>
        <w:pStyle w:val="4-SubsectionHeading"/>
      </w:pPr>
      <w:r w:rsidRPr="00A22427">
        <w:t>Economic analysis</w:t>
      </w:r>
    </w:p>
    <w:p w14:paraId="6F2D7805" w14:textId="77777777" w:rsidR="00BF547B" w:rsidRPr="00A22427" w:rsidRDefault="00BF547B" w:rsidP="00BF547B">
      <w:pPr>
        <w:pStyle w:val="3-BodyText"/>
        <w:ind w:left="709"/>
      </w:pPr>
      <w:r w:rsidRPr="00A22427">
        <w:t>As a response to provide further information addressing the previous deferral, the economic analysis has not been independently evaluated.</w:t>
      </w:r>
    </w:p>
    <w:p w14:paraId="3E6257DF" w14:textId="77777777" w:rsidR="00BF547B" w:rsidRPr="00A22427" w:rsidRDefault="00BF547B" w:rsidP="00BF547B">
      <w:pPr>
        <w:pStyle w:val="3-BodyText"/>
        <w:ind w:left="709"/>
      </w:pPr>
      <w:r w:rsidRPr="00A22427">
        <w:t xml:space="preserve">At the March 2023 meeting, the PBAC stated (paragraph </w:t>
      </w:r>
      <w:r w:rsidRPr="00A22427">
        <w:fldChar w:fldCharType="begin" w:fldLock="1"/>
      </w:r>
      <w:r w:rsidRPr="00A22427">
        <w:instrText xml:space="preserve"> REF _Ref136614008 \r \h </w:instrText>
      </w:r>
      <w:r w:rsidRPr="00A22427">
        <w:fldChar w:fldCharType="separate"/>
      </w:r>
      <w:r w:rsidRPr="00A22427">
        <w:t>7.10</w:t>
      </w:r>
      <w:r w:rsidRPr="00A22427">
        <w:fldChar w:fldCharType="end"/>
      </w:r>
      <w:r w:rsidRPr="00A22427">
        <w:t xml:space="preserve">) that the submission’s CMA was subject to substantial uncertainties arising from: </w:t>
      </w:r>
    </w:p>
    <w:p w14:paraId="5DD1C9D2" w14:textId="77777777" w:rsidR="00BF547B" w:rsidRPr="00A22427" w:rsidRDefault="00BF547B" w:rsidP="00BF547B">
      <w:pPr>
        <w:pStyle w:val="ListParagraph"/>
        <w:numPr>
          <w:ilvl w:val="0"/>
          <w:numId w:val="31"/>
        </w:numPr>
        <w:ind w:left="1134"/>
      </w:pPr>
      <w:r w:rsidRPr="00A22427">
        <w:lastRenderedPageBreak/>
        <w:t xml:space="preserve">the unknown trial-based equi-effective </w:t>
      </w:r>
      <w:proofErr w:type="gramStart"/>
      <w:r w:rsidRPr="00A22427">
        <w:t>doses;</w:t>
      </w:r>
      <w:proofErr w:type="gramEnd"/>
      <w:r w:rsidRPr="00A22427">
        <w:t xml:space="preserve"> </w:t>
      </w:r>
    </w:p>
    <w:p w14:paraId="543865E3" w14:textId="77777777" w:rsidR="00BF547B" w:rsidRPr="00A22427" w:rsidRDefault="00BF547B" w:rsidP="00BF547B">
      <w:pPr>
        <w:pStyle w:val="ListParagraph"/>
        <w:numPr>
          <w:ilvl w:val="0"/>
          <w:numId w:val="31"/>
        </w:numPr>
        <w:ind w:left="1134"/>
      </w:pPr>
      <w:r w:rsidRPr="00A22427">
        <w:t>the unknown weight of patients in clinical practice (the PBAC noted that the patient weights derived from Study 311 were the most conservative scenario</w:t>
      </w:r>
      <w:proofErr w:type="gramStart"/>
      <w:r w:rsidRPr="00A22427">
        <w:t>);</w:t>
      </w:r>
      <w:proofErr w:type="gramEnd"/>
      <w:r w:rsidRPr="00A22427">
        <w:t xml:space="preserve"> </w:t>
      </w:r>
    </w:p>
    <w:p w14:paraId="12A9A530" w14:textId="77777777" w:rsidR="00BF547B" w:rsidRPr="00A22427" w:rsidRDefault="00BF547B" w:rsidP="00BF547B">
      <w:pPr>
        <w:pStyle w:val="ListParagraph"/>
        <w:numPr>
          <w:ilvl w:val="0"/>
          <w:numId w:val="31"/>
        </w:numPr>
        <w:ind w:left="1134"/>
      </w:pPr>
      <w:r w:rsidRPr="00A22427">
        <w:t xml:space="preserve">the unknown number of vials that will be administered per dose in </w:t>
      </w:r>
      <w:proofErr w:type="gramStart"/>
      <w:r w:rsidRPr="00A22427">
        <w:t>practice;</w:t>
      </w:r>
      <w:proofErr w:type="gramEnd"/>
    </w:p>
    <w:p w14:paraId="1132CF3F" w14:textId="77777777" w:rsidR="00BF547B" w:rsidRPr="00A22427" w:rsidRDefault="00BF547B" w:rsidP="00BF547B">
      <w:pPr>
        <w:pStyle w:val="ListParagraph"/>
        <w:numPr>
          <w:ilvl w:val="0"/>
          <w:numId w:val="31"/>
        </w:numPr>
        <w:ind w:left="1134"/>
      </w:pPr>
      <w:r w:rsidRPr="00A22427">
        <w:t xml:space="preserve">not adequately accounting for patients who will switch from eculizumab to ravulizumab and incur an additional loading </w:t>
      </w:r>
      <w:proofErr w:type="gramStart"/>
      <w:r w:rsidRPr="00A22427">
        <w:t>dose;</w:t>
      </w:r>
      <w:proofErr w:type="gramEnd"/>
      <w:r w:rsidRPr="00A22427">
        <w:t xml:space="preserve"> </w:t>
      </w:r>
    </w:p>
    <w:p w14:paraId="65456F30" w14:textId="77777777" w:rsidR="00BF547B" w:rsidRPr="00A22427" w:rsidRDefault="00BF547B" w:rsidP="00BF547B">
      <w:pPr>
        <w:pStyle w:val="ListParagraph"/>
        <w:numPr>
          <w:ilvl w:val="0"/>
          <w:numId w:val="31"/>
        </w:numPr>
        <w:ind w:left="1134"/>
      </w:pPr>
      <w:r w:rsidRPr="00A22427">
        <w:t xml:space="preserve">not adequately accounting for the different duration of therapies supplied under each restriction phase. </w:t>
      </w:r>
    </w:p>
    <w:p w14:paraId="33C77355" w14:textId="77777777" w:rsidR="00BF547B" w:rsidRPr="00A22427" w:rsidRDefault="00BF547B" w:rsidP="00BF547B">
      <w:pPr>
        <w:pStyle w:val="3-BodyText"/>
        <w:numPr>
          <w:ilvl w:val="0"/>
          <w:numId w:val="0"/>
        </w:numPr>
        <w:ind w:left="720"/>
      </w:pPr>
      <w:r w:rsidRPr="00A22427">
        <w:t>The PBAC considered that these parameters should be accounted for in determining the price of ravulizumab.</w:t>
      </w:r>
    </w:p>
    <w:p w14:paraId="05A05721" w14:textId="77777777" w:rsidR="00BF547B" w:rsidRPr="00A22427" w:rsidRDefault="00BF547B" w:rsidP="00BF547B">
      <w:pPr>
        <w:pStyle w:val="3-BodyText"/>
        <w:ind w:left="709"/>
      </w:pPr>
      <w:r w:rsidRPr="00A22427">
        <w:t xml:space="preserve">The first 3 points listed above were unchanged from the March 2023 submission. Additional SAS data from Study 311 was provided in the response to the deferral detailing the </w:t>
      </w:r>
      <w:r w:rsidRPr="00A22427">
        <w:rPr>
          <w:rFonts w:eastAsiaTheme="minorEastAsia"/>
        </w:rPr>
        <w:t>patient level data of treatment exposure.</w:t>
      </w:r>
      <w:r w:rsidRPr="00A22427">
        <w:t xml:space="preserve"> The proposed equi-effective doses outlined in paragraph </w:t>
      </w:r>
      <w:r w:rsidRPr="00A22427">
        <w:rPr>
          <w:highlight w:val="yellow"/>
        </w:rPr>
        <w:fldChar w:fldCharType="begin" w:fldLock="1"/>
      </w:r>
      <w:r w:rsidRPr="00A22427">
        <w:instrText xml:space="preserve"> REF _Ref140762677 \r \h </w:instrText>
      </w:r>
      <w:r w:rsidRPr="00A22427">
        <w:rPr>
          <w:highlight w:val="yellow"/>
        </w:rPr>
      </w:r>
      <w:r w:rsidRPr="00A22427">
        <w:rPr>
          <w:highlight w:val="yellow"/>
        </w:rPr>
        <w:fldChar w:fldCharType="separate"/>
      </w:r>
      <w:r w:rsidRPr="00A22427">
        <w:t>6.58</w:t>
      </w:r>
      <w:r w:rsidRPr="00A22427">
        <w:rPr>
          <w:highlight w:val="yellow"/>
        </w:rPr>
        <w:fldChar w:fldCharType="end"/>
      </w:r>
      <w:r w:rsidRPr="00A22427">
        <w:t xml:space="preserve">, based on the PI dosing and patient weights from Study 311, were more conservative in calculating the ravulizumab prices. </w:t>
      </w:r>
    </w:p>
    <w:p w14:paraId="733B38E5" w14:textId="77777777" w:rsidR="00BF547B" w:rsidRPr="00A22427" w:rsidRDefault="00BF547B" w:rsidP="00BF547B">
      <w:pPr>
        <w:pStyle w:val="3-BodyText"/>
        <w:ind w:left="709"/>
      </w:pPr>
      <w:r w:rsidRPr="00A22427">
        <w:t>The revised CMA in the response to the deferral addressed both the additional loading dose required for treatment switching from eculizumab to ravulizumab, and the different duration of therapies supplied under each restriction phase.</w:t>
      </w:r>
    </w:p>
    <w:p w14:paraId="420293F7" w14:textId="77777777" w:rsidR="00BF547B" w:rsidRPr="00A22427" w:rsidRDefault="00BF547B" w:rsidP="00BF547B">
      <w:pPr>
        <w:pStyle w:val="3-BodyText"/>
        <w:ind w:left="709"/>
        <w:rPr>
          <w:rFonts w:eastAsiaTheme="minorEastAsia"/>
        </w:rPr>
      </w:pPr>
      <w:r w:rsidRPr="00A22427">
        <w:t xml:space="preserve">The response to the deferral </w:t>
      </w:r>
      <w:r w:rsidRPr="00A22427">
        <w:rPr>
          <w:rFonts w:eastAsiaTheme="minorEastAsia"/>
        </w:rPr>
        <w:t xml:space="preserve">presented two scenarios for both the economic and financial </w:t>
      </w:r>
      <w:r w:rsidRPr="00A22427">
        <w:t>impact</w:t>
      </w:r>
      <w:r w:rsidRPr="00A22427">
        <w:rPr>
          <w:rFonts w:eastAsiaTheme="minorEastAsia"/>
        </w:rPr>
        <w:t xml:space="preserve"> analyses.</w:t>
      </w:r>
    </w:p>
    <w:p w14:paraId="77F33E6C" w14:textId="46F1C5F8" w:rsidR="00BF547B" w:rsidRPr="00A22427" w:rsidRDefault="00BF547B" w:rsidP="00BF547B">
      <w:pPr>
        <w:pStyle w:val="ListParagraph"/>
        <w:numPr>
          <w:ilvl w:val="0"/>
          <w:numId w:val="33"/>
        </w:numPr>
        <w:ind w:left="993"/>
        <w:rPr>
          <w:rFonts w:eastAsiaTheme="minorEastAsia"/>
        </w:rPr>
      </w:pPr>
      <w:r w:rsidRPr="00A22427">
        <w:rPr>
          <w:rFonts w:eastAsiaTheme="minorEastAsia"/>
        </w:rPr>
        <w:t xml:space="preserve">Base Case: reflects the inclusion of the note ‘This drug is not PBS-subsidised if it is administered to an in-patient in a public hospital setting’ as drafted in the ravulizumab restriction. </w:t>
      </w:r>
      <w:r w:rsidRPr="004F4DE8">
        <w:rPr>
          <w:rFonts w:eastAsiaTheme="minorEastAsia"/>
        </w:rPr>
        <w:t xml:space="preserve">The Base Case includes the cost of the </w:t>
      </w:r>
      <w:proofErr w:type="gramStart"/>
      <w:r w:rsidR="00740926" w:rsidRPr="00497513">
        <w:rPr>
          <w:rFonts w:eastAsiaTheme="minorEastAsia"/>
          <w:color w:val="000000"/>
          <w:w w:val="15"/>
          <w:shd w:val="solid" w:color="000000" w:fill="000000"/>
          <w:fitText w:val="-20" w:id="-1168355576"/>
          <w14:textFill>
            <w14:solidFill>
              <w14:srgbClr w14:val="000000">
                <w14:alpha w14:val="100000"/>
              </w14:srgbClr>
            </w14:solidFill>
          </w14:textFill>
        </w:rPr>
        <w:t xml:space="preserve">|  </w:t>
      </w:r>
      <w:r w:rsidR="00740926" w:rsidRPr="00497513">
        <w:rPr>
          <w:rFonts w:eastAsiaTheme="minorEastAsia"/>
          <w:color w:val="000000"/>
          <w:spacing w:val="-69"/>
          <w:w w:val="15"/>
          <w:shd w:val="solid" w:color="000000" w:fill="000000"/>
          <w:fitText w:val="-20" w:id="-1168355576"/>
          <w14:textFill>
            <w14:solidFill>
              <w14:srgbClr w14:val="000000">
                <w14:alpha w14:val="100000"/>
              </w14:srgbClr>
            </w14:solidFill>
          </w14:textFill>
        </w:rPr>
        <w:t>|</w:t>
      </w:r>
      <w:proofErr w:type="gramEnd"/>
      <w:r w:rsidRPr="004F4DE8">
        <w:rPr>
          <w:rFonts w:eastAsiaTheme="minorEastAsia"/>
        </w:rPr>
        <w:t>of ravulizumab in the CMA.</w:t>
      </w:r>
      <w:r w:rsidRPr="00A22427">
        <w:rPr>
          <w:rFonts w:eastAsiaTheme="minorEastAsia"/>
        </w:rPr>
        <w:t xml:space="preserve"> </w:t>
      </w:r>
    </w:p>
    <w:p w14:paraId="49AEB151" w14:textId="198C6927" w:rsidR="00BF547B" w:rsidRPr="00A22427" w:rsidRDefault="00BF547B" w:rsidP="00BF547B">
      <w:pPr>
        <w:pStyle w:val="ListParagraph"/>
        <w:numPr>
          <w:ilvl w:val="0"/>
          <w:numId w:val="33"/>
        </w:numPr>
        <w:ind w:left="993"/>
        <w:rPr>
          <w:rFonts w:eastAsiaTheme="minorEastAsia"/>
        </w:rPr>
      </w:pPr>
      <w:r w:rsidRPr="00A22427">
        <w:rPr>
          <w:rFonts w:eastAsiaTheme="minorEastAsia"/>
        </w:rPr>
        <w:t xml:space="preserve">Scenario 1: </w:t>
      </w:r>
      <w:r w:rsidRPr="00A22427">
        <w:t xml:space="preserve">largely consistent with the March 2023 submission, whereby the note is </w:t>
      </w:r>
      <w:r w:rsidRPr="00A22427">
        <w:rPr>
          <w:u w:val="single"/>
        </w:rPr>
        <w:t>not included</w:t>
      </w:r>
      <w:r w:rsidRPr="00A22427">
        <w:t xml:space="preserve"> in the restriction, enabling ravulizumab to be available under the same circumstances as eculizumab. This analysis offsets the cost of </w:t>
      </w:r>
      <w:proofErr w:type="gramStart"/>
      <w:r w:rsidR="00740926" w:rsidRPr="00497513">
        <w:rPr>
          <w:color w:val="000000"/>
          <w:w w:val="15"/>
          <w:shd w:val="solid" w:color="000000" w:fill="000000"/>
          <w:fitText w:val="-20" w:id="-1168355575"/>
          <w14:textFill>
            <w14:solidFill>
              <w14:srgbClr w14:val="000000">
                <w14:alpha w14:val="100000"/>
              </w14:srgbClr>
            </w14:solidFill>
          </w14:textFill>
        </w:rPr>
        <w:t xml:space="preserve">|  </w:t>
      </w:r>
      <w:r w:rsidR="00740926" w:rsidRPr="00497513">
        <w:rPr>
          <w:color w:val="000000"/>
          <w:spacing w:val="-69"/>
          <w:w w:val="15"/>
          <w:shd w:val="solid" w:color="000000" w:fill="000000"/>
          <w:fitText w:val="-20" w:id="-1168355575"/>
          <w14:textFill>
            <w14:solidFill>
              <w14:srgbClr w14:val="000000">
                <w14:alpha w14:val="100000"/>
              </w14:srgbClr>
            </w14:solidFill>
          </w14:textFill>
        </w:rPr>
        <w:t>|</w:t>
      </w:r>
      <w:proofErr w:type="gramEnd"/>
      <w:r w:rsidRPr="00A22427">
        <w:t xml:space="preserve">of ravulizumab in the CMA in acknowledgement of the exceptional funding circumstances (equating to </w:t>
      </w:r>
      <w:r w:rsidR="00740926" w:rsidRPr="00BF6B51">
        <w:rPr>
          <w:color w:val="000000"/>
          <w:w w:val="15"/>
          <w:shd w:val="solid" w:color="000000" w:fill="000000"/>
          <w:fitText w:val="-20" w:id="-1168355574"/>
          <w14:textFill>
            <w14:solidFill>
              <w14:srgbClr w14:val="000000">
                <w14:alpha w14:val="100000"/>
              </w14:srgbClr>
            </w14:solidFill>
          </w14:textFill>
        </w:rPr>
        <w:t xml:space="preserve">|  </w:t>
      </w:r>
      <w:r w:rsidR="00740926" w:rsidRPr="00BF6B51">
        <w:rPr>
          <w:color w:val="000000"/>
          <w:spacing w:val="-69"/>
          <w:w w:val="15"/>
          <w:shd w:val="solid" w:color="000000" w:fill="000000"/>
          <w:fitText w:val="-20" w:id="-1168355574"/>
          <w14:textFill>
            <w14:solidFill>
              <w14:srgbClr w14:val="000000">
                <w14:alpha w14:val="100000"/>
              </w14:srgbClr>
            </w14:solidFill>
          </w14:textFill>
        </w:rPr>
        <w:t>|</w:t>
      </w:r>
      <w:r w:rsidRPr="00A22427">
        <w:t xml:space="preserve"> weeks of </w:t>
      </w:r>
      <w:r w:rsidR="00740926" w:rsidRPr="00BF6B51">
        <w:rPr>
          <w:color w:val="000000"/>
          <w:w w:val="15"/>
          <w:shd w:val="solid" w:color="000000" w:fill="000000"/>
          <w:fitText w:val="-20" w:id="-1168355573"/>
          <w14:textFill>
            <w14:solidFill>
              <w14:srgbClr w14:val="000000">
                <w14:alpha w14:val="100000"/>
              </w14:srgbClr>
            </w14:solidFill>
          </w14:textFill>
        </w:rPr>
        <w:t xml:space="preserve">|  </w:t>
      </w:r>
      <w:r w:rsidR="00740926" w:rsidRPr="00BF6B51">
        <w:rPr>
          <w:color w:val="000000"/>
          <w:spacing w:val="-69"/>
          <w:w w:val="15"/>
          <w:shd w:val="solid" w:color="000000" w:fill="000000"/>
          <w:fitText w:val="-20" w:id="-1168355573"/>
          <w14:textFill>
            <w14:solidFill>
              <w14:srgbClr w14:val="000000">
                <w14:alpha w14:val="100000"/>
              </w14:srgbClr>
            </w14:solidFill>
          </w14:textFill>
        </w:rPr>
        <w:t>|</w:t>
      </w:r>
      <w:r w:rsidRPr="00A22427">
        <w:t xml:space="preserve"> ravulizumab treatment).</w:t>
      </w:r>
    </w:p>
    <w:p w14:paraId="4DD54279" w14:textId="77777777" w:rsidR="00BF547B" w:rsidRPr="00A22427" w:rsidRDefault="00BF547B" w:rsidP="00BF547B">
      <w:pPr>
        <w:pStyle w:val="3-BodyText"/>
        <w:ind w:left="709"/>
      </w:pPr>
      <w:r w:rsidRPr="00A22427">
        <w:t xml:space="preserve">As the PBAC is unable to recommend PBS-subsidised public hospital inpatient use of ravulizumab (paragraph </w:t>
      </w:r>
      <w:r w:rsidRPr="00A22427">
        <w:fldChar w:fldCharType="begin" w:fldLock="1"/>
      </w:r>
      <w:r w:rsidRPr="00A22427">
        <w:instrText xml:space="preserve"> REF _Ref139894524 \r \h </w:instrText>
      </w:r>
      <w:r w:rsidRPr="00A22427">
        <w:fldChar w:fldCharType="separate"/>
      </w:r>
      <w:r w:rsidRPr="00A22427">
        <w:t>7.1</w:t>
      </w:r>
      <w:r w:rsidRPr="00A22427">
        <w:fldChar w:fldCharType="end"/>
      </w:r>
      <w:r w:rsidRPr="00A22427">
        <w:t>), the PBAC noted in this context that the Base Case scenario is the only acceptable economic option for consideration.</w:t>
      </w:r>
    </w:p>
    <w:p w14:paraId="0963F1D4" w14:textId="08E4D938" w:rsidR="00BF547B" w:rsidRPr="00A22427" w:rsidRDefault="00BF547B" w:rsidP="00BF547B">
      <w:pPr>
        <w:pStyle w:val="3-BodyText"/>
        <w:ind w:left="709"/>
        <w:rPr>
          <w:rFonts w:eastAsiaTheme="minorEastAsia"/>
        </w:rPr>
      </w:pPr>
      <w:r w:rsidRPr="00A22427">
        <w:rPr>
          <w:snapToGrid/>
        </w:rPr>
        <w:t xml:space="preserve">The Base Case CMA proposed in the response to the deferral is shown in </w:t>
      </w:r>
      <w:r w:rsidRPr="00A22427">
        <w:fldChar w:fldCharType="begin" w:fldLock="1"/>
      </w:r>
      <w:r w:rsidRPr="00A22427">
        <w:rPr>
          <w:snapToGrid/>
        </w:rPr>
        <w:instrText xml:space="preserve"> REF _Ref139966183 \h </w:instrText>
      </w:r>
      <w:r w:rsidRPr="00A22427">
        <w:instrText xml:space="preserve"> \* MERGEFORMAT </w:instrText>
      </w:r>
      <w:r w:rsidRPr="00A22427">
        <w:fldChar w:fldCharType="separate"/>
      </w:r>
      <w:r w:rsidRPr="008B4554">
        <w:rPr>
          <w:snapToGrid/>
        </w:rPr>
        <w:t>Table 18</w:t>
      </w:r>
      <w:r w:rsidRPr="00A22427">
        <w:fldChar w:fldCharType="end"/>
      </w:r>
      <w:r w:rsidRPr="00A22427">
        <w:rPr>
          <w:snapToGrid/>
        </w:rPr>
        <w:t xml:space="preserve">. The resulting Base Case cost per vial was higher than the current PBS published price of ravulizumab. The response to the deferral proposed to reduce the </w:t>
      </w:r>
      <w:r w:rsidRPr="00D651A4">
        <w:rPr>
          <w:snapToGrid/>
        </w:rPr>
        <w:t xml:space="preserve">cost minimised price of ravulizumab to </w:t>
      </w:r>
      <w:proofErr w:type="gramStart"/>
      <w:r w:rsidR="00740926" w:rsidRPr="00497513">
        <w:rPr>
          <w:snapToGrid/>
          <w:color w:val="000000"/>
          <w:w w:val="15"/>
          <w:shd w:val="solid" w:color="000000" w:fill="000000"/>
          <w:fitText w:val="-20" w:id="-1168355572"/>
          <w14:textFill>
            <w14:solidFill>
              <w14:srgbClr w14:val="000000">
                <w14:alpha w14:val="100000"/>
              </w14:srgbClr>
            </w14:solidFill>
          </w14:textFill>
        </w:rPr>
        <w:t xml:space="preserve">|  </w:t>
      </w:r>
      <w:r w:rsidR="00740926" w:rsidRPr="00497513">
        <w:rPr>
          <w:snapToGrid/>
          <w:color w:val="000000"/>
          <w:spacing w:val="-69"/>
          <w:w w:val="15"/>
          <w:shd w:val="solid" w:color="000000" w:fill="000000"/>
          <w:fitText w:val="-20" w:id="-1168355572"/>
          <w14:textFill>
            <w14:solidFill>
              <w14:srgbClr w14:val="000000">
                <w14:alpha w14:val="100000"/>
              </w14:srgbClr>
            </w14:solidFill>
          </w14:textFill>
        </w:rPr>
        <w:t>|</w:t>
      </w:r>
      <w:proofErr w:type="gramEnd"/>
      <w:r w:rsidRPr="00D651A4">
        <w:rPr>
          <w:snapToGrid/>
        </w:rPr>
        <w:t>, representing a further</w:t>
      </w:r>
      <w:r w:rsidRPr="00A22427">
        <w:rPr>
          <w:snapToGrid/>
        </w:rPr>
        <w:t xml:space="preserve"> </w:t>
      </w:r>
      <w:r w:rsidR="00740926" w:rsidRPr="00497513">
        <w:rPr>
          <w:snapToGrid/>
          <w:color w:val="000000"/>
          <w:w w:val="15"/>
          <w:shd w:val="solid" w:color="000000" w:fill="000000"/>
          <w:fitText w:val="-20" w:id="-1168355571"/>
          <w14:textFill>
            <w14:solidFill>
              <w14:srgbClr w14:val="000000">
                <w14:alpha w14:val="100000"/>
              </w14:srgbClr>
            </w14:solidFill>
          </w14:textFill>
        </w:rPr>
        <w:t xml:space="preserve">|  </w:t>
      </w:r>
      <w:r w:rsidR="00740926" w:rsidRPr="00497513">
        <w:rPr>
          <w:snapToGrid/>
          <w:color w:val="000000"/>
          <w:spacing w:val="-69"/>
          <w:w w:val="15"/>
          <w:shd w:val="solid" w:color="000000" w:fill="000000"/>
          <w:fitText w:val="-20" w:id="-1168355571"/>
          <w14:textFill>
            <w14:solidFill>
              <w14:srgbClr w14:val="000000">
                <w14:alpha w14:val="100000"/>
              </w14:srgbClr>
            </w14:solidFill>
          </w14:textFill>
        </w:rPr>
        <w:t>|</w:t>
      </w:r>
      <w:r w:rsidRPr="00A22427">
        <w:rPr>
          <w:snapToGrid/>
        </w:rPr>
        <w:t>% reduction. Thus, the Base Case will provide savings to Government over the forward estimates</w:t>
      </w:r>
      <w:r w:rsidRPr="00D651A4">
        <w:rPr>
          <w:snapToGrid/>
        </w:rPr>
        <w:t xml:space="preserve">. Given the Base Case pricing is </w:t>
      </w:r>
      <w:proofErr w:type="gramStart"/>
      <w:r w:rsidR="00740926" w:rsidRPr="00497513">
        <w:rPr>
          <w:snapToGrid/>
          <w:color w:val="000000"/>
          <w:w w:val="15"/>
          <w:shd w:val="solid" w:color="000000" w:fill="000000"/>
          <w:fitText w:val="-20" w:id="-1168355570"/>
          <w14:textFill>
            <w14:solidFill>
              <w14:srgbClr w14:val="000000">
                <w14:alpha w14:val="100000"/>
              </w14:srgbClr>
            </w14:solidFill>
          </w14:textFill>
        </w:rPr>
        <w:t xml:space="preserve">|  </w:t>
      </w:r>
      <w:r w:rsidR="00740926" w:rsidRPr="00497513">
        <w:rPr>
          <w:snapToGrid/>
          <w:color w:val="000000"/>
          <w:spacing w:val="-69"/>
          <w:w w:val="15"/>
          <w:shd w:val="solid" w:color="000000" w:fill="000000"/>
          <w:fitText w:val="-20" w:id="-1168355570"/>
          <w14:textFill>
            <w14:solidFill>
              <w14:srgbClr w14:val="000000">
                <w14:alpha w14:val="100000"/>
              </w14:srgbClr>
            </w14:solidFill>
          </w14:textFill>
        </w:rPr>
        <w:t>|</w:t>
      </w:r>
      <w:proofErr w:type="gramEnd"/>
      <w:r w:rsidRPr="00D651A4">
        <w:rPr>
          <w:snapToGrid/>
        </w:rPr>
        <w:t xml:space="preserve"> no Special Pricing Arrangement (SPA) was proposed for this listing.</w:t>
      </w:r>
    </w:p>
    <w:p w14:paraId="5A410BA2" w14:textId="77777777" w:rsidR="00BF547B" w:rsidRPr="00A22427" w:rsidRDefault="00BF547B" w:rsidP="00BF547B">
      <w:pPr>
        <w:pStyle w:val="Caption"/>
        <w:rPr>
          <w:rStyle w:val="CommentReference"/>
          <w:b/>
        </w:rPr>
      </w:pPr>
      <w:bookmarkStart w:id="79" w:name="_Ref139966183"/>
      <w:r w:rsidRPr="00A22427">
        <w:rPr>
          <w:rStyle w:val="CommentReference"/>
          <w:b/>
        </w:rPr>
        <w:lastRenderedPageBreak/>
        <w:t xml:space="preserve">Table </w:t>
      </w:r>
      <w:r w:rsidRPr="00A22427">
        <w:rPr>
          <w:rStyle w:val="CommentReference"/>
          <w:b/>
        </w:rPr>
        <w:fldChar w:fldCharType="begin" w:fldLock="1"/>
      </w:r>
      <w:r w:rsidRPr="00A22427">
        <w:rPr>
          <w:rStyle w:val="CommentReference"/>
          <w:b/>
        </w:rPr>
        <w:instrText xml:space="preserve"> SEQ Table \* ARABIC </w:instrText>
      </w:r>
      <w:r w:rsidRPr="00A22427">
        <w:rPr>
          <w:rStyle w:val="CommentReference"/>
          <w:b/>
        </w:rPr>
        <w:fldChar w:fldCharType="separate"/>
      </w:r>
      <w:r>
        <w:rPr>
          <w:rStyle w:val="CommentReference"/>
          <w:b/>
          <w:noProof/>
        </w:rPr>
        <w:t>18</w:t>
      </w:r>
      <w:r w:rsidRPr="00A22427">
        <w:rPr>
          <w:rStyle w:val="CommentReference"/>
          <w:b/>
        </w:rPr>
        <w:fldChar w:fldCharType="end"/>
      </w:r>
      <w:bookmarkEnd w:id="79"/>
      <w:r w:rsidRPr="00A22427">
        <w:rPr>
          <w:rStyle w:val="CommentReference"/>
          <w:b/>
        </w:rPr>
        <w:t xml:space="preserve">: Base case ravulizumab CMA </w:t>
      </w:r>
    </w:p>
    <w:tbl>
      <w:tblPr>
        <w:tblStyle w:val="TableGrid"/>
        <w:tblW w:w="0" w:type="auto"/>
        <w:tblLook w:val="04A0" w:firstRow="1" w:lastRow="0" w:firstColumn="1" w:lastColumn="0" w:noHBand="0" w:noVBand="1"/>
      </w:tblPr>
      <w:tblGrid>
        <w:gridCol w:w="663"/>
        <w:gridCol w:w="928"/>
        <w:gridCol w:w="1250"/>
        <w:gridCol w:w="6176"/>
      </w:tblGrid>
      <w:tr w:rsidR="00BF547B" w:rsidRPr="00A22427" w14:paraId="15FC00FC" w14:textId="77777777" w:rsidTr="00DF6E70">
        <w:trPr>
          <w:tblHeader/>
        </w:trPr>
        <w:tc>
          <w:tcPr>
            <w:tcW w:w="0" w:type="auto"/>
          </w:tcPr>
          <w:p w14:paraId="0C6839D8" w14:textId="77777777" w:rsidR="00BF547B" w:rsidRPr="00A22427" w:rsidRDefault="00BF547B" w:rsidP="00DF6E70">
            <w:pPr>
              <w:pStyle w:val="TableText0"/>
              <w:keepNext w:val="0"/>
              <w:rPr>
                <w:b/>
                <w:bCs w:val="0"/>
                <w:szCs w:val="20"/>
              </w:rPr>
            </w:pPr>
            <w:r w:rsidRPr="00A22427">
              <w:rPr>
                <w:b/>
                <w:bCs w:val="0"/>
                <w:szCs w:val="20"/>
              </w:rPr>
              <w:t>Steps</w:t>
            </w:r>
          </w:p>
        </w:tc>
        <w:tc>
          <w:tcPr>
            <w:tcW w:w="0" w:type="auto"/>
          </w:tcPr>
          <w:p w14:paraId="157FCDD7" w14:textId="77777777" w:rsidR="00BF547B" w:rsidRPr="00A22427" w:rsidRDefault="00BF547B" w:rsidP="00DF6E70">
            <w:pPr>
              <w:pStyle w:val="TableText0"/>
              <w:keepNext w:val="0"/>
              <w:rPr>
                <w:b/>
                <w:bCs w:val="0"/>
                <w:szCs w:val="20"/>
              </w:rPr>
            </w:pPr>
          </w:p>
        </w:tc>
        <w:tc>
          <w:tcPr>
            <w:tcW w:w="1250" w:type="dxa"/>
          </w:tcPr>
          <w:p w14:paraId="630877B0" w14:textId="77777777" w:rsidR="00BF547B" w:rsidRPr="00A22427" w:rsidRDefault="00BF547B" w:rsidP="00DF6E70">
            <w:pPr>
              <w:pStyle w:val="TableText0"/>
              <w:keepNext w:val="0"/>
              <w:rPr>
                <w:b/>
                <w:bCs w:val="0"/>
                <w:szCs w:val="20"/>
              </w:rPr>
            </w:pPr>
            <w:r w:rsidRPr="00A22427">
              <w:rPr>
                <w:b/>
                <w:bCs w:val="0"/>
                <w:szCs w:val="20"/>
              </w:rPr>
              <w:t>Cost per mg</w:t>
            </w:r>
            <w:r w:rsidRPr="00A22427">
              <w:rPr>
                <w:b/>
                <w:bCs w:val="0"/>
                <w:szCs w:val="20"/>
                <w:vertAlign w:val="superscript"/>
              </w:rPr>
              <w:t>a</w:t>
            </w:r>
          </w:p>
        </w:tc>
        <w:tc>
          <w:tcPr>
            <w:tcW w:w="6176" w:type="dxa"/>
          </w:tcPr>
          <w:p w14:paraId="56E478D2" w14:textId="77777777" w:rsidR="00BF547B" w:rsidRPr="00A22427" w:rsidRDefault="00BF547B" w:rsidP="00DF6E70">
            <w:pPr>
              <w:pStyle w:val="TableText0"/>
              <w:keepNext w:val="0"/>
              <w:rPr>
                <w:b/>
                <w:bCs w:val="0"/>
                <w:szCs w:val="20"/>
              </w:rPr>
            </w:pPr>
            <w:r w:rsidRPr="00A22427">
              <w:rPr>
                <w:b/>
                <w:bCs w:val="0"/>
                <w:szCs w:val="20"/>
              </w:rPr>
              <w:t>Notes</w:t>
            </w:r>
          </w:p>
        </w:tc>
      </w:tr>
      <w:tr w:rsidR="00BF547B" w:rsidRPr="00A22427" w14:paraId="39494566" w14:textId="77777777" w:rsidTr="00DF6E70">
        <w:tc>
          <w:tcPr>
            <w:tcW w:w="0" w:type="auto"/>
          </w:tcPr>
          <w:p w14:paraId="7FBE7E36" w14:textId="77777777" w:rsidR="00BF547B" w:rsidRPr="00A22427" w:rsidRDefault="00BF547B" w:rsidP="00DF6E70">
            <w:pPr>
              <w:pStyle w:val="TableText0"/>
              <w:keepNext w:val="0"/>
              <w:tabs>
                <w:tab w:val="left" w:pos="102"/>
              </w:tabs>
              <w:rPr>
                <w:b/>
                <w:bCs w:val="0"/>
                <w:szCs w:val="20"/>
              </w:rPr>
            </w:pPr>
          </w:p>
        </w:tc>
        <w:tc>
          <w:tcPr>
            <w:tcW w:w="0" w:type="auto"/>
          </w:tcPr>
          <w:p w14:paraId="49FCE670" w14:textId="77777777" w:rsidR="00BF547B" w:rsidRPr="00A22427" w:rsidRDefault="00BF547B" w:rsidP="00DF6E70">
            <w:pPr>
              <w:pStyle w:val="TableText0"/>
              <w:keepNext w:val="0"/>
              <w:tabs>
                <w:tab w:val="left" w:pos="102"/>
              </w:tabs>
              <w:rPr>
                <w:szCs w:val="20"/>
              </w:rPr>
            </w:pPr>
            <w:r w:rsidRPr="00A22427">
              <w:rPr>
                <w:szCs w:val="20"/>
              </w:rPr>
              <w:t xml:space="preserve">March 2023 Base Case (adult) </w:t>
            </w:r>
          </w:p>
        </w:tc>
        <w:tc>
          <w:tcPr>
            <w:tcW w:w="1250" w:type="dxa"/>
            <w:shd w:val="clear" w:color="auto" w:fill="auto"/>
          </w:tcPr>
          <w:p w14:paraId="0621243E" w14:textId="791DA9DA" w:rsidR="00BF547B" w:rsidRPr="00A22427" w:rsidRDefault="00F52D2D" w:rsidP="00DF6E70">
            <w:pPr>
              <w:pStyle w:val="TableText0"/>
              <w:keepNext w:val="0"/>
              <w:jc w:val="center"/>
              <w:rPr>
                <w:szCs w:val="20"/>
              </w:rPr>
            </w:pPr>
            <w:r>
              <w:rPr>
                <w:szCs w:val="20"/>
              </w:rPr>
              <w:t>$</w:t>
            </w:r>
            <w:r w:rsidR="00740926" w:rsidRPr="00740926">
              <w:rPr>
                <w:rFonts w:hint="eastAsia"/>
                <w:color w:val="000000"/>
                <w:w w:val="18"/>
                <w:szCs w:val="20"/>
                <w:shd w:val="solid" w:color="000000" w:fill="000000"/>
                <w:fitText w:val="82" w:id="-1168355569"/>
                <w14:textFill>
                  <w14:solidFill>
                    <w14:srgbClr w14:val="000000">
                      <w14:alpha w14:val="100000"/>
                    </w14:srgbClr>
                  </w14:solidFill>
                </w14:textFill>
              </w:rPr>
              <w:t xml:space="preserve">　</w:t>
            </w:r>
            <w:r w:rsidR="00740926" w:rsidRPr="00740926">
              <w:rPr>
                <w:color w:val="000000"/>
                <w:w w:val="18"/>
                <w:szCs w:val="20"/>
                <w:shd w:val="solid" w:color="000000" w:fill="000000"/>
                <w:fitText w:val="82" w:id="-1168355569"/>
                <w14:textFill>
                  <w14:solidFill>
                    <w14:srgbClr w14:val="000000">
                      <w14:alpha w14:val="100000"/>
                    </w14:srgbClr>
                  </w14:solidFill>
                </w14:textFill>
              </w:rPr>
              <w:t>|</w:t>
            </w:r>
            <w:r w:rsidR="00740926" w:rsidRPr="00740926">
              <w:rPr>
                <w:rFonts w:hint="eastAsia"/>
                <w:color w:val="000000"/>
                <w:spacing w:val="2"/>
                <w:w w:val="18"/>
                <w:szCs w:val="20"/>
                <w:shd w:val="solid" w:color="000000" w:fill="000000"/>
                <w:fitText w:val="82" w:id="-1168355569"/>
                <w14:textFill>
                  <w14:solidFill>
                    <w14:srgbClr w14:val="000000">
                      <w14:alpha w14:val="100000"/>
                    </w14:srgbClr>
                  </w14:solidFill>
                </w14:textFill>
              </w:rPr>
              <w:t xml:space="preserve">　</w:t>
            </w:r>
          </w:p>
        </w:tc>
        <w:tc>
          <w:tcPr>
            <w:tcW w:w="6176" w:type="dxa"/>
          </w:tcPr>
          <w:p w14:paraId="407811ED" w14:textId="77777777" w:rsidR="00BF547B" w:rsidRPr="00A22427" w:rsidRDefault="00BF547B" w:rsidP="00DF6E70">
            <w:pPr>
              <w:pStyle w:val="TableText0"/>
              <w:keepNext w:val="0"/>
              <w:rPr>
                <w:szCs w:val="20"/>
              </w:rPr>
            </w:pPr>
            <w:r w:rsidRPr="00A22427">
              <w:rPr>
                <w:szCs w:val="20"/>
              </w:rPr>
              <w:t xml:space="preserve">The CMA was conducted based upon the average treatment duration in aHUS of one year. Given the treatment duration was informed by the same DUSC analysis as used to inform the restriction analysis performed during the evaluation, the results are very similar. </w:t>
            </w:r>
          </w:p>
          <w:p w14:paraId="59547BCD" w14:textId="77777777" w:rsidR="00BF547B" w:rsidRPr="00A22427" w:rsidRDefault="00BF547B" w:rsidP="00DF6E70">
            <w:pPr>
              <w:pStyle w:val="TableText0"/>
              <w:keepNext w:val="0"/>
              <w:rPr>
                <w:szCs w:val="20"/>
              </w:rPr>
            </w:pPr>
          </w:p>
          <w:p w14:paraId="191E44FC" w14:textId="77777777" w:rsidR="00BF547B" w:rsidRPr="00A22427" w:rsidRDefault="00BF547B" w:rsidP="00DF6E70">
            <w:pPr>
              <w:pStyle w:val="TableText0"/>
              <w:keepNext w:val="0"/>
              <w:rPr>
                <w:szCs w:val="20"/>
              </w:rPr>
            </w:pPr>
            <w:r w:rsidRPr="00A22427">
              <w:rPr>
                <w:szCs w:val="20"/>
              </w:rPr>
              <w:t>No loading dose offset was factored for patients switching from eculizumab to ravulizumab.</w:t>
            </w:r>
          </w:p>
        </w:tc>
      </w:tr>
      <w:tr w:rsidR="00BF547B" w:rsidRPr="00A22427" w14:paraId="2D565C1A" w14:textId="77777777" w:rsidTr="00DF6E70">
        <w:tc>
          <w:tcPr>
            <w:tcW w:w="0" w:type="auto"/>
            <w:gridSpan w:val="4"/>
          </w:tcPr>
          <w:p w14:paraId="4AF82954" w14:textId="77777777" w:rsidR="00BF547B" w:rsidRPr="00A22427" w:rsidRDefault="00BF547B" w:rsidP="00DF6E70">
            <w:pPr>
              <w:pStyle w:val="TableText0"/>
              <w:keepLines/>
              <w:rPr>
                <w:b/>
                <w:bCs w:val="0"/>
                <w:szCs w:val="20"/>
              </w:rPr>
            </w:pPr>
            <w:r w:rsidRPr="00A22427">
              <w:rPr>
                <w:b/>
                <w:bCs w:val="0"/>
                <w:szCs w:val="20"/>
              </w:rPr>
              <w:t>Restriction phase analysis</w:t>
            </w:r>
          </w:p>
        </w:tc>
      </w:tr>
      <w:tr w:rsidR="00BF547B" w:rsidRPr="00A22427" w14:paraId="4FC553E8" w14:textId="77777777" w:rsidTr="00DF6E70">
        <w:tc>
          <w:tcPr>
            <w:tcW w:w="0" w:type="auto"/>
          </w:tcPr>
          <w:p w14:paraId="65180A17" w14:textId="77777777" w:rsidR="00BF547B" w:rsidRPr="00A22427" w:rsidRDefault="00BF547B" w:rsidP="00DF6E70">
            <w:pPr>
              <w:pStyle w:val="TableText0"/>
              <w:keepLines/>
              <w:tabs>
                <w:tab w:val="left" w:pos="102"/>
              </w:tabs>
              <w:rPr>
                <w:szCs w:val="20"/>
              </w:rPr>
            </w:pPr>
          </w:p>
        </w:tc>
        <w:tc>
          <w:tcPr>
            <w:tcW w:w="0" w:type="auto"/>
          </w:tcPr>
          <w:p w14:paraId="6647FA7B" w14:textId="77777777" w:rsidR="00BF547B" w:rsidRPr="00A22427" w:rsidRDefault="00BF547B" w:rsidP="00DF6E70">
            <w:pPr>
              <w:pStyle w:val="TableText0"/>
              <w:keepLines/>
              <w:tabs>
                <w:tab w:val="left" w:pos="102"/>
              </w:tabs>
              <w:rPr>
                <w:szCs w:val="20"/>
              </w:rPr>
            </w:pPr>
            <w:r w:rsidRPr="00A22427">
              <w:rPr>
                <w:szCs w:val="20"/>
              </w:rPr>
              <w:t xml:space="preserve">ESC sensitivity of Base Case </w:t>
            </w:r>
          </w:p>
        </w:tc>
        <w:tc>
          <w:tcPr>
            <w:tcW w:w="1250" w:type="dxa"/>
          </w:tcPr>
          <w:p w14:paraId="726130A0" w14:textId="45B12329" w:rsidR="00BF547B" w:rsidRPr="00A22427" w:rsidRDefault="00F52D2D" w:rsidP="00DF6E70">
            <w:pPr>
              <w:pStyle w:val="TableText0"/>
              <w:keepLines/>
              <w:jc w:val="center"/>
              <w:rPr>
                <w:szCs w:val="20"/>
              </w:rPr>
            </w:pPr>
            <w:r>
              <w:rPr>
                <w:szCs w:val="20"/>
              </w:rPr>
              <w:t>$</w:t>
            </w:r>
            <w:r w:rsidR="00740926" w:rsidRPr="00740926">
              <w:rPr>
                <w:rFonts w:hint="eastAsia"/>
                <w:color w:val="000000"/>
                <w:w w:val="18"/>
                <w:szCs w:val="20"/>
                <w:shd w:val="solid" w:color="000000" w:fill="000000"/>
                <w:fitText w:val="82" w:id="-1168355568"/>
                <w14:textFill>
                  <w14:solidFill>
                    <w14:srgbClr w14:val="000000">
                      <w14:alpha w14:val="100000"/>
                    </w14:srgbClr>
                  </w14:solidFill>
                </w14:textFill>
              </w:rPr>
              <w:t xml:space="preserve">　</w:t>
            </w:r>
            <w:r w:rsidR="00740926" w:rsidRPr="00740926">
              <w:rPr>
                <w:color w:val="000000"/>
                <w:w w:val="18"/>
                <w:szCs w:val="20"/>
                <w:shd w:val="solid" w:color="000000" w:fill="000000"/>
                <w:fitText w:val="82" w:id="-1168355568"/>
                <w14:textFill>
                  <w14:solidFill>
                    <w14:srgbClr w14:val="000000">
                      <w14:alpha w14:val="100000"/>
                    </w14:srgbClr>
                  </w14:solidFill>
                </w14:textFill>
              </w:rPr>
              <w:t>|</w:t>
            </w:r>
            <w:r w:rsidR="00740926" w:rsidRPr="00740926">
              <w:rPr>
                <w:rFonts w:hint="eastAsia"/>
                <w:color w:val="000000"/>
                <w:spacing w:val="2"/>
                <w:w w:val="18"/>
                <w:szCs w:val="20"/>
                <w:shd w:val="solid" w:color="000000" w:fill="000000"/>
                <w:fitText w:val="82" w:id="-1168355568"/>
                <w14:textFill>
                  <w14:solidFill>
                    <w14:srgbClr w14:val="000000">
                      <w14:alpha w14:val="100000"/>
                    </w14:srgbClr>
                  </w14:solidFill>
                </w14:textFill>
              </w:rPr>
              <w:t xml:space="preserve">　</w:t>
            </w:r>
          </w:p>
        </w:tc>
        <w:tc>
          <w:tcPr>
            <w:tcW w:w="6176" w:type="dxa"/>
          </w:tcPr>
          <w:p w14:paraId="15935234" w14:textId="77777777" w:rsidR="00BF547B" w:rsidRPr="00A22427" w:rsidRDefault="00BF547B" w:rsidP="00DF6E70">
            <w:pPr>
              <w:pStyle w:val="TableText0"/>
              <w:keepLines/>
              <w:rPr>
                <w:szCs w:val="20"/>
              </w:rPr>
            </w:pPr>
            <w:r w:rsidRPr="00A22427">
              <w:rPr>
                <w:szCs w:val="20"/>
              </w:rPr>
              <w:t xml:space="preserve">Analysis performed by the ESC during the evaluation and provided to the Sponsor, </w:t>
            </w:r>
            <w:r w:rsidRPr="00A22427">
              <w:rPr>
                <w:i/>
                <w:iCs/>
                <w:szCs w:val="20"/>
              </w:rPr>
              <w:t xml:space="preserve">Ravulizumab - Cost minimisation model workbook_CMA for restriction sequencing.xlsx. </w:t>
            </w:r>
            <w:r w:rsidRPr="00A22427">
              <w:rPr>
                <w:szCs w:val="20"/>
              </w:rPr>
              <w:t xml:space="preserve">See </w:t>
            </w:r>
            <w:r w:rsidRPr="00A22427">
              <w:rPr>
                <w:szCs w:val="20"/>
              </w:rPr>
              <w:fldChar w:fldCharType="begin" w:fldLock="1"/>
            </w:r>
            <w:r w:rsidRPr="00A22427">
              <w:rPr>
                <w:szCs w:val="20"/>
              </w:rPr>
              <w:instrText xml:space="preserve"> REF _Ref124347951 \h </w:instrText>
            </w:r>
            <w:r w:rsidRPr="00A22427">
              <w:rPr>
                <w:szCs w:val="20"/>
              </w:rPr>
            </w:r>
            <w:r w:rsidRPr="00A22427">
              <w:rPr>
                <w:szCs w:val="20"/>
              </w:rPr>
              <w:fldChar w:fldCharType="separate"/>
            </w:r>
            <w:r w:rsidRPr="00A22427">
              <w:t>Table 11</w:t>
            </w:r>
            <w:r w:rsidRPr="00A22427">
              <w:rPr>
                <w:szCs w:val="20"/>
              </w:rPr>
              <w:fldChar w:fldCharType="end"/>
            </w:r>
            <w:r w:rsidRPr="00A22427">
              <w:rPr>
                <w:szCs w:val="20"/>
              </w:rPr>
              <w:t xml:space="preserve"> above in Section 6.</w:t>
            </w:r>
          </w:p>
        </w:tc>
      </w:tr>
      <w:tr w:rsidR="00BF547B" w:rsidRPr="00A22427" w14:paraId="48A577D7" w14:textId="77777777" w:rsidTr="00DF6E70">
        <w:tc>
          <w:tcPr>
            <w:tcW w:w="0" w:type="auto"/>
            <w:gridSpan w:val="4"/>
          </w:tcPr>
          <w:p w14:paraId="6030BBE7" w14:textId="77777777" w:rsidR="00BF547B" w:rsidRPr="00A22427" w:rsidRDefault="00BF547B" w:rsidP="00DF6E70">
            <w:pPr>
              <w:pStyle w:val="TableText0"/>
              <w:keepNext w:val="0"/>
              <w:rPr>
                <w:szCs w:val="20"/>
              </w:rPr>
            </w:pPr>
            <w:r w:rsidRPr="00A22427">
              <w:rPr>
                <w:szCs w:val="20"/>
              </w:rPr>
              <w:t xml:space="preserve">Sponsor updated CMA analysis </w:t>
            </w:r>
          </w:p>
        </w:tc>
      </w:tr>
      <w:tr w:rsidR="00BF547B" w:rsidRPr="00A22427" w14:paraId="2AE22547" w14:textId="77777777" w:rsidTr="00DF6E70">
        <w:tc>
          <w:tcPr>
            <w:tcW w:w="0" w:type="auto"/>
          </w:tcPr>
          <w:p w14:paraId="0EF354AA" w14:textId="77777777" w:rsidR="00BF547B" w:rsidRPr="00A22427" w:rsidRDefault="00BF547B" w:rsidP="00DF6E70">
            <w:pPr>
              <w:pStyle w:val="TableText0"/>
              <w:keepNext w:val="0"/>
              <w:tabs>
                <w:tab w:val="left" w:pos="102"/>
              </w:tabs>
              <w:rPr>
                <w:szCs w:val="20"/>
              </w:rPr>
            </w:pPr>
            <w:r w:rsidRPr="00A22427">
              <w:rPr>
                <w:szCs w:val="20"/>
              </w:rPr>
              <w:t>1</w:t>
            </w:r>
          </w:p>
        </w:tc>
        <w:tc>
          <w:tcPr>
            <w:tcW w:w="0" w:type="auto"/>
          </w:tcPr>
          <w:p w14:paraId="2803C444" w14:textId="77777777" w:rsidR="00BF547B" w:rsidRPr="00A22427" w:rsidRDefault="00BF547B" w:rsidP="00DF6E70">
            <w:pPr>
              <w:pStyle w:val="TableText0"/>
              <w:keepNext w:val="0"/>
              <w:tabs>
                <w:tab w:val="left" w:pos="102"/>
              </w:tabs>
              <w:rPr>
                <w:szCs w:val="20"/>
              </w:rPr>
            </w:pPr>
            <w:r w:rsidRPr="00A22427">
              <w:rPr>
                <w:szCs w:val="20"/>
              </w:rPr>
              <w:t>Initial- extended phase adjusted</w:t>
            </w:r>
            <w:r w:rsidRPr="00A22427">
              <w:rPr>
                <w:szCs w:val="20"/>
                <w:vertAlign w:val="superscript"/>
              </w:rPr>
              <w:t>b</w:t>
            </w:r>
          </w:p>
        </w:tc>
        <w:tc>
          <w:tcPr>
            <w:tcW w:w="1250" w:type="dxa"/>
          </w:tcPr>
          <w:p w14:paraId="338D3B9F" w14:textId="467224E6" w:rsidR="00BF547B" w:rsidRPr="00A22427" w:rsidRDefault="00F52D2D" w:rsidP="00DF6E70">
            <w:pPr>
              <w:pStyle w:val="TableText0"/>
              <w:keepNext w:val="0"/>
              <w:jc w:val="center"/>
              <w:rPr>
                <w:szCs w:val="20"/>
              </w:rPr>
            </w:pPr>
            <w:r>
              <w:rPr>
                <w:szCs w:val="20"/>
              </w:rPr>
              <w:t>$</w:t>
            </w:r>
            <w:r w:rsidR="00740926" w:rsidRPr="00740926">
              <w:rPr>
                <w:rFonts w:hint="eastAsia"/>
                <w:color w:val="000000"/>
                <w:w w:val="18"/>
                <w:szCs w:val="20"/>
                <w:shd w:val="solid" w:color="000000" w:fill="000000"/>
                <w:fitText w:val="82" w:id="-1168355584"/>
                <w14:textFill>
                  <w14:solidFill>
                    <w14:srgbClr w14:val="000000">
                      <w14:alpha w14:val="100000"/>
                    </w14:srgbClr>
                  </w14:solidFill>
                </w14:textFill>
              </w:rPr>
              <w:t xml:space="preserve">　</w:t>
            </w:r>
            <w:r w:rsidR="00740926" w:rsidRPr="00740926">
              <w:rPr>
                <w:color w:val="000000"/>
                <w:w w:val="18"/>
                <w:szCs w:val="20"/>
                <w:shd w:val="solid" w:color="000000" w:fill="000000"/>
                <w:fitText w:val="82" w:id="-1168355584"/>
                <w14:textFill>
                  <w14:solidFill>
                    <w14:srgbClr w14:val="000000">
                      <w14:alpha w14:val="100000"/>
                    </w14:srgbClr>
                  </w14:solidFill>
                </w14:textFill>
              </w:rPr>
              <w:t>|</w:t>
            </w:r>
            <w:r w:rsidR="00740926" w:rsidRPr="00740926">
              <w:rPr>
                <w:rFonts w:hint="eastAsia"/>
                <w:color w:val="000000"/>
                <w:spacing w:val="2"/>
                <w:w w:val="18"/>
                <w:szCs w:val="20"/>
                <w:shd w:val="solid" w:color="000000" w:fill="000000"/>
                <w:fitText w:val="82" w:id="-1168355584"/>
                <w14:textFill>
                  <w14:solidFill>
                    <w14:srgbClr w14:val="000000">
                      <w14:alpha w14:val="100000"/>
                    </w14:srgbClr>
                  </w14:solidFill>
                </w14:textFill>
              </w:rPr>
              <w:t xml:space="preserve">　</w:t>
            </w:r>
          </w:p>
        </w:tc>
        <w:tc>
          <w:tcPr>
            <w:tcW w:w="6176" w:type="dxa"/>
          </w:tcPr>
          <w:p w14:paraId="4C351136" w14:textId="77777777" w:rsidR="00BF547B" w:rsidRPr="00A22427" w:rsidRDefault="00BF547B" w:rsidP="00DF6E70">
            <w:pPr>
              <w:pStyle w:val="TableText0"/>
              <w:keepNext w:val="0"/>
              <w:rPr>
                <w:szCs w:val="20"/>
              </w:rPr>
            </w:pPr>
            <w:r w:rsidRPr="00A22427">
              <w:rPr>
                <w:szCs w:val="20"/>
              </w:rPr>
              <w:t xml:space="preserve">The Initial- extended phase was adjusted (from 56 weeks to 48), in line with the proposed restriction. </w:t>
            </w:r>
          </w:p>
        </w:tc>
      </w:tr>
      <w:tr w:rsidR="00BF547B" w:rsidRPr="00A22427" w14:paraId="43EFDBCF" w14:textId="77777777" w:rsidTr="00DF6E70">
        <w:tc>
          <w:tcPr>
            <w:tcW w:w="0" w:type="auto"/>
          </w:tcPr>
          <w:p w14:paraId="40BCD468" w14:textId="77777777" w:rsidR="00BF547B" w:rsidRPr="00A22427" w:rsidRDefault="00BF547B" w:rsidP="00DF6E70">
            <w:pPr>
              <w:pStyle w:val="TableText0"/>
              <w:keepNext w:val="0"/>
              <w:tabs>
                <w:tab w:val="left" w:pos="102"/>
              </w:tabs>
              <w:rPr>
                <w:szCs w:val="20"/>
              </w:rPr>
            </w:pPr>
            <w:r w:rsidRPr="00A22427">
              <w:rPr>
                <w:szCs w:val="20"/>
              </w:rPr>
              <w:t>2</w:t>
            </w:r>
          </w:p>
        </w:tc>
        <w:tc>
          <w:tcPr>
            <w:tcW w:w="0" w:type="auto"/>
          </w:tcPr>
          <w:p w14:paraId="272D7BCA" w14:textId="77777777" w:rsidR="00BF547B" w:rsidRPr="00A22427" w:rsidRDefault="00BF547B" w:rsidP="00DF6E70">
            <w:pPr>
              <w:pStyle w:val="TableText0"/>
              <w:keepNext w:val="0"/>
              <w:tabs>
                <w:tab w:val="left" w:pos="102"/>
              </w:tabs>
              <w:rPr>
                <w:szCs w:val="20"/>
              </w:rPr>
            </w:pPr>
            <w:r w:rsidRPr="00A22427">
              <w:rPr>
                <w:szCs w:val="20"/>
              </w:rPr>
              <w:t>Initiation phase removed</w:t>
            </w:r>
            <w:r w:rsidRPr="00A22427">
              <w:rPr>
                <w:szCs w:val="20"/>
                <w:vertAlign w:val="superscript"/>
              </w:rPr>
              <w:t>c</w:t>
            </w:r>
          </w:p>
        </w:tc>
        <w:tc>
          <w:tcPr>
            <w:tcW w:w="1250" w:type="dxa"/>
          </w:tcPr>
          <w:p w14:paraId="16F2BE57" w14:textId="05CBDFD6" w:rsidR="00BF547B" w:rsidRPr="00A22427" w:rsidRDefault="00F52D2D" w:rsidP="00DF6E70">
            <w:pPr>
              <w:pStyle w:val="TableText0"/>
              <w:keepNext w:val="0"/>
              <w:jc w:val="center"/>
              <w:rPr>
                <w:szCs w:val="20"/>
              </w:rPr>
            </w:pPr>
            <w:r>
              <w:rPr>
                <w:szCs w:val="20"/>
              </w:rPr>
              <w:t>$</w:t>
            </w:r>
            <w:r w:rsidR="00740926" w:rsidRPr="00740926">
              <w:rPr>
                <w:rFonts w:hint="eastAsia"/>
                <w:color w:val="000000"/>
                <w:w w:val="18"/>
                <w:szCs w:val="20"/>
                <w:shd w:val="solid" w:color="000000" w:fill="000000"/>
                <w:fitText w:val="82" w:id="-1168355583"/>
                <w14:textFill>
                  <w14:solidFill>
                    <w14:srgbClr w14:val="000000">
                      <w14:alpha w14:val="100000"/>
                    </w14:srgbClr>
                  </w14:solidFill>
                </w14:textFill>
              </w:rPr>
              <w:t xml:space="preserve">　</w:t>
            </w:r>
            <w:r w:rsidR="00740926" w:rsidRPr="00740926">
              <w:rPr>
                <w:color w:val="000000"/>
                <w:w w:val="18"/>
                <w:szCs w:val="20"/>
                <w:shd w:val="solid" w:color="000000" w:fill="000000"/>
                <w:fitText w:val="82" w:id="-1168355583"/>
                <w14:textFill>
                  <w14:solidFill>
                    <w14:srgbClr w14:val="000000">
                      <w14:alpha w14:val="100000"/>
                    </w14:srgbClr>
                  </w14:solidFill>
                </w14:textFill>
              </w:rPr>
              <w:t>|</w:t>
            </w:r>
            <w:r w:rsidR="00740926" w:rsidRPr="00740926">
              <w:rPr>
                <w:rFonts w:hint="eastAsia"/>
                <w:color w:val="000000"/>
                <w:spacing w:val="2"/>
                <w:w w:val="18"/>
                <w:szCs w:val="20"/>
                <w:shd w:val="solid" w:color="000000" w:fill="000000"/>
                <w:fitText w:val="82" w:id="-1168355583"/>
                <w14:textFill>
                  <w14:solidFill>
                    <w14:srgbClr w14:val="000000">
                      <w14:alpha w14:val="100000"/>
                    </w14:srgbClr>
                  </w14:solidFill>
                </w14:textFill>
              </w:rPr>
              <w:t xml:space="preserve">　</w:t>
            </w:r>
          </w:p>
        </w:tc>
        <w:tc>
          <w:tcPr>
            <w:tcW w:w="6176" w:type="dxa"/>
          </w:tcPr>
          <w:p w14:paraId="797CCDCB" w14:textId="1D37F31B" w:rsidR="00BF547B" w:rsidRPr="00A22427" w:rsidRDefault="00BF547B" w:rsidP="00DF6E70">
            <w:pPr>
              <w:pStyle w:val="TableText0"/>
              <w:keepNext w:val="0"/>
              <w:rPr>
                <w:szCs w:val="20"/>
              </w:rPr>
            </w:pPr>
            <w:r w:rsidRPr="00A22427">
              <w:rPr>
                <w:szCs w:val="20"/>
              </w:rPr>
              <w:t>As ravulizumab will be used largely post eculizumab initial phase (</w:t>
            </w:r>
            <w:r w:rsidR="00740926" w:rsidRPr="00740926">
              <w:rPr>
                <w:color w:val="000000"/>
                <w:spacing w:val="51"/>
                <w:szCs w:val="20"/>
                <w:shd w:val="solid" w:color="000000" w:fill="000000"/>
                <w:fitText w:val="326" w:id="-1168355582"/>
                <w14:textFill>
                  <w14:solidFill>
                    <w14:srgbClr w14:val="000000">
                      <w14:alpha w14:val="100000"/>
                    </w14:srgbClr>
                  </w14:solidFill>
                </w14:textFill>
              </w:rPr>
              <w:t>|||</w:t>
            </w:r>
            <w:r w:rsidR="00740926" w:rsidRPr="00740926">
              <w:rPr>
                <w:color w:val="000000"/>
                <w:spacing w:val="3"/>
                <w:szCs w:val="20"/>
                <w:shd w:val="solid" w:color="000000" w:fill="000000"/>
                <w:fitText w:val="326" w:id="-1168355582"/>
                <w14:textFill>
                  <w14:solidFill>
                    <w14:srgbClr w14:val="000000">
                      <w14:alpha w14:val="100000"/>
                    </w14:srgbClr>
                  </w14:solidFill>
                </w14:textFill>
              </w:rPr>
              <w:t>|</w:t>
            </w:r>
            <w:r w:rsidRPr="00A22427">
              <w:rPr>
                <w:szCs w:val="20"/>
              </w:rPr>
              <w:t>), the initial phase of treatment in this analysis was not included. Requires re-weighting of the treatment phase proportions to exclude ‘Initial’ Category.</w:t>
            </w:r>
          </w:p>
        </w:tc>
      </w:tr>
      <w:tr w:rsidR="00BF547B" w:rsidRPr="00A22427" w14:paraId="4BF81FE0" w14:textId="77777777" w:rsidTr="00DF6E70">
        <w:tc>
          <w:tcPr>
            <w:tcW w:w="0" w:type="auto"/>
            <w:gridSpan w:val="4"/>
          </w:tcPr>
          <w:p w14:paraId="63D05FCD" w14:textId="77777777" w:rsidR="00BF547B" w:rsidRPr="00A22427" w:rsidRDefault="00BF547B" w:rsidP="00DF6E70">
            <w:pPr>
              <w:pStyle w:val="TableText0"/>
              <w:keepNext w:val="0"/>
              <w:rPr>
                <w:b/>
                <w:bCs w:val="0"/>
                <w:szCs w:val="20"/>
              </w:rPr>
            </w:pPr>
            <w:r w:rsidRPr="00A22427">
              <w:rPr>
                <w:b/>
                <w:bCs w:val="0"/>
                <w:szCs w:val="20"/>
              </w:rPr>
              <w:t xml:space="preserve">Loading dose offset </w:t>
            </w:r>
          </w:p>
        </w:tc>
      </w:tr>
      <w:tr w:rsidR="00BF547B" w:rsidRPr="00A22427" w14:paraId="0E6149E1" w14:textId="77777777" w:rsidTr="00DF6E70">
        <w:tc>
          <w:tcPr>
            <w:tcW w:w="0" w:type="auto"/>
          </w:tcPr>
          <w:p w14:paraId="08EBBD81" w14:textId="77777777" w:rsidR="00BF547B" w:rsidRPr="00A22427" w:rsidRDefault="00BF547B" w:rsidP="00DF6E70">
            <w:pPr>
              <w:pStyle w:val="TableText0"/>
              <w:keepNext w:val="0"/>
              <w:tabs>
                <w:tab w:val="left" w:pos="102"/>
              </w:tabs>
              <w:rPr>
                <w:szCs w:val="20"/>
              </w:rPr>
            </w:pPr>
          </w:p>
        </w:tc>
        <w:tc>
          <w:tcPr>
            <w:tcW w:w="0" w:type="auto"/>
          </w:tcPr>
          <w:p w14:paraId="56D1AB45" w14:textId="77777777" w:rsidR="00BF547B" w:rsidRPr="00A22427" w:rsidRDefault="00BF547B" w:rsidP="00DF6E70">
            <w:pPr>
              <w:pStyle w:val="TableText0"/>
              <w:keepNext w:val="0"/>
              <w:tabs>
                <w:tab w:val="left" w:pos="102"/>
              </w:tabs>
              <w:rPr>
                <w:szCs w:val="20"/>
              </w:rPr>
            </w:pPr>
            <w:r w:rsidRPr="00A22427">
              <w:rPr>
                <w:szCs w:val="20"/>
              </w:rPr>
              <w:t>ESC sensitivity of Base Case</w:t>
            </w:r>
          </w:p>
        </w:tc>
        <w:tc>
          <w:tcPr>
            <w:tcW w:w="1250" w:type="dxa"/>
            <w:shd w:val="clear" w:color="auto" w:fill="auto"/>
          </w:tcPr>
          <w:p w14:paraId="44A452C1" w14:textId="709143B4" w:rsidR="00BF547B" w:rsidRPr="00A22427" w:rsidRDefault="00F52D2D" w:rsidP="00DF6E70">
            <w:pPr>
              <w:pStyle w:val="TableText0"/>
              <w:keepNext w:val="0"/>
              <w:jc w:val="center"/>
              <w:rPr>
                <w:szCs w:val="20"/>
              </w:rPr>
            </w:pPr>
            <w:r>
              <w:rPr>
                <w:szCs w:val="20"/>
              </w:rPr>
              <w:t>$</w:t>
            </w:r>
            <w:r w:rsidR="00740926" w:rsidRPr="00740926">
              <w:rPr>
                <w:rFonts w:hint="eastAsia"/>
                <w:color w:val="000000"/>
                <w:w w:val="18"/>
                <w:szCs w:val="20"/>
                <w:shd w:val="solid" w:color="000000" w:fill="000000"/>
                <w:fitText w:val="82" w:id="-1168355581"/>
                <w14:textFill>
                  <w14:solidFill>
                    <w14:srgbClr w14:val="000000">
                      <w14:alpha w14:val="100000"/>
                    </w14:srgbClr>
                  </w14:solidFill>
                </w14:textFill>
              </w:rPr>
              <w:t xml:space="preserve">　</w:t>
            </w:r>
            <w:r w:rsidR="00740926" w:rsidRPr="00740926">
              <w:rPr>
                <w:color w:val="000000"/>
                <w:w w:val="18"/>
                <w:szCs w:val="20"/>
                <w:shd w:val="solid" w:color="000000" w:fill="000000"/>
                <w:fitText w:val="82" w:id="-1168355581"/>
                <w14:textFill>
                  <w14:solidFill>
                    <w14:srgbClr w14:val="000000">
                      <w14:alpha w14:val="100000"/>
                    </w14:srgbClr>
                  </w14:solidFill>
                </w14:textFill>
              </w:rPr>
              <w:t>|</w:t>
            </w:r>
            <w:r w:rsidR="00740926" w:rsidRPr="00740926">
              <w:rPr>
                <w:rFonts w:hint="eastAsia"/>
                <w:color w:val="000000"/>
                <w:spacing w:val="2"/>
                <w:w w:val="18"/>
                <w:szCs w:val="20"/>
                <w:shd w:val="solid" w:color="000000" w:fill="000000"/>
                <w:fitText w:val="82" w:id="-1168355581"/>
                <w14:textFill>
                  <w14:solidFill>
                    <w14:srgbClr w14:val="000000">
                      <w14:alpha w14:val="100000"/>
                    </w14:srgbClr>
                  </w14:solidFill>
                </w14:textFill>
              </w:rPr>
              <w:t xml:space="preserve">　</w:t>
            </w:r>
          </w:p>
        </w:tc>
        <w:tc>
          <w:tcPr>
            <w:tcW w:w="6176" w:type="dxa"/>
          </w:tcPr>
          <w:p w14:paraId="6F078409" w14:textId="77777777" w:rsidR="00BF547B" w:rsidRPr="00A22427" w:rsidRDefault="00BF547B" w:rsidP="00DF6E70">
            <w:pPr>
              <w:pStyle w:val="TableText0"/>
              <w:keepNext w:val="0"/>
              <w:rPr>
                <w:szCs w:val="20"/>
              </w:rPr>
            </w:pPr>
            <w:r w:rsidRPr="00A22427">
              <w:rPr>
                <w:szCs w:val="20"/>
              </w:rPr>
              <w:t xml:space="preserve">Analysis performed by ESC during the evaluation and provided to the Sponsor, </w:t>
            </w:r>
            <w:r w:rsidRPr="00A22427">
              <w:rPr>
                <w:i/>
                <w:iCs/>
                <w:szCs w:val="20"/>
              </w:rPr>
              <w:t xml:space="preserve">Ravulizumab - Cost minimisation model workbook_CMA for switching </w:t>
            </w:r>
            <w:proofErr w:type="gramStart"/>
            <w:r w:rsidRPr="00A22427">
              <w:rPr>
                <w:i/>
                <w:iCs/>
                <w:szCs w:val="20"/>
              </w:rPr>
              <w:t>patients.xlsx .</w:t>
            </w:r>
            <w:proofErr w:type="gramEnd"/>
            <w:r w:rsidRPr="00A22427">
              <w:rPr>
                <w:i/>
                <w:iCs/>
                <w:szCs w:val="20"/>
              </w:rPr>
              <w:t xml:space="preserve"> </w:t>
            </w:r>
            <w:r w:rsidRPr="00A22427">
              <w:rPr>
                <w:szCs w:val="20"/>
              </w:rPr>
              <w:t xml:space="preserve">See </w:t>
            </w:r>
            <w:r w:rsidRPr="00A22427">
              <w:rPr>
                <w:szCs w:val="20"/>
              </w:rPr>
              <w:fldChar w:fldCharType="begin" w:fldLock="1"/>
            </w:r>
            <w:r w:rsidRPr="00A22427">
              <w:rPr>
                <w:szCs w:val="20"/>
              </w:rPr>
              <w:instrText xml:space="preserve"> REF _Ref124347951 \h </w:instrText>
            </w:r>
            <w:r w:rsidRPr="00A22427">
              <w:rPr>
                <w:szCs w:val="20"/>
              </w:rPr>
            </w:r>
            <w:r w:rsidRPr="00A22427">
              <w:rPr>
                <w:szCs w:val="20"/>
              </w:rPr>
              <w:fldChar w:fldCharType="separate"/>
            </w:r>
            <w:r w:rsidRPr="00A22427">
              <w:t>Table 11</w:t>
            </w:r>
            <w:r w:rsidRPr="00A22427">
              <w:rPr>
                <w:szCs w:val="20"/>
              </w:rPr>
              <w:fldChar w:fldCharType="end"/>
            </w:r>
            <w:r w:rsidRPr="00A22427">
              <w:rPr>
                <w:szCs w:val="20"/>
              </w:rPr>
              <w:t xml:space="preserve"> above in Section 6.</w:t>
            </w:r>
          </w:p>
        </w:tc>
      </w:tr>
      <w:tr w:rsidR="00BF547B" w:rsidRPr="00A22427" w14:paraId="7382BAFE" w14:textId="77777777" w:rsidTr="00DF6E70">
        <w:tc>
          <w:tcPr>
            <w:tcW w:w="0" w:type="auto"/>
            <w:gridSpan w:val="4"/>
          </w:tcPr>
          <w:p w14:paraId="455BF2E9" w14:textId="77777777" w:rsidR="00BF547B" w:rsidRPr="00A22427" w:rsidRDefault="00BF547B" w:rsidP="00DF6E70">
            <w:pPr>
              <w:pStyle w:val="TableText0"/>
              <w:keepNext w:val="0"/>
              <w:rPr>
                <w:szCs w:val="20"/>
              </w:rPr>
            </w:pPr>
            <w:r w:rsidRPr="00A22427">
              <w:rPr>
                <w:szCs w:val="20"/>
              </w:rPr>
              <w:t>Sponsor updated CMA analysis</w:t>
            </w:r>
          </w:p>
        </w:tc>
      </w:tr>
      <w:tr w:rsidR="00BF547B" w:rsidRPr="00A22427" w14:paraId="060AED46" w14:textId="77777777" w:rsidTr="00DF6E70">
        <w:tc>
          <w:tcPr>
            <w:tcW w:w="0" w:type="auto"/>
          </w:tcPr>
          <w:p w14:paraId="794CA71E" w14:textId="77777777" w:rsidR="00BF547B" w:rsidRPr="00A22427" w:rsidRDefault="00BF547B" w:rsidP="00DF6E70">
            <w:pPr>
              <w:pStyle w:val="TableText0"/>
              <w:keepNext w:val="0"/>
              <w:tabs>
                <w:tab w:val="left" w:pos="102"/>
              </w:tabs>
              <w:rPr>
                <w:szCs w:val="20"/>
              </w:rPr>
            </w:pPr>
            <w:r w:rsidRPr="00A22427">
              <w:rPr>
                <w:szCs w:val="20"/>
              </w:rPr>
              <w:t>3</w:t>
            </w:r>
          </w:p>
        </w:tc>
        <w:tc>
          <w:tcPr>
            <w:tcW w:w="0" w:type="auto"/>
          </w:tcPr>
          <w:p w14:paraId="0CB42C0D" w14:textId="77777777" w:rsidR="00BF547B" w:rsidRPr="00A22427" w:rsidRDefault="00BF547B" w:rsidP="00DF6E70">
            <w:pPr>
              <w:pStyle w:val="TableText0"/>
              <w:keepNext w:val="0"/>
              <w:tabs>
                <w:tab w:val="left" w:pos="102"/>
              </w:tabs>
              <w:rPr>
                <w:szCs w:val="20"/>
              </w:rPr>
            </w:pPr>
            <w:r w:rsidRPr="00A22427">
              <w:rPr>
                <w:szCs w:val="20"/>
              </w:rPr>
              <w:t>Loading dose applied to all post Initial patients</w:t>
            </w:r>
            <w:r w:rsidRPr="00A22427">
              <w:rPr>
                <w:szCs w:val="20"/>
                <w:vertAlign w:val="superscript"/>
              </w:rPr>
              <w:t>d</w:t>
            </w:r>
          </w:p>
        </w:tc>
        <w:tc>
          <w:tcPr>
            <w:tcW w:w="1250" w:type="dxa"/>
          </w:tcPr>
          <w:p w14:paraId="770AB5D4" w14:textId="6148EB59" w:rsidR="00BF547B" w:rsidRPr="00A22427" w:rsidRDefault="00F52D2D" w:rsidP="00DF6E70">
            <w:pPr>
              <w:pStyle w:val="TableText0"/>
              <w:keepNext w:val="0"/>
              <w:jc w:val="center"/>
              <w:rPr>
                <w:szCs w:val="20"/>
              </w:rPr>
            </w:pPr>
            <w:r>
              <w:rPr>
                <w:szCs w:val="20"/>
              </w:rPr>
              <w:t>$</w:t>
            </w:r>
            <w:r w:rsidR="00740926" w:rsidRPr="00740926">
              <w:rPr>
                <w:rFonts w:hint="eastAsia"/>
                <w:color w:val="000000"/>
                <w:w w:val="18"/>
                <w:szCs w:val="20"/>
                <w:shd w:val="solid" w:color="000000" w:fill="000000"/>
                <w:fitText w:val="82" w:id="-1168355580"/>
                <w14:textFill>
                  <w14:solidFill>
                    <w14:srgbClr w14:val="000000">
                      <w14:alpha w14:val="100000"/>
                    </w14:srgbClr>
                  </w14:solidFill>
                </w14:textFill>
              </w:rPr>
              <w:t xml:space="preserve">　</w:t>
            </w:r>
            <w:r w:rsidR="00740926" w:rsidRPr="00740926">
              <w:rPr>
                <w:color w:val="000000"/>
                <w:w w:val="18"/>
                <w:szCs w:val="20"/>
                <w:shd w:val="solid" w:color="000000" w:fill="000000"/>
                <w:fitText w:val="82" w:id="-1168355580"/>
                <w14:textFill>
                  <w14:solidFill>
                    <w14:srgbClr w14:val="000000">
                      <w14:alpha w14:val="100000"/>
                    </w14:srgbClr>
                  </w14:solidFill>
                </w14:textFill>
              </w:rPr>
              <w:t>|</w:t>
            </w:r>
            <w:r w:rsidR="00740926" w:rsidRPr="00740926">
              <w:rPr>
                <w:rFonts w:hint="eastAsia"/>
                <w:color w:val="000000"/>
                <w:spacing w:val="2"/>
                <w:w w:val="18"/>
                <w:szCs w:val="20"/>
                <w:shd w:val="solid" w:color="000000" w:fill="000000"/>
                <w:fitText w:val="82" w:id="-1168355580"/>
                <w14:textFill>
                  <w14:solidFill>
                    <w14:srgbClr w14:val="000000">
                      <w14:alpha w14:val="100000"/>
                    </w14:srgbClr>
                  </w14:solidFill>
                </w14:textFill>
              </w:rPr>
              <w:t xml:space="preserve">　</w:t>
            </w:r>
          </w:p>
        </w:tc>
        <w:tc>
          <w:tcPr>
            <w:tcW w:w="6176" w:type="dxa"/>
          </w:tcPr>
          <w:p w14:paraId="70EE6E50" w14:textId="77777777" w:rsidR="00BF547B" w:rsidRPr="00A22427" w:rsidRDefault="00BF547B" w:rsidP="00DF6E70">
            <w:pPr>
              <w:pStyle w:val="TableText0"/>
              <w:keepNext w:val="0"/>
              <w:rPr>
                <w:szCs w:val="20"/>
              </w:rPr>
            </w:pPr>
            <w:r w:rsidRPr="00A22427">
              <w:rPr>
                <w:szCs w:val="20"/>
              </w:rPr>
              <w:t xml:space="preserve">All patients will initiate on eculizumab, and of those that continue after the initiation phase (70%), a ravulizumab offset is applied. This was conservative and favours eculizumab as not all patients will switch to ravulizumab. The proportion of initial phase patients remain removed from the analysis (as they will start and discontinue therapy on eculizumab, so no accounting for ravulizumab therapy is required). The offset is achieved by assuming eculizumab costs in the maintenance phase, compared to ravulizumab loading dose and maintenance costs. </w:t>
            </w:r>
          </w:p>
        </w:tc>
      </w:tr>
      <w:tr w:rsidR="00BF547B" w:rsidRPr="00A22427" w14:paraId="07C489E3" w14:textId="77777777" w:rsidTr="00DF6E70">
        <w:tc>
          <w:tcPr>
            <w:tcW w:w="0" w:type="auto"/>
            <w:gridSpan w:val="4"/>
          </w:tcPr>
          <w:p w14:paraId="6C3D53CB" w14:textId="77777777" w:rsidR="00BF547B" w:rsidRPr="00A22427" w:rsidRDefault="00BF547B" w:rsidP="00DF6E70">
            <w:pPr>
              <w:pStyle w:val="TableText0"/>
              <w:keepNext w:val="0"/>
              <w:rPr>
                <w:szCs w:val="20"/>
              </w:rPr>
            </w:pPr>
            <w:r w:rsidRPr="00A22427">
              <w:rPr>
                <w:b/>
                <w:bCs w:val="0"/>
                <w:szCs w:val="20"/>
              </w:rPr>
              <w:t xml:space="preserve">Re-weighting for paediatric patients </w:t>
            </w:r>
          </w:p>
        </w:tc>
      </w:tr>
      <w:tr w:rsidR="00BF547B" w:rsidRPr="00A22427" w14:paraId="53588307" w14:textId="77777777" w:rsidTr="00DF6E70">
        <w:tc>
          <w:tcPr>
            <w:tcW w:w="0" w:type="auto"/>
          </w:tcPr>
          <w:p w14:paraId="19EA75C0" w14:textId="77777777" w:rsidR="00BF547B" w:rsidRPr="00A22427" w:rsidRDefault="00BF547B" w:rsidP="00DF6E70">
            <w:pPr>
              <w:pStyle w:val="TableText0"/>
              <w:keepNext w:val="0"/>
              <w:tabs>
                <w:tab w:val="left" w:pos="102"/>
              </w:tabs>
              <w:rPr>
                <w:szCs w:val="20"/>
              </w:rPr>
            </w:pPr>
            <w:r w:rsidRPr="00A22427">
              <w:rPr>
                <w:szCs w:val="20"/>
              </w:rPr>
              <w:t>4</w:t>
            </w:r>
          </w:p>
        </w:tc>
        <w:tc>
          <w:tcPr>
            <w:tcW w:w="0" w:type="auto"/>
          </w:tcPr>
          <w:p w14:paraId="52B407A3" w14:textId="77777777" w:rsidR="00BF547B" w:rsidRPr="00A22427" w:rsidRDefault="00BF547B" w:rsidP="00DF6E70">
            <w:pPr>
              <w:pStyle w:val="TableText0"/>
              <w:keepNext w:val="0"/>
              <w:tabs>
                <w:tab w:val="left" w:pos="102"/>
              </w:tabs>
              <w:rPr>
                <w:szCs w:val="20"/>
              </w:rPr>
            </w:pPr>
            <w:r w:rsidRPr="00A22427">
              <w:rPr>
                <w:szCs w:val="20"/>
              </w:rPr>
              <w:t>Weighted cost per mg</w:t>
            </w:r>
            <w:r w:rsidRPr="00A22427">
              <w:rPr>
                <w:szCs w:val="20"/>
                <w:vertAlign w:val="superscript"/>
              </w:rPr>
              <w:t xml:space="preserve">e </w:t>
            </w:r>
          </w:p>
        </w:tc>
        <w:tc>
          <w:tcPr>
            <w:tcW w:w="1250" w:type="dxa"/>
          </w:tcPr>
          <w:p w14:paraId="5F95DD97" w14:textId="49591D9B" w:rsidR="00BF547B" w:rsidRPr="00A22427" w:rsidRDefault="00F52D2D" w:rsidP="00DF6E70">
            <w:pPr>
              <w:pStyle w:val="TableText0"/>
              <w:keepNext w:val="0"/>
              <w:jc w:val="center"/>
              <w:rPr>
                <w:szCs w:val="20"/>
              </w:rPr>
            </w:pPr>
            <w:r>
              <w:rPr>
                <w:szCs w:val="20"/>
              </w:rPr>
              <w:t>$</w:t>
            </w:r>
            <w:r w:rsidR="00740926" w:rsidRPr="00740926">
              <w:rPr>
                <w:rFonts w:hint="eastAsia"/>
                <w:color w:val="000000"/>
                <w:w w:val="18"/>
                <w:szCs w:val="20"/>
                <w:shd w:val="solid" w:color="000000" w:fill="000000"/>
                <w:fitText w:val="82" w:id="-1168355579"/>
                <w14:textFill>
                  <w14:solidFill>
                    <w14:srgbClr w14:val="000000">
                      <w14:alpha w14:val="100000"/>
                    </w14:srgbClr>
                  </w14:solidFill>
                </w14:textFill>
              </w:rPr>
              <w:t xml:space="preserve">　</w:t>
            </w:r>
            <w:r w:rsidR="00740926" w:rsidRPr="00740926">
              <w:rPr>
                <w:color w:val="000000"/>
                <w:w w:val="18"/>
                <w:szCs w:val="20"/>
                <w:shd w:val="solid" w:color="000000" w:fill="000000"/>
                <w:fitText w:val="82" w:id="-1168355579"/>
                <w14:textFill>
                  <w14:solidFill>
                    <w14:srgbClr w14:val="000000">
                      <w14:alpha w14:val="100000"/>
                    </w14:srgbClr>
                  </w14:solidFill>
                </w14:textFill>
              </w:rPr>
              <w:t>|</w:t>
            </w:r>
            <w:r w:rsidR="00740926" w:rsidRPr="00740926">
              <w:rPr>
                <w:rFonts w:hint="eastAsia"/>
                <w:color w:val="000000"/>
                <w:spacing w:val="2"/>
                <w:w w:val="18"/>
                <w:szCs w:val="20"/>
                <w:shd w:val="solid" w:color="000000" w:fill="000000"/>
                <w:fitText w:val="82" w:id="-1168355579"/>
                <w14:textFill>
                  <w14:solidFill>
                    <w14:srgbClr w14:val="000000">
                      <w14:alpha w14:val="100000"/>
                    </w14:srgbClr>
                  </w14:solidFill>
                </w14:textFill>
              </w:rPr>
              <w:t xml:space="preserve">　</w:t>
            </w:r>
          </w:p>
        </w:tc>
        <w:tc>
          <w:tcPr>
            <w:tcW w:w="6176" w:type="dxa"/>
          </w:tcPr>
          <w:p w14:paraId="1362E0D8" w14:textId="68E42111" w:rsidR="00BF547B" w:rsidRPr="00A22427" w:rsidRDefault="00BF547B" w:rsidP="00DF6E70">
            <w:pPr>
              <w:pStyle w:val="TableText0"/>
              <w:keepNext w:val="0"/>
              <w:rPr>
                <w:szCs w:val="20"/>
              </w:rPr>
            </w:pPr>
            <w:r w:rsidRPr="00A22427">
              <w:rPr>
                <w:szCs w:val="20"/>
              </w:rPr>
              <w:t>The same price per mg was used for paediatric patients as proposed in the March 2023 submission base case ($</w:t>
            </w:r>
            <w:r w:rsidR="00740926" w:rsidRPr="00740926">
              <w:rPr>
                <w:color w:val="000000"/>
                <w:spacing w:val="51"/>
                <w:szCs w:val="20"/>
                <w:shd w:val="solid" w:color="000000" w:fill="000000"/>
                <w:fitText w:val="326" w:id="-1168355578"/>
                <w14:textFill>
                  <w14:solidFill>
                    <w14:srgbClr w14:val="000000">
                      <w14:alpha w14:val="100000"/>
                    </w14:srgbClr>
                  </w14:solidFill>
                </w14:textFill>
              </w:rPr>
              <w:t>|||</w:t>
            </w:r>
            <w:r w:rsidR="00740926" w:rsidRPr="00740926">
              <w:rPr>
                <w:color w:val="000000"/>
                <w:spacing w:val="3"/>
                <w:szCs w:val="20"/>
                <w:shd w:val="solid" w:color="000000" w:fill="000000"/>
                <w:fitText w:val="326" w:id="-1168355578"/>
                <w14:textFill>
                  <w14:solidFill>
                    <w14:srgbClr w14:val="000000">
                      <w14:alpha w14:val="100000"/>
                    </w14:srgbClr>
                  </w14:solidFill>
                </w14:textFill>
              </w:rPr>
              <w:t>|</w:t>
            </w:r>
            <w:r w:rsidRPr="00A22427">
              <w:rPr>
                <w:szCs w:val="20"/>
              </w:rPr>
              <w:t xml:space="preserve"> per mg) was used. This was then weighted adult/paediatric 90.4%/9.6% respectively to achieve the price per mg for both populations. </w:t>
            </w:r>
          </w:p>
        </w:tc>
      </w:tr>
      <w:tr w:rsidR="00BF547B" w:rsidRPr="00A22427" w14:paraId="06A9FCF5" w14:textId="77777777" w:rsidTr="00DF6E70">
        <w:tc>
          <w:tcPr>
            <w:tcW w:w="0" w:type="auto"/>
            <w:gridSpan w:val="4"/>
          </w:tcPr>
          <w:p w14:paraId="05A7851A" w14:textId="77777777" w:rsidR="00BF547B" w:rsidRPr="00A22427" w:rsidRDefault="00BF547B" w:rsidP="00DF6E70">
            <w:pPr>
              <w:pStyle w:val="TableText0"/>
              <w:keepNext w:val="0"/>
              <w:rPr>
                <w:szCs w:val="20"/>
              </w:rPr>
            </w:pPr>
            <w:r w:rsidRPr="00A22427">
              <w:rPr>
                <w:b/>
                <w:bCs w:val="0"/>
                <w:szCs w:val="20"/>
              </w:rPr>
              <w:t>Resulting price per vial- Base Case CMA</w:t>
            </w:r>
          </w:p>
        </w:tc>
      </w:tr>
      <w:tr w:rsidR="00BF547B" w:rsidRPr="00A22427" w14:paraId="597AC0B6" w14:textId="77777777" w:rsidTr="00DF6E70">
        <w:tc>
          <w:tcPr>
            <w:tcW w:w="0" w:type="auto"/>
            <w:gridSpan w:val="2"/>
          </w:tcPr>
          <w:p w14:paraId="4259F38F" w14:textId="77777777" w:rsidR="00BF547B" w:rsidRPr="00A22427" w:rsidRDefault="00BF547B" w:rsidP="00DF6E70">
            <w:pPr>
              <w:pStyle w:val="TableText0"/>
              <w:keepNext w:val="0"/>
              <w:tabs>
                <w:tab w:val="left" w:pos="102"/>
              </w:tabs>
              <w:rPr>
                <w:szCs w:val="20"/>
              </w:rPr>
            </w:pPr>
            <w:bookmarkStart w:id="80" w:name="_Hlk135831234"/>
            <w:r w:rsidRPr="00A22427">
              <w:rPr>
                <w:szCs w:val="20"/>
              </w:rPr>
              <w:t>300 mg</w:t>
            </w:r>
          </w:p>
        </w:tc>
        <w:tc>
          <w:tcPr>
            <w:tcW w:w="0" w:type="auto"/>
            <w:gridSpan w:val="2"/>
          </w:tcPr>
          <w:p w14:paraId="0FE18367" w14:textId="6D184C91" w:rsidR="00BF547B" w:rsidRPr="00A22427" w:rsidRDefault="00BF547B" w:rsidP="00DF6E70">
            <w:pPr>
              <w:pStyle w:val="TableText0"/>
              <w:keepNext w:val="0"/>
              <w:jc w:val="center"/>
              <w:rPr>
                <w:szCs w:val="20"/>
              </w:rPr>
            </w:pPr>
            <w:r w:rsidRPr="00A22427">
              <w:rPr>
                <w:szCs w:val="20"/>
              </w:rPr>
              <w:t>$</w:t>
            </w:r>
            <w:r w:rsidR="00740926" w:rsidRPr="00740926">
              <w:rPr>
                <w:color w:val="000000"/>
                <w:szCs w:val="20"/>
                <w:shd w:val="solid" w:color="000000" w:fill="000000"/>
                <w14:textFill>
                  <w14:solidFill>
                    <w14:srgbClr w14:val="000000">
                      <w14:alpha w14:val="100000"/>
                    </w14:srgbClr>
                  </w14:solidFill>
                </w14:textFill>
              </w:rPr>
              <w:t>|</w:t>
            </w:r>
          </w:p>
        </w:tc>
      </w:tr>
      <w:tr w:rsidR="00BF547B" w:rsidRPr="00A22427" w14:paraId="16AD4787" w14:textId="77777777" w:rsidTr="00DF6E70">
        <w:tc>
          <w:tcPr>
            <w:tcW w:w="0" w:type="auto"/>
            <w:gridSpan w:val="2"/>
          </w:tcPr>
          <w:p w14:paraId="553FEC18" w14:textId="77777777" w:rsidR="00BF547B" w:rsidRPr="00A22427" w:rsidRDefault="00BF547B" w:rsidP="00DF6E70">
            <w:pPr>
              <w:pStyle w:val="TableText0"/>
              <w:keepNext w:val="0"/>
              <w:tabs>
                <w:tab w:val="left" w:pos="102"/>
              </w:tabs>
              <w:rPr>
                <w:szCs w:val="20"/>
              </w:rPr>
            </w:pPr>
            <w:r w:rsidRPr="00A22427">
              <w:rPr>
                <w:szCs w:val="20"/>
              </w:rPr>
              <w:t>1100 mg</w:t>
            </w:r>
          </w:p>
        </w:tc>
        <w:tc>
          <w:tcPr>
            <w:tcW w:w="0" w:type="auto"/>
            <w:gridSpan w:val="2"/>
          </w:tcPr>
          <w:p w14:paraId="105136BA" w14:textId="388FA889" w:rsidR="00BF547B" w:rsidRPr="00A22427" w:rsidRDefault="00BF547B" w:rsidP="00DF6E70">
            <w:pPr>
              <w:pStyle w:val="TableText0"/>
              <w:keepNext w:val="0"/>
              <w:jc w:val="center"/>
              <w:rPr>
                <w:szCs w:val="20"/>
              </w:rPr>
            </w:pPr>
            <w:r w:rsidRPr="00A22427">
              <w:rPr>
                <w:szCs w:val="20"/>
              </w:rPr>
              <w:t>$</w:t>
            </w:r>
            <w:r w:rsidR="00740926" w:rsidRPr="00740926">
              <w:rPr>
                <w:color w:val="000000"/>
                <w:szCs w:val="20"/>
                <w:shd w:val="solid" w:color="000000" w:fill="000000"/>
                <w14:textFill>
                  <w14:solidFill>
                    <w14:srgbClr w14:val="000000">
                      <w14:alpha w14:val="100000"/>
                    </w14:srgbClr>
                  </w14:solidFill>
                </w14:textFill>
              </w:rPr>
              <w:t>|</w:t>
            </w:r>
          </w:p>
        </w:tc>
      </w:tr>
      <w:tr w:rsidR="00BF547B" w:rsidRPr="00A22427" w14:paraId="0F7E027F" w14:textId="77777777" w:rsidTr="00DF6E70">
        <w:tc>
          <w:tcPr>
            <w:tcW w:w="0" w:type="auto"/>
            <w:gridSpan w:val="4"/>
          </w:tcPr>
          <w:p w14:paraId="109DC43D" w14:textId="77777777" w:rsidR="00BF547B" w:rsidRPr="00A22427" w:rsidRDefault="00BF547B" w:rsidP="00DF6E70">
            <w:pPr>
              <w:pStyle w:val="TableText0"/>
              <w:keepNext w:val="0"/>
              <w:rPr>
                <w:szCs w:val="20"/>
              </w:rPr>
            </w:pPr>
            <w:r w:rsidRPr="00A22427">
              <w:rPr>
                <w:b/>
                <w:bCs w:val="0"/>
                <w:szCs w:val="20"/>
              </w:rPr>
              <w:t>Proposed pricing- Base Case (current published price of ravulizumab)</w:t>
            </w:r>
          </w:p>
        </w:tc>
      </w:tr>
      <w:tr w:rsidR="00BF547B" w:rsidRPr="00A22427" w14:paraId="45B5951F" w14:textId="77777777" w:rsidTr="00DF6E70">
        <w:tc>
          <w:tcPr>
            <w:tcW w:w="0" w:type="auto"/>
            <w:gridSpan w:val="2"/>
          </w:tcPr>
          <w:p w14:paraId="70328DA9" w14:textId="77777777" w:rsidR="00BF547B" w:rsidRPr="00A22427" w:rsidRDefault="00BF547B" w:rsidP="00DF6E70">
            <w:pPr>
              <w:pStyle w:val="TableText0"/>
              <w:keepNext w:val="0"/>
              <w:tabs>
                <w:tab w:val="left" w:pos="102"/>
              </w:tabs>
              <w:rPr>
                <w:szCs w:val="20"/>
              </w:rPr>
            </w:pPr>
            <w:r w:rsidRPr="00A22427">
              <w:rPr>
                <w:szCs w:val="20"/>
              </w:rPr>
              <w:t>300 mg</w:t>
            </w:r>
          </w:p>
        </w:tc>
        <w:tc>
          <w:tcPr>
            <w:tcW w:w="0" w:type="auto"/>
            <w:gridSpan w:val="2"/>
            <w:vAlign w:val="center"/>
          </w:tcPr>
          <w:p w14:paraId="5E719031" w14:textId="77777777" w:rsidR="00BF547B" w:rsidRPr="00A22427" w:rsidRDefault="00BF547B" w:rsidP="00DF6E70">
            <w:pPr>
              <w:pStyle w:val="TableText0"/>
              <w:keepNext w:val="0"/>
              <w:jc w:val="center"/>
              <w:rPr>
                <w:szCs w:val="20"/>
              </w:rPr>
            </w:pPr>
            <w:r w:rsidRPr="008E0C74">
              <w:t>$6,574.12*</w:t>
            </w:r>
          </w:p>
        </w:tc>
      </w:tr>
      <w:tr w:rsidR="00BF547B" w:rsidRPr="00A22427" w14:paraId="63AE5885" w14:textId="77777777" w:rsidTr="00DF6E70">
        <w:tc>
          <w:tcPr>
            <w:tcW w:w="0" w:type="auto"/>
            <w:gridSpan w:val="2"/>
          </w:tcPr>
          <w:p w14:paraId="6226A0A0" w14:textId="77777777" w:rsidR="00BF547B" w:rsidRPr="00A22427" w:rsidRDefault="00BF547B" w:rsidP="00DF6E70">
            <w:pPr>
              <w:pStyle w:val="TableText0"/>
              <w:keepNext w:val="0"/>
              <w:tabs>
                <w:tab w:val="left" w:pos="102"/>
              </w:tabs>
              <w:rPr>
                <w:szCs w:val="20"/>
              </w:rPr>
            </w:pPr>
            <w:r w:rsidRPr="00A22427">
              <w:rPr>
                <w:szCs w:val="20"/>
              </w:rPr>
              <w:t>1100 mg</w:t>
            </w:r>
          </w:p>
        </w:tc>
        <w:tc>
          <w:tcPr>
            <w:tcW w:w="0" w:type="auto"/>
            <w:gridSpan w:val="2"/>
            <w:vAlign w:val="center"/>
          </w:tcPr>
          <w:p w14:paraId="7EECF635" w14:textId="77777777" w:rsidR="00BF547B" w:rsidRPr="00A22427" w:rsidRDefault="00BF547B" w:rsidP="00DF6E70">
            <w:pPr>
              <w:pStyle w:val="TableText0"/>
              <w:keepNext w:val="0"/>
              <w:jc w:val="center"/>
              <w:rPr>
                <w:szCs w:val="20"/>
              </w:rPr>
            </w:pPr>
            <w:r w:rsidRPr="00A22427">
              <w:t>$24,105.11</w:t>
            </w:r>
          </w:p>
        </w:tc>
      </w:tr>
    </w:tbl>
    <w:bookmarkEnd w:id="80"/>
    <w:p w14:paraId="3286DD87" w14:textId="77777777" w:rsidR="00BF547B" w:rsidRPr="00A22427" w:rsidRDefault="00BF547B" w:rsidP="00BF547B">
      <w:pPr>
        <w:pStyle w:val="FooterTableFigure"/>
      </w:pPr>
      <w:r w:rsidRPr="00A22427">
        <w:t>Source: Item 6.12-ravulizumab-Ultomiris-Alexion Deferral response for July 2023 PBAC consideration</w:t>
      </w:r>
    </w:p>
    <w:p w14:paraId="7AED5D81" w14:textId="77777777" w:rsidR="00BF547B" w:rsidRPr="00A22427" w:rsidRDefault="00BF547B" w:rsidP="00BF547B">
      <w:pPr>
        <w:pStyle w:val="FooterTableFigure"/>
      </w:pPr>
      <w:r w:rsidRPr="00A22427">
        <w:t>Excel workbook ‘Cost minimisation model workbook_Base Case’.</w:t>
      </w:r>
    </w:p>
    <w:p w14:paraId="7F29196B" w14:textId="77777777" w:rsidR="00BF547B" w:rsidRPr="00A22427" w:rsidRDefault="00BF547B" w:rsidP="00BF547B">
      <w:pPr>
        <w:pStyle w:val="FooterTableFigure"/>
      </w:pPr>
      <w:r w:rsidRPr="00A22427">
        <w:rPr>
          <w:vertAlign w:val="superscript"/>
        </w:rPr>
        <w:t>a</w:t>
      </w:r>
      <w:r w:rsidRPr="00A22427">
        <w:t xml:space="preserve"> </w:t>
      </w:r>
      <w:r w:rsidRPr="00A22427">
        <w:rPr>
          <w:szCs w:val="20"/>
        </w:rPr>
        <w:t xml:space="preserve">Includes administration </w:t>
      </w:r>
      <w:proofErr w:type="gramStart"/>
      <w:r w:rsidRPr="00A22427">
        <w:rPr>
          <w:szCs w:val="20"/>
        </w:rPr>
        <w:t>cost</w:t>
      </w:r>
      <w:proofErr w:type="gramEnd"/>
    </w:p>
    <w:p w14:paraId="66C10BF0" w14:textId="77777777" w:rsidR="00BF547B" w:rsidRPr="00A22427" w:rsidRDefault="00BF547B" w:rsidP="00BF547B">
      <w:pPr>
        <w:pStyle w:val="FooterTableFigure"/>
      </w:pPr>
      <w:r w:rsidRPr="00A22427">
        <w:rPr>
          <w:vertAlign w:val="superscript"/>
        </w:rPr>
        <w:t xml:space="preserve">b </w:t>
      </w:r>
      <w:r w:rsidRPr="00A22427">
        <w:t>Cells changed were: ‘Restriction type sequence’ worksheet D44 changed to 48.</w:t>
      </w:r>
    </w:p>
    <w:p w14:paraId="16F3EFF3" w14:textId="77777777" w:rsidR="00BF547B" w:rsidRPr="00A22427" w:rsidRDefault="00BF547B" w:rsidP="00BF547B">
      <w:pPr>
        <w:pStyle w:val="FooterTableFigure"/>
      </w:pPr>
      <w:r w:rsidRPr="00A22427">
        <w:rPr>
          <w:vertAlign w:val="superscript"/>
        </w:rPr>
        <w:t xml:space="preserve">c </w:t>
      </w:r>
      <w:r w:rsidRPr="00A22427">
        <w:t>Cells changed were: ‘Restriction type sequence’ worksheet E6 changed to 0.</w:t>
      </w:r>
    </w:p>
    <w:p w14:paraId="2748F720" w14:textId="77777777" w:rsidR="00BF547B" w:rsidRPr="00A22427" w:rsidRDefault="00BF547B" w:rsidP="00BF547B">
      <w:pPr>
        <w:pStyle w:val="FooterTableFigure"/>
      </w:pPr>
      <w:r w:rsidRPr="00A22427">
        <w:rPr>
          <w:vertAlign w:val="superscript"/>
        </w:rPr>
        <w:t xml:space="preserve">d </w:t>
      </w:r>
      <w:r w:rsidRPr="00A22427">
        <w:t>Cells changed were: ‘Restriction type sequence’ worksheet E34 changed to 0.</w:t>
      </w:r>
    </w:p>
    <w:p w14:paraId="353D42CB" w14:textId="117600DE" w:rsidR="00BF547B" w:rsidRPr="00A22427" w:rsidRDefault="00BF547B" w:rsidP="00BF547B">
      <w:pPr>
        <w:pStyle w:val="FooterTableFigure"/>
      </w:pPr>
      <w:r w:rsidRPr="00A22427">
        <w:rPr>
          <w:vertAlign w:val="superscript"/>
        </w:rPr>
        <w:t xml:space="preserve">e </w:t>
      </w:r>
      <w:r w:rsidRPr="00A22427">
        <w:t>Calc: 90.4% x $</w:t>
      </w:r>
      <w:proofErr w:type="gramStart"/>
      <w:r w:rsidR="00740926" w:rsidRPr="00740926">
        <w:rPr>
          <w:color w:val="000000"/>
          <w:spacing w:val="40"/>
          <w:shd w:val="solid" w:color="000000" w:fill="000000"/>
          <w:fitText w:val="279" w:id="-1168355577"/>
          <w14:textFill>
            <w14:solidFill>
              <w14:srgbClr w14:val="000000">
                <w14:alpha w14:val="100000"/>
              </w14:srgbClr>
            </w14:solidFill>
          </w14:textFill>
        </w:rPr>
        <w:t xml:space="preserve">|  </w:t>
      </w:r>
      <w:r w:rsidR="00740926" w:rsidRPr="00740926">
        <w:rPr>
          <w:color w:val="000000"/>
          <w:spacing w:val="1"/>
          <w:shd w:val="solid" w:color="000000" w:fill="000000"/>
          <w:fitText w:val="279" w:id="-1168355577"/>
          <w14:textFill>
            <w14:solidFill>
              <w14:srgbClr w14:val="000000">
                <w14:alpha w14:val="100000"/>
              </w14:srgbClr>
            </w14:solidFill>
          </w14:textFill>
        </w:rPr>
        <w:t>|</w:t>
      </w:r>
      <w:proofErr w:type="gramEnd"/>
      <w:r w:rsidRPr="00A22427">
        <w:t xml:space="preserve"> + 9.6% x $</w:t>
      </w:r>
      <w:r w:rsidR="00740926" w:rsidRPr="00740926">
        <w:rPr>
          <w:color w:val="000000"/>
          <w:spacing w:val="35"/>
          <w:shd w:val="solid" w:color="000000" w:fill="000000"/>
          <w:fitText w:val="265" w:id="-1168355576"/>
          <w14:textFill>
            <w14:solidFill>
              <w14:srgbClr w14:val="000000">
                <w14:alpha w14:val="100000"/>
              </w14:srgbClr>
            </w14:solidFill>
          </w14:textFill>
        </w:rPr>
        <w:t xml:space="preserve">|  </w:t>
      </w:r>
      <w:r w:rsidR="00740926" w:rsidRPr="00740926">
        <w:rPr>
          <w:color w:val="000000"/>
          <w:spacing w:val="2"/>
          <w:shd w:val="solid" w:color="000000" w:fill="000000"/>
          <w:fitText w:val="265" w:id="-1168355576"/>
          <w14:textFill>
            <w14:solidFill>
              <w14:srgbClr w14:val="000000">
                <w14:alpha w14:val="100000"/>
              </w14:srgbClr>
            </w14:solidFill>
          </w14:textFill>
        </w:rPr>
        <w:t>|</w:t>
      </w:r>
      <w:r w:rsidRPr="00A22427">
        <w:t xml:space="preserve"> </w:t>
      </w:r>
    </w:p>
    <w:p w14:paraId="0A383A1E" w14:textId="77777777" w:rsidR="00BF547B" w:rsidRPr="00A22427" w:rsidRDefault="00BF547B" w:rsidP="00BF547B">
      <w:pPr>
        <w:pStyle w:val="FooterTableFigure"/>
      </w:pPr>
      <w:r w:rsidRPr="008E0C74">
        <w:t>* Published ex-man price as of July 2023 is $6,574.12</w:t>
      </w:r>
    </w:p>
    <w:p w14:paraId="2A1A589B" w14:textId="77777777" w:rsidR="00BF547B" w:rsidRPr="00A22427" w:rsidRDefault="00BF547B" w:rsidP="00BF547B">
      <w:pPr>
        <w:pStyle w:val="4-SubsectionHeading"/>
      </w:pPr>
      <w:r w:rsidRPr="00A22427">
        <w:lastRenderedPageBreak/>
        <w:t xml:space="preserve">Estimated PBS usage &amp; financial </w:t>
      </w:r>
      <w:proofErr w:type="gramStart"/>
      <w:r w:rsidRPr="00A22427">
        <w:t>implications</w:t>
      </w:r>
      <w:proofErr w:type="gramEnd"/>
    </w:p>
    <w:p w14:paraId="4FC605A1" w14:textId="77777777" w:rsidR="00BF547B" w:rsidRPr="00A22427" w:rsidRDefault="00BF547B" w:rsidP="00BF547B">
      <w:pPr>
        <w:pStyle w:val="3-BodyText"/>
        <w:ind w:left="709"/>
      </w:pPr>
      <w:r w:rsidRPr="00A22427">
        <w:t>As a response to provide further information addressing the previous deferral, the estimated utilisation and financial implications have not been independently evaluated.</w:t>
      </w:r>
    </w:p>
    <w:p w14:paraId="7AD2CABA" w14:textId="77777777" w:rsidR="00BF547B" w:rsidRPr="00A22427" w:rsidRDefault="00BF547B" w:rsidP="00BF547B">
      <w:pPr>
        <w:pStyle w:val="3-BodyText"/>
        <w:ind w:left="709"/>
      </w:pPr>
      <w:r w:rsidRPr="00A22427">
        <w:fldChar w:fldCharType="begin" w:fldLock="1"/>
      </w:r>
      <w:r w:rsidRPr="00A22427">
        <w:instrText xml:space="preserve"> REF _Ref139986945 \h </w:instrText>
      </w:r>
      <w:r w:rsidRPr="00A22427">
        <w:fldChar w:fldCharType="separate"/>
      </w:r>
      <w:r w:rsidRPr="00A22427">
        <w:t xml:space="preserve">Table </w:t>
      </w:r>
      <w:r>
        <w:rPr>
          <w:noProof/>
        </w:rPr>
        <w:t>19</w:t>
      </w:r>
      <w:r w:rsidRPr="00A22427">
        <w:fldChar w:fldCharType="end"/>
      </w:r>
      <w:r w:rsidRPr="00A22427">
        <w:t xml:space="preserve"> summarises the financial impact for the Base Case scenario. The table also includes the March 2023 Submission financial impact of a ravulizumab PBS listing for comparison. Financial estimates have not been presented for Scenario 1 because this scenario is inconsistent with PBS policy.</w:t>
      </w:r>
    </w:p>
    <w:p w14:paraId="03B8283A" w14:textId="77777777" w:rsidR="00BF547B" w:rsidRPr="00A22427" w:rsidRDefault="00BF547B" w:rsidP="00AC3B28">
      <w:pPr>
        <w:pStyle w:val="Caption"/>
      </w:pPr>
      <w:bookmarkStart w:id="81" w:name="_Ref139986945"/>
      <w:r w:rsidRPr="00A22427">
        <w:t xml:space="preserve">Table </w:t>
      </w:r>
      <w:r w:rsidR="00497513">
        <w:fldChar w:fldCharType="begin" w:fldLock="1"/>
      </w:r>
      <w:r w:rsidR="00497513">
        <w:instrText xml:space="preserve"> SEQ Table \* ARABIC </w:instrText>
      </w:r>
      <w:r w:rsidR="00497513">
        <w:fldChar w:fldCharType="separate"/>
      </w:r>
      <w:r>
        <w:rPr>
          <w:noProof/>
        </w:rPr>
        <w:t>19</w:t>
      </w:r>
      <w:r w:rsidR="00497513">
        <w:rPr>
          <w:noProof/>
        </w:rPr>
        <w:fldChar w:fldCharType="end"/>
      </w:r>
      <w:bookmarkEnd w:id="81"/>
      <w:r w:rsidRPr="00A22427">
        <w:t xml:space="preserve">: Financial impact to the PBS/RPBS with and without ravulizumab PBS listing - drug costs only, effective prices, Base Case </w:t>
      </w:r>
    </w:p>
    <w:tbl>
      <w:tblPr>
        <w:tblStyle w:val="TableGrid"/>
        <w:tblW w:w="0" w:type="auto"/>
        <w:tblLook w:val="04A0" w:firstRow="1" w:lastRow="0" w:firstColumn="1" w:lastColumn="0" w:noHBand="0" w:noVBand="1"/>
      </w:tblPr>
      <w:tblGrid>
        <w:gridCol w:w="5024"/>
        <w:gridCol w:w="666"/>
        <w:gridCol w:w="665"/>
        <w:gridCol w:w="665"/>
        <w:gridCol w:w="665"/>
        <w:gridCol w:w="666"/>
        <w:gridCol w:w="666"/>
      </w:tblGrid>
      <w:tr w:rsidR="00F81C51" w:rsidRPr="00912F81" w14:paraId="6CD1C7CA" w14:textId="77777777" w:rsidTr="00F81C51">
        <w:tc>
          <w:tcPr>
            <w:tcW w:w="0" w:type="auto"/>
            <w:shd w:val="clear" w:color="auto" w:fill="D9D9D9" w:themeFill="background1" w:themeFillShade="D9"/>
          </w:tcPr>
          <w:p w14:paraId="2A526AED" w14:textId="77777777" w:rsidR="00BF547B" w:rsidRPr="00912F81" w:rsidRDefault="00BF547B" w:rsidP="00AC3B28">
            <w:pPr>
              <w:pStyle w:val="PBACTabletext0"/>
              <w:keepLines w:val="0"/>
              <w:widowControl w:val="0"/>
              <w:spacing w:after="0"/>
              <w:rPr>
                <w:b/>
                <w:bCs/>
                <w:szCs w:val="20"/>
              </w:rPr>
            </w:pPr>
          </w:p>
        </w:tc>
        <w:tc>
          <w:tcPr>
            <w:tcW w:w="0" w:type="auto"/>
            <w:shd w:val="clear" w:color="auto" w:fill="D9D9D9" w:themeFill="background1" w:themeFillShade="D9"/>
            <w:vAlign w:val="center"/>
          </w:tcPr>
          <w:p w14:paraId="36DCD0F4" w14:textId="5AC3A27A" w:rsidR="00BF547B" w:rsidRPr="00912F81" w:rsidRDefault="00F52D2D" w:rsidP="00AC3B28">
            <w:pPr>
              <w:pStyle w:val="PBACTabletext0"/>
              <w:keepLines w:val="0"/>
              <w:widowControl w:val="0"/>
              <w:spacing w:after="0"/>
              <w:jc w:val="center"/>
              <w:rPr>
                <w:b/>
                <w:bCs/>
                <w:szCs w:val="20"/>
              </w:rPr>
            </w:pPr>
            <w:r w:rsidRPr="00912F81">
              <w:rPr>
                <w:b/>
                <w:bCs/>
                <w:szCs w:val="20"/>
              </w:rPr>
              <w:t xml:space="preserve">Year </w:t>
            </w:r>
            <w:r w:rsidR="00BF547B" w:rsidRPr="00912F81">
              <w:rPr>
                <w:b/>
                <w:bCs/>
                <w:szCs w:val="20"/>
              </w:rPr>
              <w:t>1</w:t>
            </w:r>
          </w:p>
        </w:tc>
        <w:tc>
          <w:tcPr>
            <w:tcW w:w="0" w:type="auto"/>
            <w:shd w:val="clear" w:color="auto" w:fill="D9D9D9" w:themeFill="background1" w:themeFillShade="D9"/>
            <w:vAlign w:val="center"/>
          </w:tcPr>
          <w:p w14:paraId="5048E5B9" w14:textId="3AEA7507" w:rsidR="00BF547B" w:rsidRPr="00912F81" w:rsidRDefault="00F52D2D" w:rsidP="00AC3B28">
            <w:pPr>
              <w:pStyle w:val="PBACTabletext0"/>
              <w:keepLines w:val="0"/>
              <w:widowControl w:val="0"/>
              <w:spacing w:after="0"/>
              <w:jc w:val="center"/>
              <w:rPr>
                <w:b/>
                <w:bCs/>
                <w:szCs w:val="20"/>
              </w:rPr>
            </w:pPr>
            <w:r w:rsidRPr="00912F81">
              <w:rPr>
                <w:b/>
                <w:bCs/>
                <w:szCs w:val="20"/>
              </w:rPr>
              <w:t xml:space="preserve">Year </w:t>
            </w:r>
            <w:r w:rsidR="00BF547B" w:rsidRPr="00912F81">
              <w:rPr>
                <w:b/>
                <w:bCs/>
                <w:szCs w:val="20"/>
              </w:rPr>
              <w:t>2</w:t>
            </w:r>
          </w:p>
        </w:tc>
        <w:tc>
          <w:tcPr>
            <w:tcW w:w="0" w:type="auto"/>
            <w:shd w:val="clear" w:color="auto" w:fill="D9D9D9" w:themeFill="background1" w:themeFillShade="D9"/>
            <w:vAlign w:val="center"/>
          </w:tcPr>
          <w:p w14:paraId="17A1D62E" w14:textId="43D79B21" w:rsidR="00BF547B" w:rsidRPr="00912F81" w:rsidRDefault="00F52D2D" w:rsidP="00AC3B28">
            <w:pPr>
              <w:pStyle w:val="PBACTabletext0"/>
              <w:keepLines w:val="0"/>
              <w:widowControl w:val="0"/>
              <w:spacing w:after="0"/>
              <w:jc w:val="center"/>
              <w:rPr>
                <w:b/>
                <w:bCs/>
                <w:szCs w:val="20"/>
              </w:rPr>
            </w:pPr>
            <w:r w:rsidRPr="00912F81">
              <w:rPr>
                <w:b/>
                <w:bCs/>
                <w:szCs w:val="20"/>
              </w:rPr>
              <w:t xml:space="preserve">Year </w:t>
            </w:r>
            <w:r w:rsidR="00BF547B" w:rsidRPr="00912F81">
              <w:rPr>
                <w:b/>
                <w:bCs/>
                <w:szCs w:val="20"/>
              </w:rPr>
              <w:t>3</w:t>
            </w:r>
          </w:p>
        </w:tc>
        <w:tc>
          <w:tcPr>
            <w:tcW w:w="0" w:type="auto"/>
            <w:shd w:val="clear" w:color="auto" w:fill="D9D9D9" w:themeFill="background1" w:themeFillShade="D9"/>
            <w:vAlign w:val="center"/>
          </w:tcPr>
          <w:p w14:paraId="36A272BC" w14:textId="25C09B5E" w:rsidR="00BF547B" w:rsidRPr="00912F81" w:rsidRDefault="00F52D2D" w:rsidP="00AC3B28">
            <w:pPr>
              <w:pStyle w:val="PBACTabletext0"/>
              <w:keepLines w:val="0"/>
              <w:widowControl w:val="0"/>
              <w:spacing w:after="0"/>
              <w:jc w:val="center"/>
              <w:rPr>
                <w:b/>
                <w:bCs/>
                <w:szCs w:val="20"/>
              </w:rPr>
            </w:pPr>
            <w:r w:rsidRPr="00912F81">
              <w:rPr>
                <w:b/>
                <w:bCs/>
                <w:szCs w:val="20"/>
              </w:rPr>
              <w:t xml:space="preserve">Year </w:t>
            </w:r>
            <w:r w:rsidR="00BF547B" w:rsidRPr="00912F81">
              <w:rPr>
                <w:b/>
                <w:bCs/>
                <w:szCs w:val="20"/>
              </w:rPr>
              <w:t>4</w:t>
            </w:r>
          </w:p>
        </w:tc>
        <w:tc>
          <w:tcPr>
            <w:tcW w:w="0" w:type="auto"/>
            <w:shd w:val="clear" w:color="auto" w:fill="D9D9D9" w:themeFill="background1" w:themeFillShade="D9"/>
            <w:vAlign w:val="center"/>
          </w:tcPr>
          <w:p w14:paraId="11186FD7" w14:textId="094FD6F0" w:rsidR="00BF547B" w:rsidRPr="00912F81" w:rsidRDefault="00F52D2D" w:rsidP="00AC3B28">
            <w:pPr>
              <w:pStyle w:val="PBACTabletext0"/>
              <w:keepLines w:val="0"/>
              <w:widowControl w:val="0"/>
              <w:spacing w:after="0"/>
              <w:jc w:val="center"/>
              <w:rPr>
                <w:b/>
                <w:bCs/>
                <w:szCs w:val="20"/>
              </w:rPr>
            </w:pPr>
            <w:r w:rsidRPr="00912F81">
              <w:rPr>
                <w:b/>
                <w:bCs/>
                <w:szCs w:val="20"/>
              </w:rPr>
              <w:t xml:space="preserve">Year </w:t>
            </w:r>
            <w:r w:rsidR="00BF547B" w:rsidRPr="00912F81">
              <w:rPr>
                <w:b/>
                <w:bCs/>
                <w:szCs w:val="20"/>
              </w:rPr>
              <w:t>5</w:t>
            </w:r>
          </w:p>
        </w:tc>
        <w:tc>
          <w:tcPr>
            <w:tcW w:w="0" w:type="auto"/>
            <w:shd w:val="clear" w:color="auto" w:fill="D9D9D9" w:themeFill="background1" w:themeFillShade="D9"/>
            <w:vAlign w:val="center"/>
          </w:tcPr>
          <w:p w14:paraId="718740E7" w14:textId="7A83B40D" w:rsidR="00BF547B" w:rsidRPr="00912F81" w:rsidRDefault="00F52D2D" w:rsidP="00AC3B28">
            <w:pPr>
              <w:pStyle w:val="PBACTabletext0"/>
              <w:keepLines w:val="0"/>
              <w:widowControl w:val="0"/>
              <w:spacing w:after="0"/>
              <w:jc w:val="center"/>
              <w:rPr>
                <w:b/>
                <w:bCs/>
                <w:szCs w:val="20"/>
              </w:rPr>
            </w:pPr>
            <w:r w:rsidRPr="00912F81">
              <w:rPr>
                <w:b/>
                <w:bCs/>
                <w:szCs w:val="20"/>
              </w:rPr>
              <w:t xml:space="preserve">Year </w:t>
            </w:r>
            <w:r w:rsidR="00BF547B" w:rsidRPr="00912F81">
              <w:rPr>
                <w:b/>
                <w:bCs/>
                <w:szCs w:val="20"/>
              </w:rPr>
              <w:t>6</w:t>
            </w:r>
          </w:p>
        </w:tc>
      </w:tr>
      <w:tr w:rsidR="00F81C51" w:rsidRPr="00912F81" w14:paraId="55398B3E" w14:textId="77777777" w:rsidTr="00F81C51">
        <w:tc>
          <w:tcPr>
            <w:tcW w:w="0" w:type="auto"/>
          </w:tcPr>
          <w:p w14:paraId="46EA838C" w14:textId="77777777" w:rsidR="00BF547B" w:rsidRPr="00912F81" w:rsidRDefault="00BF547B" w:rsidP="00AC3B28">
            <w:pPr>
              <w:pStyle w:val="PBACTabletext0"/>
              <w:keepLines w:val="0"/>
              <w:widowControl w:val="0"/>
              <w:spacing w:after="0"/>
              <w:rPr>
                <w:b/>
                <w:bCs/>
                <w:szCs w:val="20"/>
              </w:rPr>
            </w:pPr>
            <w:r w:rsidRPr="00912F81">
              <w:rPr>
                <w:szCs w:val="20"/>
              </w:rPr>
              <w:t>Number of incident and prevalent patients treated</w:t>
            </w:r>
          </w:p>
        </w:tc>
        <w:tc>
          <w:tcPr>
            <w:tcW w:w="0" w:type="auto"/>
            <w:vAlign w:val="center"/>
          </w:tcPr>
          <w:p w14:paraId="2DC572BE" w14:textId="2B2CC3E7"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75"/>
                <w14:textFill>
                  <w14:solidFill>
                    <w14:srgbClr w14:val="000000">
                      <w14:alpha w14:val="100000"/>
                    </w14:srgbClr>
                  </w14:solidFill>
                </w14:textFill>
              </w:rPr>
              <w:t>|</w:t>
            </w:r>
            <w:r w:rsidRPr="00740926">
              <w:rPr>
                <w:color w:val="000000"/>
                <w:spacing w:val="1"/>
                <w:szCs w:val="20"/>
                <w:shd w:val="solid" w:color="000000" w:fill="000000"/>
                <w:fitText w:val="272" w:id="-1168355575"/>
                <w14:textFill>
                  <w14:solidFill>
                    <w14:srgbClr w14:val="000000">
                      <w14:alpha w14:val="100000"/>
                    </w14:srgbClr>
                  </w14:solidFill>
                </w14:textFill>
              </w:rPr>
              <w:t>|</w:t>
            </w:r>
            <w:r w:rsidR="00F81C51">
              <w:rPr>
                <w:szCs w:val="20"/>
              </w:rPr>
              <w:t xml:space="preserve"> </w:t>
            </w:r>
            <w:r w:rsidR="00F81C51" w:rsidRPr="00F81C51">
              <w:rPr>
                <w:szCs w:val="20"/>
                <w:vertAlign w:val="superscript"/>
              </w:rPr>
              <w:t>1</w:t>
            </w:r>
          </w:p>
        </w:tc>
        <w:tc>
          <w:tcPr>
            <w:tcW w:w="0" w:type="auto"/>
            <w:vAlign w:val="center"/>
          </w:tcPr>
          <w:p w14:paraId="0ACFB78C" w14:textId="64DA0C6A"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74"/>
                <w14:textFill>
                  <w14:solidFill>
                    <w14:srgbClr w14:val="000000">
                      <w14:alpha w14:val="100000"/>
                    </w14:srgbClr>
                  </w14:solidFill>
                </w14:textFill>
              </w:rPr>
              <w:t>|</w:t>
            </w:r>
            <w:r w:rsidRPr="00740926">
              <w:rPr>
                <w:color w:val="000000"/>
                <w:spacing w:val="1"/>
                <w:szCs w:val="20"/>
                <w:shd w:val="solid" w:color="000000" w:fill="000000"/>
                <w:fitText w:val="272" w:id="-1168355574"/>
                <w14:textFill>
                  <w14:solidFill>
                    <w14:srgbClr w14:val="000000">
                      <w14:alpha w14:val="100000"/>
                    </w14:srgbClr>
                  </w14:solidFill>
                </w14:textFill>
              </w:rPr>
              <w:t>|</w:t>
            </w:r>
            <w:r w:rsidR="00F81C51">
              <w:rPr>
                <w:szCs w:val="20"/>
              </w:rPr>
              <w:t xml:space="preserve"> </w:t>
            </w:r>
            <w:r w:rsidR="00F81C51" w:rsidRPr="00F81C51">
              <w:rPr>
                <w:szCs w:val="20"/>
                <w:vertAlign w:val="superscript"/>
              </w:rPr>
              <w:t>1</w:t>
            </w:r>
          </w:p>
        </w:tc>
        <w:tc>
          <w:tcPr>
            <w:tcW w:w="0" w:type="auto"/>
            <w:vAlign w:val="center"/>
          </w:tcPr>
          <w:p w14:paraId="5DC12523" w14:textId="7969358E" w:rsidR="00BF547B" w:rsidRPr="00912F81" w:rsidRDefault="00740926" w:rsidP="00AC3B28">
            <w:pPr>
              <w:pStyle w:val="PBACTabletext0"/>
              <w:keepLines w:val="0"/>
              <w:widowControl w:val="0"/>
              <w:spacing w:after="0"/>
              <w:jc w:val="center"/>
              <w:rPr>
                <w:szCs w:val="20"/>
              </w:rPr>
            </w:pPr>
            <w:r w:rsidRPr="00740926">
              <w:rPr>
                <w:color w:val="000000"/>
                <w:spacing w:val="185"/>
                <w:szCs w:val="20"/>
                <w:shd w:val="solid" w:color="000000" w:fill="000000"/>
                <w:fitText w:val="271" w:id="-1168355573"/>
                <w14:textFill>
                  <w14:solidFill>
                    <w14:srgbClr w14:val="000000">
                      <w14:alpha w14:val="100000"/>
                    </w14:srgbClr>
                  </w14:solidFill>
                </w14:textFill>
              </w:rPr>
              <w:t>|</w:t>
            </w:r>
            <w:r w:rsidRPr="00740926">
              <w:rPr>
                <w:color w:val="000000"/>
                <w:spacing w:val="1"/>
                <w:szCs w:val="20"/>
                <w:shd w:val="solid" w:color="000000" w:fill="000000"/>
                <w:fitText w:val="271" w:id="-1168355573"/>
                <w14:textFill>
                  <w14:solidFill>
                    <w14:srgbClr w14:val="000000">
                      <w14:alpha w14:val="100000"/>
                    </w14:srgbClr>
                  </w14:solidFill>
                </w14:textFill>
              </w:rPr>
              <w:t>|</w:t>
            </w:r>
            <w:r w:rsidR="00F81C51">
              <w:rPr>
                <w:szCs w:val="20"/>
              </w:rPr>
              <w:t xml:space="preserve"> </w:t>
            </w:r>
            <w:r w:rsidR="00F81C51" w:rsidRPr="00F81C51">
              <w:rPr>
                <w:szCs w:val="20"/>
                <w:vertAlign w:val="superscript"/>
              </w:rPr>
              <w:t>1</w:t>
            </w:r>
          </w:p>
        </w:tc>
        <w:tc>
          <w:tcPr>
            <w:tcW w:w="0" w:type="auto"/>
            <w:vAlign w:val="center"/>
          </w:tcPr>
          <w:p w14:paraId="55BAA128" w14:textId="159C2DCF"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72"/>
                <w14:textFill>
                  <w14:solidFill>
                    <w14:srgbClr w14:val="000000">
                      <w14:alpha w14:val="100000"/>
                    </w14:srgbClr>
                  </w14:solidFill>
                </w14:textFill>
              </w:rPr>
              <w:t>|</w:t>
            </w:r>
            <w:r w:rsidRPr="00740926">
              <w:rPr>
                <w:color w:val="000000"/>
                <w:spacing w:val="1"/>
                <w:szCs w:val="20"/>
                <w:shd w:val="solid" w:color="000000" w:fill="000000"/>
                <w:fitText w:val="272" w:id="-1168355572"/>
                <w14:textFill>
                  <w14:solidFill>
                    <w14:srgbClr w14:val="000000">
                      <w14:alpha w14:val="100000"/>
                    </w14:srgbClr>
                  </w14:solidFill>
                </w14:textFill>
              </w:rPr>
              <w:t>|</w:t>
            </w:r>
            <w:r w:rsidR="00F81C51">
              <w:rPr>
                <w:szCs w:val="20"/>
              </w:rPr>
              <w:t xml:space="preserve"> </w:t>
            </w:r>
            <w:r w:rsidR="00F81C51" w:rsidRPr="00F81C51">
              <w:rPr>
                <w:szCs w:val="20"/>
                <w:vertAlign w:val="superscript"/>
              </w:rPr>
              <w:t>1</w:t>
            </w:r>
          </w:p>
        </w:tc>
        <w:tc>
          <w:tcPr>
            <w:tcW w:w="0" w:type="auto"/>
            <w:vAlign w:val="center"/>
          </w:tcPr>
          <w:p w14:paraId="73C55584" w14:textId="39111A7A" w:rsidR="00BF547B" w:rsidRPr="00912F81" w:rsidRDefault="00740926" w:rsidP="00AC3B28">
            <w:pPr>
              <w:pStyle w:val="PBACTabletext0"/>
              <w:keepLines w:val="0"/>
              <w:widowControl w:val="0"/>
              <w:spacing w:after="0"/>
              <w:jc w:val="center"/>
              <w:rPr>
                <w:szCs w:val="20"/>
              </w:rPr>
            </w:pPr>
            <w:r w:rsidRPr="00740926">
              <w:rPr>
                <w:color w:val="000000"/>
                <w:spacing w:val="47"/>
                <w:szCs w:val="20"/>
                <w:shd w:val="solid" w:color="000000" w:fill="000000"/>
                <w:fitText w:val="313" w:id="-1168355571"/>
                <w14:textFill>
                  <w14:solidFill>
                    <w14:srgbClr w14:val="000000">
                      <w14:alpha w14:val="100000"/>
                    </w14:srgbClr>
                  </w14:solidFill>
                </w14:textFill>
              </w:rPr>
              <w:t>|||</w:t>
            </w:r>
            <w:r w:rsidRPr="00740926">
              <w:rPr>
                <w:color w:val="000000"/>
                <w:spacing w:val="2"/>
                <w:szCs w:val="20"/>
                <w:shd w:val="solid" w:color="000000" w:fill="000000"/>
                <w:fitText w:val="313" w:id="-1168355571"/>
                <w14:textFill>
                  <w14:solidFill>
                    <w14:srgbClr w14:val="000000">
                      <w14:alpha w14:val="100000"/>
                    </w14:srgbClr>
                  </w14:solidFill>
                </w14:textFill>
              </w:rPr>
              <w:t>|</w:t>
            </w:r>
            <w:r w:rsidR="00F81C51">
              <w:rPr>
                <w:szCs w:val="20"/>
              </w:rPr>
              <w:t xml:space="preserve"> </w:t>
            </w:r>
            <w:r w:rsidR="00F81C51" w:rsidRPr="00F81C51">
              <w:rPr>
                <w:szCs w:val="20"/>
                <w:vertAlign w:val="superscript"/>
              </w:rPr>
              <w:t>1</w:t>
            </w:r>
          </w:p>
        </w:tc>
        <w:tc>
          <w:tcPr>
            <w:tcW w:w="0" w:type="auto"/>
            <w:vAlign w:val="center"/>
          </w:tcPr>
          <w:p w14:paraId="746EAEEC" w14:textId="68A106E5" w:rsidR="00BF547B" w:rsidRPr="00912F81" w:rsidRDefault="00740926" w:rsidP="00AC3B28">
            <w:pPr>
              <w:pStyle w:val="PBACTabletext0"/>
              <w:keepLines w:val="0"/>
              <w:widowControl w:val="0"/>
              <w:spacing w:after="0"/>
              <w:jc w:val="center"/>
              <w:rPr>
                <w:szCs w:val="20"/>
              </w:rPr>
            </w:pPr>
            <w:r w:rsidRPr="00740926">
              <w:rPr>
                <w:color w:val="000000"/>
                <w:spacing w:val="47"/>
                <w:szCs w:val="20"/>
                <w:shd w:val="solid" w:color="000000" w:fill="000000"/>
                <w:fitText w:val="312" w:id="-1168355570"/>
                <w14:textFill>
                  <w14:solidFill>
                    <w14:srgbClr w14:val="000000">
                      <w14:alpha w14:val="100000"/>
                    </w14:srgbClr>
                  </w14:solidFill>
                </w14:textFill>
              </w:rPr>
              <w:t>|||</w:t>
            </w:r>
            <w:r w:rsidRPr="00740926">
              <w:rPr>
                <w:color w:val="000000"/>
                <w:spacing w:val="1"/>
                <w:szCs w:val="20"/>
                <w:shd w:val="solid" w:color="000000" w:fill="000000"/>
                <w:fitText w:val="312" w:id="-1168355570"/>
                <w14:textFill>
                  <w14:solidFill>
                    <w14:srgbClr w14:val="000000">
                      <w14:alpha w14:val="100000"/>
                    </w14:srgbClr>
                  </w14:solidFill>
                </w14:textFill>
              </w:rPr>
              <w:t>|</w:t>
            </w:r>
            <w:r w:rsidR="00F81C51">
              <w:rPr>
                <w:szCs w:val="20"/>
              </w:rPr>
              <w:t xml:space="preserve"> </w:t>
            </w:r>
            <w:r w:rsidR="00F81C51" w:rsidRPr="00F81C51">
              <w:rPr>
                <w:szCs w:val="20"/>
                <w:vertAlign w:val="superscript"/>
              </w:rPr>
              <w:t>1</w:t>
            </w:r>
          </w:p>
        </w:tc>
      </w:tr>
      <w:tr w:rsidR="00BF547B" w:rsidRPr="00912F81" w14:paraId="5A6CC8DD" w14:textId="77777777" w:rsidTr="00F81C51">
        <w:tc>
          <w:tcPr>
            <w:tcW w:w="0" w:type="auto"/>
            <w:gridSpan w:val="7"/>
            <w:shd w:val="clear" w:color="auto" w:fill="D9D9D9" w:themeFill="background1" w:themeFillShade="D9"/>
          </w:tcPr>
          <w:p w14:paraId="1B9FBEF0" w14:textId="77777777" w:rsidR="00BF547B" w:rsidRPr="00912F81" w:rsidRDefault="00BF547B" w:rsidP="00AC3B28">
            <w:pPr>
              <w:pStyle w:val="PBACTabletext0"/>
              <w:keepLines w:val="0"/>
              <w:widowControl w:val="0"/>
              <w:spacing w:after="0"/>
              <w:rPr>
                <w:b/>
                <w:bCs/>
                <w:szCs w:val="20"/>
              </w:rPr>
            </w:pPr>
            <w:r w:rsidRPr="00912F81">
              <w:rPr>
                <w:b/>
                <w:bCs/>
                <w:szCs w:val="20"/>
              </w:rPr>
              <w:t xml:space="preserve">Without ravulizumab </w:t>
            </w:r>
          </w:p>
        </w:tc>
      </w:tr>
      <w:tr w:rsidR="00F81C51" w:rsidRPr="00912F81" w14:paraId="3FC5400A" w14:textId="77777777" w:rsidTr="00F81C51">
        <w:tc>
          <w:tcPr>
            <w:tcW w:w="0" w:type="auto"/>
          </w:tcPr>
          <w:p w14:paraId="1A62B1A9" w14:textId="77777777" w:rsidR="00BF547B" w:rsidRPr="00912F81" w:rsidRDefault="00BF547B" w:rsidP="00AC3B28">
            <w:pPr>
              <w:pStyle w:val="PBACTabletext0"/>
              <w:keepLines w:val="0"/>
              <w:widowControl w:val="0"/>
              <w:spacing w:after="0"/>
              <w:rPr>
                <w:szCs w:val="20"/>
              </w:rPr>
            </w:pPr>
            <w:r w:rsidRPr="00912F81">
              <w:rPr>
                <w:szCs w:val="20"/>
              </w:rPr>
              <w:t xml:space="preserve">Total net cost of eculizumab </w:t>
            </w:r>
          </w:p>
        </w:tc>
        <w:tc>
          <w:tcPr>
            <w:tcW w:w="0" w:type="auto"/>
            <w:vAlign w:val="center"/>
          </w:tcPr>
          <w:p w14:paraId="57465F09" w14:textId="27E44AF5" w:rsidR="00BF547B" w:rsidRPr="00F81C51" w:rsidRDefault="00740926" w:rsidP="00AC3B28">
            <w:pPr>
              <w:pStyle w:val="PBACTabletext0"/>
              <w:keepLines w:val="0"/>
              <w:widowControl w:val="0"/>
              <w:spacing w:after="0"/>
              <w:jc w:val="center"/>
              <w:rPr>
                <w:szCs w:val="20"/>
                <w:vertAlign w:val="superscript"/>
              </w:rPr>
            </w:pPr>
            <w:r w:rsidRPr="00740926">
              <w:rPr>
                <w:color w:val="000000"/>
                <w:spacing w:val="186"/>
                <w:szCs w:val="20"/>
                <w:shd w:val="solid" w:color="000000" w:fill="000000"/>
                <w:fitText w:val="272" w:id="-1168355569"/>
                <w14:textFill>
                  <w14:solidFill>
                    <w14:srgbClr w14:val="000000">
                      <w14:alpha w14:val="100000"/>
                    </w14:srgbClr>
                  </w14:solidFill>
                </w14:textFill>
              </w:rPr>
              <w:t>|</w:t>
            </w:r>
            <w:r w:rsidRPr="00740926">
              <w:rPr>
                <w:color w:val="000000"/>
                <w:spacing w:val="1"/>
                <w:szCs w:val="20"/>
                <w:shd w:val="solid" w:color="000000" w:fill="000000"/>
                <w:fitText w:val="272" w:id="-1168355569"/>
                <w14:textFill>
                  <w14:solidFill>
                    <w14:srgbClr w14:val="000000">
                      <w14:alpha w14:val="100000"/>
                    </w14:srgbClr>
                  </w14:solidFill>
                </w14:textFill>
              </w:rPr>
              <w:t>|</w:t>
            </w:r>
            <w:r w:rsidR="00F81C51">
              <w:rPr>
                <w:szCs w:val="20"/>
              </w:rPr>
              <w:t xml:space="preserve"> </w:t>
            </w:r>
            <w:r w:rsidR="00F81C51">
              <w:rPr>
                <w:szCs w:val="20"/>
                <w:vertAlign w:val="superscript"/>
              </w:rPr>
              <w:t>2</w:t>
            </w:r>
          </w:p>
        </w:tc>
        <w:tc>
          <w:tcPr>
            <w:tcW w:w="0" w:type="auto"/>
            <w:vAlign w:val="center"/>
          </w:tcPr>
          <w:p w14:paraId="41B8B06A" w14:textId="0BF73057"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68"/>
                <w14:textFill>
                  <w14:solidFill>
                    <w14:srgbClr w14:val="000000">
                      <w14:alpha w14:val="100000"/>
                    </w14:srgbClr>
                  </w14:solidFill>
                </w14:textFill>
              </w:rPr>
              <w:t>|</w:t>
            </w:r>
            <w:r w:rsidRPr="00740926">
              <w:rPr>
                <w:color w:val="000000"/>
                <w:spacing w:val="1"/>
                <w:szCs w:val="20"/>
                <w:shd w:val="solid" w:color="000000" w:fill="000000"/>
                <w:fitText w:val="272" w:id="-1168355568"/>
                <w14:textFill>
                  <w14:solidFill>
                    <w14:srgbClr w14:val="000000">
                      <w14:alpha w14:val="100000"/>
                    </w14:srgbClr>
                  </w14:solidFill>
                </w14:textFill>
              </w:rPr>
              <w:t>|</w:t>
            </w:r>
            <w:r w:rsidR="00F81C51">
              <w:rPr>
                <w:szCs w:val="20"/>
              </w:rPr>
              <w:t xml:space="preserve"> </w:t>
            </w:r>
            <w:r w:rsidR="00F81C51">
              <w:rPr>
                <w:szCs w:val="20"/>
                <w:vertAlign w:val="superscript"/>
              </w:rPr>
              <w:t>3</w:t>
            </w:r>
          </w:p>
        </w:tc>
        <w:tc>
          <w:tcPr>
            <w:tcW w:w="0" w:type="auto"/>
            <w:vAlign w:val="center"/>
          </w:tcPr>
          <w:p w14:paraId="6554ABAC" w14:textId="3BFCDEE1" w:rsidR="00BF547B" w:rsidRPr="00912F81" w:rsidRDefault="00740926" w:rsidP="00AC3B28">
            <w:pPr>
              <w:pStyle w:val="PBACTabletext0"/>
              <w:keepLines w:val="0"/>
              <w:widowControl w:val="0"/>
              <w:spacing w:after="0"/>
              <w:jc w:val="center"/>
              <w:rPr>
                <w:szCs w:val="20"/>
              </w:rPr>
            </w:pPr>
            <w:r w:rsidRPr="00740926">
              <w:rPr>
                <w:color w:val="000000"/>
                <w:spacing w:val="185"/>
                <w:szCs w:val="20"/>
                <w:shd w:val="solid" w:color="000000" w:fill="000000"/>
                <w:fitText w:val="271" w:id="-1168355584"/>
                <w14:textFill>
                  <w14:solidFill>
                    <w14:srgbClr w14:val="000000">
                      <w14:alpha w14:val="100000"/>
                    </w14:srgbClr>
                  </w14:solidFill>
                </w14:textFill>
              </w:rPr>
              <w:t>|</w:t>
            </w:r>
            <w:r w:rsidRPr="00740926">
              <w:rPr>
                <w:color w:val="000000"/>
                <w:spacing w:val="1"/>
                <w:szCs w:val="20"/>
                <w:shd w:val="solid" w:color="000000" w:fill="000000"/>
                <w:fitText w:val="271" w:id="-1168355584"/>
                <w14:textFill>
                  <w14:solidFill>
                    <w14:srgbClr w14:val="000000">
                      <w14:alpha w14:val="100000"/>
                    </w14:srgbClr>
                  </w14:solidFill>
                </w14:textFill>
              </w:rPr>
              <w:t>|</w:t>
            </w:r>
            <w:r w:rsidR="00F81C51">
              <w:rPr>
                <w:szCs w:val="20"/>
              </w:rPr>
              <w:t xml:space="preserve"> </w:t>
            </w:r>
            <w:r w:rsidR="00F81C51">
              <w:rPr>
                <w:szCs w:val="20"/>
                <w:vertAlign w:val="superscript"/>
              </w:rPr>
              <w:t>3</w:t>
            </w:r>
          </w:p>
        </w:tc>
        <w:tc>
          <w:tcPr>
            <w:tcW w:w="0" w:type="auto"/>
            <w:vAlign w:val="center"/>
          </w:tcPr>
          <w:p w14:paraId="7C4AC52A" w14:textId="3DE1E607"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83"/>
                <w14:textFill>
                  <w14:solidFill>
                    <w14:srgbClr w14:val="000000">
                      <w14:alpha w14:val="100000"/>
                    </w14:srgbClr>
                  </w14:solidFill>
                </w14:textFill>
              </w:rPr>
              <w:t>|</w:t>
            </w:r>
            <w:r w:rsidRPr="00740926">
              <w:rPr>
                <w:color w:val="000000"/>
                <w:spacing w:val="1"/>
                <w:szCs w:val="20"/>
                <w:shd w:val="solid" w:color="000000" w:fill="000000"/>
                <w:fitText w:val="272" w:id="-1168355583"/>
                <w14:textFill>
                  <w14:solidFill>
                    <w14:srgbClr w14:val="000000">
                      <w14:alpha w14:val="100000"/>
                    </w14:srgbClr>
                  </w14:solidFill>
                </w14:textFill>
              </w:rPr>
              <w:t>|</w:t>
            </w:r>
            <w:r w:rsidR="00F81C51">
              <w:rPr>
                <w:szCs w:val="20"/>
              </w:rPr>
              <w:t xml:space="preserve"> </w:t>
            </w:r>
            <w:r w:rsidR="00F81C51">
              <w:rPr>
                <w:szCs w:val="20"/>
                <w:vertAlign w:val="superscript"/>
              </w:rPr>
              <w:t>4</w:t>
            </w:r>
          </w:p>
        </w:tc>
        <w:tc>
          <w:tcPr>
            <w:tcW w:w="0" w:type="auto"/>
            <w:vAlign w:val="center"/>
          </w:tcPr>
          <w:p w14:paraId="5B7ADABC" w14:textId="4165ADB1" w:rsidR="00BF547B" w:rsidRPr="00912F81" w:rsidRDefault="00740926" w:rsidP="00AC3B28">
            <w:pPr>
              <w:pStyle w:val="PBACTabletext0"/>
              <w:keepLines w:val="0"/>
              <w:widowControl w:val="0"/>
              <w:spacing w:after="0"/>
              <w:jc w:val="center"/>
              <w:rPr>
                <w:szCs w:val="20"/>
              </w:rPr>
            </w:pPr>
            <w:r w:rsidRPr="00740926">
              <w:rPr>
                <w:color w:val="000000"/>
                <w:spacing w:val="47"/>
                <w:szCs w:val="20"/>
                <w:shd w:val="solid" w:color="000000" w:fill="000000"/>
                <w:fitText w:val="313" w:id="-1168355582"/>
                <w14:textFill>
                  <w14:solidFill>
                    <w14:srgbClr w14:val="000000">
                      <w14:alpha w14:val="100000"/>
                    </w14:srgbClr>
                  </w14:solidFill>
                </w14:textFill>
              </w:rPr>
              <w:t>|||</w:t>
            </w:r>
            <w:r w:rsidRPr="00740926">
              <w:rPr>
                <w:color w:val="000000"/>
                <w:spacing w:val="2"/>
                <w:szCs w:val="20"/>
                <w:shd w:val="solid" w:color="000000" w:fill="000000"/>
                <w:fitText w:val="313" w:id="-1168355582"/>
                <w14:textFill>
                  <w14:solidFill>
                    <w14:srgbClr w14:val="000000">
                      <w14:alpha w14:val="100000"/>
                    </w14:srgbClr>
                  </w14:solidFill>
                </w14:textFill>
              </w:rPr>
              <w:t>|</w:t>
            </w:r>
            <w:r w:rsidR="00F81C51">
              <w:rPr>
                <w:szCs w:val="20"/>
              </w:rPr>
              <w:t xml:space="preserve"> </w:t>
            </w:r>
            <w:r w:rsidR="00F81C51">
              <w:rPr>
                <w:szCs w:val="20"/>
                <w:vertAlign w:val="superscript"/>
              </w:rPr>
              <w:t>4</w:t>
            </w:r>
          </w:p>
        </w:tc>
        <w:tc>
          <w:tcPr>
            <w:tcW w:w="0" w:type="auto"/>
            <w:vAlign w:val="center"/>
          </w:tcPr>
          <w:p w14:paraId="13264F84" w14:textId="6699B668" w:rsidR="00BF547B" w:rsidRPr="00912F81" w:rsidRDefault="00740926" w:rsidP="00AC3B28">
            <w:pPr>
              <w:pStyle w:val="PBACTabletext0"/>
              <w:keepLines w:val="0"/>
              <w:widowControl w:val="0"/>
              <w:spacing w:after="0"/>
              <w:jc w:val="center"/>
              <w:rPr>
                <w:szCs w:val="20"/>
              </w:rPr>
            </w:pPr>
            <w:r w:rsidRPr="00740926">
              <w:rPr>
                <w:color w:val="000000"/>
                <w:spacing w:val="47"/>
                <w:szCs w:val="20"/>
                <w:shd w:val="solid" w:color="000000" w:fill="000000"/>
                <w:fitText w:val="312" w:id="-1168355581"/>
                <w14:textFill>
                  <w14:solidFill>
                    <w14:srgbClr w14:val="000000">
                      <w14:alpha w14:val="100000"/>
                    </w14:srgbClr>
                  </w14:solidFill>
                </w14:textFill>
              </w:rPr>
              <w:t>|||</w:t>
            </w:r>
            <w:r w:rsidRPr="00740926">
              <w:rPr>
                <w:color w:val="000000"/>
                <w:spacing w:val="1"/>
                <w:szCs w:val="20"/>
                <w:shd w:val="solid" w:color="000000" w:fill="000000"/>
                <w:fitText w:val="312" w:id="-1168355581"/>
                <w14:textFill>
                  <w14:solidFill>
                    <w14:srgbClr w14:val="000000">
                      <w14:alpha w14:val="100000"/>
                    </w14:srgbClr>
                  </w14:solidFill>
                </w14:textFill>
              </w:rPr>
              <w:t>|</w:t>
            </w:r>
            <w:r w:rsidR="00F81C51">
              <w:rPr>
                <w:szCs w:val="20"/>
              </w:rPr>
              <w:t xml:space="preserve"> </w:t>
            </w:r>
            <w:r w:rsidR="00F81C51">
              <w:rPr>
                <w:szCs w:val="20"/>
                <w:vertAlign w:val="superscript"/>
              </w:rPr>
              <w:t>5</w:t>
            </w:r>
          </w:p>
        </w:tc>
      </w:tr>
      <w:tr w:rsidR="00BF547B" w:rsidRPr="00912F81" w14:paraId="7FA26B8B" w14:textId="77777777" w:rsidTr="00F81C51">
        <w:tc>
          <w:tcPr>
            <w:tcW w:w="0" w:type="auto"/>
            <w:gridSpan w:val="7"/>
            <w:shd w:val="clear" w:color="auto" w:fill="D9D9D9" w:themeFill="background1" w:themeFillShade="D9"/>
          </w:tcPr>
          <w:p w14:paraId="0D36853F" w14:textId="77777777" w:rsidR="00BF547B" w:rsidRPr="00912F81" w:rsidRDefault="00BF547B" w:rsidP="00AC3B28">
            <w:pPr>
              <w:pStyle w:val="PBACTabletext0"/>
              <w:keepLines w:val="0"/>
              <w:widowControl w:val="0"/>
              <w:spacing w:after="0"/>
              <w:rPr>
                <w:b/>
                <w:bCs/>
                <w:szCs w:val="20"/>
              </w:rPr>
            </w:pPr>
            <w:r w:rsidRPr="00912F81">
              <w:rPr>
                <w:b/>
                <w:bCs/>
                <w:szCs w:val="20"/>
              </w:rPr>
              <w:t xml:space="preserve">With ravulizumab </w:t>
            </w:r>
          </w:p>
        </w:tc>
      </w:tr>
      <w:tr w:rsidR="00F81C51" w:rsidRPr="00912F81" w14:paraId="675EE34A" w14:textId="77777777" w:rsidTr="00F81C51">
        <w:tc>
          <w:tcPr>
            <w:tcW w:w="0" w:type="auto"/>
          </w:tcPr>
          <w:p w14:paraId="1504B367" w14:textId="77777777" w:rsidR="00BF547B" w:rsidRPr="00912F81" w:rsidRDefault="00BF547B" w:rsidP="00AC3B28">
            <w:pPr>
              <w:pStyle w:val="PBACTabletext0"/>
              <w:keepLines w:val="0"/>
              <w:widowControl w:val="0"/>
              <w:spacing w:after="0"/>
              <w:rPr>
                <w:szCs w:val="20"/>
              </w:rPr>
            </w:pPr>
            <w:r w:rsidRPr="00912F81">
              <w:rPr>
                <w:szCs w:val="20"/>
              </w:rPr>
              <w:t xml:space="preserve">Total net cost of eculizumab </w:t>
            </w:r>
          </w:p>
        </w:tc>
        <w:tc>
          <w:tcPr>
            <w:tcW w:w="0" w:type="auto"/>
            <w:vAlign w:val="center"/>
          </w:tcPr>
          <w:p w14:paraId="70632C4A" w14:textId="5BF6CB42"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80"/>
                <w14:textFill>
                  <w14:solidFill>
                    <w14:srgbClr w14:val="000000">
                      <w14:alpha w14:val="100000"/>
                    </w14:srgbClr>
                  </w14:solidFill>
                </w14:textFill>
              </w:rPr>
              <w:t>|</w:t>
            </w:r>
            <w:r w:rsidRPr="00740926">
              <w:rPr>
                <w:color w:val="000000"/>
                <w:spacing w:val="1"/>
                <w:szCs w:val="20"/>
                <w:shd w:val="solid" w:color="000000" w:fill="000000"/>
                <w:fitText w:val="272" w:id="-1168355580"/>
                <w14:textFill>
                  <w14:solidFill>
                    <w14:srgbClr w14:val="000000">
                      <w14:alpha w14:val="100000"/>
                    </w14:srgbClr>
                  </w14:solidFill>
                </w14:textFill>
              </w:rPr>
              <w:t>|</w:t>
            </w:r>
            <w:r w:rsidR="00F81C51">
              <w:rPr>
                <w:szCs w:val="20"/>
              </w:rPr>
              <w:t xml:space="preserve"> </w:t>
            </w:r>
            <w:r w:rsidR="00F81C51">
              <w:rPr>
                <w:szCs w:val="20"/>
                <w:vertAlign w:val="superscript"/>
              </w:rPr>
              <w:t>6</w:t>
            </w:r>
          </w:p>
        </w:tc>
        <w:tc>
          <w:tcPr>
            <w:tcW w:w="0" w:type="auto"/>
            <w:vAlign w:val="center"/>
          </w:tcPr>
          <w:p w14:paraId="27A703BA" w14:textId="72BCB4F4"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79"/>
                <w14:textFill>
                  <w14:solidFill>
                    <w14:srgbClr w14:val="000000">
                      <w14:alpha w14:val="100000"/>
                    </w14:srgbClr>
                  </w14:solidFill>
                </w14:textFill>
              </w:rPr>
              <w:t>|</w:t>
            </w:r>
            <w:r w:rsidRPr="00740926">
              <w:rPr>
                <w:color w:val="000000"/>
                <w:spacing w:val="1"/>
                <w:szCs w:val="20"/>
                <w:shd w:val="solid" w:color="000000" w:fill="000000"/>
                <w:fitText w:val="272" w:id="-1168355579"/>
                <w14:textFill>
                  <w14:solidFill>
                    <w14:srgbClr w14:val="000000">
                      <w14:alpha w14:val="100000"/>
                    </w14:srgbClr>
                  </w14:solidFill>
                </w14:textFill>
              </w:rPr>
              <w:t>|</w:t>
            </w:r>
            <w:r w:rsidR="00F81C51">
              <w:rPr>
                <w:szCs w:val="20"/>
              </w:rPr>
              <w:t xml:space="preserve"> </w:t>
            </w:r>
            <w:r w:rsidR="00F81C51">
              <w:rPr>
                <w:szCs w:val="20"/>
                <w:vertAlign w:val="superscript"/>
              </w:rPr>
              <w:t>6</w:t>
            </w:r>
          </w:p>
        </w:tc>
        <w:tc>
          <w:tcPr>
            <w:tcW w:w="0" w:type="auto"/>
            <w:vAlign w:val="center"/>
          </w:tcPr>
          <w:p w14:paraId="4D46BF53" w14:textId="5AF12110" w:rsidR="00BF547B" w:rsidRPr="00912F81" w:rsidRDefault="00740926" w:rsidP="00AC3B28">
            <w:pPr>
              <w:pStyle w:val="PBACTabletext0"/>
              <w:keepLines w:val="0"/>
              <w:widowControl w:val="0"/>
              <w:spacing w:after="0"/>
              <w:jc w:val="center"/>
              <w:rPr>
                <w:szCs w:val="20"/>
              </w:rPr>
            </w:pPr>
            <w:r w:rsidRPr="00740926">
              <w:rPr>
                <w:color w:val="000000"/>
                <w:spacing w:val="185"/>
                <w:szCs w:val="20"/>
                <w:shd w:val="solid" w:color="000000" w:fill="000000"/>
                <w:fitText w:val="271" w:id="-1168355578"/>
                <w14:textFill>
                  <w14:solidFill>
                    <w14:srgbClr w14:val="000000">
                      <w14:alpha w14:val="100000"/>
                    </w14:srgbClr>
                  </w14:solidFill>
                </w14:textFill>
              </w:rPr>
              <w:t>|</w:t>
            </w:r>
            <w:r w:rsidRPr="00740926">
              <w:rPr>
                <w:color w:val="000000"/>
                <w:spacing w:val="1"/>
                <w:szCs w:val="20"/>
                <w:shd w:val="solid" w:color="000000" w:fill="000000"/>
                <w:fitText w:val="271" w:id="-1168355578"/>
                <w14:textFill>
                  <w14:solidFill>
                    <w14:srgbClr w14:val="000000">
                      <w14:alpha w14:val="100000"/>
                    </w14:srgbClr>
                  </w14:solidFill>
                </w14:textFill>
              </w:rPr>
              <w:t>|</w:t>
            </w:r>
            <w:r w:rsidR="00F81C51">
              <w:rPr>
                <w:szCs w:val="20"/>
              </w:rPr>
              <w:t xml:space="preserve"> </w:t>
            </w:r>
            <w:r w:rsidR="00F81C51">
              <w:rPr>
                <w:szCs w:val="20"/>
                <w:vertAlign w:val="superscript"/>
              </w:rPr>
              <w:t>6</w:t>
            </w:r>
          </w:p>
        </w:tc>
        <w:tc>
          <w:tcPr>
            <w:tcW w:w="0" w:type="auto"/>
            <w:vAlign w:val="center"/>
          </w:tcPr>
          <w:p w14:paraId="2E26BB4E" w14:textId="372EE429"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77"/>
                <w14:textFill>
                  <w14:solidFill>
                    <w14:srgbClr w14:val="000000">
                      <w14:alpha w14:val="100000"/>
                    </w14:srgbClr>
                  </w14:solidFill>
                </w14:textFill>
              </w:rPr>
              <w:t>|</w:t>
            </w:r>
            <w:r w:rsidRPr="00740926">
              <w:rPr>
                <w:color w:val="000000"/>
                <w:spacing w:val="1"/>
                <w:szCs w:val="20"/>
                <w:shd w:val="solid" w:color="000000" w:fill="000000"/>
                <w:fitText w:val="272" w:id="-1168355577"/>
                <w14:textFill>
                  <w14:solidFill>
                    <w14:srgbClr w14:val="000000">
                      <w14:alpha w14:val="100000"/>
                    </w14:srgbClr>
                  </w14:solidFill>
                </w14:textFill>
              </w:rPr>
              <w:t>|</w:t>
            </w:r>
            <w:r w:rsidR="00F81C51">
              <w:rPr>
                <w:szCs w:val="20"/>
              </w:rPr>
              <w:t xml:space="preserve"> </w:t>
            </w:r>
            <w:r w:rsidR="00F81C51">
              <w:rPr>
                <w:szCs w:val="20"/>
                <w:vertAlign w:val="superscript"/>
              </w:rPr>
              <w:t>6</w:t>
            </w:r>
          </w:p>
        </w:tc>
        <w:tc>
          <w:tcPr>
            <w:tcW w:w="0" w:type="auto"/>
            <w:vAlign w:val="center"/>
          </w:tcPr>
          <w:p w14:paraId="1EEC653F" w14:textId="2DC8522F" w:rsidR="00BF547B" w:rsidRPr="006809FE" w:rsidRDefault="00740926" w:rsidP="00AC3B28">
            <w:pPr>
              <w:pStyle w:val="PBACTabletext0"/>
              <w:keepLines w:val="0"/>
              <w:widowControl w:val="0"/>
              <w:spacing w:after="0"/>
              <w:jc w:val="center"/>
              <w:rPr>
                <w:szCs w:val="20"/>
                <w:highlight w:val="darkGray"/>
              </w:rPr>
            </w:pPr>
            <w:r w:rsidRPr="00740926">
              <w:rPr>
                <w:color w:val="000000"/>
                <w:spacing w:val="213"/>
                <w:szCs w:val="20"/>
                <w:shd w:val="solid" w:color="000000" w:fill="000000"/>
                <w:fitText w:val="299" w:id="-1168355576"/>
                <w14:textFill>
                  <w14:solidFill>
                    <w14:srgbClr w14:val="000000">
                      <w14:alpha w14:val="100000"/>
                    </w14:srgbClr>
                  </w14:solidFill>
                </w14:textFill>
              </w:rPr>
              <w:t>|</w:t>
            </w:r>
            <w:r w:rsidRPr="00740926">
              <w:rPr>
                <w:color w:val="000000"/>
                <w:spacing w:val="1"/>
                <w:szCs w:val="20"/>
                <w:shd w:val="solid" w:color="000000" w:fill="000000"/>
                <w:fitText w:val="299" w:id="-1168355576"/>
                <w14:textFill>
                  <w14:solidFill>
                    <w14:srgbClr w14:val="000000">
                      <w14:alpha w14:val="100000"/>
                    </w14:srgbClr>
                  </w14:solidFill>
                </w14:textFill>
              </w:rPr>
              <w:t>|</w:t>
            </w:r>
            <w:r w:rsidR="00F81C51" w:rsidRPr="006809FE">
              <w:rPr>
                <w:szCs w:val="20"/>
                <w:vertAlign w:val="superscript"/>
              </w:rPr>
              <w:t>6</w:t>
            </w:r>
          </w:p>
        </w:tc>
        <w:tc>
          <w:tcPr>
            <w:tcW w:w="0" w:type="auto"/>
            <w:vAlign w:val="center"/>
          </w:tcPr>
          <w:p w14:paraId="6DF4E76B" w14:textId="4C827EFF" w:rsidR="00BF547B" w:rsidRPr="006809FE" w:rsidRDefault="00740926" w:rsidP="00AC3B28">
            <w:pPr>
              <w:pStyle w:val="PBACTabletext0"/>
              <w:keepLines w:val="0"/>
              <w:widowControl w:val="0"/>
              <w:spacing w:after="0"/>
              <w:jc w:val="center"/>
              <w:rPr>
                <w:szCs w:val="20"/>
                <w:highlight w:val="darkGray"/>
              </w:rPr>
            </w:pPr>
            <w:r w:rsidRPr="00740926">
              <w:rPr>
                <w:color w:val="000000"/>
                <w:spacing w:val="213"/>
                <w:szCs w:val="20"/>
                <w:shd w:val="solid" w:color="000000" w:fill="000000"/>
                <w:fitText w:val="299" w:id="-1168355575"/>
                <w14:textFill>
                  <w14:solidFill>
                    <w14:srgbClr w14:val="000000">
                      <w14:alpha w14:val="100000"/>
                    </w14:srgbClr>
                  </w14:solidFill>
                </w14:textFill>
              </w:rPr>
              <w:t>|</w:t>
            </w:r>
            <w:r w:rsidRPr="00740926">
              <w:rPr>
                <w:color w:val="000000"/>
                <w:spacing w:val="1"/>
                <w:szCs w:val="20"/>
                <w:shd w:val="solid" w:color="000000" w:fill="000000"/>
                <w:fitText w:val="299" w:id="-1168355575"/>
                <w14:textFill>
                  <w14:solidFill>
                    <w14:srgbClr w14:val="000000">
                      <w14:alpha w14:val="100000"/>
                    </w14:srgbClr>
                  </w14:solidFill>
                </w14:textFill>
              </w:rPr>
              <w:t>|</w:t>
            </w:r>
            <w:r w:rsidR="00F81C51" w:rsidRPr="006809FE">
              <w:rPr>
                <w:szCs w:val="20"/>
                <w:vertAlign w:val="superscript"/>
              </w:rPr>
              <w:t>6</w:t>
            </w:r>
          </w:p>
        </w:tc>
      </w:tr>
      <w:tr w:rsidR="00F81C51" w:rsidRPr="00912F81" w14:paraId="3013E6A9" w14:textId="77777777" w:rsidTr="00F81C51">
        <w:tc>
          <w:tcPr>
            <w:tcW w:w="0" w:type="auto"/>
          </w:tcPr>
          <w:p w14:paraId="3E426B9E" w14:textId="77777777" w:rsidR="00BF547B" w:rsidRPr="00912F81" w:rsidRDefault="00BF547B" w:rsidP="00AC3B28">
            <w:pPr>
              <w:pStyle w:val="PBACTabletext0"/>
              <w:keepLines w:val="0"/>
              <w:widowControl w:val="0"/>
              <w:spacing w:after="0"/>
              <w:rPr>
                <w:szCs w:val="20"/>
              </w:rPr>
            </w:pPr>
            <w:r w:rsidRPr="00912F81">
              <w:rPr>
                <w:szCs w:val="20"/>
              </w:rPr>
              <w:t xml:space="preserve">Total net cost of ravulizumab </w:t>
            </w:r>
          </w:p>
        </w:tc>
        <w:tc>
          <w:tcPr>
            <w:tcW w:w="0" w:type="auto"/>
            <w:vAlign w:val="center"/>
          </w:tcPr>
          <w:p w14:paraId="15276F28" w14:textId="62C9D5DD"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74"/>
                <w14:textFill>
                  <w14:solidFill>
                    <w14:srgbClr w14:val="000000">
                      <w14:alpha w14:val="100000"/>
                    </w14:srgbClr>
                  </w14:solidFill>
                </w14:textFill>
              </w:rPr>
              <w:t>|</w:t>
            </w:r>
            <w:r w:rsidRPr="00740926">
              <w:rPr>
                <w:color w:val="000000"/>
                <w:spacing w:val="1"/>
                <w:szCs w:val="20"/>
                <w:shd w:val="solid" w:color="000000" w:fill="000000"/>
                <w:fitText w:val="272" w:id="-1168355574"/>
                <w14:textFill>
                  <w14:solidFill>
                    <w14:srgbClr w14:val="000000">
                      <w14:alpha w14:val="100000"/>
                    </w14:srgbClr>
                  </w14:solidFill>
                </w14:textFill>
              </w:rPr>
              <w:t>|</w:t>
            </w:r>
            <w:r w:rsidR="00F81C51">
              <w:rPr>
                <w:szCs w:val="20"/>
              </w:rPr>
              <w:t xml:space="preserve"> </w:t>
            </w:r>
            <w:r w:rsidR="00F81C51">
              <w:rPr>
                <w:szCs w:val="20"/>
                <w:vertAlign w:val="superscript"/>
              </w:rPr>
              <w:t>7</w:t>
            </w:r>
          </w:p>
        </w:tc>
        <w:tc>
          <w:tcPr>
            <w:tcW w:w="0" w:type="auto"/>
            <w:vAlign w:val="center"/>
          </w:tcPr>
          <w:p w14:paraId="24E01472" w14:textId="363ED007"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73"/>
                <w14:textFill>
                  <w14:solidFill>
                    <w14:srgbClr w14:val="000000">
                      <w14:alpha w14:val="100000"/>
                    </w14:srgbClr>
                  </w14:solidFill>
                </w14:textFill>
              </w:rPr>
              <w:t>|</w:t>
            </w:r>
            <w:r w:rsidRPr="00740926">
              <w:rPr>
                <w:color w:val="000000"/>
                <w:spacing w:val="1"/>
                <w:szCs w:val="20"/>
                <w:shd w:val="solid" w:color="000000" w:fill="000000"/>
                <w:fitText w:val="272" w:id="-1168355573"/>
                <w14:textFill>
                  <w14:solidFill>
                    <w14:srgbClr w14:val="000000">
                      <w14:alpha w14:val="100000"/>
                    </w14:srgbClr>
                  </w14:solidFill>
                </w14:textFill>
              </w:rPr>
              <w:t>|</w:t>
            </w:r>
            <w:r w:rsidR="00F81C51">
              <w:rPr>
                <w:szCs w:val="20"/>
              </w:rPr>
              <w:t xml:space="preserve"> </w:t>
            </w:r>
            <w:r w:rsidR="00F81C51">
              <w:rPr>
                <w:szCs w:val="20"/>
                <w:vertAlign w:val="superscript"/>
              </w:rPr>
              <w:t>7</w:t>
            </w:r>
          </w:p>
        </w:tc>
        <w:tc>
          <w:tcPr>
            <w:tcW w:w="0" w:type="auto"/>
            <w:vAlign w:val="center"/>
          </w:tcPr>
          <w:p w14:paraId="437D14C2" w14:textId="68FBFA38"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72"/>
                <w14:textFill>
                  <w14:solidFill>
                    <w14:srgbClr w14:val="000000">
                      <w14:alpha w14:val="100000"/>
                    </w14:srgbClr>
                  </w14:solidFill>
                </w14:textFill>
              </w:rPr>
              <w:t>|</w:t>
            </w:r>
            <w:r w:rsidRPr="00740926">
              <w:rPr>
                <w:color w:val="000000"/>
                <w:spacing w:val="1"/>
                <w:szCs w:val="20"/>
                <w:shd w:val="solid" w:color="000000" w:fill="000000"/>
                <w:fitText w:val="272" w:id="-1168355572"/>
                <w14:textFill>
                  <w14:solidFill>
                    <w14:srgbClr w14:val="000000">
                      <w14:alpha w14:val="100000"/>
                    </w14:srgbClr>
                  </w14:solidFill>
                </w14:textFill>
              </w:rPr>
              <w:t>|</w:t>
            </w:r>
            <w:r w:rsidR="00F81C51">
              <w:rPr>
                <w:szCs w:val="20"/>
              </w:rPr>
              <w:t xml:space="preserve"> </w:t>
            </w:r>
            <w:r w:rsidR="00F81C51">
              <w:rPr>
                <w:szCs w:val="20"/>
                <w:vertAlign w:val="superscript"/>
              </w:rPr>
              <w:t>7</w:t>
            </w:r>
          </w:p>
        </w:tc>
        <w:tc>
          <w:tcPr>
            <w:tcW w:w="0" w:type="auto"/>
            <w:vAlign w:val="center"/>
          </w:tcPr>
          <w:p w14:paraId="30922AEC" w14:textId="46EF5C19"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71"/>
                <w14:textFill>
                  <w14:solidFill>
                    <w14:srgbClr w14:val="000000">
                      <w14:alpha w14:val="100000"/>
                    </w14:srgbClr>
                  </w14:solidFill>
                </w14:textFill>
              </w:rPr>
              <w:t>|</w:t>
            </w:r>
            <w:r w:rsidRPr="00740926">
              <w:rPr>
                <w:color w:val="000000"/>
                <w:spacing w:val="1"/>
                <w:szCs w:val="20"/>
                <w:shd w:val="solid" w:color="000000" w:fill="000000"/>
                <w:fitText w:val="272" w:id="-1168355571"/>
                <w14:textFill>
                  <w14:solidFill>
                    <w14:srgbClr w14:val="000000">
                      <w14:alpha w14:val="100000"/>
                    </w14:srgbClr>
                  </w14:solidFill>
                </w14:textFill>
              </w:rPr>
              <w:t>|</w:t>
            </w:r>
            <w:r w:rsidR="00F81C51">
              <w:rPr>
                <w:szCs w:val="20"/>
              </w:rPr>
              <w:t xml:space="preserve"> </w:t>
            </w:r>
            <w:r w:rsidR="00F81C51">
              <w:rPr>
                <w:szCs w:val="20"/>
                <w:vertAlign w:val="superscript"/>
              </w:rPr>
              <w:t>8</w:t>
            </w:r>
          </w:p>
        </w:tc>
        <w:tc>
          <w:tcPr>
            <w:tcW w:w="0" w:type="auto"/>
            <w:vAlign w:val="center"/>
          </w:tcPr>
          <w:p w14:paraId="72856E68" w14:textId="43913A0A"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70"/>
                <w14:textFill>
                  <w14:solidFill>
                    <w14:srgbClr w14:val="000000">
                      <w14:alpha w14:val="100000"/>
                    </w14:srgbClr>
                  </w14:solidFill>
                </w14:textFill>
              </w:rPr>
              <w:t>|</w:t>
            </w:r>
            <w:r w:rsidRPr="00740926">
              <w:rPr>
                <w:color w:val="000000"/>
                <w:spacing w:val="1"/>
                <w:szCs w:val="20"/>
                <w:shd w:val="solid" w:color="000000" w:fill="000000"/>
                <w:fitText w:val="272" w:id="-1168355570"/>
                <w14:textFill>
                  <w14:solidFill>
                    <w14:srgbClr w14:val="000000">
                      <w14:alpha w14:val="100000"/>
                    </w14:srgbClr>
                  </w14:solidFill>
                </w14:textFill>
              </w:rPr>
              <w:t>|</w:t>
            </w:r>
            <w:r w:rsidR="00F81C51">
              <w:rPr>
                <w:szCs w:val="20"/>
              </w:rPr>
              <w:t xml:space="preserve"> </w:t>
            </w:r>
            <w:r w:rsidR="00F81C51">
              <w:rPr>
                <w:szCs w:val="20"/>
                <w:vertAlign w:val="superscript"/>
              </w:rPr>
              <w:t>8</w:t>
            </w:r>
          </w:p>
        </w:tc>
        <w:tc>
          <w:tcPr>
            <w:tcW w:w="0" w:type="auto"/>
            <w:vAlign w:val="center"/>
          </w:tcPr>
          <w:p w14:paraId="03E98159" w14:textId="580B3B63"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69"/>
                <w14:textFill>
                  <w14:solidFill>
                    <w14:srgbClr w14:val="000000">
                      <w14:alpha w14:val="100000"/>
                    </w14:srgbClr>
                  </w14:solidFill>
                </w14:textFill>
              </w:rPr>
              <w:t>|</w:t>
            </w:r>
            <w:r w:rsidRPr="00740926">
              <w:rPr>
                <w:color w:val="000000"/>
                <w:spacing w:val="1"/>
                <w:szCs w:val="20"/>
                <w:shd w:val="solid" w:color="000000" w:fill="000000"/>
                <w:fitText w:val="272" w:id="-1168355569"/>
                <w14:textFill>
                  <w14:solidFill>
                    <w14:srgbClr w14:val="000000">
                      <w14:alpha w14:val="100000"/>
                    </w14:srgbClr>
                  </w14:solidFill>
                </w14:textFill>
              </w:rPr>
              <w:t>|</w:t>
            </w:r>
            <w:r w:rsidR="00F81C51">
              <w:rPr>
                <w:szCs w:val="20"/>
              </w:rPr>
              <w:t xml:space="preserve"> </w:t>
            </w:r>
            <w:r w:rsidR="00F81C51">
              <w:rPr>
                <w:szCs w:val="20"/>
                <w:vertAlign w:val="superscript"/>
              </w:rPr>
              <w:t>8</w:t>
            </w:r>
          </w:p>
        </w:tc>
      </w:tr>
      <w:tr w:rsidR="00F81C51" w:rsidRPr="00912F81" w14:paraId="138AC92A" w14:textId="77777777" w:rsidTr="00F81C51">
        <w:tc>
          <w:tcPr>
            <w:tcW w:w="0" w:type="auto"/>
          </w:tcPr>
          <w:p w14:paraId="0684A522" w14:textId="77777777" w:rsidR="00BF547B" w:rsidRPr="00912F81" w:rsidRDefault="00BF547B" w:rsidP="00AC3B28">
            <w:pPr>
              <w:pStyle w:val="PBACTabletext0"/>
              <w:keepLines w:val="0"/>
              <w:widowControl w:val="0"/>
              <w:spacing w:after="0"/>
              <w:rPr>
                <w:szCs w:val="20"/>
              </w:rPr>
            </w:pPr>
            <w:r w:rsidRPr="00912F81">
              <w:rPr>
                <w:szCs w:val="20"/>
              </w:rPr>
              <w:t xml:space="preserve">Total cost of aHUS therapies with ravulizumab </w:t>
            </w:r>
          </w:p>
        </w:tc>
        <w:tc>
          <w:tcPr>
            <w:tcW w:w="0" w:type="auto"/>
            <w:vAlign w:val="center"/>
          </w:tcPr>
          <w:p w14:paraId="29BFC49F" w14:textId="4E22B6D0"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68"/>
                <w14:textFill>
                  <w14:solidFill>
                    <w14:srgbClr w14:val="000000">
                      <w14:alpha w14:val="100000"/>
                    </w14:srgbClr>
                  </w14:solidFill>
                </w14:textFill>
              </w:rPr>
              <w:t>|</w:t>
            </w:r>
            <w:r w:rsidRPr="00740926">
              <w:rPr>
                <w:color w:val="000000"/>
                <w:spacing w:val="1"/>
                <w:szCs w:val="20"/>
                <w:shd w:val="solid" w:color="000000" w:fill="000000"/>
                <w:fitText w:val="272" w:id="-1168355568"/>
                <w14:textFill>
                  <w14:solidFill>
                    <w14:srgbClr w14:val="000000">
                      <w14:alpha w14:val="100000"/>
                    </w14:srgbClr>
                  </w14:solidFill>
                </w14:textFill>
              </w:rPr>
              <w:t>|</w:t>
            </w:r>
            <w:r w:rsidR="00F81C51">
              <w:rPr>
                <w:szCs w:val="20"/>
              </w:rPr>
              <w:t xml:space="preserve"> </w:t>
            </w:r>
            <w:r w:rsidR="00F81C51">
              <w:rPr>
                <w:szCs w:val="20"/>
                <w:vertAlign w:val="superscript"/>
              </w:rPr>
              <w:t>2</w:t>
            </w:r>
          </w:p>
        </w:tc>
        <w:tc>
          <w:tcPr>
            <w:tcW w:w="0" w:type="auto"/>
            <w:vAlign w:val="center"/>
          </w:tcPr>
          <w:p w14:paraId="3CE6D53D" w14:textId="6B34F019"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84"/>
                <w14:textFill>
                  <w14:solidFill>
                    <w14:srgbClr w14:val="000000">
                      <w14:alpha w14:val="100000"/>
                    </w14:srgbClr>
                  </w14:solidFill>
                </w14:textFill>
              </w:rPr>
              <w:t>|</w:t>
            </w:r>
            <w:r w:rsidRPr="00740926">
              <w:rPr>
                <w:color w:val="000000"/>
                <w:spacing w:val="1"/>
                <w:szCs w:val="20"/>
                <w:shd w:val="solid" w:color="000000" w:fill="000000"/>
                <w:fitText w:val="272" w:id="-1168355584"/>
                <w14:textFill>
                  <w14:solidFill>
                    <w14:srgbClr w14:val="000000">
                      <w14:alpha w14:val="100000"/>
                    </w14:srgbClr>
                  </w14:solidFill>
                </w14:textFill>
              </w:rPr>
              <w:t>|</w:t>
            </w:r>
            <w:r w:rsidR="00F81C51">
              <w:rPr>
                <w:szCs w:val="20"/>
              </w:rPr>
              <w:t xml:space="preserve"> </w:t>
            </w:r>
            <w:r w:rsidR="00F81C51">
              <w:rPr>
                <w:szCs w:val="20"/>
                <w:vertAlign w:val="superscript"/>
              </w:rPr>
              <w:t>3</w:t>
            </w:r>
          </w:p>
        </w:tc>
        <w:tc>
          <w:tcPr>
            <w:tcW w:w="0" w:type="auto"/>
            <w:vAlign w:val="center"/>
          </w:tcPr>
          <w:p w14:paraId="7E8F57F4" w14:textId="55544145"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83"/>
                <w14:textFill>
                  <w14:solidFill>
                    <w14:srgbClr w14:val="000000">
                      <w14:alpha w14:val="100000"/>
                    </w14:srgbClr>
                  </w14:solidFill>
                </w14:textFill>
              </w:rPr>
              <w:t>|</w:t>
            </w:r>
            <w:r w:rsidRPr="00740926">
              <w:rPr>
                <w:color w:val="000000"/>
                <w:spacing w:val="1"/>
                <w:szCs w:val="20"/>
                <w:shd w:val="solid" w:color="000000" w:fill="000000"/>
                <w:fitText w:val="272" w:id="-1168355583"/>
                <w14:textFill>
                  <w14:solidFill>
                    <w14:srgbClr w14:val="000000">
                      <w14:alpha w14:val="100000"/>
                    </w14:srgbClr>
                  </w14:solidFill>
                </w14:textFill>
              </w:rPr>
              <w:t>|</w:t>
            </w:r>
            <w:r w:rsidR="00F81C51">
              <w:rPr>
                <w:szCs w:val="20"/>
              </w:rPr>
              <w:t xml:space="preserve"> </w:t>
            </w:r>
            <w:r w:rsidR="00F81C51">
              <w:rPr>
                <w:szCs w:val="20"/>
                <w:vertAlign w:val="superscript"/>
              </w:rPr>
              <w:t>3</w:t>
            </w:r>
          </w:p>
        </w:tc>
        <w:tc>
          <w:tcPr>
            <w:tcW w:w="0" w:type="auto"/>
            <w:vAlign w:val="center"/>
          </w:tcPr>
          <w:p w14:paraId="5C2E20D4" w14:textId="02EE91FD"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82"/>
                <w14:textFill>
                  <w14:solidFill>
                    <w14:srgbClr w14:val="000000">
                      <w14:alpha w14:val="100000"/>
                    </w14:srgbClr>
                  </w14:solidFill>
                </w14:textFill>
              </w:rPr>
              <w:t>|</w:t>
            </w:r>
            <w:r w:rsidRPr="00740926">
              <w:rPr>
                <w:color w:val="000000"/>
                <w:spacing w:val="1"/>
                <w:szCs w:val="20"/>
                <w:shd w:val="solid" w:color="000000" w:fill="000000"/>
                <w:fitText w:val="272" w:id="-1168355582"/>
                <w14:textFill>
                  <w14:solidFill>
                    <w14:srgbClr w14:val="000000">
                      <w14:alpha w14:val="100000"/>
                    </w14:srgbClr>
                  </w14:solidFill>
                </w14:textFill>
              </w:rPr>
              <w:t>|</w:t>
            </w:r>
            <w:r w:rsidR="00F81C51">
              <w:rPr>
                <w:szCs w:val="20"/>
              </w:rPr>
              <w:t xml:space="preserve"> </w:t>
            </w:r>
            <w:r w:rsidR="00F81C51">
              <w:rPr>
                <w:szCs w:val="20"/>
                <w:vertAlign w:val="superscript"/>
              </w:rPr>
              <w:t>3</w:t>
            </w:r>
          </w:p>
        </w:tc>
        <w:tc>
          <w:tcPr>
            <w:tcW w:w="0" w:type="auto"/>
            <w:vAlign w:val="center"/>
          </w:tcPr>
          <w:p w14:paraId="70AE4226" w14:textId="349983B1"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81"/>
                <w14:textFill>
                  <w14:solidFill>
                    <w14:srgbClr w14:val="000000">
                      <w14:alpha w14:val="100000"/>
                    </w14:srgbClr>
                  </w14:solidFill>
                </w14:textFill>
              </w:rPr>
              <w:t>|</w:t>
            </w:r>
            <w:r w:rsidRPr="00740926">
              <w:rPr>
                <w:color w:val="000000"/>
                <w:spacing w:val="1"/>
                <w:szCs w:val="20"/>
                <w:shd w:val="solid" w:color="000000" w:fill="000000"/>
                <w:fitText w:val="272" w:id="-1168355581"/>
                <w14:textFill>
                  <w14:solidFill>
                    <w14:srgbClr w14:val="000000">
                      <w14:alpha w14:val="100000"/>
                    </w14:srgbClr>
                  </w14:solidFill>
                </w14:textFill>
              </w:rPr>
              <w:t>|</w:t>
            </w:r>
            <w:r w:rsidR="00F81C51">
              <w:rPr>
                <w:szCs w:val="20"/>
              </w:rPr>
              <w:t xml:space="preserve"> </w:t>
            </w:r>
            <w:r w:rsidR="00F81C51">
              <w:rPr>
                <w:szCs w:val="20"/>
                <w:vertAlign w:val="superscript"/>
              </w:rPr>
              <w:t>4</w:t>
            </w:r>
          </w:p>
        </w:tc>
        <w:tc>
          <w:tcPr>
            <w:tcW w:w="0" w:type="auto"/>
            <w:vAlign w:val="center"/>
          </w:tcPr>
          <w:p w14:paraId="682CA38A" w14:textId="779733F0"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80"/>
                <w14:textFill>
                  <w14:solidFill>
                    <w14:srgbClr w14:val="000000">
                      <w14:alpha w14:val="100000"/>
                    </w14:srgbClr>
                  </w14:solidFill>
                </w14:textFill>
              </w:rPr>
              <w:t>|</w:t>
            </w:r>
            <w:r w:rsidRPr="00740926">
              <w:rPr>
                <w:color w:val="000000"/>
                <w:spacing w:val="1"/>
                <w:szCs w:val="20"/>
                <w:shd w:val="solid" w:color="000000" w:fill="000000"/>
                <w:fitText w:val="272" w:id="-1168355580"/>
                <w14:textFill>
                  <w14:solidFill>
                    <w14:srgbClr w14:val="000000">
                      <w14:alpha w14:val="100000"/>
                    </w14:srgbClr>
                  </w14:solidFill>
                </w14:textFill>
              </w:rPr>
              <w:t>|</w:t>
            </w:r>
            <w:r w:rsidR="00F81C51">
              <w:rPr>
                <w:szCs w:val="20"/>
              </w:rPr>
              <w:t xml:space="preserve"> </w:t>
            </w:r>
            <w:r w:rsidR="00F81C51">
              <w:rPr>
                <w:szCs w:val="20"/>
                <w:vertAlign w:val="superscript"/>
              </w:rPr>
              <w:t>4</w:t>
            </w:r>
          </w:p>
        </w:tc>
      </w:tr>
      <w:tr w:rsidR="00F81C51" w:rsidRPr="00912F81" w14:paraId="49A65BBB" w14:textId="77777777" w:rsidTr="00F81C51">
        <w:tc>
          <w:tcPr>
            <w:tcW w:w="0" w:type="auto"/>
          </w:tcPr>
          <w:p w14:paraId="4E54168A" w14:textId="77777777" w:rsidR="00BF547B" w:rsidRPr="00912F81" w:rsidRDefault="00BF547B" w:rsidP="00AC3B28">
            <w:pPr>
              <w:pStyle w:val="PBACTabletext0"/>
              <w:keepLines w:val="0"/>
              <w:widowControl w:val="0"/>
              <w:spacing w:after="0"/>
              <w:rPr>
                <w:szCs w:val="20"/>
              </w:rPr>
            </w:pPr>
            <w:r w:rsidRPr="00912F81">
              <w:rPr>
                <w:szCs w:val="20"/>
              </w:rPr>
              <w:t>Total cost of aHUS therapies with ravulizumab with free loading dose for prevalent patients</w:t>
            </w:r>
            <w:r w:rsidRPr="00912F81">
              <w:rPr>
                <w:szCs w:val="20"/>
                <w:vertAlign w:val="superscript"/>
              </w:rPr>
              <w:t>a</w:t>
            </w:r>
          </w:p>
        </w:tc>
        <w:tc>
          <w:tcPr>
            <w:tcW w:w="0" w:type="auto"/>
            <w:vAlign w:val="center"/>
          </w:tcPr>
          <w:p w14:paraId="0AF19483" w14:textId="2A4414F8"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79"/>
                <w14:textFill>
                  <w14:solidFill>
                    <w14:srgbClr w14:val="000000">
                      <w14:alpha w14:val="100000"/>
                    </w14:srgbClr>
                  </w14:solidFill>
                </w14:textFill>
              </w:rPr>
              <w:t>|</w:t>
            </w:r>
            <w:r w:rsidRPr="00740926">
              <w:rPr>
                <w:color w:val="000000"/>
                <w:spacing w:val="1"/>
                <w:szCs w:val="20"/>
                <w:shd w:val="solid" w:color="000000" w:fill="000000"/>
                <w:fitText w:val="272" w:id="-1168355579"/>
                <w14:textFill>
                  <w14:solidFill>
                    <w14:srgbClr w14:val="000000">
                      <w14:alpha w14:val="100000"/>
                    </w14:srgbClr>
                  </w14:solidFill>
                </w14:textFill>
              </w:rPr>
              <w:t>|</w:t>
            </w:r>
            <w:r w:rsidR="00F81C51">
              <w:rPr>
                <w:szCs w:val="20"/>
              </w:rPr>
              <w:t xml:space="preserve"> </w:t>
            </w:r>
            <w:r w:rsidR="00F81C51">
              <w:rPr>
                <w:szCs w:val="20"/>
                <w:vertAlign w:val="superscript"/>
              </w:rPr>
              <w:t>2</w:t>
            </w:r>
          </w:p>
        </w:tc>
        <w:tc>
          <w:tcPr>
            <w:tcW w:w="0" w:type="auto"/>
            <w:vAlign w:val="center"/>
          </w:tcPr>
          <w:p w14:paraId="70DB1A09" w14:textId="2F9711BC"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78"/>
                <w14:textFill>
                  <w14:solidFill>
                    <w14:srgbClr w14:val="000000">
                      <w14:alpha w14:val="100000"/>
                    </w14:srgbClr>
                  </w14:solidFill>
                </w14:textFill>
              </w:rPr>
              <w:t>|</w:t>
            </w:r>
            <w:r w:rsidRPr="00740926">
              <w:rPr>
                <w:color w:val="000000"/>
                <w:spacing w:val="1"/>
                <w:szCs w:val="20"/>
                <w:shd w:val="solid" w:color="000000" w:fill="000000"/>
                <w:fitText w:val="272" w:id="-1168355578"/>
                <w14:textFill>
                  <w14:solidFill>
                    <w14:srgbClr w14:val="000000">
                      <w14:alpha w14:val="100000"/>
                    </w14:srgbClr>
                  </w14:solidFill>
                </w14:textFill>
              </w:rPr>
              <w:t>|</w:t>
            </w:r>
            <w:r w:rsidR="00F81C51">
              <w:rPr>
                <w:szCs w:val="20"/>
              </w:rPr>
              <w:t xml:space="preserve"> </w:t>
            </w:r>
            <w:r w:rsidR="00F81C51">
              <w:rPr>
                <w:szCs w:val="20"/>
                <w:vertAlign w:val="superscript"/>
              </w:rPr>
              <w:t>3</w:t>
            </w:r>
          </w:p>
        </w:tc>
        <w:tc>
          <w:tcPr>
            <w:tcW w:w="0" w:type="auto"/>
            <w:vAlign w:val="center"/>
          </w:tcPr>
          <w:p w14:paraId="2082D12B" w14:textId="171CA3DF"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77"/>
                <w14:textFill>
                  <w14:solidFill>
                    <w14:srgbClr w14:val="000000">
                      <w14:alpha w14:val="100000"/>
                    </w14:srgbClr>
                  </w14:solidFill>
                </w14:textFill>
              </w:rPr>
              <w:t>|</w:t>
            </w:r>
            <w:r w:rsidRPr="00740926">
              <w:rPr>
                <w:color w:val="000000"/>
                <w:spacing w:val="1"/>
                <w:szCs w:val="20"/>
                <w:shd w:val="solid" w:color="000000" w:fill="000000"/>
                <w:fitText w:val="272" w:id="-1168355577"/>
                <w14:textFill>
                  <w14:solidFill>
                    <w14:srgbClr w14:val="000000">
                      <w14:alpha w14:val="100000"/>
                    </w14:srgbClr>
                  </w14:solidFill>
                </w14:textFill>
              </w:rPr>
              <w:t>|</w:t>
            </w:r>
            <w:r w:rsidR="00F81C51">
              <w:rPr>
                <w:szCs w:val="20"/>
              </w:rPr>
              <w:t xml:space="preserve"> </w:t>
            </w:r>
            <w:r w:rsidR="00F81C51">
              <w:rPr>
                <w:szCs w:val="20"/>
                <w:vertAlign w:val="superscript"/>
              </w:rPr>
              <w:t>3</w:t>
            </w:r>
          </w:p>
        </w:tc>
        <w:tc>
          <w:tcPr>
            <w:tcW w:w="0" w:type="auto"/>
            <w:vAlign w:val="center"/>
          </w:tcPr>
          <w:p w14:paraId="559F28E0" w14:textId="063B8E6C"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76"/>
                <w14:textFill>
                  <w14:solidFill>
                    <w14:srgbClr w14:val="000000">
                      <w14:alpha w14:val="100000"/>
                    </w14:srgbClr>
                  </w14:solidFill>
                </w14:textFill>
              </w:rPr>
              <w:t>|</w:t>
            </w:r>
            <w:r w:rsidRPr="00740926">
              <w:rPr>
                <w:color w:val="000000"/>
                <w:spacing w:val="1"/>
                <w:szCs w:val="20"/>
                <w:shd w:val="solid" w:color="000000" w:fill="000000"/>
                <w:fitText w:val="272" w:id="-1168355576"/>
                <w14:textFill>
                  <w14:solidFill>
                    <w14:srgbClr w14:val="000000">
                      <w14:alpha w14:val="100000"/>
                    </w14:srgbClr>
                  </w14:solidFill>
                </w14:textFill>
              </w:rPr>
              <w:t>|</w:t>
            </w:r>
            <w:r w:rsidR="00F81C51">
              <w:rPr>
                <w:szCs w:val="20"/>
              </w:rPr>
              <w:t xml:space="preserve"> </w:t>
            </w:r>
            <w:r w:rsidR="00F81C51">
              <w:rPr>
                <w:szCs w:val="20"/>
                <w:vertAlign w:val="superscript"/>
              </w:rPr>
              <w:t>3</w:t>
            </w:r>
          </w:p>
        </w:tc>
        <w:tc>
          <w:tcPr>
            <w:tcW w:w="0" w:type="auto"/>
            <w:vAlign w:val="center"/>
          </w:tcPr>
          <w:p w14:paraId="55EFF370" w14:textId="055297DD"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75"/>
                <w14:textFill>
                  <w14:solidFill>
                    <w14:srgbClr w14:val="000000">
                      <w14:alpha w14:val="100000"/>
                    </w14:srgbClr>
                  </w14:solidFill>
                </w14:textFill>
              </w:rPr>
              <w:t>|</w:t>
            </w:r>
            <w:r w:rsidRPr="00740926">
              <w:rPr>
                <w:color w:val="000000"/>
                <w:spacing w:val="1"/>
                <w:szCs w:val="20"/>
                <w:shd w:val="solid" w:color="000000" w:fill="000000"/>
                <w:fitText w:val="272" w:id="-1168355575"/>
                <w14:textFill>
                  <w14:solidFill>
                    <w14:srgbClr w14:val="000000">
                      <w14:alpha w14:val="100000"/>
                    </w14:srgbClr>
                  </w14:solidFill>
                </w14:textFill>
              </w:rPr>
              <w:t>|</w:t>
            </w:r>
            <w:r w:rsidR="00F81C51">
              <w:rPr>
                <w:szCs w:val="20"/>
              </w:rPr>
              <w:t xml:space="preserve"> </w:t>
            </w:r>
            <w:r w:rsidR="00F81C51">
              <w:rPr>
                <w:szCs w:val="20"/>
                <w:vertAlign w:val="superscript"/>
              </w:rPr>
              <w:t>4</w:t>
            </w:r>
          </w:p>
        </w:tc>
        <w:tc>
          <w:tcPr>
            <w:tcW w:w="0" w:type="auto"/>
            <w:vAlign w:val="center"/>
          </w:tcPr>
          <w:p w14:paraId="715AF643" w14:textId="0926CE16"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74"/>
                <w14:textFill>
                  <w14:solidFill>
                    <w14:srgbClr w14:val="000000">
                      <w14:alpha w14:val="100000"/>
                    </w14:srgbClr>
                  </w14:solidFill>
                </w14:textFill>
              </w:rPr>
              <w:t>|</w:t>
            </w:r>
            <w:r w:rsidRPr="00740926">
              <w:rPr>
                <w:color w:val="000000"/>
                <w:spacing w:val="1"/>
                <w:szCs w:val="20"/>
                <w:shd w:val="solid" w:color="000000" w:fill="000000"/>
                <w:fitText w:val="272" w:id="-1168355574"/>
                <w14:textFill>
                  <w14:solidFill>
                    <w14:srgbClr w14:val="000000">
                      <w14:alpha w14:val="100000"/>
                    </w14:srgbClr>
                  </w14:solidFill>
                </w14:textFill>
              </w:rPr>
              <w:t>|</w:t>
            </w:r>
            <w:r w:rsidR="00F81C51">
              <w:rPr>
                <w:szCs w:val="20"/>
              </w:rPr>
              <w:t xml:space="preserve"> </w:t>
            </w:r>
            <w:r w:rsidR="00F81C51">
              <w:rPr>
                <w:szCs w:val="20"/>
                <w:vertAlign w:val="superscript"/>
              </w:rPr>
              <w:t>4</w:t>
            </w:r>
          </w:p>
        </w:tc>
      </w:tr>
      <w:tr w:rsidR="00BF547B" w:rsidRPr="00912F81" w14:paraId="125785B6" w14:textId="77777777" w:rsidTr="00F81C51">
        <w:tc>
          <w:tcPr>
            <w:tcW w:w="0" w:type="auto"/>
            <w:gridSpan w:val="7"/>
            <w:shd w:val="clear" w:color="auto" w:fill="D9D9D9" w:themeFill="background1" w:themeFillShade="D9"/>
          </w:tcPr>
          <w:p w14:paraId="0E19E449" w14:textId="77777777" w:rsidR="00BF547B" w:rsidRPr="00912F81" w:rsidRDefault="00BF547B" w:rsidP="00AC3B28">
            <w:pPr>
              <w:pStyle w:val="PBACTabletext0"/>
              <w:keepLines w:val="0"/>
              <w:widowControl w:val="0"/>
              <w:spacing w:after="0"/>
              <w:rPr>
                <w:b/>
                <w:bCs/>
                <w:szCs w:val="20"/>
              </w:rPr>
            </w:pPr>
            <w:r w:rsidRPr="00912F81">
              <w:rPr>
                <w:b/>
                <w:bCs/>
                <w:szCs w:val="20"/>
              </w:rPr>
              <w:t>Savings associated with a ravulizumab PBS listing</w:t>
            </w:r>
          </w:p>
        </w:tc>
      </w:tr>
      <w:tr w:rsidR="00F81C51" w:rsidRPr="00912F81" w14:paraId="35A212B1" w14:textId="77777777" w:rsidTr="00F81C51">
        <w:tc>
          <w:tcPr>
            <w:tcW w:w="0" w:type="auto"/>
          </w:tcPr>
          <w:p w14:paraId="42B14BA4" w14:textId="77777777" w:rsidR="00BF547B" w:rsidRPr="00912F81" w:rsidRDefault="00BF547B" w:rsidP="00AC3B28">
            <w:pPr>
              <w:pStyle w:val="PBACTabletext0"/>
              <w:keepLines w:val="0"/>
              <w:widowControl w:val="0"/>
              <w:spacing w:after="0"/>
              <w:rPr>
                <w:szCs w:val="20"/>
              </w:rPr>
            </w:pPr>
            <w:r w:rsidRPr="00912F81">
              <w:rPr>
                <w:szCs w:val="20"/>
              </w:rPr>
              <w:t>Difference with ravulizumab</w:t>
            </w:r>
          </w:p>
        </w:tc>
        <w:tc>
          <w:tcPr>
            <w:tcW w:w="0" w:type="auto"/>
            <w:vAlign w:val="center"/>
          </w:tcPr>
          <w:p w14:paraId="26AFB915" w14:textId="48925853"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73"/>
                <w14:textFill>
                  <w14:solidFill>
                    <w14:srgbClr w14:val="000000">
                      <w14:alpha w14:val="100000"/>
                    </w14:srgbClr>
                  </w14:solidFill>
                </w14:textFill>
              </w:rPr>
              <w:t>|</w:t>
            </w:r>
            <w:r w:rsidRPr="00740926">
              <w:rPr>
                <w:color w:val="000000"/>
                <w:spacing w:val="1"/>
                <w:szCs w:val="20"/>
                <w:shd w:val="solid" w:color="000000" w:fill="000000"/>
                <w:fitText w:val="272" w:id="-1168355573"/>
                <w14:textFill>
                  <w14:solidFill>
                    <w14:srgbClr w14:val="000000">
                      <w14:alpha w14:val="100000"/>
                    </w14:srgbClr>
                  </w14:solidFill>
                </w14:textFill>
              </w:rPr>
              <w:t>|</w:t>
            </w:r>
            <w:r w:rsidR="00F81C51">
              <w:rPr>
                <w:szCs w:val="20"/>
              </w:rPr>
              <w:t xml:space="preserve"> </w:t>
            </w:r>
            <w:r w:rsidR="00F81C51">
              <w:rPr>
                <w:szCs w:val="20"/>
                <w:vertAlign w:val="superscript"/>
              </w:rPr>
              <w:t>9</w:t>
            </w:r>
          </w:p>
        </w:tc>
        <w:tc>
          <w:tcPr>
            <w:tcW w:w="0" w:type="auto"/>
            <w:vAlign w:val="center"/>
          </w:tcPr>
          <w:p w14:paraId="3E5C20B0" w14:textId="07A67D70"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72"/>
                <w14:textFill>
                  <w14:solidFill>
                    <w14:srgbClr w14:val="000000">
                      <w14:alpha w14:val="100000"/>
                    </w14:srgbClr>
                  </w14:solidFill>
                </w14:textFill>
              </w:rPr>
              <w:t>|</w:t>
            </w:r>
            <w:r w:rsidRPr="00740926">
              <w:rPr>
                <w:color w:val="000000"/>
                <w:spacing w:val="1"/>
                <w:szCs w:val="20"/>
                <w:shd w:val="solid" w:color="000000" w:fill="000000"/>
                <w:fitText w:val="272" w:id="-1168355572"/>
                <w14:textFill>
                  <w14:solidFill>
                    <w14:srgbClr w14:val="000000">
                      <w14:alpha w14:val="100000"/>
                    </w14:srgbClr>
                  </w14:solidFill>
                </w14:textFill>
              </w:rPr>
              <w:t>|</w:t>
            </w:r>
            <w:r w:rsidR="00F81C51">
              <w:rPr>
                <w:szCs w:val="20"/>
              </w:rPr>
              <w:t xml:space="preserve"> </w:t>
            </w:r>
            <w:r w:rsidR="00F81C51">
              <w:rPr>
                <w:szCs w:val="20"/>
                <w:vertAlign w:val="superscript"/>
              </w:rPr>
              <w:t>9</w:t>
            </w:r>
          </w:p>
        </w:tc>
        <w:tc>
          <w:tcPr>
            <w:tcW w:w="0" w:type="auto"/>
            <w:vAlign w:val="center"/>
          </w:tcPr>
          <w:p w14:paraId="6F5ED368" w14:textId="224CB45D"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71"/>
                <w14:textFill>
                  <w14:solidFill>
                    <w14:srgbClr w14:val="000000">
                      <w14:alpha w14:val="100000"/>
                    </w14:srgbClr>
                  </w14:solidFill>
                </w14:textFill>
              </w:rPr>
              <w:t>|</w:t>
            </w:r>
            <w:r w:rsidRPr="00740926">
              <w:rPr>
                <w:color w:val="000000"/>
                <w:spacing w:val="1"/>
                <w:szCs w:val="20"/>
                <w:shd w:val="solid" w:color="000000" w:fill="000000"/>
                <w:fitText w:val="272" w:id="-1168355571"/>
                <w14:textFill>
                  <w14:solidFill>
                    <w14:srgbClr w14:val="000000">
                      <w14:alpha w14:val="100000"/>
                    </w14:srgbClr>
                  </w14:solidFill>
                </w14:textFill>
              </w:rPr>
              <w:t>|</w:t>
            </w:r>
            <w:r w:rsidR="00F81C51">
              <w:rPr>
                <w:szCs w:val="20"/>
              </w:rPr>
              <w:t xml:space="preserve"> </w:t>
            </w:r>
            <w:r w:rsidR="00F81C51">
              <w:rPr>
                <w:szCs w:val="20"/>
                <w:vertAlign w:val="superscript"/>
              </w:rPr>
              <w:t>9</w:t>
            </w:r>
          </w:p>
        </w:tc>
        <w:tc>
          <w:tcPr>
            <w:tcW w:w="0" w:type="auto"/>
            <w:vAlign w:val="center"/>
          </w:tcPr>
          <w:p w14:paraId="23E123F6" w14:textId="03F475A6"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70"/>
                <w14:textFill>
                  <w14:solidFill>
                    <w14:srgbClr w14:val="000000">
                      <w14:alpha w14:val="100000"/>
                    </w14:srgbClr>
                  </w14:solidFill>
                </w14:textFill>
              </w:rPr>
              <w:t>|</w:t>
            </w:r>
            <w:r w:rsidRPr="00740926">
              <w:rPr>
                <w:color w:val="000000"/>
                <w:spacing w:val="1"/>
                <w:szCs w:val="20"/>
                <w:shd w:val="solid" w:color="000000" w:fill="000000"/>
                <w:fitText w:val="272" w:id="-1168355570"/>
                <w14:textFill>
                  <w14:solidFill>
                    <w14:srgbClr w14:val="000000">
                      <w14:alpha w14:val="100000"/>
                    </w14:srgbClr>
                  </w14:solidFill>
                </w14:textFill>
              </w:rPr>
              <w:t>|</w:t>
            </w:r>
            <w:r w:rsidR="00F81C51">
              <w:rPr>
                <w:szCs w:val="20"/>
              </w:rPr>
              <w:t xml:space="preserve"> </w:t>
            </w:r>
            <w:r w:rsidR="00F81C51">
              <w:rPr>
                <w:szCs w:val="20"/>
                <w:vertAlign w:val="superscript"/>
              </w:rPr>
              <w:t>9</w:t>
            </w:r>
          </w:p>
        </w:tc>
        <w:tc>
          <w:tcPr>
            <w:tcW w:w="0" w:type="auto"/>
            <w:vAlign w:val="center"/>
          </w:tcPr>
          <w:p w14:paraId="0F2D4C7E" w14:textId="65F12A34"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69"/>
                <w14:textFill>
                  <w14:solidFill>
                    <w14:srgbClr w14:val="000000">
                      <w14:alpha w14:val="100000"/>
                    </w14:srgbClr>
                  </w14:solidFill>
                </w14:textFill>
              </w:rPr>
              <w:t>|</w:t>
            </w:r>
            <w:r w:rsidRPr="00740926">
              <w:rPr>
                <w:color w:val="000000"/>
                <w:spacing w:val="1"/>
                <w:szCs w:val="20"/>
                <w:shd w:val="solid" w:color="000000" w:fill="000000"/>
                <w:fitText w:val="272" w:id="-1168355569"/>
                <w14:textFill>
                  <w14:solidFill>
                    <w14:srgbClr w14:val="000000">
                      <w14:alpha w14:val="100000"/>
                    </w14:srgbClr>
                  </w14:solidFill>
                </w14:textFill>
              </w:rPr>
              <w:t>|</w:t>
            </w:r>
            <w:r w:rsidR="00F81C51">
              <w:rPr>
                <w:szCs w:val="20"/>
              </w:rPr>
              <w:t xml:space="preserve"> </w:t>
            </w:r>
            <w:r w:rsidR="00F81C51">
              <w:rPr>
                <w:szCs w:val="20"/>
                <w:vertAlign w:val="superscript"/>
              </w:rPr>
              <w:t>9</w:t>
            </w:r>
          </w:p>
        </w:tc>
        <w:tc>
          <w:tcPr>
            <w:tcW w:w="0" w:type="auto"/>
            <w:vAlign w:val="center"/>
          </w:tcPr>
          <w:p w14:paraId="57DC331F" w14:textId="02ADCF1C" w:rsidR="00BF547B" w:rsidRPr="00912F81" w:rsidRDefault="00740926" w:rsidP="00AC3B28">
            <w:pPr>
              <w:pStyle w:val="PBACTabletext0"/>
              <w:keepLines w:val="0"/>
              <w:widowControl w:val="0"/>
              <w:spacing w:after="0"/>
              <w:jc w:val="center"/>
              <w:rPr>
                <w:szCs w:val="20"/>
              </w:rPr>
            </w:pPr>
            <w:r w:rsidRPr="00740926">
              <w:rPr>
                <w:color w:val="000000"/>
                <w:spacing w:val="186"/>
                <w:szCs w:val="20"/>
                <w:shd w:val="solid" w:color="000000" w:fill="000000"/>
                <w:fitText w:val="272" w:id="-1168355568"/>
                <w14:textFill>
                  <w14:solidFill>
                    <w14:srgbClr w14:val="000000">
                      <w14:alpha w14:val="100000"/>
                    </w14:srgbClr>
                  </w14:solidFill>
                </w14:textFill>
              </w:rPr>
              <w:t>|</w:t>
            </w:r>
            <w:r w:rsidRPr="00740926">
              <w:rPr>
                <w:color w:val="000000"/>
                <w:spacing w:val="1"/>
                <w:szCs w:val="20"/>
                <w:shd w:val="solid" w:color="000000" w:fill="000000"/>
                <w:fitText w:val="272" w:id="-1168355568"/>
                <w14:textFill>
                  <w14:solidFill>
                    <w14:srgbClr w14:val="000000">
                      <w14:alpha w14:val="100000"/>
                    </w14:srgbClr>
                  </w14:solidFill>
                </w14:textFill>
              </w:rPr>
              <w:t>|</w:t>
            </w:r>
            <w:r w:rsidR="00F81C51">
              <w:rPr>
                <w:szCs w:val="20"/>
              </w:rPr>
              <w:t xml:space="preserve"> </w:t>
            </w:r>
            <w:r w:rsidR="00F81C51">
              <w:rPr>
                <w:szCs w:val="20"/>
                <w:vertAlign w:val="superscript"/>
              </w:rPr>
              <w:t>9</w:t>
            </w:r>
          </w:p>
        </w:tc>
      </w:tr>
      <w:tr w:rsidR="00F81C51" w:rsidRPr="00912F81" w14:paraId="201758D0" w14:textId="77777777" w:rsidTr="00F81C51">
        <w:tc>
          <w:tcPr>
            <w:tcW w:w="0" w:type="auto"/>
          </w:tcPr>
          <w:p w14:paraId="25B3CF64" w14:textId="77777777" w:rsidR="00BF547B" w:rsidRPr="00912F81" w:rsidRDefault="00BF547B" w:rsidP="00AC3B28">
            <w:pPr>
              <w:pStyle w:val="PBACTabletext0"/>
              <w:keepLines w:val="0"/>
              <w:widowControl w:val="0"/>
              <w:spacing w:after="0"/>
              <w:rPr>
                <w:szCs w:val="20"/>
              </w:rPr>
            </w:pPr>
            <w:r w:rsidRPr="00912F81">
              <w:rPr>
                <w:szCs w:val="20"/>
              </w:rPr>
              <w:t>With loading dose removed for year 1 switch patients</w:t>
            </w:r>
          </w:p>
        </w:tc>
        <w:tc>
          <w:tcPr>
            <w:tcW w:w="0" w:type="auto"/>
            <w:vAlign w:val="center"/>
          </w:tcPr>
          <w:p w14:paraId="7E2806EA" w14:textId="12444931" w:rsidR="00BF547B" w:rsidRPr="00912F81" w:rsidRDefault="00740926" w:rsidP="00AC3B28">
            <w:pPr>
              <w:pStyle w:val="PBACTabletext0"/>
              <w:keepLines w:val="0"/>
              <w:widowControl w:val="0"/>
              <w:spacing w:after="0"/>
              <w:jc w:val="center"/>
              <w:rPr>
                <w:b/>
                <w:bCs/>
                <w:szCs w:val="20"/>
              </w:rPr>
            </w:pPr>
            <w:r w:rsidRPr="00740926">
              <w:rPr>
                <w:b/>
                <w:bCs/>
                <w:color w:val="000000"/>
                <w:spacing w:val="47"/>
                <w:szCs w:val="20"/>
                <w:shd w:val="solid" w:color="000000" w:fill="000000"/>
                <w:fitText w:val="326" w:id="-1168355584"/>
                <w14:textFill>
                  <w14:solidFill>
                    <w14:srgbClr w14:val="000000">
                      <w14:alpha w14:val="100000"/>
                    </w14:srgbClr>
                  </w14:solidFill>
                </w14:textFill>
              </w:rPr>
              <w:t>|||</w:t>
            </w:r>
            <w:r w:rsidRPr="00740926">
              <w:rPr>
                <w:b/>
                <w:bCs/>
                <w:color w:val="000000"/>
                <w:spacing w:val="2"/>
                <w:szCs w:val="20"/>
                <w:shd w:val="solid" w:color="000000" w:fill="000000"/>
                <w:fitText w:val="326" w:id="-1168355584"/>
                <w14:textFill>
                  <w14:solidFill>
                    <w14:srgbClr w14:val="000000">
                      <w14:alpha w14:val="100000"/>
                    </w14:srgbClr>
                  </w14:solidFill>
                </w14:textFill>
              </w:rPr>
              <w:t>|</w:t>
            </w:r>
            <w:r w:rsidR="00F81C51">
              <w:rPr>
                <w:szCs w:val="20"/>
              </w:rPr>
              <w:t xml:space="preserve"> </w:t>
            </w:r>
            <w:r w:rsidR="00F81C51">
              <w:rPr>
                <w:szCs w:val="20"/>
                <w:vertAlign w:val="superscript"/>
              </w:rPr>
              <w:t>9</w:t>
            </w:r>
          </w:p>
        </w:tc>
        <w:tc>
          <w:tcPr>
            <w:tcW w:w="0" w:type="auto"/>
            <w:vAlign w:val="center"/>
          </w:tcPr>
          <w:p w14:paraId="609E4C2C" w14:textId="34FCED69" w:rsidR="00BF547B" w:rsidRPr="00912F81" w:rsidRDefault="00740926" w:rsidP="00AC3B28">
            <w:pPr>
              <w:pStyle w:val="PBACTabletext0"/>
              <w:keepLines w:val="0"/>
              <w:widowControl w:val="0"/>
              <w:spacing w:after="0"/>
              <w:jc w:val="center"/>
              <w:rPr>
                <w:b/>
                <w:bCs/>
                <w:szCs w:val="20"/>
              </w:rPr>
            </w:pPr>
            <w:r w:rsidRPr="00740926">
              <w:rPr>
                <w:b/>
                <w:bCs/>
                <w:color w:val="000000"/>
                <w:spacing w:val="47"/>
                <w:szCs w:val="20"/>
                <w:shd w:val="solid" w:color="000000" w:fill="000000"/>
                <w:fitText w:val="327" w:id="-1168355583"/>
                <w14:textFill>
                  <w14:solidFill>
                    <w14:srgbClr w14:val="000000">
                      <w14:alpha w14:val="100000"/>
                    </w14:srgbClr>
                  </w14:solidFill>
                </w14:textFill>
              </w:rPr>
              <w:t>|||</w:t>
            </w:r>
            <w:r w:rsidRPr="00740926">
              <w:rPr>
                <w:b/>
                <w:bCs/>
                <w:color w:val="000000"/>
                <w:spacing w:val="3"/>
                <w:szCs w:val="20"/>
                <w:shd w:val="solid" w:color="000000" w:fill="000000"/>
                <w:fitText w:val="327" w:id="-1168355583"/>
                <w14:textFill>
                  <w14:solidFill>
                    <w14:srgbClr w14:val="000000">
                      <w14:alpha w14:val="100000"/>
                    </w14:srgbClr>
                  </w14:solidFill>
                </w14:textFill>
              </w:rPr>
              <w:t>|</w:t>
            </w:r>
            <w:r w:rsidR="00F81C51">
              <w:rPr>
                <w:szCs w:val="20"/>
              </w:rPr>
              <w:t xml:space="preserve"> </w:t>
            </w:r>
            <w:r w:rsidR="00F81C51">
              <w:rPr>
                <w:szCs w:val="20"/>
                <w:vertAlign w:val="superscript"/>
              </w:rPr>
              <w:t>9</w:t>
            </w:r>
          </w:p>
        </w:tc>
        <w:tc>
          <w:tcPr>
            <w:tcW w:w="0" w:type="auto"/>
            <w:vAlign w:val="center"/>
          </w:tcPr>
          <w:p w14:paraId="33DD15EB" w14:textId="50A44AC1" w:rsidR="00BF547B" w:rsidRPr="00912F81" w:rsidRDefault="00740926" w:rsidP="00AC3B28">
            <w:pPr>
              <w:pStyle w:val="PBACTabletext0"/>
              <w:keepLines w:val="0"/>
              <w:widowControl w:val="0"/>
              <w:spacing w:after="0"/>
              <w:jc w:val="center"/>
              <w:rPr>
                <w:b/>
                <w:bCs/>
                <w:szCs w:val="20"/>
              </w:rPr>
            </w:pPr>
            <w:r w:rsidRPr="00740926">
              <w:rPr>
                <w:b/>
                <w:bCs/>
                <w:color w:val="000000"/>
                <w:spacing w:val="47"/>
                <w:szCs w:val="20"/>
                <w:shd w:val="solid" w:color="000000" w:fill="000000"/>
                <w:fitText w:val="326" w:id="-1168355582"/>
                <w14:textFill>
                  <w14:solidFill>
                    <w14:srgbClr w14:val="000000">
                      <w14:alpha w14:val="100000"/>
                    </w14:srgbClr>
                  </w14:solidFill>
                </w14:textFill>
              </w:rPr>
              <w:t>|||</w:t>
            </w:r>
            <w:r w:rsidRPr="00740926">
              <w:rPr>
                <w:b/>
                <w:bCs/>
                <w:color w:val="000000"/>
                <w:spacing w:val="2"/>
                <w:szCs w:val="20"/>
                <w:shd w:val="solid" w:color="000000" w:fill="000000"/>
                <w:fitText w:val="326" w:id="-1168355582"/>
                <w14:textFill>
                  <w14:solidFill>
                    <w14:srgbClr w14:val="000000">
                      <w14:alpha w14:val="100000"/>
                    </w14:srgbClr>
                  </w14:solidFill>
                </w14:textFill>
              </w:rPr>
              <w:t>|</w:t>
            </w:r>
            <w:r w:rsidR="00F81C51">
              <w:rPr>
                <w:szCs w:val="20"/>
              </w:rPr>
              <w:t xml:space="preserve"> </w:t>
            </w:r>
            <w:r w:rsidR="00F81C51">
              <w:rPr>
                <w:szCs w:val="20"/>
                <w:vertAlign w:val="superscript"/>
              </w:rPr>
              <w:t>9</w:t>
            </w:r>
          </w:p>
        </w:tc>
        <w:tc>
          <w:tcPr>
            <w:tcW w:w="0" w:type="auto"/>
            <w:vAlign w:val="center"/>
          </w:tcPr>
          <w:p w14:paraId="439E9B5B" w14:textId="4F34A1D7" w:rsidR="00BF547B" w:rsidRPr="00912F81" w:rsidRDefault="00740926" w:rsidP="00AC3B28">
            <w:pPr>
              <w:pStyle w:val="PBACTabletext0"/>
              <w:keepLines w:val="0"/>
              <w:widowControl w:val="0"/>
              <w:spacing w:after="0"/>
              <w:jc w:val="center"/>
              <w:rPr>
                <w:b/>
                <w:bCs/>
                <w:szCs w:val="20"/>
              </w:rPr>
            </w:pPr>
            <w:r w:rsidRPr="00740926">
              <w:rPr>
                <w:b/>
                <w:bCs/>
                <w:color w:val="000000"/>
                <w:spacing w:val="47"/>
                <w:szCs w:val="20"/>
                <w:shd w:val="solid" w:color="000000" w:fill="000000"/>
                <w:fitText w:val="326" w:id="-1168355581"/>
                <w14:textFill>
                  <w14:solidFill>
                    <w14:srgbClr w14:val="000000">
                      <w14:alpha w14:val="100000"/>
                    </w14:srgbClr>
                  </w14:solidFill>
                </w14:textFill>
              </w:rPr>
              <w:t>|||</w:t>
            </w:r>
            <w:r w:rsidRPr="00740926">
              <w:rPr>
                <w:b/>
                <w:bCs/>
                <w:color w:val="000000"/>
                <w:spacing w:val="2"/>
                <w:szCs w:val="20"/>
                <w:shd w:val="solid" w:color="000000" w:fill="000000"/>
                <w:fitText w:val="326" w:id="-1168355581"/>
                <w14:textFill>
                  <w14:solidFill>
                    <w14:srgbClr w14:val="000000">
                      <w14:alpha w14:val="100000"/>
                    </w14:srgbClr>
                  </w14:solidFill>
                </w14:textFill>
              </w:rPr>
              <w:t>|</w:t>
            </w:r>
            <w:r w:rsidR="00F81C51">
              <w:rPr>
                <w:szCs w:val="20"/>
              </w:rPr>
              <w:t xml:space="preserve"> </w:t>
            </w:r>
            <w:r w:rsidR="00F81C51">
              <w:rPr>
                <w:szCs w:val="20"/>
                <w:vertAlign w:val="superscript"/>
              </w:rPr>
              <w:t>9</w:t>
            </w:r>
          </w:p>
        </w:tc>
        <w:tc>
          <w:tcPr>
            <w:tcW w:w="0" w:type="auto"/>
            <w:vAlign w:val="center"/>
          </w:tcPr>
          <w:p w14:paraId="36BADABC" w14:textId="2398AB45" w:rsidR="00BF547B" w:rsidRPr="00912F81" w:rsidRDefault="00740926" w:rsidP="00AC3B28">
            <w:pPr>
              <w:pStyle w:val="PBACTabletext0"/>
              <w:keepLines w:val="0"/>
              <w:widowControl w:val="0"/>
              <w:spacing w:after="0"/>
              <w:jc w:val="center"/>
              <w:rPr>
                <w:b/>
                <w:bCs/>
                <w:szCs w:val="20"/>
              </w:rPr>
            </w:pPr>
            <w:r w:rsidRPr="00740926">
              <w:rPr>
                <w:b/>
                <w:bCs/>
                <w:color w:val="000000"/>
                <w:spacing w:val="47"/>
                <w:szCs w:val="20"/>
                <w:shd w:val="solid" w:color="000000" w:fill="000000"/>
                <w:fitText w:val="326" w:id="-1168355580"/>
                <w14:textFill>
                  <w14:solidFill>
                    <w14:srgbClr w14:val="000000">
                      <w14:alpha w14:val="100000"/>
                    </w14:srgbClr>
                  </w14:solidFill>
                </w14:textFill>
              </w:rPr>
              <w:t>|||</w:t>
            </w:r>
            <w:r w:rsidRPr="00740926">
              <w:rPr>
                <w:b/>
                <w:bCs/>
                <w:color w:val="000000"/>
                <w:spacing w:val="2"/>
                <w:szCs w:val="20"/>
                <w:shd w:val="solid" w:color="000000" w:fill="000000"/>
                <w:fitText w:val="326" w:id="-1168355580"/>
                <w14:textFill>
                  <w14:solidFill>
                    <w14:srgbClr w14:val="000000">
                      <w14:alpha w14:val="100000"/>
                    </w14:srgbClr>
                  </w14:solidFill>
                </w14:textFill>
              </w:rPr>
              <w:t>|</w:t>
            </w:r>
            <w:r w:rsidR="00F81C51">
              <w:rPr>
                <w:szCs w:val="20"/>
              </w:rPr>
              <w:t xml:space="preserve"> </w:t>
            </w:r>
            <w:r w:rsidR="00F81C51">
              <w:rPr>
                <w:szCs w:val="20"/>
                <w:vertAlign w:val="superscript"/>
              </w:rPr>
              <w:t>9</w:t>
            </w:r>
          </w:p>
        </w:tc>
        <w:tc>
          <w:tcPr>
            <w:tcW w:w="0" w:type="auto"/>
            <w:vAlign w:val="center"/>
          </w:tcPr>
          <w:p w14:paraId="39662E9F" w14:textId="6D072CAE" w:rsidR="00BF547B" w:rsidRPr="00912F81" w:rsidRDefault="00740926" w:rsidP="00AC3B28">
            <w:pPr>
              <w:pStyle w:val="PBACTabletext0"/>
              <w:keepLines w:val="0"/>
              <w:widowControl w:val="0"/>
              <w:spacing w:after="0"/>
              <w:jc w:val="center"/>
              <w:rPr>
                <w:b/>
                <w:bCs/>
                <w:szCs w:val="20"/>
              </w:rPr>
            </w:pPr>
            <w:r w:rsidRPr="00740926">
              <w:rPr>
                <w:b/>
                <w:bCs/>
                <w:color w:val="000000"/>
                <w:spacing w:val="47"/>
                <w:szCs w:val="20"/>
                <w:shd w:val="solid" w:color="000000" w:fill="000000"/>
                <w:fitText w:val="326" w:id="-1168355579"/>
                <w14:textFill>
                  <w14:solidFill>
                    <w14:srgbClr w14:val="000000">
                      <w14:alpha w14:val="100000"/>
                    </w14:srgbClr>
                  </w14:solidFill>
                </w14:textFill>
              </w:rPr>
              <w:t>|||</w:t>
            </w:r>
            <w:r w:rsidRPr="00740926">
              <w:rPr>
                <w:b/>
                <w:bCs/>
                <w:color w:val="000000"/>
                <w:spacing w:val="2"/>
                <w:szCs w:val="20"/>
                <w:shd w:val="solid" w:color="000000" w:fill="000000"/>
                <w:fitText w:val="326" w:id="-1168355579"/>
                <w14:textFill>
                  <w14:solidFill>
                    <w14:srgbClr w14:val="000000">
                      <w14:alpha w14:val="100000"/>
                    </w14:srgbClr>
                  </w14:solidFill>
                </w14:textFill>
              </w:rPr>
              <w:t>|</w:t>
            </w:r>
            <w:r w:rsidR="00F81C51">
              <w:rPr>
                <w:szCs w:val="20"/>
              </w:rPr>
              <w:t xml:space="preserve"> </w:t>
            </w:r>
            <w:r w:rsidR="00F81C51">
              <w:rPr>
                <w:szCs w:val="20"/>
                <w:vertAlign w:val="superscript"/>
              </w:rPr>
              <w:t>9</w:t>
            </w:r>
          </w:p>
        </w:tc>
      </w:tr>
      <w:tr w:rsidR="00BF547B" w:rsidRPr="00912F81" w14:paraId="1704E289" w14:textId="77777777" w:rsidTr="00F81C51">
        <w:tc>
          <w:tcPr>
            <w:tcW w:w="0" w:type="auto"/>
            <w:gridSpan w:val="7"/>
            <w:shd w:val="clear" w:color="auto" w:fill="D9D9D9" w:themeFill="background1" w:themeFillShade="D9"/>
          </w:tcPr>
          <w:p w14:paraId="3AB6EF3E" w14:textId="77777777" w:rsidR="00BF547B" w:rsidRPr="00912F81" w:rsidRDefault="00BF547B" w:rsidP="00AC3B28">
            <w:pPr>
              <w:pStyle w:val="PBACTabletext0"/>
              <w:keepLines w:val="0"/>
              <w:widowControl w:val="0"/>
              <w:spacing w:after="0"/>
              <w:rPr>
                <w:b/>
                <w:bCs/>
                <w:szCs w:val="20"/>
              </w:rPr>
            </w:pPr>
            <w:r w:rsidRPr="00912F81">
              <w:rPr>
                <w:b/>
                <w:bCs/>
                <w:szCs w:val="20"/>
              </w:rPr>
              <w:t>Financial estimates from the March 2023 PBAC consideration</w:t>
            </w:r>
          </w:p>
        </w:tc>
      </w:tr>
      <w:tr w:rsidR="00F81C51" w:rsidRPr="00912F81" w14:paraId="6657220F" w14:textId="77777777" w:rsidTr="00F81C51">
        <w:tc>
          <w:tcPr>
            <w:tcW w:w="0" w:type="auto"/>
          </w:tcPr>
          <w:p w14:paraId="31736069" w14:textId="77777777" w:rsidR="00BF547B" w:rsidRPr="00912F81" w:rsidRDefault="00BF547B" w:rsidP="00AC3B28">
            <w:pPr>
              <w:pStyle w:val="PBACTabletext0"/>
              <w:keepLines w:val="0"/>
              <w:widowControl w:val="0"/>
              <w:spacing w:after="0"/>
              <w:rPr>
                <w:bCs/>
                <w:szCs w:val="20"/>
              </w:rPr>
            </w:pPr>
            <w:r w:rsidRPr="00912F81">
              <w:rPr>
                <w:szCs w:val="20"/>
              </w:rPr>
              <w:t>Number of incident and prevalent patients treated</w:t>
            </w:r>
          </w:p>
        </w:tc>
        <w:tc>
          <w:tcPr>
            <w:tcW w:w="0" w:type="auto"/>
            <w:vAlign w:val="center"/>
          </w:tcPr>
          <w:p w14:paraId="3246704A" w14:textId="6F53BA73" w:rsidR="00BF547B" w:rsidRPr="00912F81" w:rsidRDefault="00740926" w:rsidP="00AC3B28">
            <w:pPr>
              <w:pStyle w:val="PBACTabletext0"/>
              <w:keepLines w:val="0"/>
              <w:widowControl w:val="0"/>
              <w:spacing w:after="0"/>
              <w:jc w:val="center"/>
              <w:rPr>
                <w:b/>
                <w:szCs w:val="20"/>
              </w:rPr>
            </w:pPr>
            <w:r w:rsidRPr="00740926">
              <w:rPr>
                <w:color w:val="000000"/>
                <w:spacing w:val="186"/>
                <w:szCs w:val="20"/>
                <w:shd w:val="solid" w:color="000000" w:fill="000000"/>
                <w:fitText w:val="272" w:id="-1168355578"/>
                <w14:textFill>
                  <w14:solidFill>
                    <w14:srgbClr w14:val="000000">
                      <w14:alpha w14:val="100000"/>
                    </w14:srgbClr>
                  </w14:solidFill>
                </w14:textFill>
              </w:rPr>
              <w:t>|</w:t>
            </w:r>
            <w:r w:rsidRPr="00740926">
              <w:rPr>
                <w:color w:val="000000"/>
                <w:spacing w:val="1"/>
                <w:szCs w:val="20"/>
                <w:shd w:val="solid" w:color="000000" w:fill="000000"/>
                <w:fitText w:val="272" w:id="-1168355578"/>
                <w14:textFill>
                  <w14:solidFill>
                    <w14:srgbClr w14:val="000000">
                      <w14:alpha w14:val="100000"/>
                    </w14:srgbClr>
                  </w14:solidFill>
                </w14:textFill>
              </w:rPr>
              <w:t>|</w:t>
            </w:r>
            <w:r w:rsidR="00F81C51">
              <w:rPr>
                <w:szCs w:val="20"/>
              </w:rPr>
              <w:t xml:space="preserve"> </w:t>
            </w:r>
            <w:r w:rsidR="00F81C51" w:rsidRPr="00F81C51">
              <w:rPr>
                <w:szCs w:val="20"/>
                <w:vertAlign w:val="superscript"/>
              </w:rPr>
              <w:t>1</w:t>
            </w:r>
          </w:p>
        </w:tc>
        <w:tc>
          <w:tcPr>
            <w:tcW w:w="0" w:type="auto"/>
            <w:vAlign w:val="center"/>
          </w:tcPr>
          <w:p w14:paraId="534EA00C" w14:textId="7876D749" w:rsidR="00BF547B" w:rsidRPr="00912F81" w:rsidRDefault="00740926" w:rsidP="00AC3B28">
            <w:pPr>
              <w:pStyle w:val="PBACTabletext0"/>
              <w:keepLines w:val="0"/>
              <w:widowControl w:val="0"/>
              <w:spacing w:after="0"/>
              <w:jc w:val="center"/>
              <w:rPr>
                <w:b/>
                <w:szCs w:val="20"/>
              </w:rPr>
            </w:pPr>
            <w:r w:rsidRPr="00740926">
              <w:rPr>
                <w:color w:val="000000"/>
                <w:spacing w:val="186"/>
                <w:szCs w:val="20"/>
                <w:shd w:val="solid" w:color="000000" w:fill="000000"/>
                <w:fitText w:val="272" w:id="-1168355577"/>
                <w14:textFill>
                  <w14:solidFill>
                    <w14:srgbClr w14:val="000000">
                      <w14:alpha w14:val="100000"/>
                    </w14:srgbClr>
                  </w14:solidFill>
                </w14:textFill>
              </w:rPr>
              <w:t>|</w:t>
            </w:r>
            <w:r w:rsidRPr="00740926">
              <w:rPr>
                <w:color w:val="000000"/>
                <w:spacing w:val="1"/>
                <w:szCs w:val="20"/>
                <w:shd w:val="solid" w:color="000000" w:fill="000000"/>
                <w:fitText w:val="272" w:id="-1168355577"/>
                <w14:textFill>
                  <w14:solidFill>
                    <w14:srgbClr w14:val="000000">
                      <w14:alpha w14:val="100000"/>
                    </w14:srgbClr>
                  </w14:solidFill>
                </w14:textFill>
              </w:rPr>
              <w:t>|</w:t>
            </w:r>
            <w:r w:rsidR="00F81C51">
              <w:rPr>
                <w:szCs w:val="20"/>
              </w:rPr>
              <w:t xml:space="preserve"> </w:t>
            </w:r>
            <w:r w:rsidR="00F81C51" w:rsidRPr="00F81C51">
              <w:rPr>
                <w:szCs w:val="20"/>
                <w:vertAlign w:val="superscript"/>
              </w:rPr>
              <w:t>1</w:t>
            </w:r>
          </w:p>
        </w:tc>
        <w:tc>
          <w:tcPr>
            <w:tcW w:w="0" w:type="auto"/>
            <w:vAlign w:val="center"/>
          </w:tcPr>
          <w:p w14:paraId="0A5ECC0C" w14:textId="6370FC5C" w:rsidR="00BF547B" w:rsidRPr="00912F81" w:rsidRDefault="00740926" w:rsidP="00AC3B28">
            <w:pPr>
              <w:pStyle w:val="PBACTabletext0"/>
              <w:keepLines w:val="0"/>
              <w:widowControl w:val="0"/>
              <w:spacing w:after="0"/>
              <w:jc w:val="center"/>
              <w:rPr>
                <w:b/>
                <w:szCs w:val="20"/>
              </w:rPr>
            </w:pPr>
            <w:r w:rsidRPr="00740926">
              <w:rPr>
                <w:color w:val="000000"/>
                <w:spacing w:val="186"/>
                <w:szCs w:val="20"/>
                <w:shd w:val="solid" w:color="000000" w:fill="000000"/>
                <w:fitText w:val="272" w:id="-1168355576"/>
                <w14:textFill>
                  <w14:solidFill>
                    <w14:srgbClr w14:val="000000">
                      <w14:alpha w14:val="100000"/>
                    </w14:srgbClr>
                  </w14:solidFill>
                </w14:textFill>
              </w:rPr>
              <w:t>|</w:t>
            </w:r>
            <w:r w:rsidRPr="00740926">
              <w:rPr>
                <w:color w:val="000000"/>
                <w:spacing w:val="1"/>
                <w:szCs w:val="20"/>
                <w:shd w:val="solid" w:color="000000" w:fill="000000"/>
                <w:fitText w:val="272" w:id="-1168355576"/>
                <w14:textFill>
                  <w14:solidFill>
                    <w14:srgbClr w14:val="000000">
                      <w14:alpha w14:val="100000"/>
                    </w14:srgbClr>
                  </w14:solidFill>
                </w14:textFill>
              </w:rPr>
              <w:t>|</w:t>
            </w:r>
            <w:r w:rsidR="00F81C51">
              <w:rPr>
                <w:szCs w:val="20"/>
              </w:rPr>
              <w:t xml:space="preserve"> </w:t>
            </w:r>
            <w:r w:rsidR="00F81C51" w:rsidRPr="00F81C51">
              <w:rPr>
                <w:szCs w:val="20"/>
                <w:vertAlign w:val="superscript"/>
              </w:rPr>
              <w:t>1</w:t>
            </w:r>
          </w:p>
        </w:tc>
        <w:tc>
          <w:tcPr>
            <w:tcW w:w="0" w:type="auto"/>
            <w:vAlign w:val="center"/>
          </w:tcPr>
          <w:p w14:paraId="71C69A1C" w14:textId="4A5C4D7F" w:rsidR="00BF547B" w:rsidRPr="00912F81" w:rsidRDefault="00740926" w:rsidP="00AC3B28">
            <w:pPr>
              <w:pStyle w:val="PBACTabletext0"/>
              <w:keepLines w:val="0"/>
              <w:widowControl w:val="0"/>
              <w:spacing w:after="0"/>
              <w:jc w:val="center"/>
              <w:rPr>
                <w:b/>
                <w:szCs w:val="20"/>
              </w:rPr>
            </w:pPr>
            <w:r w:rsidRPr="00740926">
              <w:rPr>
                <w:color w:val="000000"/>
                <w:spacing w:val="186"/>
                <w:szCs w:val="20"/>
                <w:shd w:val="solid" w:color="000000" w:fill="000000"/>
                <w:fitText w:val="272" w:id="-1168355575"/>
                <w14:textFill>
                  <w14:solidFill>
                    <w14:srgbClr w14:val="000000">
                      <w14:alpha w14:val="100000"/>
                    </w14:srgbClr>
                  </w14:solidFill>
                </w14:textFill>
              </w:rPr>
              <w:t>|</w:t>
            </w:r>
            <w:r w:rsidRPr="00740926">
              <w:rPr>
                <w:color w:val="000000"/>
                <w:spacing w:val="1"/>
                <w:szCs w:val="20"/>
                <w:shd w:val="solid" w:color="000000" w:fill="000000"/>
                <w:fitText w:val="272" w:id="-1168355575"/>
                <w14:textFill>
                  <w14:solidFill>
                    <w14:srgbClr w14:val="000000">
                      <w14:alpha w14:val="100000"/>
                    </w14:srgbClr>
                  </w14:solidFill>
                </w14:textFill>
              </w:rPr>
              <w:t>|</w:t>
            </w:r>
            <w:r w:rsidR="00F81C51">
              <w:rPr>
                <w:szCs w:val="20"/>
              </w:rPr>
              <w:t xml:space="preserve"> </w:t>
            </w:r>
            <w:r w:rsidR="00F81C51" w:rsidRPr="00F81C51">
              <w:rPr>
                <w:szCs w:val="20"/>
                <w:vertAlign w:val="superscript"/>
              </w:rPr>
              <w:t>1</w:t>
            </w:r>
          </w:p>
        </w:tc>
        <w:tc>
          <w:tcPr>
            <w:tcW w:w="0" w:type="auto"/>
            <w:vAlign w:val="center"/>
          </w:tcPr>
          <w:p w14:paraId="6B131563" w14:textId="418B9AE9" w:rsidR="00BF547B" w:rsidRPr="00912F81" w:rsidRDefault="00740926" w:rsidP="00AC3B28">
            <w:pPr>
              <w:pStyle w:val="PBACTabletext0"/>
              <w:keepLines w:val="0"/>
              <w:widowControl w:val="0"/>
              <w:spacing w:after="0"/>
              <w:jc w:val="center"/>
              <w:rPr>
                <w:b/>
                <w:szCs w:val="20"/>
              </w:rPr>
            </w:pPr>
            <w:r w:rsidRPr="00740926">
              <w:rPr>
                <w:color w:val="000000"/>
                <w:spacing w:val="186"/>
                <w:szCs w:val="20"/>
                <w:shd w:val="solid" w:color="000000" w:fill="000000"/>
                <w:fitText w:val="272" w:id="-1168355574"/>
                <w14:textFill>
                  <w14:solidFill>
                    <w14:srgbClr w14:val="000000">
                      <w14:alpha w14:val="100000"/>
                    </w14:srgbClr>
                  </w14:solidFill>
                </w14:textFill>
              </w:rPr>
              <w:t>|</w:t>
            </w:r>
            <w:r w:rsidRPr="00740926">
              <w:rPr>
                <w:color w:val="000000"/>
                <w:spacing w:val="1"/>
                <w:szCs w:val="20"/>
                <w:shd w:val="solid" w:color="000000" w:fill="000000"/>
                <w:fitText w:val="272" w:id="-1168355574"/>
                <w14:textFill>
                  <w14:solidFill>
                    <w14:srgbClr w14:val="000000">
                      <w14:alpha w14:val="100000"/>
                    </w14:srgbClr>
                  </w14:solidFill>
                </w14:textFill>
              </w:rPr>
              <w:t>|</w:t>
            </w:r>
            <w:r w:rsidR="00F81C51">
              <w:rPr>
                <w:szCs w:val="20"/>
              </w:rPr>
              <w:t xml:space="preserve"> </w:t>
            </w:r>
            <w:r w:rsidR="00F81C51" w:rsidRPr="00F81C51">
              <w:rPr>
                <w:szCs w:val="20"/>
                <w:vertAlign w:val="superscript"/>
              </w:rPr>
              <w:t>1</w:t>
            </w:r>
          </w:p>
        </w:tc>
        <w:tc>
          <w:tcPr>
            <w:tcW w:w="0" w:type="auto"/>
            <w:vAlign w:val="center"/>
          </w:tcPr>
          <w:p w14:paraId="5628627C" w14:textId="1374DF0B" w:rsidR="00BF547B" w:rsidRPr="00912F81" w:rsidRDefault="00740926" w:rsidP="00AC3B28">
            <w:pPr>
              <w:pStyle w:val="PBACTabletext0"/>
              <w:keepLines w:val="0"/>
              <w:widowControl w:val="0"/>
              <w:spacing w:after="0"/>
              <w:jc w:val="center"/>
              <w:rPr>
                <w:b/>
                <w:szCs w:val="20"/>
              </w:rPr>
            </w:pPr>
            <w:r w:rsidRPr="00740926">
              <w:rPr>
                <w:color w:val="000000"/>
                <w:spacing w:val="186"/>
                <w:szCs w:val="20"/>
                <w:shd w:val="solid" w:color="000000" w:fill="000000"/>
                <w:fitText w:val="272" w:id="-1168355573"/>
                <w14:textFill>
                  <w14:solidFill>
                    <w14:srgbClr w14:val="000000">
                      <w14:alpha w14:val="100000"/>
                    </w14:srgbClr>
                  </w14:solidFill>
                </w14:textFill>
              </w:rPr>
              <w:t>|</w:t>
            </w:r>
            <w:r w:rsidRPr="00740926">
              <w:rPr>
                <w:color w:val="000000"/>
                <w:spacing w:val="1"/>
                <w:szCs w:val="20"/>
                <w:shd w:val="solid" w:color="000000" w:fill="000000"/>
                <w:fitText w:val="272" w:id="-1168355573"/>
                <w14:textFill>
                  <w14:solidFill>
                    <w14:srgbClr w14:val="000000">
                      <w14:alpha w14:val="100000"/>
                    </w14:srgbClr>
                  </w14:solidFill>
                </w14:textFill>
              </w:rPr>
              <w:t>|</w:t>
            </w:r>
            <w:r w:rsidR="00F81C51">
              <w:rPr>
                <w:szCs w:val="20"/>
              </w:rPr>
              <w:t xml:space="preserve"> </w:t>
            </w:r>
            <w:r w:rsidR="00F81C51" w:rsidRPr="00F81C51">
              <w:rPr>
                <w:szCs w:val="20"/>
                <w:vertAlign w:val="superscript"/>
              </w:rPr>
              <w:t>1</w:t>
            </w:r>
          </w:p>
        </w:tc>
      </w:tr>
      <w:tr w:rsidR="00F81C51" w:rsidRPr="00912F81" w14:paraId="481F7F42" w14:textId="77777777" w:rsidTr="00F81C51">
        <w:tc>
          <w:tcPr>
            <w:tcW w:w="0" w:type="auto"/>
          </w:tcPr>
          <w:p w14:paraId="37C292AF" w14:textId="77777777" w:rsidR="00BF547B" w:rsidRPr="00912F81" w:rsidRDefault="00BF547B" w:rsidP="00AC3B28">
            <w:pPr>
              <w:pStyle w:val="PBACTabletext0"/>
              <w:keepLines w:val="0"/>
              <w:widowControl w:val="0"/>
              <w:spacing w:after="0"/>
              <w:rPr>
                <w:bCs/>
                <w:szCs w:val="20"/>
              </w:rPr>
            </w:pPr>
            <w:r w:rsidRPr="00912F81">
              <w:rPr>
                <w:bCs/>
                <w:szCs w:val="20"/>
              </w:rPr>
              <w:t>Net cost to PBS</w:t>
            </w:r>
          </w:p>
        </w:tc>
        <w:tc>
          <w:tcPr>
            <w:tcW w:w="0" w:type="auto"/>
            <w:vAlign w:val="center"/>
          </w:tcPr>
          <w:p w14:paraId="3E82195E" w14:textId="43D754B7" w:rsidR="00BF547B" w:rsidRPr="00912F81" w:rsidRDefault="00740926" w:rsidP="00AC3B28">
            <w:pPr>
              <w:pStyle w:val="PBACTabletext0"/>
              <w:keepLines w:val="0"/>
              <w:widowControl w:val="0"/>
              <w:spacing w:after="0"/>
              <w:jc w:val="center"/>
              <w:rPr>
                <w:szCs w:val="20"/>
              </w:rPr>
            </w:pPr>
            <w:r w:rsidRPr="00740926">
              <w:rPr>
                <w:b/>
                <w:color w:val="000000"/>
                <w:spacing w:val="47"/>
                <w:szCs w:val="20"/>
                <w:shd w:val="solid" w:color="000000" w:fill="000000"/>
                <w:fitText w:val="326" w:id="-1168355572"/>
                <w14:textFill>
                  <w14:solidFill>
                    <w14:srgbClr w14:val="000000">
                      <w14:alpha w14:val="100000"/>
                    </w14:srgbClr>
                  </w14:solidFill>
                </w14:textFill>
              </w:rPr>
              <w:t>|||</w:t>
            </w:r>
            <w:r w:rsidRPr="00740926">
              <w:rPr>
                <w:b/>
                <w:color w:val="000000"/>
                <w:spacing w:val="2"/>
                <w:szCs w:val="20"/>
                <w:shd w:val="solid" w:color="000000" w:fill="000000"/>
                <w:fitText w:val="326" w:id="-1168355572"/>
                <w14:textFill>
                  <w14:solidFill>
                    <w14:srgbClr w14:val="000000">
                      <w14:alpha w14:val="100000"/>
                    </w14:srgbClr>
                  </w14:solidFill>
                </w14:textFill>
              </w:rPr>
              <w:t>|</w:t>
            </w:r>
            <w:r w:rsidR="00F81C51">
              <w:rPr>
                <w:szCs w:val="20"/>
              </w:rPr>
              <w:t xml:space="preserve"> </w:t>
            </w:r>
            <w:r w:rsidR="00F81C51">
              <w:rPr>
                <w:szCs w:val="20"/>
                <w:vertAlign w:val="superscript"/>
              </w:rPr>
              <w:t>9</w:t>
            </w:r>
          </w:p>
        </w:tc>
        <w:tc>
          <w:tcPr>
            <w:tcW w:w="0" w:type="auto"/>
            <w:vAlign w:val="center"/>
          </w:tcPr>
          <w:p w14:paraId="2014042A" w14:textId="51BBC0E8" w:rsidR="00BF547B" w:rsidRPr="00912F81" w:rsidRDefault="00740926" w:rsidP="00AC3B28">
            <w:pPr>
              <w:pStyle w:val="PBACTabletext0"/>
              <w:keepLines w:val="0"/>
              <w:widowControl w:val="0"/>
              <w:spacing w:after="0"/>
              <w:jc w:val="center"/>
              <w:rPr>
                <w:szCs w:val="20"/>
              </w:rPr>
            </w:pPr>
            <w:r w:rsidRPr="00740926">
              <w:rPr>
                <w:b/>
                <w:color w:val="000000"/>
                <w:spacing w:val="47"/>
                <w:szCs w:val="20"/>
                <w:shd w:val="solid" w:color="000000" w:fill="000000"/>
                <w:fitText w:val="327" w:id="-1168355571"/>
                <w14:textFill>
                  <w14:solidFill>
                    <w14:srgbClr w14:val="000000">
                      <w14:alpha w14:val="100000"/>
                    </w14:srgbClr>
                  </w14:solidFill>
                </w14:textFill>
              </w:rPr>
              <w:t>|||</w:t>
            </w:r>
            <w:r w:rsidRPr="00740926">
              <w:rPr>
                <w:b/>
                <w:color w:val="000000"/>
                <w:spacing w:val="3"/>
                <w:szCs w:val="20"/>
                <w:shd w:val="solid" w:color="000000" w:fill="000000"/>
                <w:fitText w:val="327" w:id="-1168355571"/>
                <w14:textFill>
                  <w14:solidFill>
                    <w14:srgbClr w14:val="000000">
                      <w14:alpha w14:val="100000"/>
                    </w14:srgbClr>
                  </w14:solidFill>
                </w14:textFill>
              </w:rPr>
              <w:t>|</w:t>
            </w:r>
            <w:r w:rsidR="00F81C51">
              <w:rPr>
                <w:szCs w:val="20"/>
              </w:rPr>
              <w:t xml:space="preserve"> </w:t>
            </w:r>
            <w:r w:rsidR="00F81C51">
              <w:rPr>
                <w:szCs w:val="20"/>
                <w:vertAlign w:val="superscript"/>
              </w:rPr>
              <w:t>9</w:t>
            </w:r>
          </w:p>
        </w:tc>
        <w:tc>
          <w:tcPr>
            <w:tcW w:w="0" w:type="auto"/>
            <w:vAlign w:val="center"/>
          </w:tcPr>
          <w:p w14:paraId="3AF09101" w14:textId="1BF3B2E7" w:rsidR="00BF547B" w:rsidRPr="00912F81" w:rsidRDefault="00740926" w:rsidP="00AC3B28">
            <w:pPr>
              <w:pStyle w:val="PBACTabletext0"/>
              <w:keepLines w:val="0"/>
              <w:widowControl w:val="0"/>
              <w:spacing w:after="0"/>
              <w:jc w:val="center"/>
              <w:rPr>
                <w:szCs w:val="20"/>
              </w:rPr>
            </w:pPr>
            <w:r w:rsidRPr="00740926">
              <w:rPr>
                <w:b/>
                <w:color w:val="000000"/>
                <w:spacing w:val="47"/>
                <w:szCs w:val="20"/>
                <w:shd w:val="solid" w:color="000000" w:fill="000000"/>
                <w:fitText w:val="326" w:id="-1168355570"/>
                <w14:textFill>
                  <w14:solidFill>
                    <w14:srgbClr w14:val="000000">
                      <w14:alpha w14:val="100000"/>
                    </w14:srgbClr>
                  </w14:solidFill>
                </w14:textFill>
              </w:rPr>
              <w:t>|||</w:t>
            </w:r>
            <w:r w:rsidRPr="00740926">
              <w:rPr>
                <w:b/>
                <w:color w:val="000000"/>
                <w:spacing w:val="2"/>
                <w:szCs w:val="20"/>
                <w:shd w:val="solid" w:color="000000" w:fill="000000"/>
                <w:fitText w:val="326" w:id="-1168355570"/>
                <w14:textFill>
                  <w14:solidFill>
                    <w14:srgbClr w14:val="000000">
                      <w14:alpha w14:val="100000"/>
                    </w14:srgbClr>
                  </w14:solidFill>
                </w14:textFill>
              </w:rPr>
              <w:t>|</w:t>
            </w:r>
            <w:r w:rsidR="00F81C51">
              <w:rPr>
                <w:szCs w:val="20"/>
              </w:rPr>
              <w:t xml:space="preserve"> </w:t>
            </w:r>
            <w:r w:rsidR="00F81C51">
              <w:rPr>
                <w:szCs w:val="20"/>
                <w:vertAlign w:val="superscript"/>
              </w:rPr>
              <w:t>9</w:t>
            </w:r>
          </w:p>
        </w:tc>
        <w:tc>
          <w:tcPr>
            <w:tcW w:w="0" w:type="auto"/>
            <w:vAlign w:val="center"/>
          </w:tcPr>
          <w:p w14:paraId="39F7B3B9" w14:textId="38131897" w:rsidR="00BF547B" w:rsidRPr="00912F81" w:rsidRDefault="00740926" w:rsidP="00AC3B28">
            <w:pPr>
              <w:pStyle w:val="PBACTabletext0"/>
              <w:keepLines w:val="0"/>
              <w:widowControl w:val="0"/>
              <w:spacing w:after="0"/>
              <w:jc w:val="center"/>
              <w:rPr>
                <w:szCs w:val="20"/>
              </w:rPr>
            </w:pPr>
            <w:r w:rsidRPr="00740926">
              <w:rPr>
                <w:b/>
                <w:color w:val="000000"/>
                <w:spacing w:val="47"/>
                <w:szCs w:val="20"/>
                <w:shd w:val="solid" w:color="000000" w:fill="000000"/>
                <w:fitText w:val="326" w:id="-1168355569"/>
                <w14:textFill>
                  <w14:solidFill>
                    <w14:srgbClr w14:val="000000">
                      <w14:alpha w14:val="100000"/>
                    </w14:srgbClr>
                  </w14:solidFill>
                </w14:textFill>
              </w:rPr>
              <w:t>|||</w:t>
            </w:r>
            <w:r w:rsidRPr="00740926">
              <w:rPr>
                <w:b/>
                <w:color w:val="000000"/>
                <w:spacing w:val="2"/>
                <w:szCs w:val="20"/>
                <w:shd w:val="solid" w:color="000000" w:fill="000000"/>
                <w:fitText w:val="326" w:id="-1168355569"/>
                <w14:textFill>
                  <w14:solidFill>
                    <w14:srgbClr w14:val="000000">
                      <w14:alpha w14:val="100000"/>
                    </w14:srgbClr>
                  </w14:solidFill>
                </w14:textFill>
              </w:rPr>
              <w:t>|</w:t>
            </w:r>
            <w:r w:rsidR="00F81C51">
              <w:rPr>
                <w:szCs w:val="20"/>
              </w:rPr>
              <w:t xml:space="preserve"> </w:t>
            </w:r>
            <w:r w:rsidR="00F81C51">
              <w:rPr>
                <w:szCs w:val="20"/>
                <w:vertAlign w:val="superscript"/>
              </w:rPr>
              <w:t>9</w:t>
            </w:r>
          </w:p>
        </w:tc>
        <w:tc>
          <w:tcPr>
            <w:tcW w:w="0" w:type="auto"/>
            <w:vAlign w:val="center"/>
          </w:tcPr>
          <w:p w14:paraId="6EB68A4F" w14:textId="77B3B35A" w:rsidR="00BF547B" w:rsidRPr="00912F81" w:rsidRDefault="00740926" w:rsidP="00AC3B28">
            <w:pPr>
              <w:pStyle w:val="PBACTabletext0"/>
              <w:keepLines w:val="0"/>
              <w:widowControl w:val="0"/>
              <w:spacing w:after="0"/>
              <w:jc w:val="center"/>
              <w:rPr>
                <w:szCs w:val="20"/>
              </w:rPr>
            </w:pPr>
            <w:r w:rsidRPr="00740926">
              <w:rPr>
                <w:b/>
                <w:color w:val="000000"/>
                <w:spacing w:val="42"/>
                <w:szCs w:val="20"/>
                <w:shd w:val="solid" w:color="000000" w:fill="000000"/>
                <w:fitText w:val="312" w:id="-1168355568"/>
                <w14:textFill>
                  <w14:solidFill>
                    <w14:srgbClr w14:val="000000">
                      <w14:alpha w14:val="100000"/>
                    </w14:srgbClr>
                  </w14:solidFill>
                </w14:textFill>
              </w:rPr>
              <w:t>|||</w:t>
            </w:r>
            <w:r w:rsidRPr="00740926">
              <w:rPr>
                <w:b/>
                <w:color w:val="000000"/>
                <w:spacing w:val="3"/>
                <w:szCs w:val="20"/>
                <w:shd w:val="solid" w:color="000000" w:fill="000000"/>
                <w:fitText w:val="312" w:id="-1168355568"/>
                <w14:textFill>
                  <w14:solidFill>
                    <w14:srgbClr w14:val="000000">
                      <w14:alpha w14:val="100000"/>
                    </w14:srgbClr>
                  </w14:solidFill>
                </w14:textFill>
              </w:rPr>
              <w:t>|</w:t>
            </w:r>
            <w:r w:rsidR="00F81C51">
              <w:rPr>
                <w:szCs w:val="20"/>
              </w:rPr>
              <w:t xml:space="preserve"> </w:t>
            </w:r>
            <w:r w:rsidR="00F81C51">
              <w:rPr>
                <w:szCs w:val="20"/>
                <w:vertAlign w:val="superscript"/>
              </w:rPr>
              <w:t>9</w:t>
            </w:r>
          </w:p>
        </w:tc>
        <w:tc>
          <w:tcPr>
            <w:tcW w:w="0" w:type="auto"/>
            <w:vAlign w:val="center"/>
          </w:tcPr>
          <w:p w14:paraId="6BE4EB30" w14:textId="1A864297" w:rsidR="00BF547B" w:rsidRPr="00912F81" w:rsidRDefault="00740926" w:rsidP="00AC3B28">
            <w:pPr>
              <w:pStyle w:val="PBACTabletext0"/>
              <w:keepLines w:val="0"/>
              <w:widowControl w:val="0"/>
              <w:spacing w:after="0"/>
              <w:jc w:val="center"/>
              <w:rPr>
                <w:szCs w:val="20"/>
              </w:rPr>
            </w:pPr>
            <w:r w:rsidRPr="00740926">
              <w:rPr>
                <w:b/>
                <w:color w:val="000000"/>
                <w:spacing w:val="42"/>
                <w:szCs w:val="20"/>
                <w:shd w:val="solid" w:color="000000" w:fill="000000"/>
                <w:fitText w:val="312" w:id="-1168355584"/>
                <w14:textFill>
                  <w14:solidFill>
                    <w14:srgbClr w14:val="000000">
                      <w14:alpha w14:val="100000"/>
                    </w14:srgbClr>
                  </w14:solidFill>
                </w14:textFill>
              </w:rPr>
              <w:t>|||</w:t>
            </w:r>
            <w:r w:rsidRPr="00740926">
              <w:rPr>
                <w:b/>
                <w:color w:val="000000"/>
                <w:spacing w:val="3"/>
                <w:szCs w:val="20"/>
                <w:shd w:val="solid" w:color="000000" w:fill="000000"/>
                <w:fitText w:val="312" w:id="-1168355584"/>
                <w14:textFill>
                  <w14:solidFill>
                    <w14:srgbClr w14:val="000000">
                      <w14:alpha w14:val="100000"/>
                    </w14:srgbClr>
                  </w14:solidFill>
                </w14:textFill>
              </w:rPr>
              <w:t>|</w:t>
            </w:r>
            <w:r w:rsidR="00F81C51">
              <w:rPr>
                <w:szCs w:val="20"/>
              </w:rPr>
              <w:t xml:space="preserve"> </w:t>
            </w:r>
            <w:r w:rsidR="00F81C51">
              <w:rPr>
                <w:szCs w:val="20"/>
                <w:vertAlign w:val="superscript"/>
              </w:rPr>
              <w:t>9</w:t>
            </w:r>
          </w:p>
        </w:tc>
      </w:tr>
    </w:tbl>
    <w:p w14:paraId="7B61D353" w14:textId="77777777" w:rsidR="00BF547B" w:rsidRPr="00A22427" w:rsidRDefault="00BF547B" w:rsidP="00AC3B28">
      <w:pPr>
        <w:pStyle w:val="FooterTableFigure"/>
        <w:keepNext/>
      </w:pPr>
      <w:r w:rsidRPr="00A22427">
        <w:t>PBS, Pharmaceutical Benefits Scheme; RPBS, Repatriation Pharmaceutical Benefits Scheme.</w:t>
      </w:r>
    </w:p>
    <w:p w14:paraId="72F51AE0" w14:textId="77777777" w:rsidR="00BF547B" w:rsidRPr="00A22427" w:rsidRDefault="00BF547B" w:rsidP="00AC3B28">
      <w:pPr>
        <w:pStyle w:val="FooterTableFigure"/>
        <w:keepNext/>
      </w:pPr>
      <w:r w:rsidRPr="00A22427">
        <w:t>Note: Numbers may not add due to rounding.</w:t>
      </w:r>
    </w:p>
    <w:p w14:paraId="4014E9CD" w14:textId="77777777" w:rsidR="00BF547B" w:rsidRPr="00A22427" w:rsidRDefault="00BF547B" w:rsidP="00AC3B28">
      <w:pPr>
        <w:pStyle w:val="FooterTableFigure"/>
        <w:keepNext/>
      </w:pPr>
      <w:r w:rsidRPr="00A22427">
        <w:t xml:space="preserve">Source: Calculation details can be found in the provided Excel model, worksheet “Alexion BIM”, </w:t>
      </w:r>
      <w:r w:rsidRPr="00A22427">
        <w:rPr>
          <w:i/>
          <w:iCs/>
        </w:rPr>
        <w:t>Section 4 BIM Base Case.xlxs</w:t>
      </w:r>
    </w:p>
    <w:p w14:paraId="7D5A42FF" w14:textId="77777777" w:rsidR="00BF547B" w:rsidRPr="00A22427" w:rsidRDefault="00BF547B" w:rsidP="00AC3B28">
      <w:pPr>
        <w:pStyle w:val="FooterTableFigure"/>
        <w:keepNext/>
      </w:pPr>
      <w:r w:rsidRPr="00A22427">
        <w:t xml:space="preserve">Changes made to the 2023 submission model include: </w:t>
      </w:r>
    </w:p>
    <w:p w14:paraId="0AC93590" w14:textId="77777777" w:rsidR="00BF547B" w:rsidRPr="00A22427" w:rsidRDefault="00BF547B" w:rsidP="00AC3B28">
      <w:pPr>
        <w:pStyle w:val="FooterTableFigure"/>
        <w:keepNext/>
      </w:pPr>
      <w:r w:rsidRPr="00A22427">
        <w:t xml:space="preserve">Updated PBS data from 2021 to 2022 Calendar Year to establish predicted private/public patient category weighting. </w:t>
      </w:r>
    </w:p>
    <w:p w14:paraId="641891C7" w14:textId="77777777" w:rsidR="00BF547B" w:rsidRPr="00A22427" w:rsidRDefault="00BF547B" w:rsidP="00AC3B28">
      <w:pPr>
        <w:pStyle w:val="FooterTableFigure"/>
        <w:keepNext/>
      </w:pPr>
      <w:r w:rsidRPr="00A22427">
        <w:t xml:space="preserve">Updated patient co-payments </w:t>
      </w:r>
      <w:proofErr w:type="gramStart"/>
      <w:r w:rsidRPr="00A22427">
        <w:t>amounts</w:t>
      </w:r>
      <w:proofErr w:type="gramEnd"/>
      <w:r w:rsidRPr="00A22427">
        <w:t xml:space="preserve"> ($7.30 for </w:t>
      </w:r>
      <w:r w:rsidRPr="00A22427">
        <w:rPr>
          <w:szCs w:val="18"/>
        </w:rPr>
        <w:t>concessional</w:t>
      </w:r>
      <w:r w:rsidRPr="00A22427">
        <w:t xml:space="preserve"> patients).</w:t>
      </w:r>
    </w:p>
    <w:p w14:paraId="1D9D6F8A" w14:textId="77777777" w:rsidR="00BF547B" w:rsidRPr="00A22427" w:rsidRDefault="00BF547B" w:rsidP="00AC3B28">
      <w:pPr>
        <w:pStyle w:val="FooterTableFigure"/>
        <w:keepNext/>
      </w:pPr>
      <w:r w:rsidRPr="00A22427">
        <w:t xml:space="preserve">Updated extrapolation for patient estimates, based upon current Alexion order data. </w:t>
      </w:r>
    </w:p>
    <w:p w14:paraId="3BCCB85B" w14:textId="77777777" w:rsidR="00BF547B" w:rsidRPr="00A22427" w:rsidRDefault="00BF547B" w:rsidP="00AC3B28">
      <w:pPr>
        <w:pStyle w:val="FooterTableFigure"/>
        <w:keepNext/>
      </w:pPr>
      <w:r w:rsidRPr="00A22427">
        <w:t>Ravulizumab Price: Cells changes were: C19 to $6,574.12, C20 to $24,105.11.</w:t>
      </w:r>
    </w:p>
    <w:p w14:paraId="37C94FE1" w14:textId="77777777" w:rsidR="00BF547B" w:rsidRPr="00A22427" w:rsidRDefault="00BF547B" w:rsidP="00AC3B28">
      <w:pPr>
        <w:pStyle w:val="FooterTableFigure"/>
        <w:keepNext/>
      </w:pPr>
      <w:r w:rsidRPr="00A22427">
        <w:t>Ravulizumab uptake rate for initiating patients: Cells changed were: C9 to 10%.</w:t>
      </w:r>
    </w:p>
    <w:p w14:paraId="410A35E4" w14:textId="04E32169" w:rsidR="00BF547B" w:rsidRDefault="00BF547B" w:rsidP="00AC3B28">
      <w:pPr>
        <w:pStyle w:val="FooterTableFigure"/>
        <w:keepNext/>
        <w:spacing w:after="0"/>
      </w:pPr>
      <w:proofErr w:type="spellStart"/>
      <w:r w:rsidRPr="00A22427">
        <w:rPr>
          <w:vertAlign w:val="superscript"/>
        </w:rPr>
        <w:t>a</w:t>
      </w:r>
      <w:proofErr w:type="spellEnd"/>
      <w:r w:rsidRPr="00A22427">
        <w:rPr>
          <w:vertAlign w:val="superscript"/>
        </w:rPr>
        <w:t xml:space="preserve"> </w:t>
      </w:r>
      <w:r w:rsidRPr="00A22427">
        <w:t xml:space="preserve">To determine the expenditure with </w:t>
      </w:r>
      <w:proofErr w:type="gramStart"/>
      <w:r w:rsidR="00740926" w:rsidRPr="00740926">
        <w:rPr>
          <w:color w:val="000000"/>
          <w:spacing w:val="35"/>
          <w:shd w:val="solid" w:color="000000" w:fill="000000"/>
          <w:fitText w:val="265" w:id="-1168355583"/>
          <w14:textFill>
            <w14:solidFill>
              <w14:srgbClr w14:val="000000">
                <w14:alpha w14:val="100000"/>
              </w14:srgbClr>
            </w14:solidFill>
          </w14:textFill>
        </w:rPr>
        <w:t xml:space="preserve">|  </w:t>
      </w:r>
      <w:r w:rsidR="00740926" w:rsidRPr="00740926">
        <w:rPr>
          <w:color w:val="000000"/>
          <w:spacing w:val="2"/>
          <w:shd w:val="solid" w:color="000000" w:fill="000000"/>
          <w:fitText w:val="265" w:id="-1168355583"/>
          <w14:textFill>
            <w14:solidFill>
              <w14:srgbClr w14:val="000000">
                <w14:alpha w14:val="100000"/>
              </w14:srgbClr>
            </w14:solidFill>
          </w14:textFill>
        </w:rPr>
        <w:t>|</w:t>
      </w:r>
      <w:proofErr w:type="gramEnd"/>
      <w:r w:rsidRPr="00A22427">
        <w:t xml:space="preserve">set Cells C177, 178 and 179 to 0 so </w:t>
      </w:r>
      <w:r w:rsidRPr="00D651A4">
        <w:t xml:space="preserve">that </w:t>
      </w:r>
      <w:r w:rsidR="00740926" w:rsidRPr="00740926">
        <w:rPr>
          <w:color w:val="000000"/>
          <w:spacing w:val="40"/>
          <w:shd w:val="solid" w:color="000000" w:fill="000000"/>
          <w:fitText w:val="279" w:id="-1168355582"/>
          <w14:textFill>
            <w14:solidFill>
              <w14:srgbClr w14:val="000000">
                <w14:alpha w14:val="100000"/>
              </w14:srgbClr>
            </w14:solidFill>
          </w14:textFill>
        </w:rPr>
        <w:t xml:space="preserve">|  </w:t>
      </w:r>
      <w:r w:rsidR="00740926" w:rsidRPr="00740926">
        <w:rPr>
          <w:color w:val="000000"/>
          <w:spacing w:val="1"/>
          <w:shd w:val="solid" w:color="000000" w:fill="000000"/>
          <w:fitText w:val="279" w:id="-1168355582"/>
          <w14:textFill>
            <w14:solidFill>
              <w14:srgbClr w14:val="000000">
                <w14:alpha w14:val="100000"/>
              </w14:srgbClr>
            </w14:solidFill>
          </w14:textFill>
        </w:rPr>
        <w:t>|</w:t>
      </w:r>
      <w:r w:rsidRPr="00A22427">
        <w:t>.</w:t>
      </w:r>
    </w:p>
    <w:p w14:paraId="270DD610" w14:textId="77777777" w:rsidR="00AC3B28" w:rsidRPr="009A6D58" w:rsidRDefault="00AC3B28" w:rsidP="00AC3B28">
      <w:pPr>
        <w:keepNext/>
        <w:rPr>
          <w:rFonts w:ascii="Arial Narrow" w:hAnsi="Arial Narrow" w:cs="Arial"/>
          <w:i/>
          <w:sz w:val="18"/>
          <w:szCs w:val="18"/>
          <w:lang w:eastAsia="en-AU"/>
        </w:rPr>
      </w:pPr>
      <w:bookmarkStart w:id="82" w:name="_Hlk145080679"/>
      <w:r w:rsidRPr="009A6D58">
        <w:rPr>
          <w:rFonts w:ascii="Arial Narrow" w:hAnsi="Arial Narrow" w:cs="Arial"/>
          <w:i/>
          <w:sz w:val="18"/>
          <w:szCs w:val="18"/>
          <w:lang w:eastAsia="en-AU"/>
        </w:rPr>
        <w:t xml:space="preserve">The redacted values correspond to the following ranges: </w:t>
      </w:r>
    </w:p>
    <w:p w14:paraId="16CE7FAD" w14:textId="77777777" w:rsidR="00AC3B28" w:rsidRPr="00AC3B28" w:rsidRDefault="00AC3B28" w:rsidP="00AC3B28">
      <w:pPr>
        <w:keepNext/>
        <w:rPr>
          <w:rFonts w:ascii="Arial Narrow" w:hAnsi="Arial Narrow" w:cs="Arial"/>
          <w:i/>
          <w:sz w:val="18"/>
          <w:szCs w:val="18"/>
          <w:lang w:eastAsia="en-AU"/>
        </w:rPr>
      </w:pPr>
      <w:r w:rsidRPr="009A6D58">
        <w:rPr>
          <w:rFonts w:ascii="Arial Narrow" w:hAnsi="Arial Narrow" w:cs="Arial"/>
          <w:i/>
          <w:sz w:val="18"/>
          <w:szCs w:val="18"/>
          <w:vertAlign w:val="superscript"/>
          <w:lang w:eastAsia="en-AU"/>
        </w:rPr>
        <w:t>1</w:t>
      </w:r>
      <w:r>
        <w:rPr>
          <w:rFonts w:ascii="Arial Narrow" w:hAnsi="Arial Narrow" w:cs="Arial"/>
          <w:i/>
          <w:sz w:val="18"/>
          <w:szCs w:val="18"/>
          <w:lang w:eastAsia="en-AU"/>
        </w:rPr>
        <w:t xml:space="preserve"> </w:t>
      </w:r>
      <w:r w:rsidRPr="00AC3B28">
        <w:rPr>
          <w:rFonts w:ascii="Arial Narrow" w:hAnsi="Arial Narrow" w:cs="Arial"/>
          <w:i/>
          <w:sz w:val="18"/>
          <w:szCs w:val="18"/>
          <w:lang w:eastAsia="en-AU"/>
        </w:rPr>
        <w:t>&lt; 500</w:t>
      </w:r>
    </w:p>
    <w:bookmarkEnd w:id="82"/>
    <w:p w14:paraId="3A4CEABA" w14:textId="1F861AD4" w:rsidR="00AC3B28" w:rsidRPr="009A6D58" w:rsidRDefault="00AC3B28" w:rsidP="00AC3B28">
      <w:pPr>
        <w:keepNext/>
        <w:rPr>
          <w:rFonts w:ascii="Arial Narrow" w:hAnsi="Arial Narrow" w:cs="Arial"/>
          <w:i/>
          <w:sz w:val="18"/>
          <w:szCs w:val="18"/>
          <w:lang w:eastAsia="en-AU"/>
        </w:rPr>
      </w:pPr>
      <w:r w:rsidRPr="009A6D58">
        <w:rPr>
          <w:rFonts w:ascii="Arial Narrow" w:hAnsi="Arial Narrow" w:cs="Arial"/>
          <w:i/>
          <w:sz w:val="18"/>
          <w:szCs w:val="18"/>
          <w:vertAlign w:val="superscript"/>
          <w:lang w:eastAsia="en-AU"/>
        </w:rPr>
        <w:t>2</w:t>
      </w:r>
      <w:r>
        <w:rPr>
          <w:rFonts w:ascii="Arial Narrow" w:hAnsi="Arial Narrow" w:cs="Arial"/>
          <w:i/>
          <w:sz w:val="18"/>
          <w:szCs w:val="18"/>
          <w:lang w:eastAsia="en-AU"/>
        </w:rPr>
        <w:t xml:space="preserve"> </w:t>
      </w:r>
      <w:r w:rsidRPr="00AC3B28">
        <w:rPr>
          <w:rFonts w:ascii="Arial Narrow" w:hAnsi="Arial Narrow" w:cs="Arial"/>
          <w:i/>
          <w:sz w:val="18"/>
          <w:szCs w:val="18"/>
          <w:lang w:eastAsia="en-AU"/>
        </w:rPr>
        <w:t>$60 million to &lt; $70 million</w:t>
      </w:r>
    </w:p>
    <w:p w14:paraId="33D5A2FC" w14:textId="03D1E82B" w:rsidR="00AC3B28" w:rsidRDefault="00AC3B28" w:rsidP="00AC3B28">
      <w:pPr>
        <w:keepNext/>
        <w:rPr>
          <w:rFonts w:ascii="Arial Narrow" w:hAnsi="Arial Narrow" w:cs="Arial"/>
          <w:i/>
          <w:sz w:val="18"/>
          <w:szCs w:val="18"/>
          <w:lang w:eastAsia="en-AU"/>
        </w:rPr>
      </w:pPr>
      <w:r w:rsidRPr="009A6D58">
        <w:rPr>
          <w:rFonts w:ascii="Arial Narrow" w:hAnsi="Arial Narrow" w:cs="Arial"/>
          <w:i/>
          <w:sz w:val="18"/>
          <w:szCs w:val="18"/>
          <w:vertAlign w:val="superscript"/>
          <w:lang w:eastAsia="en-AU"/>
        </w:rPr>
        <w:t>3</w:t>
      </w:r>
      <w:r>
        <w:rPr>
          <w:rFonts w:ascii="Arial Narrow" w:hAnsi="Arial Narrow" w:cs="Arial"/>
          <w:i/>
          <w:sz w:val="18"/>
          <w:szCs w:val="18"/>
          <w:lang w:eastAsia="en-AU"/>
        </w:rPr>
        <w:t xml:space="preserve"> $</w:t>
      </w:r>
      <w:r w:rsidRPr="00AC3B28">
        <w:rPr>
          <w:rFonts w:ascii="Arial Narrow" w:hAnsi="Arial Narrow" w:cs="Arial"/>
          <w:i/>
          <w:sz w:val="18"/>
          <w:szCs w:val="18"/>
          <w:lang w:eastAsia="en-AU"/>
        </w:rPr>
        <w:t>70 million to &lt; $80 million</w:t>
      </w:r>
    </w:p>
    <w:p w14:paraId="54AB2B45" w14:textId="77777777" w:rsidR="00AC3B28" w:rsidRDefault="00AC3B28" w:rsidP="00AC3B28">
      <w:pPr>
        <w:keepNext/>
        <w:rPr>
          <w:rFonts w:ascii="Arial Narrow" w:hAnsi="Arial Narrow" w:cs="Arial"/>
          <w:i/>
          <w:sz w:val="18"/>
          <w:szCs w:val="18"/>
          <w:vertAlign w:val="superscript"/>
          <w:lang w:eastAsia="en-AU"/>
        </w:rPr>
      </w:pPr>
      <w:r>
        <w:rPr>
          <w:rFonts w:ascii="Arial Narrow" w:hAnsi="Arial Narrow" w:cs="Arial"/>
          <w:i/>
          <w:sz w:val="18"/>
          <w:szCs w:val="18"/>
          <w:vertAlign w:val="superscript"/>
          <w:lang w:eastAsia="en-AU"/>
        </w:rPr>
        <w:t>4</w:t>
      </w:r>
      <w:r>
        <w:rPr>
          <w:rFonts w:ascii="Arial Narrow" w:hAnsi="Arial Narrow" w:cs="Arial"/>
          <w:i/>
          <w:sz w:val="18"/>
          <w:szCs w:val="18"/>
          <w:lang w:eastAsia="en-AU"/>
        </w:rPr>
        <w:t xml:space="preserve"> </w:t>
      </w:r>
      <w:r w:rsidRPr="00AC3B28">
        <w:rPr>
          <w:rFonts w:ascii="Arial Narrow" w:hAnsi="Arial Narrow" w:cs="Arial"/>
          <w:i/>
          <w:sz w:val="18"/>
          <w:szCs w:val="18"/>
          <w:lang w:eastAsia="en-AU"/>
        </w:rPr>
        <w:t>$80 million to &lt; $90 million</w:t>
      </w:r>
      <w:r w:rsidRPr="00AC3B28">
        <w:rPr>
          <w:rFonts w:ascii="Arial Narrow" w:hAnsi="Arial Narrow" w:cs="Arial"/>
          <w:i/>
          <w:sz w:val="18"/>
          <w:szCs w:val="18"/>
          <w:vertAlign w:val="superscript"/>
          <w:lang w:eastAsia="en-AU"/>
        </w:rPr>
        <w:t xml:space="preserve"> </w:t>
      </w:r>
    </w:p>
    <w:p w14:paraId="46AD5EF5" w14:textId="47E9C9F9" w:rsidR="00AC3B28" w:rsidRDefault="00AC3B28" w:rsidP="00AC3B28">
      <w:pPr>
        <w:keepNext/>
        <w:rPr>
          <w:rFonts w:ascii="Arial Narrow" w:hAnsi="Arial Narrow" w:cs="Arial"/>
          <w:i/>
          <w:sz w:val="18"/>
          <w:szCs w:val="18"/>
          <w:lang w:eastAsia="en-AU"/>
        </w:rPr>
      </w:pPr>
      <w:r>
        <w:rPr>
          <w:rFonts w:ascii="Arial Narrow" w:hAnsi="Arial Narrow" w:cs="Arial"/>
          <w:i/>
          <w:sz w:val="18"/>
          <w:szCs w:val="18"/>
          <w:vertAlign w:val="superscript"/>
          <w:lang w:eastAsia="en-AU"/>
        </w:rPr>
        <w:t>5</w:t>
      </w:r>
      <w:r>
        <w:rPr>
          <w:rFonts w:ascii="Arial Narrow" w:hAnsi="Arial Narrow" w:cs="Arial"/>
          <w:i/>
          <w:sz w:val="18"/>
          <w:szCs w:val="18"/>
          <w:lang w:eastAsia="en-AU"/>
        </w:rPr>
        <w:t xml:space="preserve"> </w:t>
      </w:r>
      <w:r w:rsidRPr="00AC3B28">
        <w:rPr>
          <w:rFonts w:ascii="Arial Narrow" w:hAnsi="Arial Narrow" w:cs="Arial"/>
          <w:i/>
          <w:sz w:val="18"/>
          <w:szCs w:val="18"/>
          <w:lang w:eastAsia="en-AU"/>
        </w:rPr>
        <w:t>$90 million to &lt; $100 million</w:t>
      </w:r>
    </w:p>
    <w:p w14:paraId="0420CA8E" w14:textId="6273E451" w:rsidR="00AC3B28" w:rsidRDefault="00AC3B28" w:rsidP="00AC3B28">
      <w:pPr>
        <w:keepNext/>
        <w:rPr>
          <w:rFonts w:ascii="Arial Narrow" w:hAnsi="Arial Narrow" w:cs="Arial"/>
          <w:i/>
          <w:sz w:val="18"/>
          <w:szCs w:val="18"/>
          <w:lang w:eastAsia="en-AU"/>
        </w:rPr>
      </w:pPr>
      <w:r>
        <w:rPr>
          <w:rFonts w:ascii="Arial Narrow" w:hAnsi="Arial Narrow" w:cs="Arial"/>
          <w:i/>
          <w:sz w:val="18"/>
          <w:szCs w:val="18"/>
          <w:vertAlign w:val="superscript"/>
          <w:lang w:eastAsia="en-AU"/>
        </w:rPr>
        <w:t>6</w:t>
      </w:r>
      <w:r>
        <w:rPr>
          <w:rFonts w:ascii="Arial Narrow" w:hAnsi="Arial Narrow" w:cs="Arial"/>
          <w:i/>
          <w:sz w:val="18"/>
          <w:szCs w:val="18"/>
          <w:lang w:eastAsia="en-AU"/>
        </w:rPr>
        <w:t xml:space="preserve"> </w:t>
      </w:r>
      <w:r w:rsidRPr="00AC3B28">
        <w:rPr>
          <w:rFonts w:ascii="Arial Narrow" w:hAnsi="Arial Narrow" w:cs="Arial"/>
          <w:i/>
          <w:sz w:val="18"/>
          <w:szCs w:val="18"/>
          <w:lang w:eastAsia="en-AU"/>
        </w:rPr>
        <w:t>$50 million to &lt; $60 million</w:t>
      </w:r>
    </w:p>
    <w:p w14:paraId="63CF56FE" w14:textId="3D89E657" w:rsidR="00AC3B28" w:rsidRDefault="00AC3B28" w:rsidP="00AC3B28">
      <w:pPr>
        <w:keepNext/>
        <w:rPr>
          <w:rFonts w:ascii="Arial Narrow" w:hAnsi="Arial Narrow" w:cs="Arial"/>
          <w:i/>
          <w:sz w:val="18"/>
          <w:szCs w:val="18"/>
          <w:lang w:eastAsia="en-AU"/>
        </w:rPr>
      </w:pPr>
      <w:r>
        <w:rPr>
          <w:rFonts w:ascii="Arial Narrow" w:hAnsi="Arial Narrow" w:cs="Arial"/>
          <w:i/>
          <w:sz w:val="18"/>
          <w:szCs w:val="18"/>
          <w:vertAlign w:val="superscript"/>
          <w:lang w:eastAsia="en-AU"/>
        </w:rPr>
        <w:t>7</w:t>
      </w:r>
      <w:r>
        <w:rPr>
          <w:rFonts w:ascii="Arial Narrow" w:hAnsi="Arial Narrow" w:cs="Arial"/>
          <w:i/>
          <w:sz w:val="18"/>
          <w:szCs w:val="18"/>
          <w:lang w:eastAsia="en-AU"/>
        </w:rPr>
        <w:t xml:space="preserve"> </w:t>
      </w:r>
      <w:r w:rsidRPr="00AC3B28">
        <w:rPr>
          <w:rFonts w:ascii="Arial Narrow" w:hAnsi="Arial Narrow" w:cs="Arial"/>
          <w:i/>
          <w:sz w:val="18"/>
          <w:szCs w:val="18"/>
          <w:lang w:eastAsia="en-AU"/>
        </w:rPr>
        <w:t>$10 million to &lt; $20 million</w:t>
      </w:r>
    </w:p>
    <w:p w14:paraId="24494D5B" w14:textId="36265737" w:rsidR="00AC3B28" w:rsidRDefault="00AC3B28" w:rsidP="00AC3B28">
      <w:pPr>
        <w:keepNext/>
        <w:rPr>
          <w:rFonts w:ascii="Arial Narrow" w:hAnsi="Arial Narrow" w:cs="Arial"/>
          <w:i/>
          <w:sz w:val="18"/>
          <w:szCs w:val="18"/>
          <w:lang w:eastAsia="en-AU"/>
        </w:rPr>
      </w:pPr>
      <w:r>
        <w:rPr>
          <w:rFonts w:ascii="Arial Narrow" w:hAnsi="Arial Narrow" w:cs="Arial"/>
          <w:i/>
          <w:sz w:val="18"/>
          <w:szCs w:val="18"/>
          <w:vertAlign w:val="superscript"/>
          <w:lang w:eastAsia="en-AU"/>
        </w:rPr>
        <w:t>8</w:t>
      </w:r>
      <w:r>
        <w:rPr>
          <w:rFonts w:ascii="Arial Narrow" w:hAnsi="Arial Narrow" w:cs="Arial"/>
          <w:i/>
          <w:sz w:val="18"/>
          <w:szCs w:val="18"/>
          <w:lang w:eastAsia="en-AU"/>
        </w:rPr>
        <w:t xml:space="preserve"> $</w:t>
      </w:r>
      <w:r w:rsidRPr="00AC3B28">
        <w:rPr>
          <w:rFonts w:ascii="Arial Narrow" w:hAnsi="Arial Narrow" w:cs="Arial"/>
          <w:i/>
          <w:sz w:val="18"/>
          <w:szCs w:val="18"/>
          <w:lang w:eastAsia="en-AU"/>
        </w:rPr>
        <w:t>20 million to &lt; $30 million</w:t>
      </w:r>
    </w:p>
    <w:p w14:paraId="2B2951EF" w14:textId="1033BB40" w:rsidR="00AC3B28" w:rsidRDefault="00AC3B28" w:rsidP="00AC3B28">
      <w:pPr>
        <w:spacing w:after="120"/>
        <w:rPr>
          <w:rFonts w:ascii="Arial Narrow" w:hAnsi="Arial Narrow" w:cs="Arial"/>
          <w:i/>
          <w:sz w:val="18"/>
          <w:szCs w:val="18"/>
          <w:lang w:eastAsia="en-AU"/>
        </w:rPr>
      </w:pPr>
      <w:r>
        <w:rPr>
          <w:rFonts w:ascii="Arial Narrow" w:hAnsi="Arial Narrow" w:cs="Arial"/>
          <w:i/>
          <w:sz w:val="18"/>
          <w:szCs w:val="18"/>
          <w:vertAlign w:val="superscript"/>
          <w:lang w:eastAsia="en-AU"/>
        </w:rPr>
        <w:t>9</w:t>
      </w:r>
      <w:r>
        <w:rPr>
          <w:rFonts w:ascii="Arial Narrow" w:hAnsi="Arial Narrow" w:cs="Arial"/>
          <w:i/>
          <w:sz w:val="18"/>
          <w:szCs w:val="18"/>
          <w:lang w:eastAsia="en-AU"/>
        </w:rPr>
        <w:t xml:space="preserve"> </w:t>
      </w:r>
      <w:r w:rsidRPr="00AC3B28">
        <w:rPr>
          <w:rFonts w:ascii="Arial Narrow" w:hAnsi="Arial Narrow" w:cs="Arial"/>
          <w:i/>
          <w:sz w:val="18"/>
          <w:szCs w:val="18"/>
          <w:lang w:eastAsia="en-AU"/>
        </w:rPr>
        <w:t>net cost saving</w:t>
      </w:r>
    </w:p>
    <w:p w14:paraId="3FC24CC9" w14:textId="5BEEF6E1" w:rsidR="00BF547B" w:rsidRPr="00A22427" w:rsidRDefault="00BF547B" w:rsidP="00BF547B">
      <w:pPr>
        <w:pStyle w:val="3-BodyText"/>
        <w:ind w:left="709"/>
      </w:pPr>
      <w:r w:rsidRPr="00A22427">
        <w:t>The submission Base Case estimated a net cost saving to the PBS in Year 1 and in Year</w:t>
      </w:r>
      <w:r w:rsidR="00AC3B28">
        <w:t> </w:t>
      </w:r>
      <w:r w:rsidRPr="00A22427">
        <w:t xml:space="preserve">6, summing to a total </w:t>
      </w:r>
      <w:r w:rsidR="00AC3B28" w:rsidRPr="00A22427">
        <w:t xml:space="preserve">net cost saving </w:t>
      </w:r>
      <w:r w:rsidRPr="00A22427">
        <w:t xml:space="preserve">over the first 6 years of listing. This compares to a total </w:t>
      </w:r>
      <w:r w:rsidR="00AC3B28" w:rsidRPr="00A22427">
        <w:t xml:space="preserve">net cost saving </w:t>
      </w:r>
      <w:r w:rsidRPr="00A22427">
        <w:t>over the first 6 years of listing for the March 2023 submission.</w:t>
      </w:r>
    </w:p>
    <w:p w14:paraId="1C089682" w14:textId="195F3130" w:rsidR="00BF547B" w:rsidRPr="00A22427" w:rsidRDefault="00BF547B" w:rsidP="00BF547B">
      <w:pPr>
        <w:pStyle w:val="3-BodyText"/>
        <w:ind w:left="709"/>
      </w:pPr>
      <w:r w:rsidRPr="00A22427">
        <w:lastRenderedPageBreak/>
        <w:t xml:space="preserve">The response to the deferral stated that for the Base Case, the significant savings associated with ravulizumab reimbursement presented in the March 2023 submission are not realised as </w:t>
      </w:r>
      <w:r w:rsidRPr="005E4119">
        <w:t xml:space="preserve">the </w:t>
      </w:r>
      <w:proofErr w:type="gramStart"/>
      <w:r w:rsidR="00740926" w:rsidRPr="00497513">
        <w:rPr>
          <w:color w:val="000000"/>
          <w:w w:val="15"/>
          <w:shd w:val="solid" w:color="000000" w:fill="000000"/>
          <w:fitText w:val="-20" w:id="-1168355581"/>
          <w14:textFill>
            <w14:solidFill>
              <w14:srgbClr w14:val="000000">
                <w14:alpha w14:val="100000"/>
              </w14:srgbClr>
            </w14:solidFill>
          </w14:textFill>
        </w:rPr>
        <w:t xml:space="preserve">|  </w:t>
      </w:r>
      <w:r w:rsidR="00740926" w:rsidRPr="00497513">
        <w:rPr>
          <w:color w:val="000000"/>
          <w:spacing w:val="-69"/>
          <w:w w:val="15"/>
          <w:shd w:val="solid" w:color="000000" w:fill="000000"/>
          <w:fitText w:val="-20" w:id="-1168355581"/>
          <w14:textFill>
            <w14:solidFill>
              <w14:srgbClr w14:val="000000">
                <w14:alpha w14:val="100000"/>
              </w14:srgbClr>
            </w14:solidFill>
          </w14:textFill>
        </w:rPr>
        <w:t>|</w:t>
      </w:r>
      <w:proofErr w:type="gramEnd"/>
      <w:r w:rsidRPr="00A22427">
        <w:t>, and ravulizumab use is far less due to the reduction in initiating patients (a 10% uptake for initiations is assumed). The response stated that nonetheless, there remains a cost saving for Government (</w:t>
      </w:r>
      <w:r w:rsidR="00AC3B28" w:rsidRPr="00A22427">
        <w:t xml:space="preserve">net cost saving </w:t>
      </w:r>
      <w:r w:rsidRPr="00A22427">
        <w:t>over 6 years) which due to the conservative nature of the ravulizumab CMA</w:t>
      </w:r>
      <w:r w:rsidR="00AC3B28">
        <w:t>.</w:t>
      </w:r>
      <w:r w:rsidRPr="00A22427">
        <w:t xml:space="preserve"> </w:t>
      </w:r>
    </w:p>
    <w:p w14:paraId="1082CAC0" w14:textId="1FFB871E" w:rsidR="00BF547B" w:rsidRPr="00A22427" w:rsidRDefault="00BF547B" w:rsidP="00BF547B">
      <w:pPr>
        <w:pStyle w:val="3-BodyText"/>
        <w:ind w:left="709"/>
      </w:pPr>
      <w:bookmarkStart w:id="83" w:name="_Hlk141265277"/>
      <w:r w:rsidRPr="00A22427">
        <w:t>The</w:t>
      </w:r>
      <w:r>
        <w:t xml:space="preserve"> estimated</w:t>
      </w:r>
      <w:r w:rsidRPr="00A22427">
        <w:t xml:space="preserve"> cost saving in Year 1 (only) is increased due to removal of the ravulizumab </w:t>
      </w:r>
      <w:proofErr w:type="gramStart"/>
      <w:r w:rsidR="00740926" w:rsidRPr="00497513">
        <w:rPr>
          <w:color w:val="000000"/>
          <w:w w:val="15"/>
          <w:shd w:val="solid" w:color="000000" w:fill="000000"/>
          <w:fitText w:val="-20" w:id="-1168355580"/>
          <w14:textFill>
            <w14:solidFill>
              <w14:srgbClr w14:val="000000">
                <w14:alpha w14:val="100000"/>
              </w14:srgbClr>
            </w14:solidFill>
          </w14:textFill>
        </w:rPr>
        <w:t xml:space="preserve">|  </w:t>
      </w:r>
      <w:r w:rsidR="00740926" w:rsidRPr="00497513">
        <w:rPr>
          <w:color w:val="000000"/>
          <w:spacing w:val="-69"/>
          <w:w w:val="15"/>
          <w:shd w:val="solid" w:color="000000" w:fill="000000"/>
          <w:fitText w:val="-20" w:id="-1168355580"/>
          <w14:textFill>
            <w14:solidFill>
              <w14:srgbClr w14:val="000000">
                <w14:alpha w14:val="100000"/>
              </w14:srgbClr>
            </w14:solidFill>
          </w14:textFill>
        </w:rPr>
        <w:t>|</w:t>
      </w:r>
      <w:proofErr w:type="gramEnd"/>
      <w:r w:rsidRPr="00A22427">
        <w:t>for the prevalent eculizumab population.</w:t>
      </w:r>
      <w:bookmarkEnd w:id="83"/>
      <w:r w:rsidRPr="00A22427">
        <w:t xml:space="preserve"> The response to the deferral stated that the loading dose cost will be captured in the </w:t>
      </w:r>
      <w:proofErr w:type="gramStart"/>
      <w:r w:rsidR="00740926" w:rsidRPr="00497513">
        <w:rPr>
          <w:color w:val="000000"/>
          <w:w w:val="15"/>
          <w:shd w:val="solid" w:color="000000" w:fill="000000"/>
          <w:fitText w:val="-20" w:id="-1168355579"/>
          <w14:textFill>
            <w14:solidFill>
              <w14:srgbClr w14:val="000000">
                <w14:alpha w14:val="100000"/>
              </w14:srgbClr>
            </w14:solidFill>
          </w14:textFill>
        </w:rPr>
        <w:t xml:space="preserve">|  </w:t>
      </w:r>
      <w:r w:rsidR="00740926" w:rsidRPr="00497513">
        <w:rPr>
          <w:color w:val="000000"/>
          <w:spacing w:val="-69"/>
          <w:w w:val="15"/>
          <w:shd w:val="solid" w:color="000000" w:fill="000000"/>
          <w:fitText w:val="-20" w:id="-1168355579"/>
          <w14:textFill>
            <w14:solidFill>
              <w14:srgbClr w14:val="000000">
                <w14:alpha w14:val="100000"/>
              </w14:srgbClr>
            </w14:solidFill>
          </w14:textFill>
        </w:rPr>
        <w:t>|</w:t>
      </w:r>
      <w:proofErr w:type="gramEnd"/>
      <w:r w:rsidRPr="00A22427">
        <w:t xml:space="preserve"> in Year 1. The response to the deferral stated that the estimates are artificially reduced to ensure the additional loading doses with ravulizumab therapy will not result in additional cost to Government. It was further stated that</w:t>
      </w:r>
      <w:r>
        <w:t xml:space="preserve"> the</w:t>
      </w:r>
      <w:r w:rsidRPr="00A22427">
        <w:t xml:space="preserve"> loading dose </w:t>
      </w:r>
      <w:r>
        <w:t>is</w:t>
      </w:r>
      <w:r w:rsidRPr="00A22427">
        <w:t xml:space="preserve"> built into the price of ravulizumab for the proportion of patients that will initiate on eculizumab therapy and switch to ravulizumab in the future. </w:t>
      </w:r>
    </w:p>
    <w:p w14:paraId="04A8F335" w14:textId="77777777" w:rsidR="00BF547B" w:rsidRPr="00A22427" w:rsidRDefault="00BF547B" w:rsidP="00BF547B">
      <w:pPr>
        <w:pStyle w:val="3-BodyText"/>
        <w:ind w:left="709"/>
      </w:pPr>
      <w:r w:rsidRPr="00A22427">
        <w:t>The financial estimates were updated in the response to the deferral with up-to-date order data. The response to the deferral stated that there has been largely consistent growth in aHUS patient numbers since eculizumab was reimbursed in 2014 and this trend was demonstrated in the submission considered in March 2023 with the inclusion of order data, which reflects the number of patients on therapy each month. The Sponsor stated that the extrapolated data compared to the actual data of the same period are accurate and supports the linear growth trend applied. Additionally, it was argued the 2022 DUSC data demonstrates linear growth, refuting the stabilisation of patient numbers claim made in the 2020 DUSC review. The response to the deferral stated that while ravulizumab will not grow the market, a level of projected growth in line with current evidence was appropriate.</w:t>
      </w:r>
    </w:p>
    <w:p w14:paraId="6086E85B" w14:textId="77777777" w:rsidR="00BF547B" w:rsidRPr="00A22427" w:rsidRDefault="00BF547B" w:rsidP="00BF547B">
      <w:pPr>
        <w:pStyle w:val="4-SubsectionHeading"/>
      </w:pPr>
      <w:r w:rsidRPr="00A22427">
        <w:t>Financial Management – Risk Sharing Arrangements</w:t>
      </w:r>
    </w:p>
    <w:p w14:paraId="328CDC6D" w14:textId="7DBD0CA8" w:rsidR="00BF547B" w:rsidRPr="00A22427" w:rsidRDefault="00BF547B" w:rsidP="00BF547B">
      <w:pPr>
        <w:pStyle w:val="3-BodyText"/>
        <w:ind w:left="709"/>
      </w:pPr>
      <w:r w:rsidRPr="00A22427">
        <w:t>The response to the deferral stated that budget certainty is provided (at a lower expenditure level than projected for eculizumab) with an expenditure cap proposed (</w:t>
      </w:r>
      <w:proofErr w:type="gramStart"/>
      <w:r w:rsidR="00740926" w:rsidRPr="00497513">
        <w:rPr>
          <w:color w:val="000000"/>
          <w:w w:val="15"/>
          <w:shd w:val="solid" w:color="000000" w:fill="000000"/>
          <w:fitText w:val="-20" w:id="-1168355578"/>
          <w14:textFill>
            <w14:solidFill>
              <w14:srgbClr w14:val="000000">
                <w14:alpha w14:val="100000"/>
              </w14:srgbClr>
            </w14:solidFill>
          </w14:textFill>
        </w:rPr>
        <w:t xml:space="preserve">|  </w:t>
      </w:r>
      <w:r w:rsidR="00740926" w:rsidRPr="00497513">
        <w:rPr>
          <w:color w:val="000000"/>
          <w:spacing w:val="-69"/>
          <w:w w:val="15"/>
          <w:shd w:val="solid" w:color="000000" w:fill="000000"/>
          <w:fitText w:val="-20" w:id="-1168355578"/>
          <w14:textFill>
            <w14:solidFill>
              <w14:srgbClr w14:val="000000">
                <w14:alpha w14:val="100000"/>
              </w14:srgbClr>
            </w14:solidFill>
          </w14:textFill>
        </w:rPr>
        <w:t>|</w:t>
      </w:r>
      <w:proofErr w:type="gramEnd"/>
      <w:r w:rsidRPr="00A22427">
        <w:t>). The response stated that the cap negates all the financial risk to Government, particularly in terms of the concern related to spending more on ravulizumab than is currently the case with eculizumab with relation to weight ranges and greater loading doses being required due to the ability to switch between therapies in the restriction.</w:t>
      </w:r>
    </w:p>
    <w:p w14:paraId="60F1149E" w14:textId="07620177" w:rsidR="00BF547B" w:rsidRPr="00B41982" w:rsidRDefault="00BF547B" w:rsidP="00BF547B">
      <w:pPr>
        <w:pStyle w:val="3-BodyText"/>
        <w:numPr>
          <w:ilvl w:val="0"/>
          <w:numId w:val="0"/>
        </w:numPr>
        <w:ind w:left="709"/>
        <w:rPr>
          <w:i/>
          <w:iCs/>
        </w:rPr>
      </w:pPr>
      <w:r w:rsidRPr="00B41982">
        <w:rPr>
          <w:i/>
          <w:iCs/>
          <w:snapToGrid/>
        </w:rPr>
        <w:t xml:space="preserve">For more detail on PBAC’s view, see section </w:t>
      </w:r>
      <w:r w:rsidR="00AC3B28" w:rsidRPr="00B41982">
        <w:rPr>
          <w:i/>
          <w:iCs/>
          <w:snapToGrid/>
        </w:rPr>
        <w:t>1</w:t>
      </w:r>
      <w:r w:rsidR="00AC3B28">
        <w:rPr>
          <w:i/>
          <w:iCs/>
          <w:snapToGrid/>
        </w:rPr>
        <w:t>3</w:t>
      </w:r>
      <w:r w:rsidR="00AC3B28" w:rsidRPr="00B41982">
        <w:rPr>
          <w:i/>
          <w:iCs/>
          <w:snapToGrid/>
        </w:rPr>
        <w:t xml:space="preserve"> </w:t>
      </w:r>
      <w:r w:rsidRPr="00B41982">
        <w:rPr>
          <w:i/>
          <w:iCs/>
          <w:snapToGrid/>
        </w:rPr>
        <w:t xml:space="preserve">PBAC </w:t>
      </w:r>
      <w:r>
        <w:rPr>
          <w:i/>
          <w:iCs/>
          <w:snapToGrid/>
        </w:rPr>
        <w:t>O</w:t>
      </w:r>
      <w:r w:rsidRPr="00B41982">
        <w:rPr>
          <w:i/>
          <w:iCs/>
          <w:snapToGrid/>
        </w:rPr>
        <w:t>utcome.</w:t>
      </w:r>
    </w:p>
    <w:p w14:paraId="1BB0D521" w14:textId="77777777" w:rsidR="00BF547B" w:rsidRPr="00A22427" w:rsidRDefault="00BF547B" w:rsidP="00BF547B">
      <w:pPr>
        <w:jc w:val="left"/>
        <w:rPr>
          <w:rFonts w:asciiTheme="minorHAnsi" w:hAnsiTheme="minorHAnsi" w:cs="Arial"/>
          <w:b/>
          <w:snapToGrid w:val="0"/>
          <w:sz w:val="32"/>
          <w:szCs w:val="32"/>
          <w:lang w:eastAsia="en-AU"/>
        </w:rPr>
      </w:pPr>
      <w:r w:rsidRPr="00A22427">
        <w:br w:type="page"/>
      </w:r>
    </w:p>
    <w:p w14:paraId="69ED23C2" w14:textId="77777777" w:rsidR="00BF547B" w:rsidRPr="00A22427" w:rsidRDefault="00BF547B" w:rsidP="00BF547B">
      <w:pPr>
        <w:pStyle w:val="2-SectionHeading"/>
        <w:numPr>
          <w:ilvl w:val="0"/>
          <w:numId w:val="1"/>
        </w:numPr>
      </w:pPr>
      <w:r w:rsidRPr="00A22427">
        <w:lastRenderedPageBreak/>
        <w:t xml:space="preserve">PBAC </w:t>
      </w:r>
      <w:r>
        <w:t>O</w:t>
      </w:r>
      <w:r w:rsidRPr="00A22427">
        <w:t>utcome</w:t>
      </w:r>
    </w:p>
    <w:p w14:paraId="4981C256" w14:textId="77777777" w:rsidR="00BF547B" w:rsidRPr="00A22427" w:rsidRDefault="00BF547B" w:rsidP="00BF547B">
      <w:pPr>
        <w:pStyle w:val="3-BodyText"/>
        <w:ind w:left="709"/>
      </w:pPr>
      <w:r w:rsidRPr="00A22427">
        <w:t xml:space="preserve">The PBAC recommended the Authority required (written) listing of ravulizumab for the treatment of </w:t>
      </w:r>
      <w:bookmarkStart w:id="84" w:name="_Hlk141264157"/>
      <w:r w:rsidRPr="00A22427">
        <w:t>atypical haemolytic uraemic syndrome (aHUS)</w:t>
      </w:r>
      <w:bookmarkEnd w:id="84"/>
      <w:r w:rsidRPr="00A22427">
        <w:t xml:space="preserve">, on the basis that it should be available only under special arrangements under the Section 100 – Highly Specialised Drugs Program, following its deferral at the March 2023 PBAC meeting. The PBAC’s recommendation for listing was based on, among other matters, its assessment that the cost-effectiveness of ravulizumab would be acceptable if it were cost-minimised to eculizumab and there was a </w:t>
      </w:r>
      <w:r>
        <w:t>R</w:t>
      </w:r>
      <w:r w:rsidRPr="00A22427">
        <w:t xml:space="preserve">isk </w:t>
      </w:r>
      <w:r>
        <w:t>S</w:t>
      </w:r>
      <w:r w:rsidRPr="00A22427">
        <w:t>har</w:t>
      </w:r>
      <w:r>
        <w:t>ing</w:t>
      </w:r>
      <w:r w:rsidRPr="00A22427">
        <w:t xml:space="preserve"> </w:t>
      </w:r>
      <w:r>
        <w:t>A</w:t>
      </w:r>
      <w:r w:rsidRPr="00A22427">
        <w:t>rrangement to ensure no increase to the cost to Government for C5 inhibitor therapies for aHUS.</w:t>
      </w:r>
    </w:p>
    <w:p w14:paraId="1209368F" w14:textId="77777777" w:rsidR="00BF547B" w:rsidRPr="00A22427" w:rsidRDefault="00BF547B" w:rsidP="00BF547B">
      <w:pPr>
        <w:pStyle w:val="3-BodyText"/>
        <w:ind w:left="709"/>
      </w:pPr>
      <w:r w:rsidRPr="00A22427">
        <w:t>The PBAC had noted at the March 2023 meeting that funding of PBS medicines for public hospital inpatients is inconsistent with PBS policy and considered that ravulizumab should not be subsidised for admitted patients in public hospitals. The alternative Scenario 1 proposed in the response to the deferral was not considered appropriate by PBAC.</w:t>
      </w:r>
    </w:p>
    <w:p w14:paraId="067ED336" w14:textId="77777777" w:rsidR="00BF547B" w:rsidRPr="00A22427" w:rsidRDefault="00BF547B" w:rsidP="00BF547B">
      <w:pPr>
        <w:pStyle w:val="3-BodyText"/>
        <w:ind w:left="709"/>
      </w:pPr>
      <w:r w:rsidRPr="00A22427">
        <w:t>Following the March 2023 meeting, the PBAC sought advice from the aHUS Expert Reference Group to resolve issues for the aHUS PBS restrictions for C5 inhibitor therapies (ravulizumab and eculizumab); the advice informed the recommended PBS listing for ravulizumab in July 2023. The PBAC also considered that its additional prior concerns related to the CMA and the financial estimates were adequately resolved in the response to the deferral.</w:t>
      </w:r>
    </w:p>
    <w:p w14:paraId="4A796821" w14:textId="77777777" w:rsidR="00BF547B" w:rsidRPr="00A22427" w:rsidRDefault="00BF547B" w:rsidP="00BF547B">
      <w:pPr>
        <w:pStyle w:val="3-BodyText"/>
        <w:ind w:left="709"/>
      </w:pPr>
      <w:r w:rsidRPr="00A22427">
        <w:t xml:space="preserve">The PBAC has previously noted the clinical place of ravulizumab in patients with aHUS and the assumption that most patients who are now on long-term treatment with eculizumab will switch to ravulizumab because of a preference for a greater dosing interval (paragraph </w:t>
      </w:r>
      <w:r w:rsidRPr="00A22427">
        <w:fldChar w:fldCharType="begin" w:fldLock="1"/>
      </w:r>
      <w:r w:rsidRPr="00A22427">
        <w:instrText xml:space="preserve"> REF _Ref136949414 \r \h  \* MERGEFORMAT </w:instrText>
      </w:r>
      <w:r w:rsidRPr="00A22427">
        <w:fldChar w:fldCharType="separate"/>
      </w:r>
      <w:r w:rsidRPr="00A22427">
        <w:t>4.5</w:t>
      </w:r>
      <w:r w:rsidRPr="00A22427">
        <w:fldChar w:fldCharType="end"/>
      </w:r>
      <w:r w:rsidRPr="00A22427">
        <w:t>).</w:t>
      </w:r>
      <w:bookmarkStart w:id="85" w:name="_Ref119931183"/>
    </w:p>
    <w:bookmarkEnd w:id="85"/>
    <w:p w14:paraId="2E9C8598" w14:textId="77777777" w:rsidR="00BF547B" w:rsidRPr="00A22427" w:rsidDel="00441B06" w:rsidRDefault="00BF547B" w:rsidP="00BF547B">
      <w:pPr>
        <w:pStyle w:val="3-BodyText"/>
        <w:ind w:left="709"/>
      </w:pPr>
      <w:r w:rsidRPr="00A22427" w:rsidDel="00441B06">
        <w:t>The PBAC noted the complexity of the requested ravulizumab restriction</w:t>
      </w:r>
      <w:r w:rsidRPr="00A22427">
        <w:t xml:space="preserve"> which includes long and complex criteria for different treatment phases. Although the proposed ravulizumab restriction generally aligns with the eculizumab PBS listing, the final wording will need to be resolved through further consultation with Services Australia and the sponsor with relevant flow-on changes to the eculizumab restriction.</w:t>
      </w:r>
      <w:r w:rsidRPr="00A22427" w:rsidDel="00441B06">
        <w:t xml:space="preserve"> </w:t>
      </w:r>
    </w:p>
    <w:p w14:paraId="45BDD642" w14:textId="77777777" w:rsidR="00BF547B" w:rsidRPr="00A22427" w:rsidRDefault="00BF547B" w:rsidP="00BF547B">
      <w:pPr>
        <w:pStyle w:val="3-BodyText"/>
        <w:ind w:left="709"/>
      </w:pPr>
      <w:r w:rsidRPr="00A22427">
        <w:t xml:space="preserve">The PBAC recommended the following with respect to the restriction: </w:t>
      </w:r>
    </w:p>
    <w:p w14:paraId="1ED18B1A" w14:textId="77777777" w:rsidR="00BF547B" w:rsidRPr="00A22427" w:rsidRDefault="00BF547B" w:rsidP="00BF547B">
      <w:pPr>
        <w:pStyle w:val="3-BodyText"/>
        <w:numPr>
          <w:ilvl w:val="0"/>
          <w:numId w:val="32"/>
        </w:numPr>
      </w:pPr>
      <w:r w:rsidRPr="00A22427">
        <w:t>All ravulizumab restrictions must include the administrative note, ‘This drug is not PBS-subsidised if it is administered to an in-patient in a public hospital setting</w:t>
      </w:r>
      <w:proofErr w:type="gramStart"/>
      <w:r w:rsidRPr="00A22427">
        <w:t>’;</w:t>
      </w:r>
      <w:proofErr w:type="gramEnd"/>
    </w:p>
    <w:p w14:paraId="67D23837" w14:textId="77777777" w:rsidR="00BF547B" w:rsidRPr="00A22427" w:rsidRDefault="00BF547B" w:rsidP="00BF547B">
      <w:pPr>
        <w:pStyle w:val="3-BodyText"/>
        <w:numPr>
          <w:ilvl w:val="0"/>
          <w:numId w:val="32"/>
        </w:numPr>
      </w:pPr>
      <w:r w:rsidRPr="00A22427">
        <w:t xml:space="preserve">Public hospital inpatients will be expected to initiate treatment for aHUS on eculizumab, and then switch to PBS-funded ravulizumab upon discharge. One loading dose of ravulizumab will be required at the time of switching and a balance of supply restriction is then </w:t>
      </w:r>
      <w:proofErr w:type="gramStart"/>
      <w:r w:rsidRPr="00A22427">
        <w:t>required;</w:t>
      </w:r>
      <w:proofErr w:type="gramEnd"/>
      <w:r w:rsidRPr="00A22427">
        <w:t xml:space="preserve"> </w:t>
      </w:r>
    </w:p>
    <w:p w14:paraId="06C372AC" w14:textId="77777777" w:rsidR="00BF547B" w:rsidRPr="00A22427" w:rsidRDefault="00BF547B" w:rsidP="00BF547B">
      <w:pPr>
        <w:pStyle w:val="3-BodyText"/>
        <w:numPr>
          <w:ilvl w:val="0"/>
          <w:numId w:val="32"/>
        </w:numPr>
      </w:pPr>
      <w:r w:rsidRPr="00A22427">
        <w:t xml:space="preserve">Private hospital inpatients can initiate treatment on PBS-funded ravulizumab and then will be able to continue ravulizumab treatment upon </w:t>
      </w:r>
      <w:proofErr w:type="gramStart"/>
      <w:r w:rsidRPr="00A22427">
        <w:t>discharge;</w:t>
      </w:r>
      <w:proofErr w:type="gramEnd"/>
      <w:r w:rsidRPr="00A22427">
        <w:t xml:space="preserve"> </w:t>
      </w:r>
    </w:p>
    <w:p w14:paraId="1312D80D" w14:textId="77777777" w:rsidR="00BF547B" w:rsidRPr="00A22427" w:rsidRDefault="00BF547B" w:rsidP="00BF547B">
      <w:pPr>
        <w:pStyle w:val="3-BodyText"/>
        <w:numPr>
          <w:ilvl w:val="0"/>
          <w:numId w:val="32"/>
        </w:numPr>
      </w:pPr>
      <w:r w:rsidRPr="00A22427">
        <w:lastRenderedPageBreak/>
        <w:t>Following aHUS Expert Reference Group consultation, switching between C5 inhibitor therapies should not be limited as previously considered in March</w:t>
      </w:r>
      <w:r>
        <w:t> </w:t>
      </w:r>
      <w:r w:rsidRPr="00A22427">
        <w:t xml:space="preserve">2023 (see paragraphs </w:t>
      </w:r>
      <w:r w:rsidRPr="00A22427">
        <w:fldChar w:fldCharType="begin" w:fldLock="1"/>
      </w:r>
      <w:r w:rsidRPr="00A22427">
        <w:instrText xml:space="preserve"> REF _Ref131681808 \r \h </w:instrText>
      </w:r>
      <w:r w:rsidRPr="00A22427">
        <w:fldChar w:fldCharType="separate"/>
      </w:r>
      <w:r w:rsidRPr="00A22427">
        <w:t>7.2</w:t>
      </w:r>
      <w:r w:rsidRPr="00A22427">
        <w:fldChar w:fldCharType="end"/>
      </w:r>
      <w:r w:rsidRPr="00A22427">
        <w:t xml:space="preserve"> and </w:t>
      </w:r>
      <w:r w:rsidRPr="00A22427">
        <w:fldChar w:fldCharType="begin" w:fldLock="1"/>
      </w:r>
      <w:r w:rsidRPr="00A22427">
        <w:instrText xml:space="preserve"> REF _Ref140758887 \r \h </w:instrText>
      </w:r>
      <w:r w:rsidRPr="00A22427">
        <w:fldChar w:fldCharType="separate"/>
      </w:r>
      <w:r w:rsidRPr="00A22427">
        <w:t>7.3</w:t>
      </w:r>
      <w:r w:rsidRPr="00A22427">
        <w:fldChar w:fldCharType="end"/>
      </w:r>
      <w:r w:rsidRPr="00A22427">
        <w:t xml:space="preserve">) but instead be left to clinical judgement without limitations in the restrictions. </w:t>
      </w:r>
    </w:p>
    <w:p w14:paraId="54F71A9A" w14:textId="77777777" w:rsidR="00BF547B" w:rsidRPr="00A22427" w:rsidRDefault="00BF547B" w:rsidP="00BF547B">
      <w:pPr>
        <w:pStyle w:val="3-BodyText"/>
        <w:numPr>
          <w:ilvl w:val="0"/>
          <w:numId w:val="32"/>
        </w:numPr>
      </w:pPr>
      <w:r w:rsidRPr="00A22427">
        <w:t>Treatment switching between C5 inhibitor therapies could be considered in one restriction which covers all treatment phases rather than multiple listings as proposed in the response to the deferral. It will be necessary to include the loading dose and balance of supply restrictions for switching to account for the different durations of treatment allowed under each phase.</w:t>
      </w:r>
    </w:p>
    <w:p w14:paraId="26C46269" w14:textId="77777777" w:rsidR="00BF547B" w:rsidRPr="00A22427" w:rsidRDefault="00BF547B" w:rsidP="00BF547B">
      <w:pPr>
        <w:pStyle w:val="3-BodyText"/>
        <w:numPr>
          <w:ilvl w:val="0"/>
          <w:numId w:val="32"/>
        </w:numPr>
      </w:pPr>
      <w:r w:rsidRPr="00A22427">
        <w:t xml:space="preserve">A written application for switching between aHUS therapies would be in line with other eculizumab and ravulizumab restrictions and would be appropriate even if no further documentation regarding treatment eligibility was required. The PBAC advised there was a risk that patients could otherwise receive additional weeks in each treatment phase if switching, noting this may impact whether treatment remained acceptably cost-effective given the high cost of the drugs. The PBAC considered that a written application would be appropriate as the </w:t>
      </w:r>
      <w:proofErr w:type="gramStart"/>
      <w:r w:rsidRPr="00A22427">
        <w:t>aHUS</w:t>
      </w:r>
      <w:proofErr w:type="gramEnd"/>
      <w:r w:rsidRPr="00A22427">
        <w:t xml:space="preserve"> patient population is small and it would not be unduly onerous on prescribers.</w:t>
      </w:r>
    </w:p>
    <w:p w14:paraId="57000F2A" w14:textId="55DEE063" w:rsidR="00BF547B" w:rsidRPr="00A22427" w:rsidRDefault="00BF547B" w:rsidP="00BF547B">
      <w:pPr>
        <w:pStyle w:val="3-BodyText"/>
        <w:numPr>
          <w:ilvl w:val="0"/>
          <w:numId w:val="32"/>
        </w:numPr>
      </w:pPr>
      <w:r w:rsidRPr="00A22427">
        <w:t xml:space="preserve">The duration of each treatment phase should be as closely aligned with eculizumab as possible, with the treatment phases for ravulizumab taking the most conservative durations, where appropriate. The PBAC noted the proposed reduced treatment duration for the initial and continuing phases was appropriate but also considered the extra two weeks of ravulizumab treatment in the recommencement phase was acceptable given the loading dose requirement (see paragraph </w:t>
      </w:r>
      <w:r w:rsidRPr="00A22427">
        <w:fldChar w:fldCharType="begin" w:fldLock="1"/>
      </w:r>
      <w:r w:rsidRPr="00A22427">
        <w:instrText xml:space="preserve"> REF _Ref140775061 \r \h </w:instrText>
      </w:r>
      <w:r w:rsidRPr="00A22427">
        <w:fldChar w:fldCharType="separate"/>
      </w:r>
      <w:r w:rsidR="00C25F66">
        <w:t>11.6</w:t>
      </w:r>
      <w:r w:rsidRPr="00A22427">
        <w:fldChar w:fldCharType="end"/>
      </w:r>
      <w:r w:rsidRPr="00A22427">
        <w:t>).</w:t>
      </w:r>
    </w:p>
    <w:p w14:paraId="3852A0DD" w14:textId="77777777" w:rsidR="00BF547B" w:rsidRPr="00A22427" w:rsidRDefault="00BF547B" w:rsidP="00BF547B">
      <w:pPr>
        <w:pStyle w:val="3-BodyText"/>
        <w:numPr>
          <w:ilvl w:val="0"/>
          <w:numId w:val="32"/>
        </w:numPr>
      </w:pPr>
      <w:r w:rsidRPr="00A22427">
        <w:t>A grandfathering restriction was deemed appropriate where patients would have met the initial restriction criteria at the time of initiating ravulizumab.</w:t>
      </w:r>
    </w:p>
    <w:p w14:paraId="54F2199F" w14:textId="77777777" w:rsidR="00BF547B" w:rsidRPr="00A22427" w:rsidRDefault="00BF547B" w:rsidP="00BF547B">
      <w:pPr>
        <w:pStyle w:val="3-BodyText"/>
        <w:ind w:left="709"/>
      </w:pPr>
      <w:r w:rsidRPr="00A22427">
        <w:t xml:space="preserve">The PBAC noted that it had previously considered non-inferior effectiveness and safety of ravulizumab compared to eculizumab for the treatment of aHUS was reasonable at the March 2023 PBAC meeting (see paragraph </w:t>
      </w:r>
      <w:r w:rsidRPr="00A22427">
        <w:fldChar w:fldCharType="begin" w:fldLock="1"/>
      </w:r>
      <w:r w:rsidRPr="00A22427">
        <w:instrText xml:space="preserve"> REF _Ref140775231 \r \h </w:instrText>
      </w:r>
      <w:r w:rsidRPr="00A22427">
        <w:fldChar w:fldCharType="separate"/>
      </w:r>
      <w:r w:rsidRPr="00A22427">
        <w:t>7.9</w:t>
      </w:r>
      <w:r w:rsidRPr="00A22427">
        <w:fldChar w:fldCharType="end"/>
      </w:r>
      <w:r w:rsidRPr="00A22427">
        <w:t>).</w:t>
      </w:r>
      <w:r w:rsidRPr="00A22427">
        <w:rPr>
          <w:b/>
          <w:bCs/>
        </w:rPr>
        <w:t xml:space="preserve"> </w:t>
      </w:r>
      <w:r w:rsidRPr="00A22427">
        <w:rPr>
          <w:rStyle w:val="null1"/>
        </w:rPr>
        <w:t>There was no clinical update for the July 2023 consideration.</w:t>
      </w:r>
    </w:p>
    <w:p w14:paraId="66CDD2B5" w14:textId="62530B9B" w:rsidR="00BF547B" w:rsidRPr="00A22427" w:rsidRDefault="00BF547B" w:rsidP="00BF547B">
      <w:pPr>
        <w:pStyle w:val="3-BodyText"/>
        <w:ind w:left="709"/>
      </w:pPr>
      <w:r w:rsidRPr="00A22427">
        <w:t xml:space="preserve">The PBAC considered ravulizumab would be cost-effective </w:t>
      </w:r>
      <w:proofErr w:type="gramStart"/>
      <w:r w:rsidRPr="00A22427">
        <w:t>on the basis of</w:t>
      </w:r>
      <w:proofErr w:type="gramEnd"/>
      <w:r w:rsidRPr="00A22427">
        <w:t xml:space="preserve"> cost-minimisation to eculizumab. The PBAC noted the response to the deferral suggested the equi-effective doses provided in the March 2023 submission were conservative, relative to the patient-level data of treatment exposure in Study 311. As such, the PBAC accepted the equi-effective doses as outlined in paragraph </w:t>
      </w:r>
      <w:r w:rsidRPr="00A22427">
        <w:fldChar w:fldCharType="begin" w:fldLock="1"/>
      </w:r>
      <w:r w:rsidRPr="00A22427">
        <w:instrText xml:space="preserve"> REF _Ref140762677 \r \h </w:instrText>
      </w:r>
      <w:r w:rsidRPr="00A22427">
        <w:fldChar w:fldCharType="separate"/>
      </w:r>
      <w:r w:rsidRPr="00A22427">
        <w:t>6.58</w:t>
      </w:r>
      <w:r w:rsidRPr="00A22427">
        <w:fldChar w:fldCharType="end"/>
      </w:r>
      <w:r w:rsidRPr="00A22427">
        <w:t xml:space="preserve">. The equi-effective doses for adults were: ravulizumab 23,097 mg (7.25 infusions including the loading dose), over one year and eculizumab 32,400 mg (28 infusions including loading doses) over one year, based on the PI dosing and the weight distributions from </w:t>
      </w:r>
      <w:r w:rsidR="00F72A02" w:rsidRPr="00A22427">
        <w:t>Study</w:t>
      </w:r>
      <w:r w:rsidR="00F72A02">
        <w:t> </w:t>
      </w:r>
      <w:r w:rsidRPr="00A22427">
        <w:t xml:space="preserve">311. </w:t>
      </w:r>
    </w:p>
    <w:p w14:paraId="011963D1" w14:textId="5D0472D6" w:rsidR="00BF547B" w:rsidRPr="00A22427" w:rsidRDefault="00BF547B" w:rsidP="00BF547B">
      <w:pPr>
        <w:pStyle w:val="3-BodyText"/>
        <w:ind w:left="709"/>
      </w:pPr>
      <w:r w:rsidRPr="00A22427">
        <w:lastRenderedPageBreak/>
        <w:t xml:space="preserve">The PBAC noted the CMA appropriately included the costs of switching and accounted for the different duration of therapies supplied under each restriction phase. Although the duration of treatment under each phase was based on a draft rather than final restriction, the PBAC considered the additional </w:t>
      </w:r>
      <w:proofErr w:type="gramStart"/>
      <w:r w:rsidR="00740926" w:rsidRPr="00497513">
        <w:rPr>
          <w:color w:val="000000"/>
          <w:w w:val="15"/>
          <w:shd w:val="solid" w:color="000000" w:fill="000000"/>
          <w:fitText w:val="-20" w:id="-1168355577"/>
          <w14:textFill>
            <w14:solidFill>
              <w14:srgbClr w14:val="000000">
                <w14:alpha w14:val="100000"/>
              </w14:srgbClr>
            </w14:solidFill>
          </w14:textFill>
        </w:rPr>
        <w:t xml:space="preserve">|  </w:t>
      </w:r>
      <w:r w:rsidR="00740926" w:rsidRPr="00497513">
        <w:rPr>
          <w:color w:val="000000"/>
          <w:spacing w:val="-69"/>
          <w:w w:val="15"/>
          <w:shd w:val="solid" w:color="000000" w:fill="000000"/>
          <w:fitText w:val="-20" w:id="-1168355577"/>
          <w14:textFill>
            <w14:solidFill>
              <w14:srgbClr w14:val="000000">
                <w14:alpha w14:val="100000"/>
              </w14:srgbClr>
            </w14:solidFill>
          </w14:textFill>
        </w:rPr>
        <w:t>|</w:t>
      </w:r>
      <w:proofErr w:type="gramEnd"/>
      <w:r w:rsidRPr="00A22427">
        <w:t xml:space="preserve">% price reduction to </w:t>
      </w:r>
      <w:r w:rsidR="00740926" w:rsidRPr="00497513">
        <w:rPr>
          <w:color w:val="000000"/>
          <w:w w:val="15"/>
          <w:shd w:val="solid" w:color="000000" w:fill="000000"/>
          <w:fitText w:val="-20" w:id="-1168355576"/>
          <w14:textFill>
            <w14:solidFill>
              <w14:srgbClr w14:val="000000">
                <w14:alpha w14:val="100000"/>
              </w14:srgbClr>
            </w14:solidFill>
          </w14:textFill>
        </w:rPr>
        <w:t xml:space="preserve">|  </w:t>
      </w:r>
      <w:r w:rsidR="00740926" w:rsidRPr="00497513">
        <w:rPr>
          <w:color w:val="000000"/>
          <w:spacing w:val="-69"/>
          <w:w w:val="15"/>
          <w:shd w:val="solid" w:color="000000" w:fill="000000"/>
          <w:fitText w:val="-20" w:id="-1168355576"/>
          <w14:textFill>
            <w14:solidFill>
              <w14:srgbClr w14:val="000000">
                <w14:alpha w14:val="100000"/>
              </w14:srgbClr>
            </w14:solidFill>
          </w14:textFill>
        </w:rPr>
        <w:t>|</w:t>
      </w:r>
      <w:r w:rsidRPr="00A22427">
        <w:t>would remove the risk that the final calculated prices for ravulizumab result in higher costs than eculizumab.</w:t>
      </w:r>
    </w:p>
    <w:p w14:paraId="4616F848" w14:textId="77777777" w:rsidR="00BF547B" w:rsidRPr="00A22427" w:rsidRDefault="00BF547B" w:rsidP="00BF547B">
      <w:pPr>
        <w:pStyle w:val="3-BodyText"/>
        <w:ind w:left="709"/>
      </w:pPr>
      <w:r w:rsidRPr="00A22427">
        <w:t xml:space="preserve">The PBAC considered that aHUS patient numbers will not increase with the PBS listing of ravulizumab and maintained that the 2020 DUSC review conclusion that eculizumab use for aHUS indicated it was a stable patient population was appropriate and use of the DUSC data was more relevant than the up-to-date order data provided in the response to the deferral. The PBAC did not consider the response to the deferral had adequately justified increasing the estimated number of patients eligible for C5 inhibitor therapy over the forward estimates compared to the March 2023 submission, which included a linear projected growth based on the DUSC review numbers (see </w:t>
      </w:r>
      <w:r w:rsidRPr="00A22427">
        <w:fldChar w:fldCharType="begin" w:fldLock="1"/>
      </w:r>
      <w:r w:rsidRPr="00A22427">
        <w:instrText xml:space="preserve"> REF _Ref120628620 \h </w:instrText>
      </w:r>
      <w:r w:rsidRPr="00A22427">
        <w:fldChar w:fldCharType="separate"/>
      </w:r>
      <w:r w:rsidRPr="00A22427">
        <w:t>Table 14</w:t>
      </w:r>
      <w:r w:rsidRPr="00A22427">
        <w:fldChar w:fldCharType="end"/>
      </w:r>
      <w:r w:rsidRPr="00A22427">
        <w:t xml:space="preserve"> compared to </w:t>
      </w:r>
      <w:r w:rsidRPr="00A22427">
        <w:fldChar w:fldCharType="begin" w:fldLock="1"/>
      </w:r>
      <w:r w:rsidRPr="00A22427">
        <w:instrText xml:space="preserve"> REF _Ref139986945 \h </w:instrText>
      </w:r>
      <w:r w:rsidRPr="00A22427">
        <w:fldChar w:fldCharType="separate"/>
      </w:r>
      <w:r w:rsidRPr="00A22427">
        <w:t xml:space="preserve">Table </w:t>
      </w:r>
      <w:r>
        <w:rPr>
          <w:noProof/>
        </w:rPr>
        <w:t>19</w:t>
      </w:r>
      <w:r w:rsidRPr="00A22427">
        <w:fldChar w:fldCharType="end"/>
      </w:r>
      <w:r w:rsidRPr="00A22427">
        <w:t xml:space="preserve">). </w:t>
      </w:r>
    </w:p>
    <w:p w14:paraId="7A3FB433" w14:textId="77777777" w:rsidR="00BF547B" w:rsidRPr="00A22427" w:rsidRDefault="00BF547B" w:rsidP="00BF547B">
      <w:pPr>
        <w:pStyle w:val="3-BodyText"/>
        <w:ind w:left="709"/>
        <w:rPr>
          <w:rStyle w:val="null1"/>
        </w:rPr>
      </w:pPr>
      <w:bookmarkStart w:id="86" w:name="_Hlk141269657"/>
      <w:r w:rsidRPr="00A22427">
        <w:t xml:space="preserve">The PBAC reiterated its March 2023 recommendation that a </w:t>
      </w:r>
      <w:r>
        <w:t>R</w:t>
      </w:r>
      <w:r w:rsidRPr="00A22427">
        <w:t xml:space="preserve">isk </w:t>
      </w:r>
      <w:r>
        <w:t>S</w:t>
      </w:r>
      <w:r w:rsidRPr="00A22427">
        <w:t>har</w:t>
      </w:r>
      <w:r>
        <w:t>ing</w:t>
      </w:r>
      <w:r w:rsidRPr="00A22427">
        <w:t xml:space="preserve"> </w:t>
      </w:r>
      <w:r>
        <w:t>A</w:t>
      </w:r>
      <w:r w:rsidRPr="00A22427">
        <w:t xml:space="preserve">rrangement </w:t>
      </w:r>
      <w:r>
        <w:t xml:space="preserve">(RSA) </w:t>
      </w:r>
      <w:r w:rsidRPr="00A22427">
        <w:t>to cover the overall PBS cost of aHUS treatment with a C5 inhibitor therapy</w:t>
      </w:r>
      <w:r>
        <w:t xml:space="preserve"> with a 100% rebate</w:t>
      </w:r>
      <w:r w:rsidRPr="00A22427">
        <w:t xml:space="preserve"> would be required.</w:t>
      </w:r>
      <w:bookmarkEnd w:id="86"/>
      <w:r w:rsidRPr="00A22427">
        <w:t xml:space="preserve"> The response to the deferral indicated that the Sponsor is willing to </w:t>
      </w:r>
      <w:proofErr w:type="gramStart"/>
      <w:r w:rsidRPr="00A22427">
        <w:t>enter into</w:t>
      </w:r>
      <w:proofErr w:type="gramEnd"/>
      <w:r w:rsidRPr="00A22427">
        <w:t xml:space="preserve"> the specified RSA.</w:t>
      </w:r>
    </w:p>
    <w:p w14:paraId="78F11038" w14:textId="77777777" w:rsidR="00BF547B" w:rsidRPr="00A22427" w:rsidRDefault="00BF547B" w:rsidP="00BF547B">
      <w:pPr>
        <w:pStyle w:val="3-BodyText"/>
        <w:ind w:left="709"/>
      </w:pPr>
      <w:r w:rsidRPr="00A22427">
        <w:rPr>
          <w:rFonts w:eastAsiaTheme="minorHAnsi"/>
        </w:rPr>
        <w:t xml:space="preserve">The PBAC noted that its recommendation was on a cost-minimisation basis and advised that, because ravulizumab is not expected to provide a substantial and clinically relevant improvement in efficacy, or reduction of toxicity, over existing </w:t>
      </w:r>
      <w:r w:rsidRPr="00A22427">
        <w:t>treatment with a C5 inhibitor therapy</w:t>
      </w:r>
      <w:r w:rsidRPr="00A22427">
        <w:rPr>
          <w:rFonts w:eastAsiaTheme="minorHAnsi"/>
        </w:rPr>
        <w:t xml:space="preserve">, or not expected to address a high and urgent unmet clinical need given the presence of an alternative therapy, the criteria prescribed by the </w:t>
      </w:r>
      <w:r w:rsidRPr="00F72A02">
        <w:rPr>
          <w:rFonts w:eastAsiaTheme="minorHAnsi"/>
          <w:i/>
          <w:iCs/>
        </w:rPr>
        <w:t>National Health (Pharmaceuticals and Vaccines – Cost Recovery) Regulations 2022</w:t>
      </w:r>
      <w:r w:rsidRPr="00A22427">
        <w:rPr>
          <w:rFonts w:eastAsiaTheme="minorHAnsi"/>
        </w:rPr>
        <w:t xml:space="preserve"> for Pricing Pathway A were not met.</w:t>
      </w:r>
    </w:p>
    <w:p w14:paraId="530832BF" w14:textId="77777777" w:rsidR="00BF547B" w:rsidRPr="00A22427" w:rsidRDefault="00BF547B" w:rsidP="00BF547B">
      <w:pPr>
        <w:pStyle w:val="3-BodyText"/>
        <w:ind w:left="709"/>
      </w:pPr>
      <w:r w:rsidRPr="00A22427">
        <w:t>The PBAC noted flow-on changes to the eculizumab restriction are required.</w:t>
      </w:r>
    </w:p>
    <w:p w14:paraId="7C8FB3B5" w14:textId="77777777" w:rsidR="00BF547B" w:rsidRPr="00A22427" w:rsidRDefault="00BF547B" w:rsidP="00BF547B">
      <w:pPr>
        <w:pStyle w:val="3-BodyText"/>
        <w:ind w:left="709"/>
      </w:pPr>
      <w:r w:rsidRPr="00A22427">
        <w:t>The PBAC noted that this submission is not eligible for an Independent Review as it received a positive recommendation.</w:t>
      </w:r>
    </w:p>
    <w:p w14:paraId="2FEE1D4B" w14:textId="77777777" w:rsidR="00BF547B" w:rsidRPr="00B41982" w:rsidRDefault="00BF547B" w:rsidP="00BF547B">
      <w:pPr>
        <w:pStyle w:val="3-BodyText"/>
        <w:numPr>
          <w:ilvl w:val="0"/>
          <w:numId w:val="0"/>
        </w:numPr>
        <w:spacing w:after="0"/>
        <w:rPr>
          <w:b/>
          <w:bCs/>
        </w:rPr>
      </w:pPr>
      <w:r w:rsidRPr="00B41982">
        <w:rPr>
          <w:b/>
          <w:bCs/>
        </w:rPr>
        <w:t>Outcome:</w:t>
      </w:r>
    </w:p>
    <w:p w14:paraId="5CE68782" w14:textId="77777777" w:rsidR="00BF547B" w:rsidRPr="00A22427" w:rsidRDefault="00BF547B" w:rsidP="00BF547B">
      <w:pPr>
        <w:pStyle w:val="3-BodyText"/>
        <w:numPr>
          <w:ilvl w:val="0"/>
          <w:numId w:val="0"/>
        </w:numPr>
      </w:pPr>
      <w:r w:rsidRPr="00A22427">
        <w:t>Recommended</w:t>
      </w:r>
    </w:p>
    <w:p w14:paraId="12E96816" w14:textId="77777777" w:rsidR="00BF547B" w:rsidRPr="00A22427" w:rsidRDefault="00BF547B" w:rsidP="00BF547B">
      <w:pPr>
        <w:pStyle w:val="2-SectionHeading"/>
        <w:numPr>
          <w:ilvl w:val="0"/>
          <w:numId w:val="1"/>
        </w:numPr>
      </w:pPr>
      <w:r w:rsidRPr="00A22427">
        <w:t xml:space="preserve">Recommended </w:t>
      </w:r>
      <w:r>
        <w:t>L</w:t>
      </w:r>
      <w:r w:rsidRPr="00A22427">
        <w:t>isting</w:t>
      </w:r>
    </w:p>
    <w:p w14:paraId="1F4AD003" w14:textId="77777777" w:rsidR="00BF547B" w:rsidRPr="00A22427" w:rsidRDefault="00BF547B" w:rsidP="001954C1">
      <w:pPr>
        <w:pStyle w:val="3-BodyText"/>
        <w:numPr>
          <w:ilvl w:val="0"/>
          <w:numId w:val="0"/>
        </w:numPr>
        <w:ind w:left="720"/>
      </w:pPr>
      <w:r w:rsidRPr="00A22427">
        <w:t>This restriction is in the process of being finalised. The sponsor will be notified of the final restriction.</w:t>
      </w:r>
    </w:p>
    <w:p w14:paraId="33D7D77F" w14:textId="7F0FE2FD" w:rsidR="00257D80" w:rsidRPr="00257D80" w:rsidRDefault="00257D80" w:rsidP="00257D80">
      <w:pPr>
        <w:pStyle w:val="2-SectionHeading"/>
        <w:numPr>
          <w:ilvl w:val="0"/>
          <w:numId w:val="1"/>
        </w:numPr>
      </w:pPr>
      <w:r w:rsidRPr="00C07617">
        <w:t>Context for Decision</w:t>
      </w:r>
    </w:p>
    <w:p w14:paraId="7A72E00D" w14:textId="77777777" w:rsidR="00257D80" w:rsidRPr="007129F2" w:rsidRDefault="00257D80" w:rsidP="00257D80">
      <w:pPr>
        <w:spacing w:after="120"/>
        <w:ind w:left="720"/>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w:t>
      </w:r>
      <w:r w:rsidRPr="007129F2">
        <w:rPr>
          <w:rFonts w:asciiTheme="minorHAnsi" w:hAnsiTheme="minorHAnsi" w:cs="Arial"/>
          <w:bCs/>
          <w:lang w:val="en-GB"/>
        </w:rPr>
        <w:lastRenderedPageBreak/>
        <w:t>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40A466A" w14:textId="4229BB12" w:rsidR="00257D80" w:rsidRPr="00257D80" w:rsidRDefault="00257D80" w:rsidP="00257D80">
      <w:pPr>
        <w:pStyle w:val="2-SectionHeading"/>
        <w:numPr>
          <w:ilvl w:val="0"/>
          <w:numId w:val="1"/>
        </w:numPr>
      </w:pPr>
      <w:r>
        <w:t>Sponsor’s Comment</w:t>
      </w:r>
    </w:p>
    <w:p w14:paraId="510C8E37" w14:textId="77777777" w:rsidR="00257D80" w:rsidRPr="001179AC" w:rsidRDefault="00257D80" w:rsidP="00257D80">
      <w:pPr>
        <w:spacing w:after="120"/>
        <w:ind w:left="426" w:firstLine="294"/>
        <w:rPr>
          <w:rFonts w:asciiTheme="minorHAnsi" w:hAnsiTheme="minorHAnsi" w:cs="Arial"/>
          <w:bCs/>
        </w:rPr>
      </w:pPr>
      <w:r w:rsidRPr="00C07617">
        <w:rPr>
          <w:rFonts w:asciiTheme="minorHAnsi" w:hAnsiTheme="minorHAnsi" w:cs="Arial"/>
          <w:bCs/>
        </w:rPr>
        <w:t>The sponsor had no comment.</w:t>
      </w:r>
    </w:p>
    <w:p w14:paraId="21AFC8F9" w14:textId="77777777" w:rsidR="00627E54" w:rsidRPr="009B2C01" w:rsidRDefault="00627E54" w:rsidP="009B2C01">
      <w:pPr>
        <w:pStyle w:val="TableFooter"/>
      </w:pPr>
    </w:p>
    <w:sectPr w:rsidR="00627E54" w:rsidRPr="009B2C01" w:rsidSect="00251006">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F3B27" w14:textId="77777777" w:rsidR="00303DDB" w:rsidRDefault="00303DDB" w:rsidP="00124A51">
      <w:r>
        <w:separator/>
      </w:r>
    </w:p>
    <w:p w14:paraId="289CE883" w14:textId="77777777" w:rsidR="00303DDB" w:rsidRDefault="00303DDB"/>
  </w:endnote>
  <w:endnote w:type="continuationSeparator" w:id="0">
    <w:p w14:paraId="19AC0FE3" w14:textId="77777777" w:rsidR="00303DDB" w:rsidRDefault="00303DDB" w:rsidP="00124A51">
      <w:r>
        <w:continuationSeparator/>
      </w:r>
    </w:p>
    <w:p w14:paraId="78EA37C0" w14:textId="77777777" w:rsidR="00303DDB" w:rsidRDefault="00303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9E6648" w:rsidRDefault="009E6648" w:rsidP="00753B29">
    <w:pPr>
      <w:pStyle w:val="Footer"/>
      <w:jc w:val="center"/>
    </w:pPr>
  </w:p>
  <w:bookmarkStart w:id="87" w:name="_Hlk76375156"/>
  <w:p w14:paraId="37484CD3" w14:textId="6A73ADA8" w:rsidR="009E6648" w:rsidRPr="007745CF" w:rsidRDefault="003A48D2" w:rsidP="003A48D2">
    <w:pPr>
      <w:pStyle w:val="Footer"/>
      <w:keepNext/>
      <w:ind w:left="360"/>
      <w:jc w:val="center"/>
      <w:rPr>
        <w:rFonts w:cs="Arial"/>
      </w:rPr>
    </w:pPr>
    <w:r w:rsidRPr="00836F75">
      <w:rPr>
        <w:rFonts w:cs="Arial"/>
        <w:b/>
      </w:rPr>
      <w:fldChar w:fldCharType="begin"/>
    </w:r>
    <w:r w:rsidRPr="00836F75">
      <w:rPr>
        <w:rFonts w:cs="Arial"/>
        <w:b/>
      </w:rPr>
      <w:instrText xml:space="preserve"> PAGE   \* MERGEFORMAT </w:instrText>
    </w:r>
    <w:r w:rsidRPr="00836F75">
      <w:rPr>
        <w:rFonts w:cs="Arial"/>
        <w:b/>
      </w:rPr>
      <w:fldChar w:fldCharType="separate"/>
    </w:r>
    <w:r w:rsidRPr="00836F75">
      <w:rPr>
        <w:rFonts w:cs="Arial"/>
        <w:b/>
        <w:noProof/>
      </w:rPr>
      <w:t>1</w:t>
    </w:r>
    <w:r w:rsidRPr="00836F75">
      <w:rPr>
        <w:rFonts w:cs="Arial"/>
        <w:b/>
        <w:noProof/>
      </w:rPr>
      <w:fldChar w:fldCharType="end"/>
    </w:r>
    <w:bookmarkEnd w:id="8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962DE" w14:textId="77777777" w:rsidR="00303DDB" w:rsidRDefault="00303DDB" w:rsidP="00124A51">
      <w:r>
        <w:separator/>
      </w:r>
    </w:p>
    <w:p w14:paraId="1EB2B4BE" w14:textId="77777777" w:rsidR="00303DDB" w:rsidRDefault="00303DDB"/>
  </w:footnote>
  <w:footnote w:type="continuationSeparator" w:id="0">
    <w:p w14:paraId="6EDE017C" w14:textId="77777777" w:rsidR="00303DDB" w:rsidRDefault="00303DDB" w:rsidP="00124A51">
      <w:r>
        <w:continuationSeparator/>
      </w:r>
    </w:p>
    <w:p w14:paraId="55EBD3E7" w14:textId="77777777" w:rsidR="00303DDB" w:rsidRDefault="00303D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7832CFFE" w:rsidR="009E6648" w:rsidRPr="00BF547B" w:rsidRDefault="000B3185" w:rsidP="00FB550B">
    <w:pPr>
      <w:pStyle w:val="Header"/>
      <w:rPr>
        <w:i/>
      </w:rPr>
    </w:pPr>
    <w:r w:rsidRPr="00BF547B">
      <w:rPr>
        <w:rFonts w:cs="Arial"/>
        <w:i/>
      </w:rPr>
      <w:t>Public Summary Document</w:t>
    </w:r>
    <w:r w:rsidR="00D512F5" w:rsidRPr="00BF547B">
      <w:rPr>
        <w:rFonts w:cs="Arial"/>
        <w:i/>
      </w:rPr>
      <w:t xml:space="preserve"> </w:t>
    </w:r>
    <w:r w:rsidR="003A48D2" w:rsidRPr="00BF547B">
      <w:rPr>
        <w:rFonts w:cs="Arial"/>
        <w:i/>
      </w:rPr>
      <w:t xml:space="preserve">– </w:t>
    </w:r>
    <w:r w:rsidR="009E6648" w:rsidRPr="00BF547B">
      <w:rPr>
        <w:i/>
      </w:rPr>
      <w:t>March 2023 PBAC Meeting</w:t>
    </w:r>
    <w:r w:rsidR="00BF547B" w:rsidRPr="00BF547B">
      <w:rPr>
        <w:i/>
      </w:rPr>
      <w:t xml:space="preserve"> with July 2023 Addendum</w:t>
    </w:r>
  </w:p>
  <w:p w14:paraId="03AF943B" w14:textId="77777777" w:rsidR="009E6648" w:rsidRPr="008C7ECB" w:rsidRDefault="009E6648" w:rsidP="00FB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C6244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426032"/>
    <w:multiLevelType w:val="hybridMultilevel"/>
    <w:tmpl w:val="65AC127C"/>
    <w:lvl w:ilvl="0" w:tplc="C442CEFE">
      <w:start w:val="2"/>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0432CA6"/>
    <w:multiLevelType w:val="hybridMultilevel"/>
    <w:tmpl w:val="55564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7C1516"/>
    <w:multiLevelType w:val="hybridMultilevel"/>
    <w:tmpl w:val="8F482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2E065C"/>
    <w:multiLevelType w:val="hybridMultilevel"/>
    <w:tmpl w:val="FD125256"/>
    <w:lvl w:ilvl="0" w:tplc="EAB6E02E">
      <w:start w:val="8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D67A6"/>
    <w:multiLevelType w:val="hybridMultilevel"/>
    <w:tmpl w:val="51CA1480"/>
    <w:lvl w:ilvl="0" w:tplc="04090001">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F14476"/>
    <w:multiLevelType w:val="hybridMultilevel"/>
    <w:tmpl w:val="3160A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8B4E67"/>
    <w:multiLevelType w:val="hybridMultilevel"/>
    <w:tmpl w:val="0748B3FE"/>
    <w:lvl w:ilvl="0" w:tplc="83D0491C">
      <w:start w:val="1"/>
      <w:numFmt w:val="bullet"/>
      <w:lvlText w:val="•"/>
      <w:lvlJc w:val="left"/>
      <w:pPr>
        <w:tabs>
          <w:tab w:val="num" w:pos="720"/>
        </w:tabs>
        <w:ind w:left="720" w:hanging="360"/>
      </w:pPr>
      <w:rPr>
        <w:rFonts w:ascii="Arial" w:hAnsi="Arial" w:hint="default"/>
      </w:rPr>
    </w:lvl>
    <w:lvl w:ilvl="1" w:tplc="226CECDC" w:tentative="1">
      <w:start w:val="1"/>
      <w:numFmt w:val="bullet"/>
      <w:lvlText w:val="•"/>
      <w:lvlJc w:val="left"/>
      <w:pPr>
        <w:tabs>
          <w:tab w:val="num" w:pos="1440"/>
        </w:tabs>
        <w:ind w:left="1440" w:hanging="360"/>
      </w:pPr>
      <w:rPr>
        <w:rFonts w:ascii="Arial" w:hAnsi="Arial" w:hint="default"/>
      </w:rPr>
    </w:lvl>
    <w:lvl w:ilvl="2" w:tplc="3816256E" w:tentative="1">
      <w:start w:val="1"/>
      <w:numFmt w:val="bullet"/>
      <w:lvlText w:val="•"/>
      <w:lvlJc w:val="left"/>
      <w:pPr>
        <w:tabs>
          <w:tab w:val="num" w:pos="2160"/>
        </w:tabs>
        <w:ind w:left="2160" w:hanging="360"/>
      </w:pPr>
      <w:rPr>
        <w:rFonts w:ascii="Arial" w:hAnsi="Arial" w:hint="default"/>
      </w:rPr>
    </w:lvl>
    <w:lvl w:ilvl="3" w:tplc="67FCC792" w:tentative="1">
      <w:start w:val="1"/>
      <w:numFmt w:val="bullet"/>
      <w:lvlText w:val="•"/>
      <w:lvlJc w:val="left"/>
      <w:pPr>
        <w:tabs>
          <w:tab w:val="num" w:pos="2880"/>
        </w:tabs>
        <w:ind w:left="2880" w:hanging="360"/>
      </w:pPr>
      <w:rPr>
        <w:rFonts w:ascii="Arial" w:hAnsi="Arial" w:hint="default"/>
      </w:rPr>
    </w:lvl>
    <w:lvl w:ilvl="4" w:tplc="C478E04A" w:tentative="1">
      <w:start w:val="1"/>
      <w:numFmt w:val="bullet"/>
      <w:lvlText w:val="•"/>
      <w:lvlJc w:val="left"/>
      <w:pPr>
        <w:tabs>
          <w:tab w:val="num" w:pos="3600"/>
        </w:tabs>
        <w:ind w:left="3600" w:hanging="360"/>
      </w:pPr>
      <w:rPr>
        <w:rFonts w:ascii="Arial" w:hAnsi="Arial" w:hint="default"/>
      </w:rPr>
    </w:lvl>
    <w:lvl w:ilvl="5" w:tplc="3B22EB38" w:tentative="1">
      <w:start w:val="1"/>
      <w:numFmt w:val="bullet"/>
      <w:lvlText w:val="•"/>
      <w:lvlJc w:val="left"/>
      <w:pPr>
        <w:tabs>
          <w:tab w:val="num" w:pos="4320"/>
        </w:tabs>
        <w:ind w:left="4320" w:hanging="360"/>
      </w:pPr>
      <w:rPr>
        <w:rFonts w:ascii="Arial" w:hAnsi="Arial" w:hint="default"/>
      </w:rPr>
    </w:lvl>
    <w:lvl w:ilvl="6" w:tplc="575A7D58" w:tentative="1">
      <w:start w:val="1"/>
      <w:numFmt w:val="bullet"/>
      <w:lvlText w:val="•"/>
      <w:lvlJc w:val="left"/>
      <w:pPr>
        <w:tabs>
          <w:tab w:val="num" w:pos="5040"/>
        </w:tabs>
        <w:ind w:left="5040" w:hanging="360"/>
      </w:pPr>
      <w:rPr>
        <w:rFonts w:ascii="Arial" w:hAnsi="Arial" w:hint="default"/>
      </w:rPr>
    </w:lvl>
    <w:lvl w:ilvl="7" w:tplc="052A77D4" w:tentative="1">
      <w:start w:val="1"/>
      <w:numFmt w:val="bullet"/>
      <w:lvlText w:val="•"/>
      <w:lvlJc w:val="left"/>
      <w:pPr>
        <w:tabs>
          <w:tab w:val="num" w:pos="5760"/>
        </w:tabs>
        <w:ind w:left="5760" w:hanging="360"/>
      </w:pPr>
      <w:rPr>
        <w:rFonts w:ascii="Arial" w:hAnsi="Arial" w:hint="default"/>
      </w:rPr>
    </w:lvl>
    <w:lvl w:ilvl="8" w:tplc="8AC2BDD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2A638E"/>
    <w:multiLevelType w:val="hybridMultilevel"/>
    <w:tmpl w:val="00BEC328"/>
    <w:lvl w:ilvl="0" w:tplc="6B4229C4">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AC75934"/>
    <w:multiLevelType w:val="hybridMultilevel"/>
    <w:tmpl w:val="B6BCF080"/>
    <w:lvl w:ilvl="0" w:tplc="DFB23B70">
      <w:start w:val="1"/>
      <w:numFmt w:val="bullet"/>
      <w:lvlText w:val="•"/>
      <w:lvlJc w:val="left"/>
      <w:pPr>
        <w:tabs>
          <w:tab w:val="num" w:pos="720"/>
        </w:tabs>
        <w:ind w:left="720" w:hanging="360"/>
      </w:pPr>
      <w:rPr>
        <w:rFonts w:ascii="Arial" w:hAnsi="Arial" w:hint="default"/>
      </w:rPr>
    </w:lvl>
    <w:lvl w:ilvl="1" w:tplc="9788DEA0" w:tentative="1">
      <w:start w:val="1"/>
      <w:numFmt w:val="bullet"/>
      <w:lvlText w:val="•"/>
      <w:lvlJc w:val="left"/>
      <w:pPr>
        <w:tabs>
          <w:tab w:val="num" w:pos="1440"/>
        </w:tabs>
        <w:ind w:left="1440" w:hanging="360"/>
      </w:pPr>
      <w:rPr>
        <w:rFonts w:ascii="Arial" w:hAnsi="Arial" w:hint="default"/>
      </w:rPr>
    </w:lvl>
    <w:lvl w:ilvl="2" w:tplc="57B2B94E" w:tentative="1">
      <w:start w:val="1"/>
      <w:numFmt w:val="bullet"/>
      <w:lvlText w:val="•"/>
      <w:lvlJc w:val="left"/>
      <w:pPr>
        <w:tabs>
          <w:tab w:val="num" w:pos="2160"/>
        </w:tabs>
        <w:ind w:left="2160" w:hanging="360"/>
      </w:pPr>
      <w:rPr>
        <w:rFonts w:ascii="Arial" w:hAnsi="Arial" w:hint="default"/>
      </w:rPr>
    </w:lvl>
    <w:lvl w:ilvl="3" w:tplc="816A5628" w:tentative="1">
      <w:start w:val="1"/>
      <w:numFmt w:val="bullet"/>
      <w:lvlText w:val="•"/>
      <w:lvlJc w:val="left"/>
      <w:pPr>
        <w:tabs>
          <w:tab w:val="num" w:pos="2880"/>
        </w:tabs>
        <w:ind w:left="2880" w:hanging="360"/>
      </w:pPr>
      <w:rPr>
        <w:rFonts w:ascii="Arial" w:hAnsi="Arial" w:hint="default"/>
      </w:rPr>
    </w:lvl>
    <w:lvl w:ilvl="4" w:tplc="9140A660" w:tentative="1">
      <w:start w:val="1"/>
      <w:numFmt w:val="bullet"/>
      <w:lvlText w:val="•"/>
      <w:lvlJc w:val="left"/>
      <w:pPr>
        <w:tabs>
          <w:tab w:val="num" w:pos="3600"/>
        </w:tabs>
        <w:ind w:left="3600" w:hanging="360"/>
      </w:pPr>
      <w:rPr>
        <w:rFonts w:ascii="Arial" w:hAnsi="Arial" w:hint="default"/>
      </w:rPr>
    </w:lvl>
    <w:lvl w:ilvl="5" w:tplc="5F8E5A32" w:tentative="1">
      <w:start w:val="1"/>
      <w:numFmt w:val="bullet"/>
      <w:lvlText w:val="•"/>
      <w:lvlJc w:val="left"/>
      <w:pPr>
        <w:tabs>
          <w:tab w:val="num" w:pos="4320"/>
        </w:tabs>
        <w:ind w:left="4320" w:hanging="360"/>
      </w:pPr>
      <w:rPr>
        <w:rFonts w:ascii="Arial" w:hAnsi="Arial" w:hint="default"/>
      </w:rPr>
    </w:lvl>
    <w:lvl w:ilvl="6" w:tplc="89C0142E" w:tentative="1">
      <w:start w:val="1"/>
      <w:numFmt w:val="bullet"/>
      <w:lvlText w:val="•"/>
      <w:lvlJc w:val="left"/>
      <w:pPr>
        <w:tabs>
          <w:tab w:val="num" w:pos="5040"/>
        </w:tabs>
        <w:ind w:left="5040" w:hanging="360"/>
      </w:pPr>
      <w:rPr>
        <w:rFonts w:ascii="Arial" w:hAnsi="Arial" w:hint="default"/>
      </w:rPr>
    </w:lvl>
    <w:lvl w:ilvl="7" w:tplc="A3489F52" w:tentative="1">
      <w:start w:val="1"/>
      <w:numFmt w:val="bullet"/>
      <w:lvlText w:val="•"/>
      <w:lvlJc w:val="left"/>
      <w:pPr>
        <w:tabs>
          <w:tab w:val="num" w:pos="5760"/>
        </w:tabs>
        <w:ind w:left="5760" w:hanging="360"/>
      </w:pPr>
      <w:rPr>
        <w:rFonts w:ascii="Arial" w:hAnsi="Arial" w:hint="default"/>
      </w:rPr>
    </w:lvl>
    <w:lvl w:ilvl="8" w:tplc="9170FF4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69495FBB"/>
    <w:multiLevelType w:val="hybridMultilevel"/>
    <w:tmpl w:val="95C41028"/>
    <w:lvl w:ilvl="0" w:tplc="51BE78A6">
      <w:start w:val="1"/>
      <w:numFmt w:val="bullet"/>
      <w:lvlText w:val="•"/>
      <w:lvlJc w:val="left"/>
      <w:pPr>
        <w:tabs>
          <w:tab w:val="num" w:pos="720"/>
        </w:tabs>
        <w:ind w:left="720" w:hanging="360"/>
      </w:pPr>
      <w:rPr>
        <w:rFonts w:ascii="Arial" w:hAnsi="Arial" w:hint="default"/>
      </w:rPr>
    </w:lvl>
    <w:lvl w:ilvl="1" w:tplc="DB1A158E">
      <w:start w:val="1"/>
      <w:numFmt w:val="bullet"/>
      <w:lvlText w:val="•"/>
      <w:lvlJc w:val="left"/>
      <w:pPr>
        <w:tabs>
          <w:tab w:val="num" w:pos="1440"/>
        </w:tabs>
        <w:ind w:left="1440" w:hanging="360"/>
      </w:pPr>
      <w:rPr>
        <w:rFonts w:ascii="Arial" w:hAnsi="Arial" w:hint="default"/>
      </w:rPr>
    </w:lvl>
    <w:lvl w:ilvl="2" w:tplc="2B12CAE4" w:tentative="1">
      <w:start w:val="1"/>
      <w:numFmt w:val="bullet"/>
      <w:lvlText w:val="•"/>
      <w:lvlJc w:val="left"/>
      <w:pPr>
        <w:tabs>
          <w:tab w:val="num" w:pos="2160"/>
        </w:tabs>
        <w:ind w:left="2160" w:hanging="360"/>
      </w:pPr>
      <w:rPr>
        <w:rFonts w:ascii="Arial" w:hAnsi="Arial" w:hint="default"/>
      </w:rPr>
    </w:lvl>
    <w:lvl w:ilvl="3" w:tplc="2E2227A2" w:tentative="1">
      <w:start w:val="1"/>
      <w:numFmt w:val="bullet"/>
      <w:lvlText w:val="•"/>
      <w:lvlJc w:val="left"/>
      <w:pPr>
        <w:tabs>
          <w:tab w:val="num" w:pos="2880"/>
        </w:tabs>
        <w:ind w:left="2880" w:hanging="360"/>
      </w:pPr>
      <w:rPr>
        <w:rFonts w:ascii="Arial" w:hAnsi="Arial" w:hint="default"/>
      </w:rPr>
    </w:lvl>
    <w:lvl w:ilvl="4" w:tplc="CB8658DA" w:tentative="1">
      <w:start w:val="1"/>
      <w:numFmt w:val="bullet"/>
      <w:lvlText w:val="•"/>
      <w:lvlJc w:val="left"/>
      <w:pPr>
        <w:tabs>
          <w:tab w:val="num" w:pos="3600"/>
        </w:tabs>
        <w:ind w:left="3600" w:hanging="360"/>
      </w:pPr>
      <w:rPr>
        <w:rFonts w:ascii="Arial" w:hAnsi="Arial" w:hint="default"/>
      </w:rPr>
    </w:lvl>
    <w:lvl w:ilvl="5" w:tplc="1C9CE360" w:tentative="1">
      <w:start w:val="1"/>
      <w:numFmt w:val="bullet"/>
      <w:lvlText w:val="•"/>
      <w:lvlJc w:val="left"/>
      <w:pPr>
        <w:tabs>
          <w:tab w:val="num" w:pos="4320"/>
        </w:tabs>
        <w:ind w:left="4320" w:hanging="360"/>
      </w:pPr>
      <w:rPr>
        <w:rFonts w:ascii="Arial" w:hAnsi="Arial" w:hint="default"/>
      </w:rPr>
    </w:lvl>
    <w:lvl w:ilvl="6" w:tplc="5924511C" w:tentative="1">
      <w:start w:val="1"/>
      <w:numFmt w:val="bullet"/>
      <w:lvlText w:val="•"/>
      <w:lvlJc w:val="left"/>
      <w:pPr>
        <w:tabs>
          <w:tab w:val="num" w:pos="5040"/>
        </w:tabs>
        <w:ind w:left="5040" w:hanging="360"/>
      </w:pPr>
      <w:rPr>
        <w:rFonts w:ascii="Arial" w:hAnsi="Arial" w:hint="default"/>
      </w:rPr>
    </w:lvl>
    <w:lvl w:ilvl="7" w:tplc="FA96107C" w:tentative="1">
      <w:start w:val="1"/>
      <w:numFmt w:val="bullet"/>
      <w:lvlText w:val="•"/>
      <w:lvlJc w:val="left"/>
      <w:pPr>
        <w:tabs>
          <w:tab w:val="num" w:pos="5760"/>
        </w:tabs>
        <w:ind w:left="5760" w:hanging="360"/>
      </w:pPr>
      <w:rPr>
        <w:rFonts w:ascii="Arial" w:hAnsi="Arial" w:hint="default"/>
      </w:rPr>
    </w:lvl>
    <w:lvl w:ilvl="8" w:tplc="A9E65FB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18B3B93"/>
    <w:multiLevelType w:val="hybridMultilevel"/>
    <w:tmpl w:val="91DC2C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2905497"/>
    <w:multiLevelType w:val="hybridMultilevel"/>
    <w:tmpl w:val="4FAA80E0"/>
    <w:lvl w:ilvl="0" w:tplc="890C15C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73A00AB7"/>
    <w:multiLevelType w:val="hybridMultilevel"/>
    <w:tmpl w:val="7D687A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533B3"/>
    <w:multiLevelType w:val="hybridMultilevel"/>
    <w:tmpl w:val="88AC9B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84D033C"/>
    <w:multiLevelType w:val="multilevel"/>
    <w:tmpl w:val="A47E1B0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862" w:hanging="720"/>
      </w:pPr>
      <w:rPr>
        <w:rFonts w:asciiTheme="minorHAnsi" w:hAnsiTheme="minorHAnsi" w:cstheme="minorHAnsi" w:hint="default"/>
        <w:b w:val="0"/>
        <w:bCs w:val="0"/>
        <w:color w:val="auto"/>
        <w:sz w:val="24"/>
        <w:szCs w:val="32"/>
        <w:specVanish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42373552">
    <w:abstractNumId w:val="19"/>
  </w:num>
  <w:num w:numId="2" w16cid:durableId="2033611336">
    <w:abstractNumId w:val="5"/>
  </w:num>
  <w:num w:numId="3" w16cid:durableId="1262034090">
    <w:abstractNumId w:val="6"/>
  </w:num>
  <w:num w:numId="4" w16cid:durableId="396821510">
    <w:abstractNumId w:val="0"/>
  </w:num>
  <w:num w:numId="5" w16cid:durableId="896547024">
    <w:abstractNumId w:val="19"/>
  </w:num>
  <w:num w:numId="6" w16cid:durableId="1401753799">
    <w:abstractNumId w:val="13"/>
  </w:num>
  <w:num w:numId="7" w16cid:durableId="951282066">
    <w:abstractNumId w:val="7"/>
  </w:num>
  <w:num w:numId="8" w16cid:durableId="1170021040">
    <w:abstractNumId w:val="2"/>
  </w:num>
  <w:num w:numId="9" w16cid:durableId="996153921">
    <w:abstractNumId w:val="3"/>
  </w:num>
  <w:num w:numId="10" w16cid:durableId="992832591">
    <w:abstractNumId w:val="9"/>
  </w:num>
  <w:num w:numId="11" w16cid:durableId="16844495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4513540">
    <w:abstractNumId w:val="4"/>
  </w:num>
  <w:num w:numId="13" w16cid:durableId="713312343">
    <w:abstractNumId w:val="11"/>
  </w:num>
  <w:num w:numId="14" w16cid:durableId="1079719217">
    <w:abstractNumId w:val="8"/>
  </w:num>
  <w:num w:numId="15" w16cid:durableId="1186168669">
    <w:abstractNumId w:val="14"/>
  </w:num>
  <w:num w:numId="16" w16cid:durableId="36053340">
    <w:abstractNumId w:val="1"/>
  </w:num>
  <w:num w:numId="17" w16cid:durableId="1573851835">
    <w:abstractNumId w:val="19"/>
  </w:num>
  <w:num w:numId="18" w16cid:durableId="1498379895">
    <w:abstractNumId w:val="19"/>
  </w:num>
  <w:num w:numId="19" w16cid:durableId="192965699">
    <w:abstractNumId w:val="19"/>
  </w:num>
  <w:num w:numId="20" w16cid:durableId="83458232">
    <w:abstractNumId w:val="19"/>
  </w:num>
  <w:num w:numId="21" w16cid:durableId="1353649339">
    <w:abstractNumId w:val="19"/>
  </w:num>
  <w:num w:numId="22" w16cid:durableId="25912660">
    <w:abstractNumId w:val="19"/>
  </w:num>
  <w:num w:numId="23" w16cid:durableId="55201764">
    <w:abstractNumId w:val="19"/>
  </w:num>
  <w:num w:numId="24" w16cid:durableId="530537312">
    <w:abstractNumId w:val="19"/>
  </w:num>
  <w:num w:numId="25" w16cid:durableId="1387683309">
    <w:abstractNumId w:val="19"/>
  </w:num>
  <w:num w:numId="26" w16cid:durableId="2057853659">
    <w:abstractNumId w:val="15"/>
  </w:num>
  <w:num w:numId="27" w16cid:durableId="106510260">
    <w:abstractNumId w:val="19"/>
  </w:num>
  <w:num w:numId="28" w16cid:durableId="786891820">
    <w:abstractNumId w:val="19"/>
  </w:num>
  <w:num w:numId="29" w16cid:durableId="1699577690">
    <w:abstractNumId w:val="19"/>
  </w:num>
  <w:num w:numId="30" w16cid:durableId="722026422">
    <w:abstractNumId w:val="18"/>
  </w:num>
  <w:num w:numId="31" w16cid:durableId="1822579344">
    <w:abstractNumId w:val="10"/>
  </w:num>
  <w:num w:numId="32" w16cid:durableId="80107835">
    <w:abstractNumId w:val="16"/>
  </w:num>
  <w:num w:numId="33" w16cid:durableId="2070834692">
    <w:abstractNumId w:val="17"/>
  </w:num>
  <w:num w:numId="34" w16cid:durableId="572201110">
    <w:abstractNumId w:val="19"/>
  </w:num>
  <w:num w:numId="35" w16cid:durableId="399180567">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370"/>
    <w:rsid w:val="00000508"/>
    <w:rsid w:val="00000790"/>
    <w:rsid w:val="0000110B"/>
    <w:rsid w:val="00001421"/>
    <w:rsid w:val="00003499"/>
    <w:rsid w:val="000039B7"/>
    <w:rsid w:val="000056B9"/>
    <w:rsid w:val="0000639A"/>
    <w:rsid w:val="00006E3B"/>
    <w:rsid w:val="000076E9"/>
    <w:rsid w:val="0001132C"/>
    <w:rsid w:val="00011A5F"/>
    <w:rsid w:val="00012807"/>
    <w:rsid w:val="00012B6D"/>
    <w:rsid w:val="00013247"/>
    <w:rsid w:val="0001403D"/>
    <w:rsid w:val="00015886"/>
    <w:rsid w:val="000162EF"/>
    <w:rsid w:val="00016330"/>
    <w:rsid w:val="000207C9"/>
    <w:rsid w:val="00020FC6"/>
    <w:rsid w:val="0002225F"/>
    <w:rsid w:val="00022698"/>
    <w:rsid w:val="00023763"/>
    <w:rsid w:val="00023789"/>
    <w:rsid w:val="00024EB5"/>
    <w:rsid w:val="0002687C"/>
    <w:rsid w:val="000274B8"/>
    <w:rsid w:val="00027AE4"/>
    <w:rsid w:val="00027E92"/>
    <w:rsid w:val="00031291"/>
    <w:rsid w:val="00031839"/>
    <w:rsid w:val="00031E86"/>
    <w:rsid w:val="00032900"/>
    <w:rsid w:val="000335B6"/>
    <w:rsid w:val="000336B7"/>
    <w:rsid w:val="000336E9"/>
    <w:rsid w:val="00033863"/>
    <w:rsid w:val="0003519A"/>
    <w:rsid w:val="00035900"/>
    <w:rsid w:val="00035D11"/>
    <w:rsid w:val="00035DC0"/>
    <w:rsid w:val="00036829"/>
    <w:rsid w:val="00040895"/>
    <w:rsid w:val="00040CB5"/>
    <w:rsid w:val="000410A0"/>
    <w:rsid w:val="000435EE"/>
    <w:rsid w:val="00043C37"/>
    <w:rsid w:val="000444AD"/>
    <w:rsid w:val="00044DA8"/>
    <w:rsid w:val="00045017"/>
    <w:rsid w:val="00045A2B"/>
    <w:rsid w:val="00045D90"/>
    <w:rsid w:val="0004698F"/>
    <w:rsid w:val="00046D64"/>
    <w:rsid w:val="0005020A"/>
    <w:rsid w:val="000508C2"/>
    <w:rsid w:val="00050916"/>
    <w:rsid w:val="0005097E"/>
    <w:rsid w:val="000514E2"/>
    <w:rsid w:val="00052328"/>
    <w:rsid w:val="00053239"/>
    <w:rsid w:val="000539D0"/>
    <w:rsid w:val="00054621"/>
    <w:rsid w:val="000546D7"/>
    <w:rsid w:val="00054A8D"/>
    <w:rsid w:val="0005610A"/>
    <w:rsid w:val="00056758"/>
    <w:rsid w:val="00056ECF"/>
    <w:rsid w:val="0005718F"/>
    <w:rsid w:val="0005753E"/>
    <w:rsid w:val="000604DF"/>
    <w:rsid w:val="00060DD4"/>
    <w:rsid w:val="00062324"/>
    <w:rsid w:val="00062EB2"/>
    <w:rsid w:val="00063899"/>
    <w:rsid w:val="000653B5"/>
    <w:rsid w:val="00066360"/>
    <w:rsid w:val="00066AF8"/>
    <w:rsid w:val="00070DF4"/>
    <w:rsid w:val="00071050"/>
    <w:rsid w:val="00071059"/>
    <w:rsid w:val="00071248"/>
    <w:rsid w:val="000720B9"/>
    <w:rsid w:val="00072838"/>
    <w:rsid w:val="000737F7"/>
    <w:rsid w:val="0007672F"/>
    <w:rsid w:val="00076B54"/>
    <w:rsid w:val="000774F0"/>
    <w:rsid w:val="00080638"/>
    <w:rsid w:val="00080909"/>
    <w:rsid w:val="00081078"/>
    <w:rsid w:val="000812CA"/>
    <w:rsid w:val="00081E63"/>
    <w:rsid w:val="00081F7F"/>
    <w:rsid w:val="0008258D"/>
    <w:rsid w:val="00083E85"/>
    <w:rsid w:val="00083E99"/>
    <w:rsid w:val="00084FA8"/>
    <w:rsid w:val="000856C5"/>
    <w:rsid w:val="00085C31"/>
    <w:rsid w:val="00086B8A"/>
    <w:rsid w:val="000902D9"/>
    <w:rsid w:val="00090B24"/>
    <w:rsid w:val="00090C7E"/>
    <w:rsid w:val="000911AC"/>
    <w:rsid w:val="00092600"/>
    <w:rsid w:val="0009262B"/>
    <w:rsid w:val="00093310"/>
    <w:rsid w:val="0009445C"/>
    <w:rsid w:val="00095200"/>
    <w:rsid w:val="00095D9C"/>
    <w:rsid w:val="00095EC3"/>
    <w:rsid w:val="00095FE5"/>
    <w:rsid w:val="00096284"/>
    <w:rsid w:val="00097F20"/>
    <w:rsid w:val="000A051B"/>
    <w:rsid w:val="000A0899"/>
    <w:rsid w:val="000A0FCF"/>
    <w:rsid w:val="000A1944"/>
    <w:rsid w:val="000A19FA"/>
    <w:rsid w:val="000A1BC0"/>
    <w:rsid w:val="000A1D22"/>
    <w:rsid w:val="000A2F9E"/>
    <w:rsid w:val="000A363D"/>
    <w:rsid w:val="000A3E47"/>
    <w:rsid w:val="000A48B7"/>
    <w:rsid w:val="000A522B"/>
    <w:rsid w:val="000A5D7C"/>
    <w:rsid w:val="000A6039"/>
    <w:rsid w:val="000A7453"/>
    <w:rsid w:val="000A7D08"/>
    <w:rsid w:val="000B0121"/>
    <w:rsid w:val="000B0164"/>
    <w:rsid w:val="000B0670"/>
    <w:rsid w:val="000B0BDB"/>
    <w:rsid w:val="000B0E75"/>
    <w:rsid w:val="000B2212"/>
    <w:rsid w:val="000B2DCB"/>
    <w:rsid w:val="000B3185"/>
    <w:rsid w:val="000B3B87"/>
    <w:rsid w:val="000B5065"/>
    <w:rsid w:val="000B5491"/>
    <w:rsid w:val="000B5CE0"/>
    <w:rsid w:val="000B6CAC"/>
    <w:rsid w:val="000B759B"/>
    <w:rsid w:val="000B7612"/>
    <w:rsid w:val="000B78AE"/>
    <w:rsid w:val="000C26CB"/>
    <w:rsid w:val="000C3DF9"/>
    <w:rsid w:val="000C4417"/>
    <w:rsid w:val="000C4CF2"/>
    <w:rsid w:val="000C517C"/>
    <w:rsid w:val="000C6713"/>
    <w:rsid w:val="000D046C"/>
    <w:rsid w:val="000D0825"/>
    <w:rsid w:val="000D0F4D"/>
    <w:rsid w:val="000D1BFC"/>
    <w:rsid w:val="000D1D5D"/>
    <w:rsid w:val="000D281A"/>
    <w:rsid w:val="000D2848"/>
    <w:rsid w:val="000D326A"/>
    <w:rsid w:val="000D4B01"/>
    <w:rsid w:val="000D4DEE"/>
    <w:rsid w:val="000D51FB"/>
    <w:rsid w:val="000E0640"/>
    <w:rsid w:val="000E0B01"/>
    <w:rsid w:val="000E135D"/>
    <w:rsid w:val="000E1E11"/>
    <w:rsid w:val="000E1F1A"/>
    <w:rsid w:val="000E325F"/>
    <w:rsid w:val="000E4CBE"/>
    <w:rsid w:val="000E51A5"/>
    <w:rsid w:val="000E5CC3"/>
    <w:rsid w:val="000F00BA"/>
    <w:rsid w:val="000F1318"/>
    <w:rsid w:val="000F1E4E"/>
    <w:rsid w:val="000F2E2C"/>
    <w:rsid w:val="000F316A"/>
    <w:rsid w:val="000F3421"/>
    <w:rsid w:val="000F3C74"/>
    <w:rsid w:val="000F3F51"/>
    <w:rsid w:val="000F44A4"/>
    <w:rsid w:val="000F4BB8"/>
    <w:rsid w:val="000F4FA9"/>
    <w:rsid w:val="000F53FB"/>
    <w:rsid w:val="000F5847"/>
    <w:rsid w:val="000F5DED"/>
    <w:rsid w:val="000F69FF"/>
    <w:rsid w:val="000F6F8F"/>
    <w:rsid w:val="000F7127"/>
    <w:rsid w:val="000F7B54"/>
    <w:rsid w:val="000F7FE8"/>
    <w:rsid w:val="001000B3"/>
    <w:rsid w:val="00100768"/>
    <w:rsid w:val="00100B6A"/>
    <w:rsid w:val="00100F8A"/>
    <w:rsid w:val="00101F85"/>
    <w:rsid w:val="0010221C"/>
    <w:rsid w:val="001022E3"/>
    <w:rsid w:val="00102DBD"/>
    <w:rsid w:val="0010452E"/>
    <w:rsid w:val="00104B39"/>
    <w:rsid w:val="00104CEC"/>
    <w:rsid w:val="00104F49"/>
    <w:rsid w:val="00105671"/>
    <w:rsid w:val="00105AE2"/>
    <w:rsid w:val="00105EC4"/>
    <w:rsid w:val="001060C6"/>
    <w:rsid w:val="00106B80"/>
    <w:rsid w:val="0011032E"/>
    <w:rsid w:val="00110EB3"/>
    <w:rsid w:val="0011348B"/>
    <w:rsid w:val="00113A1F"/>
    <w:rsid w:val="00115982"/>
    <w:rsid w:val="00116C53"/>
    <w:rsid w:val="00116EBF"/>
    <w:rsid w:val="00120873"/>
    <w:rsid w:val="00121799"/>
    <w:rsid w:val="00121A97"/>
    <w:rsid w:val="001222FC"/>
    <w:rsid w:val="0012360F"/>
    <w:rsid w:val="00123902"/>
    <w:rsid w:val="00123F6E"/>
    <w:rsid w:val="00124A51"/>
    <w:rsid w:val="00126621"/>
    <w:rsid w:val="00126B1D"/>
    <w:rsid w:val="00127891"/>
    <w:rsid w:val="00127CF9"/>
    <w:rsid w:val="001301E9"/>
    <w:rsid w:val="0013046E"/>
    <w:rsid w:val="00130503"/>
    <w:rsid w:val="00131C68"/>
    <w:rsid w:val="00131D82"/>
    <w:rsid w:val="00132B22"/>
    <w:rsid w:val="00133865"/>
    <w:rsid w:val="00133D36"/>
    <w:rsid w:val="0013512B"/>
    <w:rsid w:val="00136D3D"/>
    <w:rsid w:val="00137645"/>
    <w:rsid w:val="001376A6"/>
    <w:rsid w:val="0014015A"/>
    <w:rsid w:val="0014030B"/>
    <w:rsid w:val="00140C47"/>
    <w:rsid w:val="00140E99"/>
    <w:rsid w:val="0014179C"/>
    <w:rsid w:val="00142624"/>
    <w:rsid w:val="00142FB2"/>
    <w:rsid w:val="0014307C"/>
    <w:rsid w:val="00143F67"/>
    <w:rsid w:val="0014516A"/>
    <w:rsid w:val="00145234"/>
    <w:rsid w:val="00145523"/>
    <w:rsid w:val="00145540"/>
    <w:rsid w:val="001456B0"/>
    <w:rsid w:val="0015105A"/>
    <w:rsid w:val="001547AB"/>
    <w:rsid w:val="00154832"/>
    <w:rsid w:val="0015611E"/>
    <w:rsid w:val="00156E7F"/>
    <w:rsid w:val="00156F8F"/>
    <w:rsid w:val="00157130"/>
    <w:rsid w:val="001576B1"/>
    <w:rsid w:val="0016047B"/>
    <w:rsid w:val="00160A4C"/>
    <w:rsid w:val="00161181"/>
    <w:rsid w:val="00161AEF"/>
    <w:rsid w:val="00162913"/>
    <w:rsid w:val="00162E62"/>
    <w:rsid w:val="00163EFF"/>
    <w:rsid w:val="00163F66"/>
    <w:rsid w:val="0016478E"/>
    <w:rsid w:val="00165EC4"/>
    <w:rsid w:val="001661FB"/>
    <w:rsid w:val="001663A5"/>
    <w:rsid w:val="00166C45"/>
    <w:rsid w:val="001670E2"/>
    <w:rsid w:val="001671A0"/>
    <w:rsid w:val="0016767F"/>
    <w:rsid w:val="00167A0A"/>
    <w:rsid w:val="001701AF"/>
    <w:rsid w:val="0017256D"/>
    <w:rsid w:val="001726D2"/>
    <w:rsid w:val="00173565"/>
    <w:rsid w:val="00173B07"/>
    <w:rsid w:val="00173CD4"/>
    <w:rsid w:val="00174BBB"/>
    <w:rsid w:val="001751FA"/>
    <w:rsid w:val="001801A3"/>
    <w:rsid w:val="00180775"/>
    <w:rsid w:val="00181C10"/>
    <w:rsid w:val="00181D9C"/>
    <w:rsid w:val="001837FF"/>
    <w:rsid w:val="00183ED3"/>
    <w:rsid w:val="00184598"/>
    <w:rsid w:val="00184B0E"/>
    <w:rsid w:val="00185919"/>
    <w:rsid w:val="0018721F"/>
    <w:rsid w:val="0018752F"/>
    <w:rsid w:val="001907F2"/>
    <w:rsid w:val="00191F53"/>
    <w:rsid w:val="00193838"/>
    <w:rsid w:val="00194AD8"/>
    <w:rsid w:val="00195222"/>
    <w:rsid w:val="00195452"/>
    <w:rsid w:val="001954C1"/>
    <w:rsid w:val="00195840"/>
    <w:rsid w:val="0019603B"/>
    <w:rsid w:val="00196676"/>
    <w:rsid w:val="001975D8"/>
    <w:rsid w:val="00197A82"/>
    <w:rsid w:val="001A01D2"/>
    <w:rsid w:val="001A0A92"/>
    <w:rsid w:val="001A1366"/>
    <w:rsid w:val="001A178E"/>
    <w:rsid w:val="001A1EBB"/>
    <w:rsid w:val="001A43FA"/>
    <w:rsid w:val="001A47C5"/>
    <w:rsid w:val="001A5812"/>
    <w:rsid w:val="001A59FB"/>
    <w:rsid w:val="001A5E65"/>
    <w:rsid w:val="001A5E9E"/>
    <w:rsid w:val="001A6354"/>
    <w:rsid w:val="001A6366"/>
    <w:rsid w:val="001A6A44"/>
    <w:rsid w:val="001A7AE8"/>
    <w:rsid w:val="001B204E"/>
    <w:rsid w:val="001B2372"/>
    <w:rsid w:val="001B248D"/>
    <w:rsid w:val="001B2AF7"/>
    <w:rsid w:val="001B3443"/>
    <w:rsid w:val="001B3BC2"/>
    <w:rsid w:val="001B3E12"/>
    <w:rsid w:val="001B462A"/>
    <w:rsid w:val="001B4D20"/>
    <w:rsid w:val="001B5AFD"/>
    <w:rsid w:val="001B7F84"/>
    <w:rsid w:val="001C16B3"/>
    <w:rsid w:val="001C2A9B"/>
    <w:rsid w:val="001C2B42"/>
    <w:rsid w:val="001C3DD6"/>
    <w:rsid w:val="001C4236"/>
    <w:rsid w:val="001C4299"/>
    <w:rsid w:val="001C45E9"/>
    <w:rsid w:val="001C4874"/>
    <w:rsid w:val="001C530D"/>
    <w:rsid w:val="001C5F94"/>
    <w:rsid w:val="001C6D87"/>
    <w:rsid w:val="001C6E66"/>
    <w:rsid w:val="001C7129"/>
    <w:rsid w:val="001C7703"/>
    <w:rsid w:val="001D1100"/>
    <w:rsid w:val="001D12A0"/>
    <w:rsid w:val="001D130D"/>
    <w:rsid w:val="001D1391"/>
    <w:rsid w:val="001D25D7"/>
    <w:rsid w:val="001D343C"/>
    <w:rsid w:val="001D38BE"/>
    <w:rsid w:val="001D4F13"/>
    <w:rsid w:val="001D50B2"/>
    <w:rsid w:val="001D59C6"/>
    <w:rsid w:val="001D71F4"/>
    <w:rsid w:val="001D7531"/>
    <w:rsid w:val="001D7645"/>
    <w:rsid w:val="001E0EC1"/>
    <w:rsid w:val="001E1E86"/>
    <w:rsid w:val="001E238E"/>
    <w:rsid w:val="001E2483"/>
    <w:rsid w:val="001E2844"/>
    <w:rsid w:val="001E2B1E"/>
    <w:rsid w:val="001E2CFF"/>
    <w:rsid w:val="001E2E84"/>
    <w:rsid w:val="001E2F24"/>
    <w:rsid w:val="001E30D4"/>
    <w:rsid w:val="001E34DF"/>
    <w:rsid w:val="001E3CEA"/>
    <w:rsid w:val="001E52EB"/>
    <w:rsid w:val="001E61D2"/>
    <w:rsid w:val="001E6D16"/>
    <w:rsid w:val="001E715C"/>
    <w:rsid w:val="001E7333"/>
    <w:rsid w:val="001E740C"/>
    <w:rsid w:val="001F008E"/>
    <w:rsid w:val="001F0E9D"/>
    <w:rsid w:val="001F1235"/>
    <w:rsid w:val="001F1958"/>
    <w:rsid w:val="001F1CB3"/>
    <w:rsid w:val="001F235F"/>
    <w:rsid w:val="001F2F84"/>
    <w:rsid w:val="001F321E"/>
    <w:rsid w:val="001F38B5"/>
    <w:rsid w:val="001F3FA7"/>
    <w:rsid w:val="001F4081"/>
    <w:rsid w:val="001F4BFB"/>
    <w:rsid w:val="001F5069"/>
    <w:rsid w:val="001F52E0"/>
    <w:rsid w:val="001F6CC0"/>
    <w:rsid w:val="001F7361"/>
    <w:rsid w:val="00200943"/>
    <w:rsid w:val="00200A79"/>
    <w:rsid w:val="00200F73"/>
    <w:rsid w:val="002011B0"/>
    <w:rsid w:val="00202631"/>
    <w:rsid w:val="00202C91"/>
    <w:rsid w:val="00203181"/>
    <w:rsid w:val="002035DB"/>
    <w:rsid w:val="00203783"/>
    <w:rsid w:val="0020385F"/>
    <w:rsid w:val="00203AC4"/>
    <w:rsid w:val="00205AFF"/>
    <w:rsid w:val="002068A0"/>
    <w:rsid w:val="00207021"/>
    <w:rsid w:val="0020732F"/>
    <w:rsid w:val="00207D00"/>
    <w:rsid w:val="002105C1"/>
    <w:rsid w:val="002116FD"/>
    <w:rsid w:val="002135BF"/>
    <w:rsid w:val="00213EF5"/>
    <w:rsid w:val="0021526B"/>
    <w:rsid w:val="0021573E"/>
    <w:rsid w:val="00216A7D"/>
    <w:rsid w:val="00216BF5"/>
    <w:rsid w:val="00220315"/>
    <w:rsid w:val="00221221"/>
    <w:rsid w:val="00223B49"/>
    <w:rsid w:val="00223D5A"/>
    <w:rsid w:val="00224971"/>
    <w:rsid w:val="00224B88"/>
    <w:rsid w:val="00224DD4"/>
    <w:rsid w:val="00225734"/>
    <w:rsid w:val="002262A6"/>
    <w:rsid w:val="00226F46"/>
    <w:rsid w:val="002273D2"/>
    <w:rsid w:val="002278A0"/>
    <w:rsid w:val="002309CC"/>
    <w:rsid w:val="00231602"/>
    <w:rsid w:val="00231BA9"/>
    <w:rsid w:val="0023209F"/>
    <w:rsid w:val="0023377A"/>
    <w:rsid w:val="00233AEA"/>
    <w:rsid w:val="00233C01"/>
    <w:rsid w:val="0023413C"/>
    <w:rsid w:val="002346F0"/>
    <w:rsid w:val="00234FA8"/>
    <w:rsid w:val="0023629D"/>
    <w:rsid w:val="002364D5"/>
    <w:rsid w:val="00237255"/>
    <w:rsid w:val="002378B9"/>
    <w:rsid w:val="0024103E"/>
    <w:rsid w:val="002424AF"/>
    <w:rsid w:val="00242D46"/>
    <w:rsid w:val="002439DC"/>
    <w:rsid w:val="002441D2"/>
    <w:rsid w:val="00244A0A"/>
    <w:rsid w:val="00244DC8"/>
    <w:rsid w:val="00245486"/>
    <w:rsid w:val="002458BA"/>
    <w:rsid w:val="002459F2"/>
    <w:rsid w:val="00245CE9"/>
    <w:rsid w:val="0024636C"/>
    <w:rsid w:val="002478E7"/>
    <w:rsid w:val="00247925"/>
    <w:rsid w:val="002502A3"/>
    <w:rsid w:val="00251006"/>
    <w:rsid w:val="002514AF"/>
    <w:rsid w:val="002524D5"/>
    <w:rsid w:val="00252F05"/>
    <w:rsid w:val="00253B1D"/>
    <w:rsid w:val="00254DCF"/>
    <w:rsid w:val="0025534B"/>
    <w:rsid w:val="002558E5"/>
    <w:rsid w:val="00255BB7"/>
    <w:rsid w:val="00255E4A"/>
    <w:rsid w:val="00256303"/>
    <w:rsid w:val="002564EF"/>
    <w:rsid w:val="00257541"/>
    <w:rsid w:val="00257A39"/>
    <w:rsid w:val="00257AC4"/>
    <w:rsid w:val="00257BBE"/>
    <w:rsid w:val="00257D80"/>
    <w:rsid w:val="00261EEF"/>
    <w:rsid w:val="00262A1A"/>
    <w:rsid w:val="00262A87"/>
    <w:rsid w:val="00262AAD"/>
    <w:rsid w:val="0026311F"/>
    <w:rsid w:val="00263921"/>
    <w:rsid w:val="00264D26"/>
    <w:rsid w:val="002653AF"/>
    <w:rsid w:val="00265986"/>
    <w:rsid w:val="00267642"/>
    <w:rsid w:val="00267829"/>
    <w:rsid w:val="00267AEA"/>
    <w:rsid w:val="002700E6"/>
    <w:rsid w:val="00270ED3"/>
    <w:rsid w:val="00271DD2"/>
    <w:rsid w:val="0027294B"/>
    <w:rsid w:val="00273B6A"/>
    <w:rsid w:val="00273EB4"/>
    <w:rsid w:val="00274682"/>
    <w:rsid w:val="00274E6D"/>
    <w:rsid w:val="00275158"/>
    <w:rsid w:val="00275811"/>
    <w:rsid w:val="00275C5A"/>
    <w:rsid w:val="00276C02"/>
    <w:rsid w:val="00281014"/>
    <w:rsid w:val="002816C1"/>
    <w:rsid w:val="00281ACE"/>
    <w:rsid w:val="002824E8"/>
    <w:rsid w:val="0028491F"/>
    <w:rsid w:val="0028561A"/>
    <w:rsid w:val="002858F5"/>
    <w:rsid w:val="00285BCE"/>
    <w:rsid w:val="0028665D"/>
    <w:rsid w:val="00286C6D"/>
    <w:rsid w:val="0028761A"/>
    <w:rsid w:val="002876DA"/>
    <w:rsid w:val="00287BC6"/>
    <w:rsid w:val="002900F6"/>
    <w:rsid w:val="00290190"/>
    <w:rsid w:val="0029048B"/>
    <w:rsid w:val="002904FA"/>
    <w:rsid w:val="00290858"/>
    <w:rsid w:val="0029229B"/>
    <w:rsid w:val="00293067"/>
    <w:rsid w:val="0029390E"/>
    <w:rsid w:val="00295725"/>
    <w:rsid w:val="0029606B"/>
    <w:rsid w:val="002A14AB"/>
    <w:rsid w:val="002A2ADE"/>
    <w:rsid w:val="002A2F50"/>
    <w:rsid w:val="002A3AF9"/>
    <w:rsid w:val="002A5C1C"/>
    <w:rsid w:val="002A64CD"/>
    <w:rsid w:val="002A6C95"/>
    <w:rsid w:val="002A782F"/>
    <w:rsid w:val="002A7943"/>
    <w:rsid w:val="002A7D49"/>
    <w:rsid w:val="002B05A1"/>
    <w:rsid w:val="002B085E"/>
    <w:rsid w:val="002B09A4"/>
    <w:rsid w:val="002B0C92"/>
    <w:rsid w:val="002B0F9A"/>
    <w:rsid w:val="002B107B"/>
    <w:rsid w:val="002B1A17"/>
    <w:rsid w:val="002B1C1F"/>
    <w:rsid w:val="002B2136"/>
    <w:rsid w:val="002B2FC6"/>
    <w:rsid w:val="002B354D"/>
    <w:rsid w:val="002B3F67"/>
    <w:rsid w:val="002B432F"/>
    <w:rsid w:val="002B605C"/>
    <w:rsid w:val="002B62B3"/>
    <w:rsid w:val="002B6754"/>
    <w:rsid w:val="002B6CCE"/>
    <w:rsid w:val="002B7828"/>
    <w:rsid w:val="002C085B"/>
    <w:rsid w:val="002C0942"/>
    <w:rsid w:val="002C1E70"/>
    <w:rsid w:val="002C2510"/>
    <w:rsid w:val="002C2775"/>
    <w:rsid w:val="002C27C1"/>
    <w:rsid w:val="002C2CAB"/>
    <w:rsid w:val="002C36E3"/>
    <w:rsid w:val="002C3853"/>
    <w:rsid w:val="002C5099"/>
    <w:rsid w:val="002C5191"/>
    <w:rsid w:val="002C5889"/>
    <w:rsid w:val="002C71CE"/>
    <w:rsid w:val="002C7570"/>
    <w:rsid w:val="002D08F8"/>
    <w:rsid w:val="002D0DD5"/>
    <w:rsid w:val="002D18D5"/>
    <w:rsid w:val="002D38B9"/>
    <w:rsid w:val="002D4464"/>
    <w:rsid w:val="002D4502"/>
    <w:rsid w:val="002D4665"/>
    <w:rsid w:val="002D577C"/>
    <w:rsid w:val="002D6D69"/>
    <w:rsid w:val="002D6FF1"/>
    <w:rsid w:val="002D7520"/>
    <w:rsid w:val="002D75DB"/>
    <w:rsid w:val="002D7832"/>
    <w:rsid w:val="002E04AE"/>
    <w:rsid w:val="002E1071"/>
    <w:rsid w:val="002E15B9"/>
    <w:rsid w:val="002E1F80"/>
    <w:rsid w:val="002E203F"/>
    <w:rsid w:val="002E2158"/>
    <w:rsid w:val="002E384E"/>
    <w:rsid w:val="002E3C52"/>
    <w:rsid w:val="002E4F02"/>
    <w:rsid w:val="002E74DF"/>
    <w:rsid w:val="002E7722"/>
    <w:rsid w:val="002F07BA"/>
    <w:rsid w:val="002F08D9"/>
    <w:rsid w:val="002F0DA9"/>
    <w:rsid w:val="002F1014"/>
    <w:rsid w:val="002F1E3B"/>
    <w:rsid w:val="002F2D52"/>
    <w:rsid w:val="002F643C"/>
    <w:rsid w:val="002F6471"/>
    <w:rsid w:val="002F71C0"/>
    <w:rsid w:val="002F74F1"/>
    <w:rsid w:val="002F7F21"/>
    <w:rsid w:val="003002A2"/>
    <w:rsid w:val="00301017"/>
    <w:rsid w:val="0030155F"/>
    <w:rsid w:val="00303DDB"/>
    <w:rsid w:val="00304606"/>
    <w:rsid w:val="0030587B"/>
    <w:rsid w:val="00305F7F"/>
    <w:rsid w:val="00306D98"/>
    <w:rsid w:val="0030786C"/>
    <w:rsid w:val="0031031A"/>
    <w:rsid w:val="00310981"/>
    <w:rsid w:val="00311D9B"/>
    <w:rsid w:val="003124A3"/>
    <w:rsid w:val="003124D9"/>
    <w:rsid w:val="00312594"/>
    <w:rsid w:val="00312686"/>
    <w:rsid w:val="00312A99"/>
    <w:rsid w:val="00312F2F"/>
    <w:rsid w:val="003132D6"/>
    <w:rsid w:val="003146DD"/>
    <w:rsid w:val="00314935"/>
    <w:rsid w:val="00314DC4"/>
    <w:rsid w:val="00315498"/>
    <w:rsid w:val="00315832"/>
    <w:rsid w:val="00316474"/>
    <w:rsid w:val="00316D2F"/>
    <w:rsid w:val="00316EA4"/>
    <w:rsid w:val="00316EB7"/>
    <w:rsid w:val="00320961"/>
    <w:rsid w:val="00321AE8"/>
    <w:rsid w:val="00322107"/>
    <w:rsid w:val="00322355"/>
    <w:rsid w:val="00322846"/>
    <w:rsid w:val="00323D17"/>
    <w:rsid w:val="00323FE1"/>
    <w:rsid w:val="0032560B"/>
    <w:rsid w:val="00325FCC"/>
    <w:rsid w:val="0032658E"/>
    <w:rsid w:val="00326DA7"/>
    <w:rsid w:val="00326E79"/>
    <w:rsid w:val="003270E4"/>
    <w:rsid w:val="00330DAA"/>
    <w:rsid w:val="00330F43"/>
    <w:rsid w:val="00330F5C"/>
    <w:rsid w:val="00332140"/>
    <w:rsid w:val="00333C08"/>
    <w:rsid w:val="00334F40"/>
    <w:rsid w:val="003351D8"/>
    <w:rsid w:val="003366C9"/>
    <w:rsid w:val="003371B0"/>
    <w:rsid w:val="00340DF1"/>
    <w:rsid w:val="003414C1"/>
    <w:rsid w:val="00341973"/>
    <w:rsid w:val="00343FB0"/>
    <w:rsid w:val="00344895"/>
    <w:rsid w:val="00350E58"/>
    <w:rsid w:val="003517F9"/>
    <w:rsid w:val="00351BA9"/>
    <w:rsid w:val="0035205A"/>
    <w:rsid w:val="00352069"/>
    <w:rsid w:val="003532A4"/>
    <w:rsid w:val="00354739"/>
    <w:rsid w:val="00354F64"/>
    <w:rsid w:val="0035620E"/>
    <w:rsid w:val="003569F9"/>
    <w:rsid w:val="00356D41"/>
    <w:rsid w:val="003575BE"/>
    <w:rsid w:val="00357E83"/>
    <w:rsid w:val="00360345"/>
    <w:rsid w:val="00360E37"/>
    <w:rsid w:val="00361A05"/>
    <w:rsid w:val="003624C4"/>
    <w:rsid w:val="00363B00"/>
    <w:rsid w:val="003654AC"/>
    <w:rsid w:val="003654F5"/>
    <w:rsid w:val="00365D24"/>
    <w:rsid w:val="003674B7"/>
    <w:rsid w:val="00370107"/>
    <w:rsid w:val="00370F6E"/>
    <w:rsid w:val="003710CF"/>
    <w:rsid w:val="00371661"/>
    <w:rsid w:val="0037358A"/>
    <w:rsid w:val="00373D23"/>
    <w:rsid w:val="00373E45"/>
    <w:rsid w:val="00373EDA"/>
    <w:rsid w:val="003741A9"/>
    <w:rsid w:val="003750F6"/>
    <w:rsid w:val="003760FC"/>
    <w:rsid w:val="00382B46"/>
    <w:rsid w:val="00382D22"/>
    <w:rsid w:val="0038324D"/>
    <w:rsid w:val="0038365C"/>
    <w:rsid w:val="0038369B"/>
    <w:rsid w:val="00383A22"/>
    <w:rsid w:val="00383B78"/>
    <w:rsid w:val="00384179"/>
    <w:rsid w:val="00384D29"/>
    <w:rsid w:val="00385A9D"/>
    <w:rsid w:val="00385B10"/>
    <w:rsid w:val="0038697F"/>
    <w:rsid w:val="00386A65"/>
    <w:rsid w:val="00386BF0"/>
    <w:rsid w:val="00387121"/>
    <w:rsid w:val="00387396"/>
    <w:rsid w:val="003902B1"/>
    <w:rsid w:val="0039179C"/>
    <w:rsid w:val="00391F2F"/>
    <w:rsid w:val="00394916"/>
    <w:rsid w:val="003953A3"/>
    <w:rsid w:val="003954F1"/>
    <w:rsid w:val="00396896"/>
    <w:rsid w:val="00396FD0"/>
    <w:rsid w:val="003A0959"/>
    <w:rsid w:val="003A0C30"/>
    <w:rsid w:val="003A1A7A"/>
    <w:rsid w:val="003A2392"/>
    <w:rsid w:val="003A24B7"/>
    <w:rsid w:val="003A2831"/>
    <w:rsid w:val="003A3922"/>
    <w:rsid w:val="003A3CB6"/>
    <w:rsid w:val="003A3ED1"/>
    <w:rsid w:val="003A3F82"/>
    <w:rsid w:val="003A3FFD"/>
    <w:rsid w:val="003A44C6"/>
    <w:rsid w:val="003A44DB"/>
    <w:rsid w:val="003A48D2"/>
    <w:rsid w:val="003A4C14"/>
    <w:rsid w:val="003A5AA1"/>
    <w:rsid w:val="003B21CF"/>
    <w:rsid w:val="003B24CB"/>
    <w:rsid w:val="003B2E08"/>
    <w:rsid w:val="003B3971"/>
    <w:rsid w:val="003B3B14"/>
    <w:rsid w:val="003B466F"/>
    <w:rsid w:val="003B483E"/>
    <w:rsid w:val="003B55D1"/>
    <w:rsid w:val="003B5B61"/>
    <w:rsid w:val="003B5C7E"/>
    <w:rsid w:val="003B6A91"/>
    <w:rsid w:val="003C10C1"/>
    <w:rsid w:val="003C144D"/>
    <w:rsid w:val="003C1654"/>
    <w:rsid w:val="003C1A9D"/>
    <w:rsid w:val="003C2FC5"/>
    <w:rsid w:val="003C40B2"/>
    <w:rsid w:val="003C5542"/>
    <w:rsid w:val="003C6654"/>
    <w:rsid w:val="003C6709"/>
    <w:rsid w:val="003C7185"/>
    <w:rsid w:val="003C7C15"/>
    <w:rsid w:val="003C7D19"/>
    <w:rsid w:val="003C7D2F"/>
    <w:rsid w:val="003D0C5A"/>
    <w:rsid w:val="003D1828"/>
    <w:rsid w:val="003D1999"/>
    <w:rsid w:val="003D1DE4"/>
    <w:rsid w:val="003D1E9A"/>
    <w:rsid w:val="003D21FC"/>
    <w:rsid w:val="003D2422"/>
    <w:rsid w:val="003D39A1"/>
    <w:rsid w:val="003D3FBF"/>
    <w:rsid w:val="003D433D"/>
    <w:rsid w:val="003D4A30"/>
    <w:rsid w:val="003D6EB4"/>
    <w:rsid w:val="003D7140"/>
    <w:rsid w:val="003D7452"/>
    <w:rsid w:val="003D79BB"/>
    <w:rsid w:val="003D7C98"/>
    <w:rsid w:val="003D7D9D"/>
    <w:rsid w:val="003E0543"/>
    <w:rsid w:val="003E11C0"/>
    <w:rsid w:val="003E5508"/>
    <w:rsid w:val="003E5603"/>
    <w:rsid w:val="003E749E"/>
    <w:rsid w:val="003E7F27"/>
    <w:rsid w:val="003F22EF"/>
    <w:rsid w:val="003F3B8A"/>
    <w:rsid w:val="003F4156"/>
    <w:rsid w:val="003F46C8"/>
    <w:rsid w:val="003F4D85"/>
    <w:rsid w:val="003F5ADF"/>
    <w:rsid w:val="003F6C25"/>
    <w:rsid w:val="003F755C"/>
    <w:rsid w:val="00400B29"/>
    <w:rsid w:val="00400B63"/>
    <w:rsid w:val="00402812"/>
    <w:rsid w:val="00404BED"/>
    <w:rsid w:val="0040504B"/>
    <w:rsid w:val="0040538C"/>
    <w:rsid w:val="004059F4"/>
    <w:rsid w:val="0040661D"/>
    <w:rsid w:val="00407FE5"/>
    <w:rsid w:val="004101B0"/>
    <w:rsid w:val="00410326"/>
    <w:rsid w:val="00410708"/>
    <w:rsid w:val="00410947"/>
    <w:rsid w:val="00410EC7"/>
    <w:rsid w:val="00411B39"/>
    <w:rsid w:val="00411B7D"/>
    <w:rsid w:val="00412659"/>
    <w:rsid w:val="004127A7"/>
    <w:rsid w:val="00413A1E"/>
    <w:rsid w:val="00414476"/>
    <w:rsid w:val="00414C2E"/>
    <w:rsid w:val="004151CF"/>
    <w:rsid w:val="00415BC6"/>
    <w:rsid w:val="00416364"/>
    <w:rsid w:val="0042047F"/>
    <w:rsid w:val="00420AA6"/>
    <w:rsid w:val="00420AF9"/>
    <w:rsid w:val="00420B9F"/>
    <w:rsid w:val="004216BB"/>
    <w:rsid w:val="0042192C"/>
    <w:rsid w:val="00422260"/>
    <w:rsid w:val="00422573"/>
    <w:rsid w:val="0042333A"/>
    <w:rsid w:val="0042413F"/>
    <w:rsid w:val="0042747F"/>
    <w:rsid w:val="0042785A"/>
    <w:rsid w:val="004278C4"/>
    <w:rsid w:val="004319F8"/>
    <w:rsid w:val="00431D5E"/>
    <w:rsid w:val="00431E55"/>
    <w:rsid w:val="004321F6"/>
    <w:rsid w:val="00433044"/>
    <w:rsid w:val="00433FAE"/>
    <w:rsid w:val="00434088"/>
    <w:rsid w:val="00434B37"/>
    <w:rsid w:val="0043569C"/>
    <w:rsid w:val="0043676F"/>
    <w:rsid w:val="004375B9"/>
    <w:rsid w:val="00440894"/>
    <w:rsid w:val="00440C03"/>
    <w:rsid w:val="0044149E"/>
    <w:rsid w:val="0044253F"/>
    <w:rsid w:val="0044286F"/>
    <w:rsid w:val="004428D0"/>
    <w:rsid w:val="0044412E"/>
    <w:rsid w:val="00444185"/>
    <w:rsid w:val="004443A7"/>
    <w:rsid w:val="0044442C"/>
    <w:rsid w:val="0044552E"/>
    <w:rsid w:val="00445941"/>
    <w:rsid w:val="0044648F"/>
    <w:rsid w:val="004464EB"/>
    <w:rsid w:val="00446AC9"/>
    <w:rsid w:val="00446B39"/>
    <w:rsid w:val="00447D26"/>
    <w:rsid w:val="00447DFC"/>
    <w:rsid w:val="0045010A"/>
    <w:rsid w:val="00450F75"/>
    <w:rsid w:val="004519E5"/>
    <w:rsid w:val="00452E93"/>
    <w:rsid w:val="0045337A"/>
    <w:rsid w:val="00453D50"/>
    <w:rsid w:val="0045408A"/>
    <w:rsid w:val="0045467A"/>
    <w:rsid w:val="00455D45"/>
    <w:rsid w:val="00457E35"/>
    <w:rsid w:val="004607EA"/>
    <w:rsid w:val="0046301E"/>
    <w:rsid w:val="00464595"/>
    <w:rsid w:val="004655E4"/>
    <w:rsid w:val="0046573E"/>
    <w:rsid w:val="004658B5"/>
    <w:rsid w:val="00470FEA"/>
    <w:rsid w:val="00471EA5"/>
    <w:rsid w:val="004729BE"/>
    <w:rsid w:val="00472A79"/>
    <w:rsid w:val="00473F19"/>
    <w:rsid w:val="0047591A"/>
    <w:rsid w:val="00475E22"/>
    <w:rsid w:val="00476388"/>
    <w:rsid w:val="00476692"/>
    <w:rsid w:val="00480807"/>
    <w:rsid w:val="0048088E"/>
    <w:rsid w:val="00480F2B"/>
    <w:rsid w:val="00482720"/>
    <w:rsid w:val="004827E3"/>
    <w:rsid w:val="004835E7"/>
    <w:rsid w:val="00484570"/>
    <w:rsid w:val="00484D43"/>
    <w:rsid w:val="004859E1"/>
    <w:rsid w:val="00485C52"/>
    <w:rsid w:val="004867E2"/>
    <w:rsid w:val="00486FA1"/>
    <w:rsid w:val="0048782F"/>
    <w:rsid w:val="00487B76"/>
    <w:rsid w:val="00487EF2"/>
    <w:rsid w:val="00490B17"/>
    <w:rsid w:val="00490E74"/>
    <w:rsid w:val="00491094"/>
    <w:rsid w:val="00491B3A"/>
    <w:rsid w:val="00492371"/>
    <w:rsid w:val="00492B80"/>
    <w:rsid w:val="00492BEE"/>
    <w:rsid w:val="00492CFD"/>
    <w:rsid w:val="00494207"/>
    <w:rsid w:val="00494DD5"/>
    <w:rsid w:val="00495906"/>
    <w:rsid w:val="004962D2"/>
    <w:rsid w:val="004964BD"/>
    <w:rsid w:val="00497513"/>
    <w:rsid w:val="004A0296"/>
    <w:rsid w:val="004A0DA1"/>
    <w:rsid w:val="004A13D6"/>
    <w:rsid w:val="004A2D2F"/>
    <w:rsid w:val="004A392A"/>
    <w:rsid w:val="004A4EA2"/>
    <w:rsid w:val="004A52E9"/>
    <w:rsid w:val="004A5E69"/>
    <w:rsid w:val="004A6040"/>
    <w:rsid w:val="004A6597"/>
    <w:rsid w:val="004A693F"/>
    <w:rsid w:val="004A7848"/>
    <w:rsid w:val="004A793B"/>
    <w:rsid w:val="004B04F0"/>
    <w:rsid w:val="004B064F"/>
    <w:rsid w:val="004B1921"/>
    <w:rsid w:val="004B1CB4"/>
    <w:rsid w:val="004B1FD2"/>
    <w:rsid w:val="004B22B6"/>
    <w:rsid w:val="004B2F18"/>
    <w:rsid w:val="004B34D5"/>
    <w:rsid w:val="004B3DDB"/>
    <w:rsid w:val="004B42E0"/>
    <w:rsid w:val="004B44FD"/>
    <w:rsid w:val="004B5037"/>
    <w:rsid w:val="004B5942"/>
    <w:rsid w:val="004B5CFC"/>
    <w:rsid w:val="004B5E2D"/>
    <w:rsid w:val="004B67C6"/>
    <w:rsid w:val="004B6C5A"/>
    <w:rsid w:val="004B6F79"/>
    <w:rsid w:val="004B7256"/>
    <w:rsid w:val="004B7279"/>
    <w:rsid w:val="004B774D"/>
    <w:rsid w:val="004B7C0E"/>
    <w:rsid w:val="004C101E"/>
    <w:rsid w:val="004C25A3"/>
    <w:rsid w:val="004C2AC2"/>
    <w:rsid w:val="004C3029"/>
    <w:rsid w:val="004C3159"/>
    <w:rsid w:val="004C44CA"/>
    <w:rsid w:val="004C48B8"/>
    <w:rsid w:val="004C4AED"/>
    <w:rsid w:val="004C4C1C"/>
    <w:rsid w:val="004C65B3"/>
    <w:rsid w:val="004C6AAD"/>
    <w:rsid w:val="004C7EE4"/>
    <w:rsid w:val="004D2C2D"/>
    <w:rsid w:val="004D69B5"/>
    <w:rsid w:val="004D6C82"/>
    <w:rsid w:val="004D7227"/>
    <w:rsid w:val="004D776F"/>
    <w:rsid w:val="004D78DA"/>
    <w:rsid w:val="004D7B5E"/>
    <w:rsid w:val="004E0B59"/>
    <w:rsid w:val="004E0E7F"/>
    <w:rsid w:val="004E0EB8"/>
    <w:rsid w:val="004E15E0"/>
    <w:rsid w:val="004E18E9"/>
    <w:rsid w:val="004E2ADC"/>
    <w:rsid w:val="004E3EAB"/>
    <w:rsid w:val="004E43B2"/>
    <w:rsid w:val="004E4508"/>
    <w:rsid w:val="004E4519"/>
    <w:rsid w:val="004E48F7"/>
    <w:rsid w:val="004E5995"/>
    <w:rsid w:val="004E5A2A"/>
    <w:rsid w:val="004E5BD3"/>
    <w:rsid w:val="004E5EDB"/>
    <w:rsid w:val="004E5FB1"/>
    <w:rsid w:val="004E6CC2"/>
    <w:rsid w:val="004E7FB9"/>
    <w:rsid w:val="004F0D6E"/>
    <w:rsid w:val="004F1D02"/>
    <w:rsid w:val="004F2679"/>
    <w:rsid w:val="004F276B"/>
    <w:rsid w:val="004F2F21"/>
    <w:rsid w:val="004F3DE5"/>
    <w:rsid w:val="004F6913"/>
    <w:rsid w:val="004F71AA"/>
    <w:rsid w:val="004F7865"/>
    <w:rsid w:val="00500614"/>
    <w:rsid w:val="0050174E"/>
    <w:rsid w:val="00501803"/>
    <w:rsid w:val="00501854"/>
    <w:rsid w:val="0050219B"/>
    <w:rsid w:val="00503F17"/>
    <w:rsid w:val="00503F3A"/>
    <w:rsid w:val="005041BA"/>
    <w:rsid w:val="00504974"/>
    <w:rsid w:val="00505E56"/>
    <w:rsid w:val="00506928"/>
    <w:rsid w:val="005077EF"/>
    <w:rsid w:val="00511AD5"/>
    <w:rsid w:val="00511DC7"/>
    <w:rsid w:val="00511F11"/>
    <w:rsid w:val="0051209E"/>
    <w:rsid w:val="005124F9"/>
    <w:rsid w:val="00512B78"/>
    <w:rsid w:val="005134DF"/>
    <w:rsid w:val="00513556"/>
    <w:rsid w:val="005142C5"/>
    <w:rsid w:val="00514E35"/>
    <w:rsid w:val="0051501B"/>
    <w:rsid w:val="005152B5"/>
    <w:rsid w:val="00515886"/>
    <w:rsid w:val="00516293"/>
    <w:rsid w:val="00517812"/>
    <w:rsid w:val="00517D50"/>
    <w:rsid w:val="0052123C"/>
    <w:rsid w:val="00521319"/>
    <w:rsid w:val="005221B3"/>
    <w:rsid w:val="00522BC8"/>
    <w:rsid w:val="00523C28"/>
    <w:rsid w:val="0053176B"/>
    <w:rsid w:val="0053194F"/>
    <w:rsid w:val="005330B8"/>
    <w:rsid w:val="005341B3"/>
    <w:rsid w:val="00536F42"/>
    <w:rsid w:val="00537182"/>
    <w:rsid w:val="00540668"/>
    <w:rsid w:val="00541B82"/>
    <w:rsid w:val="00541EDD"/>
    <w:rsid w:val="00542743"/>
    <w:rsid w:val="00542C2D"/>
    <w:rsid w:val="005449A1"/>
    <w:rsid w:val="005478BD"/>
    <w:rsid w:val="005479E3"/>
    <w:rsid w:val="005506F9"/>
    <w:rsid w:val="00550A24"/>
    <w:rsid w:val="005517FF"/>
    <w:rsid w:val="00551985"/>
    <w:rsid w:val="00552BD3"/>
    <w:rsid w:val="005532A0"/>
    <w:rsid w:val="00555109"/>
    <w:rsid w:val="00555F12"/>
    <w:rsid w:val="00556B35"/>
    <w:rsid w:val="0055741A"/>
    <w:rsid w:val="005611B7"/>
    <w:rsid w:val="005618D4"/>
    <w:rsid w:val="00564867"/>
    <w:rsid w:val="00565C79"/>
    <w:rsid w:val="00565DF0"/>
    <w:rsid w:val="00566339"/>
    <w:rsid w:val="0056696F"/>
    <w:rsid w:val="00570934"/>
    <w:rsid w:val="00570A33"/>
    <w:rsid w:val="00571F97"/>
    <w:rsid w:val="00572269"/>
    <w:rsid w:val="005722BB"/>
    <w:rsid w:val="0057244A"/>
    <w:rsid w:val="00572874"/>
    <w:rsid w:val="00572F26"/>
    <w:rsid w:val="0057329E"/>
    <w:rsid w:val="005736BF"/>
    <w:rsid w:val="005750C5"/>
    <w:rsid w:val="00575218"/>
    <w:rsid w:val="005752DE"/>
    <w:rsid w:val="00575D60"/>
    <w:rsid w:val="00575D8D"/>
    <w:rsid w:val="0057631F"/>
    <w:rsid w:val="00576972"/>
    <w:rsid w:val="00577248"/>
    <w:rsid w:val="00577863"/>
    <w:rsid w:val="00577E57"/>
    <w:rsid w:val="005814DD"/>
    <w:rsid w:val="00582964"/>
    <w:rsid w:val="00583319"/>
    <w:rsid w:val="00583699"/>
    <w:rsid w:val="00585CDD"/>
    <w:rsid w:val="00585D93"/>
    <w:rsid w:val="00585E05"/>
    <w:rsid w:val="00585F2B"/>
    <w:rsid w:val="005868EB"/>
    <w:rsid w:val="00587058"/>
    <w:rsid w:val="00590AC5"/>
    <w:rsid w:val="00590B3D"/>
    <w:rsid w:val="00590CF8"/>
    <w:rsid w:val="00591957"/>
    <w:rsid w:val="005923E5"/>
    <w:rsid w:val="0059424E"/>
    <w:rsid w:val="00594CCF"/>
    <w:rsid w:val="00595DA7"/>
    <w:rsid w:val="00596559"/>
    <w:rsid w:val="00596E02"/>
    <w:rsid w:val="00596FE3"/>
    <w:rsid w:val="0059715F"/>
    <w:rsid w:val="00597BF9"/>
    <w:rsid w:val="005A0298"/>
    <w:rsid w:val="005A0C11"/>
    <w:rsid w:val="005A2BB8"/>
    <w:rsid w:val="005A2E4B"/>
    <w:rsid w:val="005A309A"/>
    <w:rsid w:val="005A373D"/>
    <w:rsid w:val="005A383D"/>
    <w:rsid w:val="005A59A3"/>
    <w:rsid w:val="005A5B23"/>
    <w:rsid w:val="005A5D29"/>
    <w:rsid w:val="005B0B58"/>
    <w:rsid w:val="005B24E6"/>
    <w:rsid w:val="005B2E61"/>
    <w:rsid w:val="005B3555"/>
    <w:rsid w:val="005B41F4"/>
    <w:rsid w:val="005B4E53"/>
    <w:rsid w:val="005B5857"/>
    <w:rsid w:val="005C19C4"/>
    <w:rsid w:val="005C1B83"/>
    <w:rsid w:val="005C1BCE"/>
    <w:rsid w:val="005C20E9"/>
    <w:rsid w:val="005C25FF"/>
    <w:rsid w:val="005C2B9A"/>
    <w:rsid w:val="005C2D55"/>
    <w:rsid w:val="005C346B"/>
    <w:rsid w:val="005C3633"/>
    <w:rsid w:val="005C4869"/>
    <w:rsid w:val="005C4B63"/>
    <w:rsid w:val="005C4C8B"/>
    <w:rsid w:val="005C5ABC"/>
    <w:rsid w:val="005C6E7F"/>
    <w:rsid w:val="005C7581"/>
    <w:rsid w:val="005D044D"/>
    <w:rsid w:val="005D0880"/>
    <w:rsid w:val="005D0A3F"/>
    <w:rsid w:val="005D0ABD"/>
    <w:rsid w:val="005D0DE9"/>
    <w:rsid w:val="005D18AD"/>
    <w:rsid w:val="005D26B4"/>
    <w:rsid w:val="005D3839"/>
    <w:rsid w:val="005D39EF"/>
    <w:rsid w:val="005D41C5"/>
    <w:rsid w:val="005D4621"/>
    <w:rsid w:val="005D4F40"/>
    <w:rsid w:val="005D6606"/>
    <w:rsid w:val="005D7881"/>
    <w:rsid w:val="005D78E3"/>
    <w:rsid w:val="005D7B19"/>
    <w:rsid w:val="005E1995"/>
    <w:rsid w:val="005E1A72"/>
    <w:rsid w:val="005E1E0B"/>
    <w:rsid w:val="005E299C"/>
    <w:rsid w:val="005E29FD"/>
    <w:rsid w:val="005E4119"/>
    <w:rsid w:val="005E4246"/>
    <w:rsid w:val="005E6848"/>
    <w:rsid w:val="005E6894"/>
    <w:rsid w:val="005E6CBC"/>
    <w:rsid w:val="005E72FF"/>
    <w:rsid w:val="005E73C0"/>
    <w:rsid w:val="005E7AD1"/>
    <w:rsid w:val="005E7ADA"/>
    <w:rsid w:val="005E7C9D"/>
    <w:rsid w:val="005F07ED"/>
    <w:rsid w:val="005F2706"/>
    <w:rsid w:val="005F3613"/>
    <w:rsid w:val="005F5DD8"/>
    <w:rsid w:val="005F6A8F"/>
    <w:rsid w:val="005F6BB7"/>
    <w:rsid w:val="005F6C57"/>
    <w:rsid w:val="005F7588"/>
    <w:rsid w:val="005F7C0A"/>
    <w:rsid w:val="00600420"/>
    <w:rsid w:val="00600B8C"/>
    <w:rsid w:val="00600C75"/>
    <w:rsid w:val="00603DB9"/>
    <w:rsid w:val="0060658A"/>
    <w:rsid w:val="006069E7"/>
    <w:rsid w:val="00606FBA"/>
    <w:rsid w:val="00607669"/>
    <w:rsid w:val="006076F4"/>
    <w:rsid w:val="00607888"/>
    <w:rsid w:val="00607AFD"/>
    <w:rsid w:val="00610C3C"/>
    <w:rsid w:val="00611B12"/>
    <w:rsid w:val="00611D4A"/>
    <w:rsid w:val="00612F97"/>
    <w:rsid w:val="0061345D"/>
    <w:rsid w:val="0061549B"/>
    <w:rsid w:val="00616802"/>
    <w:rsid w:val="006170A6"/>
    <w:rsid w:val="00617D15"/>
    <w:rsid w:val="00617E12"/>
    <w:rsid w:val="006208A6"/>
    <w:rsid w:val="00620C25"/>
    <w:rsid w:val="00621269"/>
    <w:rsid w:val="00621310"/>
    <w:rsid w:val="00621477"/>
    <w:rsid w:val="006219EF"/>
    <w:rsid w:val="00621ADA"/>
    <w:rsid w:val="00621C3A"/>
    <w:rsid w:val="006223A7"/>
    <w:rsid w:val="00622B2C"/>
    <w:rsid w:val="00622D65"/>
    <w:rsid w:val="00623222"/>
    <w:rsid w:val="00623F7B"/>
    <w:rsid w:val="00624BD4"/>
    <w:rsid w:val="00627E54"/>
    <w:rsid w:val="0063158F"/>
    <w:rsid w:val="00631D6B"/>
    <w:rsid w:val="00632183"/>
    <w:rsid w:val="0063291A"/>
    <w:rsid w:val="006330A1"/>
    <w:rsid w:val="006337DA"/>
    <w:rsid w:val="00633D60"/>
    <w:rsid w:val="006342FD"/>
    <w:rsid w:val="0063430C"/>
    <w:rsid w:val="0063479F"/>
    <w:rsid w:val="006348A9"/>
    <w:rsid w:val="006351B6"/>
    <w:rsid w:val="006353F0"/>
    <w:rsid w:val="006357B5"/>
    <w:rsid w:val="006364A1"/>
    <w:rsid w:val="0063678E"/>
    <w:rsid w:val="00636A4F"/>
    <w:rsid w:val="00637BFD"/>
    <w:rsid w:val="00637C5C"/>
    <w:rsid w:val="006408CF"/>
    <w:rsid w:val="006414D1"/>
    <w:rsid w:val="00641C4E"/>
    <w:rsid w:val="00641FB3"/>
    <w:rsid w:val="0064255A"/>
    <w:rsid w:val="0064434C"/>
    <w:rsid w:val="00645FC9"/>
    <w:rsid w:val="00646573"/>
    <w:rsid w:val="006471CC"/>
    <w:rsid w:val="006472FE"/>
    <w:rsid w:val="0064773A"/>
    <w:rsid w:val="00647A29"/>
    <w:rsid w:val="00647EB0"/>
    <w:rsid w:val="00650277"/>
    <w:rsid w:val="0065079F"/>
    <w:rsid w:val="00651460"/>
    <w:rsid w:val="0065153F"/>
    <w:rsid w:val="0065199A"/>
    <w:rsid w:val="00652A28"/>
    <w:rsid w:val="0065307A"/>
    <w:rsid w:val="00653502"/>
    <w:rsid w:val="00653520"/>
    <w:rsid w:val="00653624"/>
    <w:rsid w:val="0065379F"/>
    <w:rsid w:val="00653CA9"/>
    <w:rsid w:val="00653DDD"/>
    <w:rsid w:val="00654610"/>
    <w:rsid w:val="00654945"/>
    <w:rsid w:val="006557B0"/>
    <w:rsid w:val="00656188"/>
    <w:rsid w:val="0065715A"/>
    <w:rsid w:val="006609DD"/>
    <w:rsid w:val="00660B11"/>
    <w:rsid w:val="006610F1"/>
    <w:rsid w:val="00661141"/>
    <w:rsid w:val="00661C6B"/>
    <w:rsid w:val="00662D3E"/>
    <w:rsid w:val="00662E1A"/>
    <w:rsid w:val="00665019"/>
    <w:rsid w:val="006669A1"/>
    <w:rsid w:val="00667123"/>
    <w:rsid w:val="00667BE3"/>
    <w:rsid w:val="00670E23"/>
    <w:rsid w:val="00671004"/>
    <w:rsid w:val="00671578"/>
    <w:rsid w:val="00672646"/>
    <w:rsid w:val="00674093"/>
    <w:rsid w:val="00674E42"/>
    <w:rsid w:val="00676563"/>
    <w:rsid w:val="00677F6D"/>
    <w:rsid w:val="00680471"/>
    <w:rsid w:val="006809FE"/>
    <w:rsid w:val="00680C51"/>
    <w:rsid w:val="0068110A"/>
    <w:rsid w:val="006813F8"/>
    <w:rsid w:val="00682112"/>
    <w:rsid w:val="006821A9"/>
    <w:rsid w:val="006829D2"/>
    <w:rsid w:val="00682BA6"/>
    <w:rsid w:val="00682C46"/>
    <w:rsid w:val="00683407"/>
    <w:rsid w:val="00685939"/>
    <w:rsid w:val="00686957"/>
    <w:rsid w:val="006872BA"/>
    <w:rsid w:val="00687460"/>
    <w:rsid w:val="00690795"/>
    <w:rsid w:val="00690E50"/>
    <w:rsid w:val="00691648"/>
    <w:rsid w:val="006917D7"/>
    <w:rsid w:val="006929C4"/>
    <w:rsid w:val="006931E6"/>
    <w:rsid w:val="0069434C"/>
    <w:rsid w:val="00694F44"/>
    <w:rsid w:val="00696EF9"/>
    <w:rsid w:val="00696F51"/>
    <w:rsid w:val="006979A5"/>
    <w:rsid w:val="006A016F"/>
    <w:rsid w:val="006A081C"/>
    <w:rsid w:val="006A0DF7"/>
    <w:rsid w:val="006A1626"/>
    <w:rsid w:val="006A1C85"/>
    <w:rsid w:val="006A4321"/>
    <w:rsid w:val="006A43D9"/>
    <w:rsid w:val="006A482F"/>
    <w:rsid w:val="006A55FA"/>
    <w:rsid w:val="006A5E67"/>
    <w:rsid w:val="006A6B99"/>
    <w:rsid w:val="006A7069"/>
    <w:rsid w:val="006A7E5F"/>
    <w:rsid w:val="006A7F35"/>
    <w:rsid w:val="006B0DAC"/>
    <w:rsid w:val="006B145D"/>
    <w:rsid w:val="006B1F85"/>
    <w:rsid w:val="006B261B"/>
    <w:rsid w:val="006B29FF"/>
    <w:rsid w:val="006B2C90"/>
    <w:rsid w:val="006B30D1"/>
    <w:rsid w:val="006B35E6"/>
    <w:rsid w:val="006B42A7"/>
    <w:rsid w:val="006B465A"/>
    <w:rsid w:val="006B67FE"/>
    <w:rsid w:val="006B6DD0"/>
    <w:rsid w:val="006C007A"/>
    <w:rsid w:val="006C00A4"/>
    <w:rsid w:val="006C00B0"/>
    <w:rsid w:val="006C0399"/>
    <w:rsid w:val="006C0C7B"/>
    <w:rsid w:val="006C1A09"/>
    <w:rsid w:val="006C2A8E"/>
    <w:rsid w:val="006C3255"/>
    <w:rsid w:val="006C3831"/>
    <w:rsid w:val="006C3F26"/>
    <w:rsid w:val="006C787A"/>
    <w:rsid w:val="006D093D"/>
    <w:rsid w:val="006D0C92"/>
    <w:rsid w:val="006D0D17"/>
    <w:rsid w:val="006D2385"/>
    <w:rsid w:val="006D337D"/>
    <w:rsid w:val="006D3C7D"/>
    <w:rsid w:val="006D4659"/>
    <w:rsid w:val="006D4ED7"/>
    <w:rsid w:val="006D51FB"/>
    <w:rsid w:val="006D5D5F"/>
    <w:rsid w:val="006D5E64"/>
    <w:rsid w:val="006D68FB"/>
    <w:rsid w:val="006D69BB"/>
    <w:rsid w:val="006E0345"/>
    <w:rsid w:val="006E2868"/>
    <w:rsid w:val="006E51E7"/>
    <w:rsid w:val="006E531E"/>
    <w:rsid w:val="006E5D0E"/>
    <w:rsid w:val="006E6945"/>
    <w:rsid w:val="006F2CA1"/>
    <w:rsid w:val="006F306C"/>
    <w:rsid w:val="006F4BD1"/>
    <w:rsid w:val="006F4BE3"/>
    <w:rsid w:val="006F63A5"/>
    <w:rsid w:val="006F6A78"/>
    <w:rsid w:val="007001D5"/>
    <w:rsid w:val="0070142B"/>
    <w:rsid w:val="0070276E"/>
    <w:rsid w:val="00702A1D"/>
    <w:rsid w:val="00702F8F"/>
    <w:rsid w:val="00703324"/>
    <w:rsid w:val="00703A5C"/>
    <w:rsid w:val="007053AF"/>
    <w:rsid w:val="007071B6"/>
    <w:rsid w:val="007079FC"/>
    <w:rsid w:val="00710A0F"/>
    <w:rsid w:val="007114B3"/>
    <w:rsid w:val="00711A36"/>
    <w:rsid w:val="007125D3"/>
    <w:rsid w:val="00714C26"/>
    <w:rsid w:val="0071529C"/>
    <w:rsid w:val="00716B6D"/>
    <w:rsid w:val="007170DA"/>
    <w:rsid w:val="007172AD"/>
    <w:rsid w:val="00717546"/>
    <w:rsid w:val="0072053F"/>
    <w:rsid w:val="00720801"/>
    <w:rsid w:val="00721A7A"/>
    <w:rsid w:val="00722B1B"/>
    <w:rsid w:val="0072416F"/>
    <w:rsid w:val="00724618"/>
    <w:rsid w:val="00724985"/>
    <w:rsid w:val="007252C8"/>
    <w:rsid w:val="00727C94"/>
    <w:rsid w:val="00727F2D"/>
    <w:rsid w:val="00731B0A"/>
    <w:rsid w:val="00731EAE"/>
    <w:rsid w:val="007322C0"/>
    <w:rsid w:val="00732E3B"/>
    <w:rsid w:val="00733073"/>
    <w:rsid w:val="00733493"/>
    <w:rsid w:val="00735033"/>
    <w:rsid w:val="00735328"/>
    <w:rsid w:val="00735885"/>
    <w:rsid w:val="0073685B"/>
    <w:rsid w:val="0073697E"/>
    <w:rsid w:val="007375DE"/>
    <w:rsid w:val="00737DC8"/>
    <w:rsid w:val="00740926"/>
    <w:rsid w:val="00741269"/>
    <w:rsid w:val="0074225A"/>
    <w:rsid w:val="00742A2C"/>
    <w:rsid w:val="007430C1"/>
    <w:rsid w:val="007449BF"/>
    <w:rsid w:val="00746262"/>
    <w:rsid w:val="007463FE"/>
    <w:rsid w:val="00746BC0"/>
    <w:rsid w:val="00746C7C"/>
    <w:rsid w:val="007510B4"/>
    <w:rsid w:val="0075124D"/>
    <w:rsid w:val="00751283"/>
    <w:rsid w:val="00752142"/>
    <w:rsid w:val="00752215"/>
    <w:rsid w:val="007523F9"/>
    <w:rsid w:val="00752635"/>
    <w:rsid w:val="00752BA2"/>
    <w:rsid w:val="0075357E"/>
    <w:rsid w:val="00753AD2"/>
    <w:rsid w:val="00753B29"/>
    <w:rsid w:val="00753CC1"/>
    <w:rsid w:val="00754EF8"/>
    <w:rsid w:val="007555B6"/>
    <w:rsid w:val="00756265"/>
    <w:rsid w:val="0075629E"/>
    <w:rsid w:val="00756F65"/>
    <w:rsid w:val="007573E8"/>
    <w:rsid w:val="00760C4E"/>
    <w:rsid w:val="00760F9E"/>
    <w:rsid w:val="00761591"/>
    <w:rsid w:val="007616E6"/>
    <w:rsid w:val="007622CB"/>
    <w:rsid w:val="007627BE"/>
    <w:rsid w:val="0076297B"/>
    <w:rsid w:val="00762C7F"/>
    <w:rsid w:val="00764F03"/>
    <w:rsid w:val="00765839"/>
    <w:rsid w:val="00765B1A"/>
    <w:rsid w:val="00765DC1"/>
    <w:rsid w:val="00766ECE"/>
    <w:rsid w:val="007745CF"/>
    <w:rsid w:val="0077551F"/>
    <w:rsid w:val="00775AF9"/>
    <w:rsid w:val="007770FA"/>
    <w:rsid w:val="00777335"/>
    <w:rsid w:val="007777BB"/>
    <w:rsid w:val="007777FB"/>
    <w:rsid w:val="00780BC9"/>
    <w:rsid w:val="007843F2"/>
    <w:rsid w:val="007846FA"/>
    <w:rsid w:val="00785A9F"/>
    <w:rsid w:val="007865B7"/>
    <w:rsid w:val="007878AF"/>
    <w:rsid w:val="00790248"/>
    <w:rsid w:val="00790F3C"/>
    <w:rsid w:val="007918E4"/>
    <w:rsid w:val="0079230E"/>
    <w:rsid w:val="007925DF"/>
    <w:rsid w:val="00794743"/>
    <w:rsid w:val="00794972"/>
    <w:rsid w:val="007962E6"/>
    <w:rsid w:val="007A08AA"/>
    <w:rsid w:val="007A0A12"/>
    <w:rsid w:val="007A0A7B"/>
    <w:rsid w:val="007A132D"/>
    <w:rsid w:val="007A1345"/>
    <w:rsid w:val="007A2DDB"/>
    <w:rsid w:val="007A2F65"/>
    <w:rsid w:val="007A39F6"/>
    <w:rsid w:val="007A4FDC"/>
    <w:rsid w:val="007A70BA"/>
    <w:rsid w:val="007B073B"/>
    <w:rsid w:val="007B0D68"/>
    <w:rsid w:val="007B1886"/>
    <w:rsid w:val="007B22A7"/>
    <w:rsid w:val="007B251D"/>
    <w:rsid w:val="007B3533"/>
    <w:rsid w:val="007B3577"/>
    <w:rsid w:val="007B3A47"/>
    <w:rsid w:val="007B4F58"/>
    <w:rsid w:val="007B528D"/>
    <w:rsid w:val="007B574D"/>
    <w:rsid w:val="007B63CA"/>
    <w:rsid w:val="007B7361"/>
    <w:rsid w:val="007B77D1"/>
    <w:rsid w:val="007C07C7"/>
    <w:rsid w:val="007C1CD9"/>
    <w:rsid w:val="007C2283"/>
    <w:rsid w:val="007C2818"/>
    <w:rsid w:val="007C32EF"/>
    <w:rsid w:val="007C361D"/>
    <w:rsid w:val="007C49A3"/>
    <w:rsid w:val="007C4B84"/>
    <w:rsid w:val="007C64BB"/>
    <w:rsid w:val="007C65EC"/>
    <w:rsid w:val="007C70FF"/>
    <w:rsid w:val="007C71DD"/>
    <w:rsid w:val="007C7ACC"/>
    <w:rsid w:val="007C7C25"/>
    <w:rsid w:val="007C7CA5"/>
    <w:rsid w:val="007D004F"/>
    <w:rsid w:val="007D035F"/>
    <w:rsid w:val="007D06B2"/>
    <w:rsid w:val="007D0B38"/>
    <w:rsid w:val="007D3BC6"/>
    <w:rsid w:val="007D4001"/>
    <w:rsid w:val="007D5440"/>
    <w:rsid w:val="007D637B"/>
    <w:rsid w:val="007D64C8"/>
    <w:rsid w:val="007D69EB"/>
    <w:rsid w:val="007E03F0"/>
    <w:rsid w:val="007E0BDE"/>
    <w:rsid w:val="007E128F"/>
    <w:rsid w:val="007E5721"/>
    <w:rsid w:val="007E61DC"/>
    <w:rsid w:val="007E658F"/>
    <w:rsid w:val="007F0729"/>
    <w:rsid w:val="007F1017"/>
    <w:rsid w:val="007F18F0"/>
    <w:rsid w:val="007F2B15"/>
    <w:rsid w:val="007F4A3F"/>
    <w:rsid w:val="007F4A61"/>
    <w:rsid w:val="007F5255"/>
    <w:rsid w:val="007F56CC"/>
    <w:rsid w:val="007F5B54"/>
    <w:rsid w:val="007F61C2"/>
    <w:rsid w:val="007F7926"/>
    <w:rsid w:val="00800903"/>
    <w:rsid w:val="00800C47"/>
    <w:rsid w:val="00800E86"/>
    <w:rsid w:val="00801D59"/>
    <w:rsid w:val="00802571"/>
    <w:rsid w:val="00802BA3"/>
    <w:rsid w:val="00803DF9"/>
    <w:rsid w:val="0080453F"/>
    <w:rsid w:val="00804FFA"/>
    <w:rsid w:val="00805142"/>
    <w:rsid w:val="00805FCE"/>
    <w:rsid w:val="008062A8"/>
    <w:rsid w:val="00807940"/>
    <w:rsid w:val="00807A8B"/>
    <w:rsid w:val="00811136"/>
    <w:rsid w:val="00811383"/>
    <w:rsid w:val="00812149"/>
    <w:rsid w:val="00812CAC"/>
    <w:rsid w:val="00812CC7"/>
    <w:rsid w:val="00814C95"/>
    <w:rsid w:val="00814D29"/>
    <w:rsid w:val="00815BF3"/>
    <w:rsid w:val="00815E58"/>
    <w:rsid w:val="0081600F"/>
    <w:rsid w:val="00816361"/>
    <w:rsid w:val="008166EF"/>
    <w:rsid w:val="008167C5"/>
    <w:rsid w:val="00816FEF"/>
    <w:rsid w:val="0081733B"/>
    <w:rsid w:val="008179AD"/>
    <w:rsid w:val="008207EF"/>
    <w:rsid w:val="00820A8C"/>
    <w:rsid w:val="008215FB"/>
    <w:rsid w:val="008220CC"/>
    <w:rsid w:val="00822C1E"/>
    <w:rsid w:val="00822EA2"/>
    <w:rsid w:val="00823174"/>
    <w:rsid w:val="0082380B"/>
    <w:rsid w:val="00824D0D"/>
    <w:rsid w:val="00825751"/>
    <w:rsid w:val="008257FD"/>
    <w:rsid w:val="008264EB"/>
    <w:rsid w:val="00826862"/>
    <w:rsid w:val="008268CE"/>
    <w:rsid w:val="00827C23"/>
    <w:rsid w:val="00830DF8"/>
    <w:rsid w:val="00833A39"/>
    <w:rsid w:val="00833B05"/>
    <w:rsid w:val="00834DE4"/>
    <w:rsid w:val="00835224"/>
    <w:rsid w:val="008362B4"/>
    <w:rsid w:val="00840CA2"/>
    <w:rsid w:val="00842B5A"/>
    <w:rsid w:val="0084374F"/>
    <w:rsid w:val="00844A22"/>
    <w:rsid w:val="00845202"/>
    <w:rsid w:val="00845C12"/>
    <w:rsid w:val="00847343"/>
    <w:rsid w:val="00847703"/>
    <w:rsid w:val="00847DF5"/>
    <w:rsid w:val="00851470"/>
    <w:rsid w:val="0085240A"/>
    <w:rsid w:val="0085297A"/>
    <w:rsid w:val="00852C72"/>
    <w:rsid w:val="0085309D"/>
    <w:rsid w:val="00856897"/>
    <w:rsid w:val="00856E9A"/>
    <w:rsid w:val="0086075D"/>
    <w:rsid w:val="00860FAE"/>
    <w:rsid w:val="00861364"/>
    <w:rsid w:val="00862502"/>
    <w:rsid w:val="0086277C"/>
    <w:rsid w:val="00862CC1"/>
    <w:rsid w:val="008642A7"/>
    <w:rsid w:val="008660D4"/>
    <w:rsid w:val="00866607"/>
    <w:rsid w:val="008666D9"/>
    <w:rsid w:val="00866935"/>
    <w:rsid w:val="00866FD2"/>
    <w:rsid w:val="008671DD"/>
    <w:rsid w:val="00871FA9"/>
    <w:rsid w:val="008728E9"/>
    <w:rsid w:val="00873B80"/>
    <w:rsid w:val="008740FA"/>
    <w:rsid w:val="00881572"/>
    <w:rsid w:val="00881E12"/>
    <w:rsid w:val="008827F3"/>
    <w:rsid w:val="00882874"/>
    <w:rsid w:val="00882E3C"/>
    <w:rsid w:val="0088308A"/>
    <w:rsid w:val="00883787"/>
    <w:rsid w:val="00884BEB"/>
    <w:rsid w:val="008855E4"/>
    <w:rsid w:val="008867A3"/>
    <w:rsid w:val="00886CD2"/>
    <w:rsid w:val="00886F9B"/>
    <w:rsid w:val="00887685"/>
    <w:rsid w:val="008903AF"/>
    <w:rsid w:val="00890B6B"/>
    <w:rsid w:val="00891E6F"/>
    <w:rsid w:val="0089275D"/>
    <w:rsid w:val="00892A36"/>
    <w:rsid w:val="00893239"/>
    <w:rsid w:val="00894489"/>
    <w:rsid w:val="0089454C"/>
    <w:rsid w:val="00894CD6"/>
    <w:rsid w:val="008963A5"/>
    <w:rsid w:val="00896AF5"/>
    <w:rsid w:val="00896B6C"/>
    <w:rsid w:val="00896BE0"/>
    <w:rsid w:val="00896CA8"/>
    <w:rsid w:val="00896D5D"/>
    <w:rsid w:val="00897D76"/>
    <w:rsid w:val="008A0E9E"/>
    <w:rsid w:val="008A171C"/>
    <w:rsid w:val="008A18A1"/>
    <w:rsid w:val="008A1C67"/>
    <w:rsid w:val="008A1E63"/>
    <w:rsid w:val="008A1F16"/>
    <w:rsid w:val="008A2CE0"/>
    <w:rsid w:val="008A3158"/>
    <w:rsid w:val="008A3363"/>
    <w:rsid w:val="008A3371"/>
    <w:rsid w:val="008A3C3E"/>
    <w:rsid w:val="008A3D38"/>
    <w:rsid w:val="008A4E52"/>
    <w:rsid w:val="008A5850"/>
    <w:rsid w:val="008A5B19"/>
    <w:rsid w:val="008A6011"/>
    <w:rsid w:val="008A719C"/>
    <w:rsid w:val="008A79DE"/>
    <w:rsid w:val="008A7DD6"/>
    <w:rsid w:val="008B0115"/>
    <w:rsid w:val="008B1039"/>
    <w:rsid w:val="008B11B8"/>
    <w:rsid w:val="008B1757"/>
    <w:rsid w:val="008B1C33"/>
    <w:rsid w:val="008B286E"/>
    <w:rsid w:val="008B345B"/>
    <w:rsid w:val="008B4B6F"/>
    <w:rsid w:val="008B5813"/>
    <w:rsid w:val="008B5A8C"/>
    <w:rsid w:val="008B5FD0"/>
    <w:rsid w:val="008B6F65"/>
    <w:rsid w:val="008B7574"/>
    <w:rsid w:val="008B7992"/>
    <w:rsid w:val="008B7B86"/>
    <w:rsid w:val="008B7D7E"/>
    <w:rsid w:val="008C0852"/>
    <w:rsid w:val="008C0F54"/>
    <w:rsid w:val="008C1B67"/>
    <w:rsid w:val="008C2A5B"/>
    <w:rsid w:val="008C3CCF"/>
    <w:rsid w:val="008C4DAF"/>
    <w:rsid w:val="008C5610"/>
    <w:rsid w:val="008C5739"/>
    <w:rsid w:val="008C6386"/>
    <w:rsid w:val="008C6530"/>
    <w:rsid w:val="008C7282"/>
    <w:rsid w:val="008C7809"/>
    <w:rsid w:val="008C7ECB"/>
    <w:rsid w:val="008D0343"/>
    <w:rsid w:val="008D0BAC"/>
    <w:rsid w:val="008D1DBD"/>
    <w:rsid w:val="008D3B86"/>
    <w:rsid w:val="008D4156"/>
    <w:rsid w:val="008D43FD"/>
    <w:rsid w:val="008D4755"/>
    <w:rsid w:val="008D4C3D"/>
    <w:rsid w:val="008D675E"/>
    <w:rsid w:val="008D6ECD"/>
    <w:rsid w:val="008D743C"/>
    <w:rsid w:val="008E0140"/>
    <w:rsid w:val="008E0D3C"/>
    <w:rsid w:val="008E0F6C"/>
    <w:rsid w:val="008E1B9E"/>
    <w:rsid w:val="008E201E"/>
    <w:rsid w:val="008E55AB"/>
    <w:rsid w:val="008E5C13"/>
    <w:rsid w:val="008E622F"/>
    <w:rsid w:val="008E7806"/>
    <w:rsid w:val="008F120A"/>
    <w:rsid w:val="008F27E0"/>
    <w:rsid w:val="008F2BB5"/>
    <w:rsid w:val="008F43A2"/>
    <w:rsid w:val="008F48EB"/>
    <w:rsid w:val="008F4F0B"/>
    <w:rsid w:val="008F535E"/>
    <w:rsid w:val="00900437"/>
    <w:rsid w:val="00904230"/>
    <w:rsid w:val="00904472"/>
    <w:rsid w:val="009046C4"/>
    <w:rsid w:val="009062A5"/>
    <w:rsid w:val="00907699"/>
    <w:rsid w:val="00910FA7"/>
    <w:rsid w:val="00911272"/>
    <w:rsid w:val="00911339"/>
    <w:rsid w:val="0091163C"/>
    <w:rsid w:val="00912F81"/>
    <w:rsid w:val="009135D6"/>
    <w:rsid w:val="00914C0D"/>
    <w:rsid w:val="00914C77"/>
    <w:rsid w:val="009166D2"/>
    <w:rsid w:val="00916EDA"/>
    <w:rsid w:val="00920609"/>
    <w:rsid w:val="00921407"/>
    <w:rsid w:val="00921ACB"/>
    <w:rsid w:val="00921BD3"/>
    <w:rsid w:val="00922010"/>
    <w:rsid w:val="009228D6"/>
    <w:rsid w:val="00923504"/>
    <w:rsid w:val="0092369B"/>
    <w:rsid w:val="00923DF8"/>
    <w:rsid w:val="00925E2D"/>
    <w:rsid w:val="00926719"/>
    <w:rsid w:val="0092725A"/>
    <w:rsid w:val="00927356"/>
    <w:rsid w:val="0092756D"/>
    <w:rsid w:val="00927FC1"/>
    <w:rsid w:val="0093152C"/>
    <w:rsid w:val="00932FCD"/>
    <w:rsid w:val="00934988"/>
    <w:rsid w:val="0093569A"/>
    <w:rsid w:val="00936DFC"/>
    <w:rsid w:val="00937089"/>
    <w:rsid w:val="00943613"/>
    <w:rsid w:val="00944F8A"/>
    <w:rsid w:val="009510A2"/>
    <w:rsid w:val="0095119D"/>
    <w:rsid w:val="00951531"/>
    <w:rsid w:val="0095157E"/>
    <w:rsid w:val="00951DD1"/>
    <w:rsid w:val="00953257"/>
    <w:rsid w:val="00953961"/>
    <w:rsid w:val="0095474C"/>
    <w:rsid w:val="00954781"/>
    <w:rsid w:val="00954C78"/>
    <w:rsid w:val="00955104"/>
    <w:rsid w:val="00955450"/>
    <w:rsid w:val="0095761B"/>
    <w:rsid w:val="00957D92"/>
    <w:rsid w:val="00962AAE"/>
    <w:rsid w:val="00962CB9"/>
    <w:rsid w:val="00964312"/>
    <w:rsid w:val="00964E13"/>
    <w:rsid w:val="00965B8A"/>
    <w:rsid w:val="009701E7"/>
    <w:rsid w:val="0097071F"/>
    <w:rsid w:val="009715C8"/>
    <w:rsid w:val="009717AC"/>
    <w:rsid w:val="00972097"/>
    <w:rsid w:val="00973AA5"/>
    <w:rsid w:val="00974EE7"/>
    <w:rsid w:val="009751C1"/>
    <w:rsid w:val="009765CF"/>
    <w:rsid w:val="009804FB"/>
    <w:rsid w:val="00980A32"/>
    <w:rsid w:val="009811F1"/>
    <w:rsid w:val="009813C1"/>
    <w:rsid w:val="00982062"/>
    <w:rsid w:val="009822F8"/>
    <w:rsid w:val="0098301F"/>
    <w:rsid w:val="00983E57"/>
    <w:rsid w:val="00985DE2"/>
    <w:rsid w:val="009863AE"/>
    <w:rsid w:val="0098675D"/>
    <w:rsid w:val="00987BA4"/>
    <w:rsid w:val="009911F5"/>
    <w:rsid w:val="009926E0"/>
    <w:rsid w:val="00992908"/>
    <w:rsid w:val="0099451E"/>
    <w:rsid w:val="00995B46"/>
    <w:rsid w:val="00996B1A"/>
    <w:rsid w:val="009A0048"/>
    <w:rsid w:val="009A08F8"/>
    <w:rsid w:val="009A17EB"/>
    <w:rsid w:val="009A18F6"/>
    <w:rsid w:val="009A1E0C"/>
    <w:rsid w:val="009A2DCC"/>
    <w:rsid w:val="009A439C"/>
    <w:rsid w:val="009A4A45"/>
    <w:rsid w:val="009A5ABC"/>
    <w:rsid w:val="009A667C"/>
    <w:rsid w:val="009A76DD"/>
    <w:rsid w:val="009A7F10"/>
    <w:rsid w:val="009B2C01"/>
    <w:rsid w:val="009B2DD1"/>
    <w:rsid w:val="009B3E26"/>
    <w:rsid w:val="009B3E29"/>
    <w:rsid w:val="009B55D5"/>
    <w:rsid w:val="009B6497"/>
    <w:rsid w:val="009B6B52"/>
    <w:rsid w:val="009C1168"/>
    <w:rsid w:val="009C1271"/>
    <w:rsid w:val="009C1712"/>
    <w:rsid w:val="009C2D4D"/>
    <w:rsid w:val="009C3706"/>
    <w:rsid w:val="009C3A3A"/>
    <w:rsid w:val="009C3B03"/>
    <w:rsid w:val="009C4504"/>
    <w:rsid w:val="009C50C3"/>
    <w:rsid w:val="009C67EB"/>
    <w:rsid w:val="009C6CEA"/>
    <w:rsid w:val="009C7011"/>
    <w:rsid w:val="009C7B85"/>
    <w:rsid w:val="009D0254"/>
    <w:rsid w:val="009D0FDB"/>
    <w:rsid w:val="009D145C"/>
    <w:rsid w:val="009D1A64"/>
    <w:rsid w:val="009D1FEA"/>
    <w:rsid w:val="009D2179"/>
    <w:rsid w:val="009D2AC6"/>
    <w:rsid w:val="009D44EB"/>
    <w:rsid w:val="009D5B91"/>
    <w:rsid w:val="009D6BFD"/>
    <w:rsid w:val="009D7283"/>
    <w:rsid w:val="009D792E"/>
    <w:rsid w:val="009E0DFE"/>
    <w:rsid w:val="009E25DF"/>
    <w:rsid w:val="009E31F6"/>
    <w:rsid w:val="009E4C07"/>
    <w:rsid w:val="009E502A"/>
    <w:rsid w:val="009E523F"/>
    <w:rsid w:val="009E5A8A"/>
    <w:rsid w:val="009E6648"/>
    <w:rsid w:val="009E6899"/>
    <w:rsid w:val="009E6A67"/>
    <w:rsid w:val="009E705F"/>
    <w:rsid w:val="009E777F"/>
    <w:rsid w:val="009F2B8C"/>
    <w:rsid w:val="009F539E"/>
    <w:rsid w:val="009F6120"/>
    <w:rsid w:val="00A00D76"/>
    <w:rsid w:val="00A01184"/>
    <w:rsid w:val="00A013A1"/>
    <w:rsid w:val="00A01449"/>
    <w:rsid w:val="00A02FBA"/>
    <w:rsid w:val="00A0349B"/>
    <w:rsid w:val="00A037C2"/>
    <w:rsid w:val="00A03D43"/>
    <w:rsid w:val="00A04380"/>
    <w:rsid w:val="00A04786"/>
    <w:rsid w:val="00A05472"/>
    <w:rsid w:val="00A05C32"/>
    <w:rsid w:val="00A0653F"/>
    <w:rsid w:val="00A06A1F"/>
    <w:rsid w:val="00A10191"/>
    <w:rsid w:val="00A10BAD"/>
    <w:rsid w:val="00A10F50"/>
    <w:rsid w:val="00A11A38"/>
    <w:rsid w:val="00A11CD0"/>
    <w:rsid w:val="00A12D5E"/>
    <w:rsid w:val="00A13531"/>
    <w:rsid w:val="00A13948"/>
    <w:rsid w:val="00A13A9B"/>
    <w:rsid w:val="00A14E0C"/>
    <w:rsid w:val="00A1555B"/>
    <w:rsid w:val="00A155C5"/>
    <w:rsid w:val="00A1628D"/>
    <w:rsid w:val="00A16AD8"/>
    <w:rsid w:val="00A17CAB"/>
    <w:rsid w:val="00A17F50"/>
    <w:rsid w:val="00A2021E"/>
    <w:rsid w:val="00A20B83"/>
    <w:rsid w:val="00A21C95"/>
    <w:rsid w:val="00A21CF3"/>
    <w:rsid w:val="00A23C65"/>
    <w:rsid w:val="00A246B3"/>
    <w:rsid w:val="00A24813"/>
    <w:rsid w:val="00A249B0"/>
    <w:rsid w:val="00A269EB"/>
    <w:rsid w:val="00A27A27"/>
    <w:rsid w:val="00A27AEC"/>
    <w:rsid w:val="00A27BD9"/>
    <w:rsid w:val="00A320DB"/>
    <w:rsid w:val="00A35823"/>
    <w:rsid w:val="00A35D16"/>
    <w:rsid w:val="00A363CD"/>
    <w:rsid w:val="00A37BCD"/>
    <w:rsid w:val="00A408AB"/>
    <w:rsid w:val="00A41689"/>
    <w:rsid w:val="00A42592"/>
    <w:rsid w:val="00A430C0"/>
    <w:rsid w:val="00A4398A"/>
    <w:rsid w:val="00A43C59"/>
    <w:rsid w:val="00A4556B"/>
    <w:rsid w:val="00A45F0C"/>
    <w:rsid w:val="00A504AE"/>
    <w:rsid w:val="00A50ECD"/>
    <w:rsid w:val="00A518F3"/>
    <w:rsid w:val="00A52729"/>
    <w:rsid w:val="00A5308B"/>
    <w:rsid w:val="00A53675"/>
    <w:rsid w:val="00A53E74"/>
    <w:rsid w:val="00A541CE"/>
    <w:rsid w:val="00A54E16"/>
    <w:rsid w:val="00A55D2C"/>
    <w:rsid w:val="00A564D7"/>
    <w:rsid w:val="00A5653C"/>
    <w:rsid w:val="00A56B6A"/>
    <w:rsid w:val="00A578DC"/>
    <w:rsid w:val="00A610F9"/>
    <w:rsid w:val="00A61F6D"/>
    <w:rsid w:val="00A61FC8"/>
    <w:rsid w:val="00A640E2"/>
    <w:rsid w:val="00A64242"/>
    <w:rsid w:val="00A64D65"/>
    <w:rsid w:val="00A65D81"/>
    <w:rsid w:val="00A660C7"/>
    <w:rsid w:val="00A6725B"/>
    <w:rsid w:val="00A70605"/>
    <w:rsid w:val="00A71D05"/>
    <w:rsid w:val="00A72BDC"/>
    <w:rsid w:val="00A73134"/>
    <w:rsid w:val="00A7365A"/>
    <w:rsid w:val="00A76001"/>
    <w:rsid w:val="00A76C2A"/>
    <w:rsid w:val="00A774E7"/>
    <w:rsid w:val="00A777B2"/>
    <w:rsid w:val="00A77C80"/>
    <w:rsid w:val="00A80844"/>
    <w:rsid w:val="00A80D0D"/>
    <w:rsid w:val="00A825D4"/>
    <w:rsid w:val="00A8275A"/>
    <w:rsid w:val="00A828F6"/>
    <w:rsid w:val="00A82B73"/>
    <w:rsid w:val="00A8307B"/>
    <w:rsid w:val="00A83157"/>
    <w:rsid w:val="00A83484"/>
    <w:rsid w:val="00A84C97"/>
    <w:rsid w:val="00A84CF6"/>
    <w:rsid w:val="00A86287"/>
    <w:rsid w:val="00A86859"/>
    <w:rsid w:val="00A86E8B"/>
    <w:rsid w:val="00A87164"/>
    <w:rsid w:val="00A871A9"/>
    <w:rsid w:val="00A90293"/>
    <w:rsid w:val="00A90635"/>
    <w:rsid w:val="00A911AD"/>
    <w:rsid w:val="00A911CC"/>
    <w:rsid w:val="00A91697"/>
    <w:rsid w:val="00A91E4C"/>
    <w:rsid w:val="00A9230F"/>
    <w:rsid w:val="00A9292C"/>
    <w:rsid w:val="00A93072"/>
    <w:rsid w:val="00A938BD"/>
    <w:rsid w:val="00A93953"/>
    <w:rsid w:val="00A9509B"/>
    <w:rsid w:val="00A95560"/>
    <w:rsid w:val="00A959D8"/>
    <w:rsid w:val="00A96214"/>
    <w:rsid w:val="00A97AC4"/>
    <w:rsid w:val="00AA0400"/>
    <w:rsid w:val="00AA113D"/>
    <w:rsid w:val="00AA43DA"/>
    <w:rsid w:val="00AA44E2"/>
    <w:rsid w:val="00AA4CF2"/>
    <w:rsid w:val="00AA6B83"/>
    <w:rsid w:val="00AA6BD5"/>
    <w:rsid w:val="00AA6BD8"/>
    <w:rsid w:val="00AA6C7D"/>
    <w:rsid w:val="00AA7220"/>
    <w:rsid w:val="00AA7762"/>
    <w:rsid w:val="00AA7CF5"/>
    <w:rsid w:val="00AA7FD6"/>
    <w:rsid w:val="00AB042A"/>
    <w:rsid w:val="00AB0F2A"/>
    <w:rsid w:val="00AB11AD"/>
    <w:rsid w:val="00AB19EF"/>
    <w:rsid w:val="00AB1B19"/>
    <w:rsid w:val="00AB2495"/>
    <w:rsid w:val="00AB2D34"/>
    <w:rsid w:val="00AB3430"/>
    <w:rsid w:val="00AB37B9"/>
    <w:rsid w:val="00AB3EAB"/>
    <w:rsid w:val="00AB4715"/>
    <w:rsid w:val="00AB4A58"/>
    <w:rsid w:val="00AB4AD1"/>
    <w:rsid w:val="00AB5E07"/>
    <w:rsid w:val="00AB6B52"/>
    <w:rsid w:val="00AB737D"/>
    <w:rsid w:val="00AB7CFA"/>
    <w:rsid w:val="00AB7D62"/>
    <w:rsid w:val="00AC3B28"/>
    <w:rsid w:val="00AC4394"/>
    <w:rsid w:val="00AC57FF"/>
    <w:rsid w:val="00AC5B42"/>
    <w:rsid w:val="00AC5B48"/>
    <w:rsid w:val="00AD1290"/>
    <w:rsid w:val="00AD1450"/>
    <w:rsid w:val="00AD15E8"/>
    <w:rsid w:val="00AD356D"/>
    <w:rsid w:val="00AD4B32"/>
    <w:rsid w:val="00AD53CF"/>
    <w:rsid w:val="00AD55E7"/>
    <w:rsid w:val="00AD5874"/>
    <w:rsid w:val="00AD6502"/>
    <w:rsid w:val="00AD7094"/>
    <w:rsid w:val="00AE03B4"/>
    <w:rsid w:val="00AE0695"/>
    <w:rsid w:val="00AE2121"/>
    <w:rsid w:val="00AE351A"/>
    <w:rsid w:val="00AE3BD3"/>
    <w:rsid w:val="00AE3E7E"/>
    <w:rsid w:val="00AE51C7"/>
    <w:rsid w:val="00AE6556"/>
    <w:rsid w:val="00AE6804"/>
    <w:rsid w:val="00AE701F"/>
    <w:rsid w:val="00AE73C7"/>
    <w:rsid w:val="00AE7E53"/>
    <w:rsid w:val="00AF1315"/>
    <w:rsid w:val="00AF1515"/>
    <w:rsid w:val="00AF15D9"/>
    <w:rsid w:val="00AF1824"/>
    <w:rsid w:val="00AF19BF"/>
    <w:rsid w:val="00AF2DC3"/>
    <w:rsid w:val="00AF3A97"/>
    <w:rsid w:val="00B007C6"/>
    <w:rsid w:val="00B033E5"/>
    <w:rsid w:val="00B03A63"/>
    <w:rsid w:val="00B0499A"/>
    <w:rsid w:val="00B05DBA"/>
    <w:rsid w:val="00B06ED3"/>
    <w:rsid w:val="00B1041E"/>
    <w:rsid w:val="00B129A4"/>
    <w:rsid w:val="00B13E7E"/>
    <w:rsid w:val="00B141E9"/>
    <w:rsid w:val="00B146DF"/>
    <w:rsid w:val="00B201A4"/>
    <w:rsid w:val="00B201D1"/>
    <w:rsid w:val="00B213A6"/>
    <w:rsid w:val="00B235B0"/>
    <w:rsid w:val="00B240DD"/>
    <w:rsid w:val="00B24DF6"/>
    <w:rsid w:val="00B27A61"/>
    <w:rsid w:val="00B306AF"/>
    <w:rsid w:val="00B30DF2"/>
    <w:rsid w:val="00B3150D"/>
    <w:rsid w:val="00B32F4D"/>
    <w:rsid w:val="00B33786"/>
    <w:rsid w:val="00B3457F"/>
    <w:rsid w:val="00B34FE2"/>
    <w:rsid w:val="00B35166"/>
    <w:rsid w:val="00B357D8"/>
    <w:rsid w:val="00B360F4"/>
    <w:rsid w:val="00B368CC"/>
    <w:rsid w:val="00B36A00"/>
    <w:rsid w:val="00B3792B"/>
    <w:rsid w:val="00B37BFC"/>
    <w:rsid w:val="00B37E94"/>
    <w:rsid w:val="00B40358"/>
    <w:rsid w:val="00B403CC"/>
    <w:rsid w:val="00B4049F"/>
    <w:rsid w:val="00B41614"/>
    <w:rsid w:val="00B42851"/>
    <w:rsid w:val="00B42F80"/>
    <w:rsid w:val="00B435CB"/>
    <w:rsid w:val="00B43E72"/>
    <w:rsid w:val="00B464F5"/>
    <w:rsid w:val="00B465EC"/>
    <w:rsid w:val="00B505C8"/>
    <w:rsid w:val="00B50DB8"/>
    <w:rsid w:val="00B50EEE"/>
    <w:rsid w:val="00B52E9B"/>
    <w:rsid w:val="00B53654"/>
    <w:rsid w:val="00B53905"/>
    <w:rsid w:val="00B546DB"/>
    <w:rsid w:val="00B54B5B"/>
    <w:rsid w:val="00B5532D"/>
    <w:rsid w:val="00B55557"/>
    <w:rsid w:val="00B5562E"/>
    <w:rsid w:val="00B55862"/>
    <w:rsid w:val="00B55D65"/>
    <w:rsid w:val="00B56305"/>
    <w:rsid w:val="00B57000"/>
    <w:rsid w:val="00B60939"/>
    <w:rsid w:val="00B60AFD"/>
    <w:rsid w:val="00B60D62"/>
    <w:rsid w:val="00B62715"/>
    <w:rsid w:val="00B63A53"/>
    <w:rsid w:val="00B65611"/>
    <w:rsid w:val="00B66A4E"/>
    <w:rsid w:val="00B67EA3"/>
    <w:rsid w:val="00B70642"/>
    <w:rsid w:val="00B70E2D"/>
    <w:rsid w:val="00B70E8E"/>
    <w:rsid w:val="00B73B1E"/>
    <w:rsid w:val="00B73EDB"/>
    <w:rsid w:val="00B742A9"/>
    <w:rsid w:val="00B7490E"/>
    <w:rsid w:val="00B754FA"/>
    <w:rsid w:val="00B7680F"/>
    <w:rsid w:val="00B76A03"/>
    <w:rsid w:val="00B76C92"/>
    <w:rsid w:val="00B8074C"/>
    <w:rsid w:val="00B80D99"/>
    <w:rsid w:val="00B80EFD"/>
    <w:rsid w:val="00B818A4"/>
    <w:rsid w:val="00B8320D"/>
    <w:rsid w:val="00B83739"/>
    <w:rsid w:val="00B84117"/>
    <w:rsid w:val="00B84308"/>
    <w:rsid w:val="00B84775"/>
    <w:rsid w:val="00B84AC9"/>
    <w:rsid w:val="00B8530F"/>
    <w:rsid w:val="00B854A8"/>
    <w:rsid w:val="00B858F0"/>
    <w:rsid w:val="00B85AA2"/>
    <w:rsid w:val="00B8649C"/>
    <w:rsid w:val="00B867F8"/>
    <w:rsid w:val="00B8695D"/>
    <w:rsid w:val="00B86A23"/>
    <w:rsid w:val="00B87F0A"/>
    <w:rsid w:val="00B90713"/>
    <w:rsid w:val="00B92D0B"/>
    <w:rsid w:val="00B93899"/>
    <w:rsid w:val="00B93A2B"/>
    <w:rsid w:val="00B94536"/>
    <w:rsid w:val="00B946B7"/>
    <w:rsid w:val="00B94945"/>
    <w:rsid w:val="00B94DD6"/>
    <w:rsid w:val="00B94E29"/>
    <w:rsid w:val="00B956A8"/>
    <w:rsid w:val="00B97369"/>
    <w:rsid w:val="00B9786A"/>
    <w:rsid w:val="00B97992"/>
    <w:rsid w:val="00BA0393"/>
    <w:rsid w:val="00BA0F4B"/>
    <w:rsid w:val="00BA1389"/>
    <w:rsid w:val="00BA1E68"/>
    <w:rsid w:val="00BA322D"/>
    <w:rsid w:val="00BA63FA"/>
    <w:rsid w:val="00BA7072"/>
    <w:rsid w:val="00BB00B3"/>
    <w:rsid w:val="00BB0BDD"/>
    <w:rsid w:val="00BB176C"/>
    <w:rsid w:val="00BB1CF2"/>
    <w:rsid w:val="00BB2A73"/>
    <w:rsid w:val="00BB2B8E"/>
    <w:rsid w:val="00BB36A5"/>
    <w:rsid w:val="00BB3A45"/>
    <w:rsid w:val="00BB43E6"/>
    <w:rsid w:val="00BB460F"/>
    <w:rsid w:val="00BB4ACC"/>
    <w:rsid w:val="00BB5089"/>
    <w:rsid w:val="00BB5634"/>
    <w:rsid w:val="00BB67C3"/>
    <w:rsid w:val="00BB6DC3"/>
    <w:rsid w:val="00BB703E"/>
    <w:rsid w:val="00BB732D"/>
    <w:rsid w:val="00BB7405"/>
    <w:rsid w:val="00BC067B"/>
    <w:rsid w:val="00BC3631"/>
    <w:rsid w:val="00BC383F"/>
    <w:rsid w:val="00BC591F"/>
    <w:rsid w:val="00BC6A86"/>
    <w:rsid w:val="00BC7291"/>
    <w:rsid w:val="00BC7CB2"/>
    <w:rsid w:val="00BC7D6D"/>
    <w:rsid w:val="00BD131A"/>
    <w:rsid w:val="00BD1A57"/>
    <w:rsid w:val="00BD1AF5"/>
    <w:rsid w:val="00BD20EC"/>
    <w:rsid w:val="00BD2108"/>
    <w:rsid w:val="00BD2C65"/>
    <w:rsid w:val="00BD2D6B"/>
    <w:rsid w:val="00BD4240"/>
    <w:rsid w:val="00BD68A3"/>
    <w:rsid w:val="00BD6927"/>
    <w:rsid w:val="00BD6938"/>
    <w:rsid w:val="00BD6CF3"/>
    <w:rsid w:val="00BD7F72"/>
    <w:rsid w:val="00BD7FA7"/>
    <w:rsid w:val="00BE0A96"/>
    <w:rsid w:val="00BE0ECA"/>
    <w:rsid w:val="00BE108A"/>
    <w:rsid w:val="00BE13B7"/>
    <w:rsid w:val="00BE2180"/>
    <w:rsid w:val="00BE21F2"/>
    <w:rsid w:val="00BE27F7"/>
    <w:rsid w:val="00BE3B5B"/>
    <w:rsid w:val="00BE4275"/>
    <w:rsid w:val="00BE4FD1"/>
    <w:rsid w:val="00BE62FA"/>
    <w:rsid w:val="00BE6B68"/>
    <w:rsid w:val="00BE7518"/>
    <w:rsid w:val="00BF06AE"/>
    <w:rsid w:val="00BF0F95"/>
    <w:rsid w:val="00BF23AD"/>
    <w:rsid w:val="00BF2433"/>
    <w:rsid w:val="00BF2749"/>
    <w:rsid w:val="00BF2E6E"/>
    <w:rsid w:val="00BF446F"/>
    <w:rsid w:val="00BF547B"/>
    <w:rsid w:val="00BF61C9"/>
    <w:rsid w:val="00BF6A3E"/>
    <w:rsid w:val="00BF6B51"/>
    <w:rsid w:val="00BF6C37"/>
    <w:rsid w:val="00BF6C94"/>
    <w:rsid w:val="00BF6F4D"/>
    <w:rsid w:val="00BF7A0B"/>
    <w:rsid w:val="00C00424"/>
    <w:rsid w:val="00C00BB0"/>
    <w:rsid w:val="00C0226D"/>
    <w:rsid w:val="00C02392"/>
    <w:rsid w:val="00C02687"/>
    <w:rsid w:val="00C03A46"/>
    <w:rsid w:val="00C0474C"/>
    <w:rsid w:val="00C0554D"/>
    <w:rsid w:val="00C06D75"/>
    <w:rsid w:val="00C077A1"/>
    <w:rsid w:val="00C10678"/>
    <w:rsid w:val="00C1179F"/>
    <w:rsid w:val="00C1183C"/>
    <w:rsid w:val="00C127B9"/>
    <w:rsid w:val="00C128FA"/>
    <w:rsid w:val="00C12C14"/>
    <w:rsid w:val="00C15253"/>
    <w:rsid w:val="00C153F7"/>
    <w:rsid w:val="00C15E26"/>
    <w:rsid w:val="00C15F04"/>
    <w:rsid w:val="00C174D4"/>
    <w:rsid w:val="00C177E2"/>
    <w:rsid w:val="00C179B3"/>
    <w:rsid w:val="00C17E3F"/>
    <w:rsid w:val="00C200AA"/>
    <w:rsid w:val="00C22048"/>
    <w:rsid w:val="00C22374"/>
    <w:rsid w:val="00C2267B"/>
    <w:rsid w:val="00C22AA6"/>
    <w:rsid w:val="00C237ED"/>
    <w:rsid w:val="00C24632"/>
    <w:rsid w:val="00C24FD5"/>
    <w:rsid w:val="00C25418"/>
    <w:rsid w:val="00C25D9C"/>
    <w:rsid w:val="00C25F66"/>
    <w:rsid w:val="00C268B9"/>
    <w:rsid w:val="00C2778B"/>
    <w:rsid w:val="00C27F93"/>
    <w:rsid w:val="00C30E16"/>
    <w:rsid w:val="00C30ED6"/>
    <w:rsid w:val="00C31379"/>
    <w:rsid w:val="00C31649"/>
    <w:rsid w:val="00C316FA"/>
    <w:rsid w:val="00C32EFD"/>
    <w:rsid w:val="00C3434C"/>
    <w:rsid w:val="00C35076"/>
    <w:rsid w:val="00C36C32"/>
    <w:rsid w:val="00C37942"/>
    <w:rsid w:val="00C40385"/>
    <w:rsid w:val="00C41768"/>
    <w:rsid w:val="00C42A2D"/>
    <w:rsid w:val="00C4364D"/>
    <w:rsid w:val="00C44A20"/>
    <w:rsid w:val="00C44D13"/>
    <w:rsid w:val="00C450E5"/>
    <w:rsid w:val="00C460AF"/>
    <w:rsid w:val="00C46238"/>
    <w:rsid w:val="00C465FB"/>
    <w:rsid w:val="00C47128"/>
    <w:rsid w:val="00C475AA"/>
    <w:rsid w:val="00C50054"/>
    <w:rsid w:val="00C527C7"/>
    <w:rsid w:val="00C52FC7"/>
    <w:rsid w:val="00C539BF"/>
    <w:rsid w:val="00C53C98"/>
    <w:rsid w:val="00C5525E"/>
    <w:rsid w:val="00C56365"/>
    <w:rsid w:val="00C56FCF"/>
    <w:rsid w:val="00C57B6C"/>
    <w:rsid w:val="00C61A59"/>
    <w:rsid w:val="00C628A6"/>
    <w:rsid w:val="00C62D14"/>
    <w:rsid w:val="00C636FF"/>
    <w:rsid w:val="00C64344"/>
    <w:rsid w:val="00C65108"/>
    <w:rsid w:val="00C65576"/>
    <w:rsid w:val="00C66165"/>
    <w:rsid w:val="00C661CF"/>
    <w:rsid w:val="00C7060A"/>
    <w:rsid w:val="00C709BF"/>
    <w:rsid w:val="00C712BB"/>
    <w:rsid w:val="00C7151A"/>
    <w:rsid w:val="00C717E3"/>
    <w:rsid w:val="00C71F60"/>
    <w:rsid w:val="00C721BB"/>
    <w:rsid w:val="00C72241"/>
    <w:rsid w:val="00C748A3"/>
    <w:rsid w:val="00C750C8"/>
    <w:rsid w:val="00C7560F"/>
    <w:rsid w:val="00C7758D"/>
    <w:rsid w:val="00C77B8D"/>
    <w:rsid w:val="00C77D25"/>
    <w:rsid w:val="00C80029"/>
    <w:rsid w:val="00C80A0E"/>
    <w:rsid w:val="00C80EE0"/>
    <w:rsid w:val="00C81AA2"/>
    <w:rsid w:val="00C8213F"/>
    <w:rsid w:val="00C82490"/>
    <w:rsid w:val="00C8303F"/>
    <w:rsid w:val="00C85154"/>
    <w:rsid w:val="00C85296"/>
    <w:rsid w:val="00C85A70"/>
    <w:rsid w:val="00C8797A"/>
    <w:rsid w:val="00C900B8"/>
    <w:rsid w:val="00C90197"/>
    <w:rsid w:val="00C90364"/>
    <w:rsid w:val="00C90571"/>
    <w:rsid w:val="00C90C71"/>
    <w:rsid w:val="00C91FD1"/>
    <w:rsid w:val="00C931CF"/>
    <w:rsid w:val="00C9357B"/>
    <w:rsid w:val="00C938CF"/>
    <w:rsid w:val="00C93E23"/>
    <w:rsid w:val="00C94053"/>
    <w:rsid w:val="00C948A0"/>
    <w:rsid w:val="00C9624D"/>
    <w:rsid w:val="00C969DA"/>
    <w:rsid w:val="00C97C8C"/>
    <w:rsid w:val="00CA1314"/>
    <w:rsid w:val="00CA1861"/>
    <w:rsid w:val="00CA2017"/>
    <w:rsid w:val="00CA2C77"/>
    <w:rsid w:val="00CA2D66"/>
    <w:rsid w:val="00CA379F"/>
    <w:rsid w:val="00CA444F"/>
    <w:rsid w:val="00CA5245"/>
    <w:rsid w:val="00CA71F4"/>
    <w:rsid w:val="00CA7B09"/>
    <w:rsid w:val="00CB12A5"/>
    <w:rsid w:val="00CB1CAC"/>
    <w:rsid w:val="00CB2F2A"/>
    <w:rsid w:val="00CB38B0"/>
    <w:rsid w:val="00CB4535"/>
    <w:rsid w:val="00CB4784"/>
    <w:rsid w:val="00CB4BDC"/>
    <w:rsid w:val="00CB50CD"/>
    <w:rsid w:val="00CB53B3"/>
    <w:rsid w:val="00CB597E"/>
    <w:rsid w:val="00CB5B1A"/>
    <w:rsid w:val="00CB6B22"/>
    <w:rsid w:val="00CB780F"/>
    <w:rsid w:val="00CB7F5F"/>
    <w:rsid w:val="00CC1B39"/>
    <w:rsid w:val="00CC1BFA"/>
    <w:rsid w:val="00CC2591"/>
    <w:rsid w:val="00CC2E9F"/>
    <w:rsid w:val="00CC35EA"/>
    <w:rsid w:val="00CC3848"/>
    <w:rsid w:val="00CC3FB1"/>
    <w:rsid w:val="00CC6D5E"/>
    <w:rsid w:val="00CD0200"/>
    <w:rsid w:val="00CD2065"/>
    <w:rsid w:val="00CD3F77"/>
    <w:rsid w:val="00CD66C0"/>
    <w:rsid w:val="00CD696C"/>
    <w:rsid w:val="00CD6ADC"/>
    <w:rsid w:val="00CD7193"/>
    <w:rsid w:val="00CD73A6"/>
    <w:rsid w:val="00CE054B"/>
    <w:rsid w:val="00CE15AE"/>
    <w:rsid w:val="00CE15E2"/>
    <w:rsid w:val="00CE2FC6"/>
    <w:rsid w:val="00CE38C8"/>
    <w:rsid w:val="00CE524F"/>
    <w:rsid w:val="00CE58CC"/>
    <w:rsid w:val="00CE6274"/>
    <w:rsid w:val="00CE71ED"/>
    <w:rsid w:val="00CE722A"/>
    <w:rsid w:val="00CE77B6"/>
    <w:rsid w:val="00CF2B8D"/>
    <w:rsid w:val="00CF3A1B"/>
    <w:rsid w:val="00CF40EF"/>
    <w:rsid w:val="00CF456B"/>
    <w:rsid w:val="00CF4F12"/>
    <w:rsid w:val="00CF502B"/>
    <w:rsid w:val="00CF5A22"/>
    <w:rsid w:val="00D00495"/>
    <w:rsid w:val="00D011D5"/>
    <w:rsid w:val="00D01B0D"/>
    <w:rsid w:val="00D0262E"/>
    <w:rsid w:val="00D03679"/>
    <w:rsid w:val="00D051DE"/>
    <w:rsid w:val="00D05BE8"/>
    <w:rsid w:val="00D05E3D"/>
    <w:rsid w:val="00D06139"/>
    <w:rsid w:val="00D06971"/>
    <w:rsid w:val="00D102E5"/>
    <w:rsid w:val="00D1037A"/>
    <w:rsid w:val="00D10633"/>
    <w:rsid w:val="00D10753"/>
    <w:rsid w:val="00D110BD"/>
    <w:rsid w:val="00D11956"/>
    <w:rsid w:val="00D131AC"/>
    <w:rsid w:val="00D13675"/>
    <w:rsid w:val="00D141E1"/>
    <w:rsid w:val="00D14353"/>
    <w:rsid w:val="00D14918"/>
    <w:rsid w:val="00D15314"/>
    <w:rsid w:val="00D1533A"/>
    <w:rsid w:val="00D153D9"/>
    <w:rsid w:val="00D15B48"/>
    <w:rsid w:val="00D17059"/>
    <w:rsid w:val="00D17335"/>
    <w:rsid w:val="00D17B69"/>
    <w:rsid w:val="00D17D6C"/>
    <w:rsid w:val="00D20425"/>
    <w:rsid w:val="00D206BE"/>
    <w:rsid w:val="00D21220"/>
    <w:rsid w:val="00D2155B"/>
    <w:rsid w:val="00D21664"/>
    <w:rsid w:val="00D216C8"/>
    <w:rsid w:val="00D21D9B"/>
    <w:rsid w:val="00D23428"/>
    <w:rsid w:val="00D23D11"/>
    <w:rsid w:val="00D244B6"/>
    <w:rsid w:val="00D24607"/>
    <w:rsid w:val="00D25887"/>
    <w:rsid w:val="00D2754D"/>
    <w:rsid w:val="00D279E2"/>
    <w:rsid w:val="00D27B27"/>
    <w:rsid w:val="00D30249"/>
    <w:rsid w:val="00D30784"/>
    <w:rsid w:val="00D30D5B"/>
    <w:rsid w:val="00D33BE9"/>
    <w:rsid w:val="00D33E89"/>
    <w:rsid w:val="00D33F93"/>
    <w:rsid w:val="00D357FF"/>
    <w:rsid w:val="00D35F4F"/>
    <w:rsid w:val="00D36824"/>
    <w:rsid w:val="00D369E7"/>
    <w:rsid w:val="00D379C5"/>
    <w:rsid w:val="00D41F02"/>
    <w:rsid w:val="00D424C7"/>
    <w:rsid w:val="00D428F0"/>
    <w:rsid w:val="00D43094"/>
    <w:rsid w:val="00D43B2A"/>
    <w:rsid w:val="00D43CF1"/>
    <w:rsid w:val="00D43D83"/>
    <w:rsid w:val="00D46A54"/>
    <w:rsid w:val="00D46EEF"/>
    <w:rsid w:val="00D47509"/>
    <w:rsid w:val="00D47575"/>
    <w:rsid w:val="00D50C93"/>
    <w:rsid w:val="00D512F5"/>
    <w:rsid w:val="00D51D63"/>
    <w:rsid w:val="00D5243B"/>
    <w:rsid w:val="00D5250F"/>
    <w:rsid w:val="00D528BB"/>
    <w:rsid w:val="00D533EC"/>
    <w:rsid w:val="00D54181"/>
    <w:rsid w:val="00D541F6"/>
    <w:rsid w:val="00D54A35"/>
    <w:rsid w:val="00D551A6"/>
    <w:rsid w:val="00D557BF"/>
    <w:rsid w:val="00D55CCF"/>
    <w:rsid w:val="00D5679D"/>
    <w:rsid w:val="00D569DB"/>
    <w:rsid w:val="00D56A95"/>
    <w:rsid w:val="00D6076E"/>
    <w:rsid w:val="00D62F8F"/>
    <w:rsid w:val="00D64D6F"/>
    <w:rsid w:val="00D651A4"/>
    <w:rsid w:val="00D65A7B"/>
    <w:rsid w:val="00D66421"/>
    <w:rsid w:val="00D66766"/>
    <w:rsid w:val="00D7035E"/>
    <w:rsid w:val="00D70F16"/>
    <w:rsid w:val="00D7220C"/>
    <w:rsid w:val="00D72617"/>
    <w:rsid w:val="00D72657"/>
    <w:rsid w:val="00D72F57"/>
    <w:rsid w:val="00D73613"/>
    <w:rsid w:val="00D74A8D"/>
    <w:rsid w:val="00D760A0"/>
    <w:rsid w:val="00D76A44"/>
    <w:rsid w:val="00D76D04"/>
    <w:rsid w:val="00D76EB1"/>
    <w:rsid w:val="00D77D8F"/>
    <w:rsid w:val="00D815EF"/>
    <w:rsid w:val="00D8181D"/>
    <w:rsid w:val="00D81949"/>
    <w:rsid w:val="00D81A77"/>
    <w:rsid w:val="00D81F26"/>
    <w:rsid w:val="00D81FA9"/>
    <w:rsid w:val="00D822E2"/>
    <w:rsid w:val="00D828B9"/>
    <w:rsid w:val="00D843F2"/>
    <w:rsid w:val="00D84692"/>
    <w:rsid w:val="00D86231"/>
    <w:rsid w:val="00D8737A"/>
    <w:rsid w:val="00D9055E"/>
    <w:rsid w:val="00D91138"/>
    <w:rsid w:val="00D912AB"/>
    <w:rsid w:val="00D91923"/>
    <w:rsid w:val="00D92370"/>
    <w:rsid w:val="00D93753"/>
    <w:rsid w:val="00D96F2E"/>
    <w:rsid w:val="00DA3167"/>
    <w:rsid w:val="00DA4DC3"/>
    <w:rsid w:val="00DA5378"/>
    <w:rsid w:val="00DA5B09"/>
    <w:rsid w:val="00DA77A5"/>
    <w:rsid w:val="00DA7F3B"/>
    <w:rsid w:val="00DB0599"/>
    <w:rsid w:val="00DB0E36"/>
    <w:rsid w:val="00DB26D1"/>
    <w:rsid w:val="00DB2D86"/>
    <w:rsid w:val="00DB3423"/>
    <w:rsid w:val="00DB3DBF"/>
    <w:rsid w:val="00DB4077"/>
    <w:rsid w:val="00DB484F"/>
    <w:rsid w:val="00DB5667"/>
    <w:rsid w:val="00DB76F2"/>
    <w:rsid w:val="00DB7A5A"/>
    <w:rsid w:val="00DB7ECE"/>
    <w:rsid w:val="00DC04F6"/>
    <w:rsid w:val="00DC04FB"/>
    <w:rsid w:val="00DC0690"/>
    <w:rsid w:val="00DC1C09"/>
    <w:rsid w:val="00DC1D65"/>
    <w:rsid w:val="00DC31C2"/>
    <w:rsid w:val="00DC3C57"/>
    <w:rsid w:val="00DC4A06"/>
    <w:rsid w:val="00DC5326"/>
    <w:rsid w:val="00DC5501"/>
    <w:rsid w:val="00DC5DE4"/>
    <w:rsid w:val="00DC7154"/>
    <w:rsid w:val="00DC7E8A"/>
    <w:rsid w:val="00DC7F0B"/>
    <w:rsid w:val="00DD001E"/>
    <w:rsid w:val="00DD0F78"/>
    <w:rsid w:val="00DD273C"/>
    <w:rsid w:val="00DD2CEC"/>
    <w:rsid w:val="00DD3F28"/>
    <w:rsid w:val="00DD4446"/>
    <w:rsid w:val="00DD4537"/>
    <w:rsid w:val="00DD4998"/>
    <w:rsid w:val="00DD4E15"/>
    <w:rsid w:val="00DD6236"/>
    <w:rsid w:val="00DD6554"/>
    <w:rsid w:val="00DD7118"/>
    <w:rsid w:val="00DD7390"/>
    <w:rsid w:val="00DE087B"/>
    <w:rsid w:val="00DE13D6"/>
    <w:rsid w:val="00DE2304"/>
    <w:rsid w:val="00DE3138"/>
    <w:rsid w:val="00DE3381"/>
    <w:rsid w:val="00DE37F8"/>
    <w:rsid w:val="00DE3F11"/>
    <w:rsid w:val="00DE4273"/>
    <w:rsid w:val="00DE4FCB"/>
    <w:rsid w:val="00DE5D07"/>
    <w:rsid w:val="00DE70D9"/>
    <w:rsid w:val="00DE72A7"/>
    <w:rsid w:val="00DE7799"/>
    <w:rsid w:val="00DE779F"/>
    <w:rsid w:val="00DE7832"/>
    <w:rsid w:val="00DF00E2"/>
    <w:rsid w:val="00DF0A72"/>
    <w:rsid w:val="00DF17F2"/>
    <w:rsid w:val="00DF18FC"/>
    <w:rsid w:val="00DF2B77"/>
    <w:rsid w:val="00DF5D2B"/>
    <w:rsid w:val="00DF6341"/>
    <w:rsid w:val="00DF7F32"/>
    <w:rsid w:val="00E0024D"/>
    <w:rsid w:val="00E00C04"/>
    <w:rsid w:val="00E00E8E"/>
    <w:rsid w:val="00E01233"/>
    <w:rsid w:val="00E036EB"/>
    <w:rsid w:val="00E04227"/>
    <w:rsid w:val="00E05222"/>
    <w:rsid w:val="00E05630"/>
    <w:rsid w:val="00E06DBB"/>
    <w:rsid w:val="00E06E77"/>
    <w:rsid w:val="00E10149"/>
    <w:rsid w:val="00E11340"/>
    <w:rsid w:val="00E121AB"/>
    <w:rsid w:val="00E122A1"/>
    <w:rsid w:val="00E12E96"/>
    <w:rsid w:val="00E1325B"/>
    <w:rsid w:val="00E13DDE"/>
    <w:rsid w:val="00E16372"/>
    <w:rsid w:val="00E16460"/>
    <w:rsid w:val="00E16AD8"/>
    <w:rsid w:val="00E17FFA"/>
    <w:rsid w:val="00E20E4D"/>
    <w:rsid w:val="00E20ED6"/>
    <w:rsid w:val="00E21358"/>
    <w:rsid w:val="00E2231D"/>
    <w:rsid w:val="00E2249B"/>
    <w:rsid w:val="00E22A0D"/>
    <w:rsid w:val="00E244F6"/>
    <w:rsid w:val="00E258DB"/>
    <w:rsid w:val="00E26107"/>
    <w:rsid w:val="00E26780"/>
    <w:rsid w:val="00E2771E"/>
    <w:rsid w:val="00E311EF"/>
    <w:rsid w:val="00E31F1D"/>
    <w:rsid w:val="00E32180"/>
    <w:rsid w:val="00E321A7"/>
    <w:rsid w:val="00E34948"/>
    <w:rsid w:val="00E349BE"/>
    <w:rsid w:val="00E34FD2"/>
    <w:rsid w:val="00E36939"/>
    <w:rsid w:val="00E37569"/>
    <w:rsid w:val="00E401B2"/>
    <w:rsid w:val="00E41E30"/>
    <w:rsid w:val="00E42BA5"/>
    <w:rsid w:val="00E42F73"/>
    <w:rsid w:val="00E43163"/>
    <w:rsid w:val="00E43D70"/>
    <w:rsid w:val="00E45FB2"/>
    <w:rsid w:val="00E466F3"/>
    <w:rsid w:val="00E47B2C"/>
    <w:rsid w:val="00E5022C"/>
    <w:rsid w:val="00E51560"/>
    <w:rsid w:val="00E51821"/>
    <w:rsid w:val="00E53FC8"/>
    <w:rsid w:val="00E540BB"/>
    <w:rsid w:val="00E54213"/>
    <w:rsid w:val="00E54347"/>
    <w:rsid w:val="00E55424"/>
    <w:rsid w:val="00E55698"/>
    <w:rsid w:val="00E55740"/>
    <w:rsid w:val="00E55915"/>
    <w:rsid w:val="00E55BB5"/>
    <w:rsid w:val="00E56066"/>
    <w:rsid w:val="00E611DF"/>
    <w:rsid w:val="00E61D02"/>
    <w:rsid w:val="00E6233F"/>
    <w:rsid w:val="00E62657"/>
    <w:rsid w:val="00E6425E"/>
    <w:rsid w:val="00E642B0"/>
    <w:rsid w:val="00E65E79"/>
    <w:rsid w:val="00E66BA2"/>
    <w:rsid w:val="00E67416"/>
    <w:rsid w:val="00E718B6"/>
    <w:rsid w:val="00E723BA"/>
    <w:rsid w:val="00E72AE6"/>
    <w:rsid w:val="00E73581"/>
    <w:rsid w:val="00E748B4"/>
    <w:rsid w:val="00E74B15"/>
    <w:rsid w:val="00E7508F"/>
    <w:rsid w:val="00E75F0E"/>
    <w:rsid w:val="00E7695F"/>
    <w:rsid w:val="00E777B3"/>
    <w:rsid w:val="00E8007C"/>
    <w:rsid w:val="00E80747"/>
    <w:rsid w:val="00E81BE1"/>
    <w:rsid w:val="00E81BF4"/>
    <w:rsid w:val="00E830F5"/>
    <w:rsid w:val="00E833F7"/>
    <w:rsid w:val="00E8361A"/>
    <w:rsid w:val="00E83BDF"/>
    <w:rsid w:val="00E83F86"/>
    <w:rsid w:val="00E86FCC"/>
    <w:rsid w:val="00E87A1D"/>
    <w:rsid w:val="00E87F05"/>
    <w:rsid w:val="00E9094A"/>
    <w:rsid w:val="00E91D35"/>
    <w:rsid w:val="00E92517"/>
    <w:rsid w:val="00E926A5"/>
    <w:rsid w:val="00E948B3"/>
    <w:rsid w:val="00E9541B"/>
    <w:rsid w:val="00E962CC"/>
    <w:rsid w:val="00E9740E"/>
    <w:rsid w:val="00E97543"/>
    <w:rsid w:val="00EA072E"/>
    <w:rsid w:val="00EA17AB"/>
    <w:rsid w:val="00EA17C3"/>
    <w:rsid w:val="00EA2CAA"/>
    <w:rsid w:val="00EA3864"/>
    <w:rsid w:val="00EA4184"/>
    <w:rsid w:val="00EA6D4B"/>
    <w:rsid w:val="00EA7E12"/>
    <w:rsid w:val="00EA7F1C"/>
    <w:rsid w:val="00EB15B6"/>
    <w:rsid w:val="00EB1617"/>
    <w:rsid w:val="00EB3D06"/>
    <w:rsid w:val="00EB4201"/>
    <w:rsid w:val="00EB4916"/>
    <w:rsid w:val="00EB4ECD"/>
    <w:rsid w:val="00EB5CB4"/>
    <w:rsid w:val="00EB67AF"/>
    <w:rsid w:val="00EB697E"/>
    <w:rsid w:val="00EB7157"/>
    <w:rsid w:val="00EC004E"/>
    <w:rsid w:val="00EC00C9"/>
    <w:rsid w:val="00EC0449"/>
    <w:rsid w:val="00EC0DD9"/>
    <w:rsid w:val="00EC1C71"/>
    <w:rsid w:val="00EC2649"/>
    <w:rsid w:val="00EC2E9B"/>
    <w:rsid w:val="00EC31ED"/>
    <w:rsid w:val="00EC47B5"/>
    <w:rsid w:val="00EC5836"/>
    <w:rsid w:val="00EC688C"/>
    <w:rsid w:val="00ED12E3"/>
    <w:rsid w:val="00ED1C82"/>
    <w:rsid w:val="00ED2694"/>
    <w:rsid w:val="00ED4B04"/>
    <w:rsid w:val="00ED4B7C"/>
    <w:rsid w:val="00ED57EA"/>
    <w:rsid w:val="00ED5BD4"/>
    <w:rsid w:val="00EE07D3"/>
    <w:rsid w:val="00EE1996"/>
    <w:rsid w:val="00EE1C01"/>
    <w:rsid w:val="00EE22AF"/>
    <w:rsid w:val="00EF0171"/>
    <w:rsid w:val="00EF0FE1"/>
    <w:rsid w:val="00EF1B25"/>
    <w:rsid w:val="00EF1DA0"/>
    <w:rsid w:val="00EF41B5"/>
    <w:rsid w:val="00EF4747"/>
    <w:rsid w:val="00EF48C9"/>
    <w:rsid w:val="00EF4BF8"/>
    <w:rsid w:val="00EF5722"/>
    <w:rsid w:val="00EF7FDA"/>
    <w:rsid w:val="00F02253"/>
    <w:rsid w:val="00F0267C"/>
    <w:rsid w:val="00F03C2E"/>
    <w:rsid w:val="00F04A66"/>
    <w:rsid w:val="00F04B4B"/>
    <w:rsid w:val="00F04B5F"/>
    <w:rsid w:val="00F0516C"/>
    <w:rsid w:val="00F067A2"/>
    <w:rsid w:val="00F07B9E"/>
    <w:rsid w:val="00F103A3"/>
    <w:rsid w:val="00F1116F"/>
    <w:rsid w:val="00F1263A"/>
    <w:rsid w:val="00F139C5"/>
    <w:rsid w:val="00F146C0"/>
    <w:rsid w:val="00F15B77"/>
    <w:rsid w:val="00F20DD2"/>
    <w:rsid w:val="00F21236"/>
    <w:rsid w:val="00F21C35"/>
    <w:rsid w:val="00F239DF"/>
    <w:rsid w:val="00F23B01"/>
    <w:rsid w:val="00F2402E"/>
    <w:rsid w:val="00F24837"/>
    <w:rsid w:val="00F2505B"/>
    <w:rsid w:val="00F2575F"/>
    <w:rsid w:val="00F26051"/>
    <w:rsid w:val="00F26092"/>
    <w:rsid w:val="00F27565"/>
    <w:rsid w:val="00F310D4"/>
    <w:rsid w:val="00F31D5A"/>
    <w:rsid w:val="00F31F43"/>
    <w:rsid w:val="00F33973"/>
    <w:rsid w:val="00F33975"/>
    <w:rsid w:val="00F33DE9"/>
    <w:rsid w:val="00F348E1"/>
    <w:rsid w:val="00F35503"/>
    <w:rsid w:val="00F35A49"/>
    <w:rsid w:val="00F35E6D"/>
    <w:rsid w:val="00F35FAB"/>
    <w:rsid w:val="00F3619A"/>
    <w:rsid w:val="00F36412"/>
    <w:rsid w:val="00F36654"/>
    <w:rsid w:val="00F37B0E"/>
    <w:rsid w:val="00F40AAA"/>
    <w:rsid w:val="00F40BA7"/>
    <w:rsid w:val="00F40F9D"/>
    <w:rsid w:val="00F41ACD"/>
    <w:rsid w:val="00F426D9"/>
    <w:rsid w:val="00F427E9"/>
    <w:rsid w:val="00F42CCD"/>
    <w:rsid w:val="00F43522"/>
    <w:rsid w:val="00F45216"/>
    <w:rsid w:val="00F46CB6"/>
    <w:rsid w:val="00F4756D"/>
    <w:rsid w:val="00F47DE8"/>
    <w:rsid w:val="00F519AC"/>
    <w:rsid w:val="00F52959"/>
    <w:rsid w:val="00F52D2D"/>
    <w:rsid w:val="00F542C1"/>
    <w:rsid w:val="00F54B34"/>
    <w:rsid w:val="00F550E3"/>
    <w:rsid w:val="00F557DF"/>
    <w:rsid w:val="00F55954"/>
    <w:rsid w:val="00F55E73"/>
    <w:rsid w:val="00F55EDA"/>
    <w:rsid w:val="00F562C6"/>
    <w:rsid w:val="00F5664A"/>
    <w:rsid w:val="00F56C80"/>
    <w:rsid w:val="00F60092"/>
    <w:rsid w:val="00F6112C"/>
    <w:rsid w:val="00F61C18"/>
    <w:rsid w:val="00F631B7"/>
    <w:rsid w:val="00F65F4B"/>
    <w:rsid w:val="00F67A69"/>
    <w:rsid w:val="00F70BFF"/>
    <w:rsid w:val="00F70C9D"/>
    <w:rsid w:val="00F72A02"/>
    <w:rsid w:val="00F73E08"/>
    <w:rsid w:val="00F74C8D"/>
    <w:rsid w:val="00F74CD9"/>
    <w:rsid w:val="00F76615"/>
    <w:rsid w:val="00F77272"/>
    <w:rsid w:val="00F80A7B"/>
    <w:rsid w:val="00F80BEF"/>
    <w:rsid w:val="00F80E5D"/>
    <w:rsid w:val="00F816E5"/>
    <w:rsid w:val="00F81C51"/>
    <w:rsid w:val="00F81E78"/>
    <w:rsid w:val="00F8246C"/>
    <w:rsid w:val="00F83916"/>
    <w:rsid w:val="00F851CE"/>
    <w:rsid w:val="00F8612C"/>
    <w:rsid w:val="00F90476"/>
    <w:rsid w:val="00F91219"/>
    <w:rsid w:val="00F9154B"/>
    <w:rsid w:val="00F92444"/>
    <w:rsid w:val="00F92F86"/>
    <w:rsid w:val="00F9332E"/>
    <w:rsid w:val="00F9393E"/>
    <w:rsid w:val="00F949A2"/>
    <w:rsid w:val="00F94A1F"/>
    <w:rsid w:val="00F952EC"/>
    <w:rsid w:val="00F958B0"/>
    <w:rsid w:val="00F96015"/>
    <w:rsid w:val="00F96878"/>
    <w:rsid w:val="00F96FD0"/>
    <w:rsid w:val="00F97A78"/>
    <w:rsid w:val="00F97BB9"/>
    <w:rsid w:val="00FA07EC"/>
    <w:rsid w:val="00FA0B20"/>
    <w:rsid w:val="00FA17C6"/>
    <w:rsid w:val="00FA18EB"/>
    <w:rsid w:val="00FA24E7"/>
    <w:rsid w:val="00FA3824"/>
    <w:rsid w:val="00FA5610"/>
    <w:rsid w:val="00FA5EE6"/>
    <w:rsid w:val="00FA7956"/>
    <w:rsid w:val="00FB0032"/>
    <w:rsid w:val="00FB0824"/>
    <w:rsid w:val="00FB1719"/>
    <w:rsid w:val="00FB2288"/>
    <w:rsid w:val="00FB2601"/>
    <w:rsid w:val="00FB2FCB"/>
    <w:rsid w:val="00FB4910"/>
    <w:rsid w:val="00FB4C2E"/>
    <w:rsid w:val="00FB4C9C"/>
    <w:rsid w:val="00FB550B"/>
    <w:rsid w:val="00FB6E1A"/>
    <w:rsid w:val="00FB7C55"/>
    <w:rsid w:val="00FC1074"/>
    <w:rsid w:val="00FC1884"/>
    <w:rsid w:val="00FC20D3"/>
    <w:rsid w:val="00FC2B74"/>
    <w:rsid w:val="00FC3209"/>
    <w:rsid w:val="00FC371D"/>
    <w:rsid w:val="00FC40B3"/>
    <w:rsid w:val="00FC57D4"/>
    <w:rsid w:val="00FC5F0B"/>
    <w:rsid w:val="00FC620A"/>
    <w:rsid w:val="00FC749B"/>
    <w:rsid w:val="00FD0A8E"/>
    <w:rsid w:val="00FD1395"/>
    <w:rsid w:val="00FD2100"/>
    <w:rsid w:val="00FD3682"/>
    <w:rsid w:val="00FD436C"/>
    <w:rsid w:val="00FD446D"/>
    <w:rsid w:val="00FD4CB4"/>
    <w:rsid w:val="00FD4EA2"/>
    <w:rsid w:val="00FD4F2C"/>
    <w:rsid w:val="00FD6394"/>
    <w:rsid w:val="00FE0E6C"/>
    <w:rsid w:val="00FE17B4"/>
    <w:rsid w:val="00FE1CDC"/>
    <w:rsid w:val="00FE1DA8"/>
    <w:rsid w:val="00FE4F1B"/>
    <w:rsid w:val="00FE4F83"/>
    <w:rsid w:val="00FE701B"/>
    <w:rsid w:val="00FE70C3"/>
    <w:rsid w:val="00FF07F7"/>
    <w:rsid w:val="00FF1232"/>
    <w:rsid w:val="00FF1A8B"/>
    <w:rsid w:val="00FF2AD9"/>
    <w:rsid w:val="00FF359F"/>
    <w:rsid w:val="00FF3DCF"/>
    <w:rsid w:val="00FF48ED"/>
    <w:rsid w:val="00FF492C"/>
    <w:rsid w:val="00FF4A21"/>
    <w:rsid w:val="00FF53EF"/>
    <w:rsid w:val="00FF5AA3"/>
    <w:rsid w:val="00FF5AD8"/>
    <w:rsid w:val="03D84ED7"/>
    <w:rsid w:val="071427C2"/>
    <w:rsid w:val="07BCB67D"/>
    <w:rsid w:val="0DA23CF4"/>
    <w:rsid w:val="136A284C"/>
    <w:rsid w:val="19A8BFB4"/>
    <w:rsid w:val="296F53A8"/>
    <w:rsid w:val="2AFCF34A"/>
    <w:rsid w:val="379AC1FA"/>
    <w:rsid w:val="3875A9D3"/>
    <w:rsid w:val="3BFC8380"/>
    <w:rsid w:val="3C7A9BCB"/>
    <w:rsid w:val="56245AC4"/>
    <w:rsid w:val="67638791"/>
    <w:rsid w:val="7863D0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8B7"/>
    <w:pPr>
      <w:jc w:val="both"/>
    </w:pPr>
    <w:rPr>
      <w:rFonts w:ascii="Calibri" w:hAnsi="Calibri"/>
      <w:sz w:val="24"/>
      <w:szCs w:val="24"/>
      <w:lang w:eastAsia="en-GB"/>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L,Bullet Point,Bulletr List Paragraph"/>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Header Table,Source table_,NICE instructions,HealthConsult,RTI AMCP Table,YHEC table,Lash Style Table,HTAtableplain"/>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snapToGrid w:val="0"/>
      <w:lang w:val="en-US"/>
    </w:rPr>
  </w:style>
  <w:style w:type="paragraph" w:styleId="NormalWeb">
    <w:name w:val="Normal (Web)"/>
    <w:basedOn w:val="Normal"/>
    <w:uiPriority w:val="99"/>
    <w:rsid w:val="008F48EB"/>
    <w:pPr>
      <w:spacing w:before="100" w:after="100"/>
      <w:jc w:val="left"/>
    </w:pPr>
    <w:rPr>
      <w:rFonts w:ascii="Times New Roman" w:hAnsi="Times New Roman"/>
      <w:snapToGrid w:val="0"/>
      <w:lang w:val="en-GB"/>
    </w:rPr>
  </w:style>
  <w:style w:type="paragraph" w:styleId="TOC2">
    <w:name w:val="toc 2"/>
    <w:basedOn w:val="Normal"/>
    <w:next w:val="Normal"/>
    <w:autoRedefine/>
    <w:uiPriority w:val="39"/>
    <w:rsid w:val="000B0BD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42747F"/>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Comment Text Char1 Char,Comment Text Char Char Char"/>
    <w:basedOn w:val="Normal"/>
    <w:link w:val="CommentTextChar"/>
    <w:uiPriority w:val="99"/>
    <w:qFormat/>
    <w:rsid w:val="00FD2100"/>
    <w:rPr>
      <w:rFonts w:ascii="Times New Roman" w:hAnsi="Times New Roman"/>
      <w:sz w:val="20"/>
    </w:rPr>
  </w:style>
  <w:style w:type="character" w:customStyle="1" w:styleId="CommentTextChar">
    <w:name w:val="Comment Text Char"/>
    <w:aliases w:val="- H19 Char,Comment Text Char1 Char Char,Comment Text Char Char Ch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B306AF"/>
    <w:pPr>
      <w:numPr>
        <w:ilvl w:val="1"/>
        <w:numId w:val="1"/>
      </w:numPr>
      <w:ind w:left="720"/>
    </w:pPr>
  </w:style>
  <w:style w:type="character" w:customStyle="1" w:styleId="3-BodyTextChar">
    <w:name w:val="3-Body Text Char"/>
    <w:basedOn w:val="ListParagraphChar"/>
    <w:link w:val="3-BodyText"/>
    <w:rsid w:val="00B306AF"/>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qFormat/>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styleId="FootnoteText">
    <w:name w:val="footnote text"/>
    <w:aliases w:val="Char"/>
    <w:basedOn w:val="Normal"/>
    <w:link w:val="FootnoteTextChar"/>
    <w:unhideWhenUsed/>
    <w:rsid w:val="001C16B3"/>
    <w:rPr>
      <w:sz w:val="20"/>
      <w:szCs w:val="20"/>
    </w:rPr>
  </w:style>
  <w:style w:type="character" w:customStyle="1" w:styleId="FootnoteTextChar">
    <w:name w:val="Footnote Text Char"/>
    <w:aliases w:val="Char Char"/>
    <w:basedOn w:val="DefaultParagraphFont"/>
    <w:link w:val="FootnoteText"/>
    <w:rsid w:val="001C16B3"/>
    <w:rPr>
      <w:rFonts w:ascii="Calibri" w:hAnsi="Calibri"/>
      <w:lang w:eastAsia="en-GB"/>
    </w:rPr>
  </w:style>
  <w:style w:type="character" w:styleId="FootnoteReference">
    <w:name w:val="footnote reference"/>
    <w:basedOn w:val="DefaultParagraphFont"/>
    <w:uiPriority w:val="99"/>
    <w:semiHidden/>
    <w:unhideWhenUsed/>
    <w:rsid w:val="001C16B3"/>
    <w:rPr>
      <w:vertAlign w:val="superscript"/>
    </w:rPr>
  </w:style>
  <w:style w:type="table" w:customStyle="1" w:styleId="Summarybox2">
    <w:name w:val="Summary box2"/>
    <w:basedOn w:val="TableNormal"/>
    <w:uiPriority w:val="59"/>
    <w:rsid w:val="001C16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qFormat/>
    <w:rsid w:val="00623222"/>
    <w:pPr>
      <w:spacing w:before="40" w:after="40"/>
      <w:jc w:val="left"/>
    </w:pPr>
    <w:rPr>
      <w:rFonts w:ascii="Arial Narrow" w:hAnsi="Arial Narrow"/>
      <w:sz w:val="20"/>
      <w:szCs w:val="20"/>
      <w:lang w:eastAsia="en-US"/>
    </w:rPr>
  </w:style>
  <w:style w:type="character" w:customStyle="1" w:styleId="PBACTableTextChar">
    <w:name w:val="PBAC Table Text Char"/>
    <w:basedOn w:val="DefaultParagraphFont"/>
    <w:link w:val="PBACTableText"/>
    <w:rsid w:val="00623222"/>
    <w:rPr>
      <w:rFonts w:ascii="Arial Narrow" w:hAnsi="Arial Narrow"/>
      <w:lang w:eastAsia="en-US"/>
    </w:rPr>
  </w:style>
  <w:style w:type="paragraph" w:customStyle="1" w:styleId="PbacTableHeading">
    <w:name w:val="Pbac Table Heading"/>
    <w:basedOn w:val="PBACTableText"/>
    <w:qFormat/>
    <w:rsid w:val="00623222"/>
    <w:pPr>
      <w:spacing w:before="0" w:after="80"/>
    </w:pPr>
    <w:rPr>
      <w:rFonts w:eastAsiaTheme="minorHAnsi" w:cs="Arial"/>
      <w:b/>
    </w:rPr>
  </w:style>
  <w:style w:type="paragraph" w:customStyle="1" w:styleId="PBACTblFignote">
    <w:name w:val="PBAC Tbl/Fig note"/>
    <w:qFormat/>
    <w:rsid w:val="000E4CBE"/>
    <w:pPr>
      <w:keepNext/>
      <w:keepLines/>
      <w:spacing w:after="360"/>
      <w:contextualSpacing/>
      <w:textboxTightWrap w:val="allLines"/>
    </w:pPr>
    <w:rPr>
      <w:rFonts w:ascii="Arial Narrow" w:hAnsi="Arial Narrow" w:cs="Arial"/>
      <w:sz w:val="18"/>
      <w:szCs w:val="24"/>
      <w:lang w:eastAsia="en-GB"/>
    </w:rPr>
  </w:style>
  <w:style w:type="table" w:customStyle="1" w:styleId="Summarybox1">
    <w:name w:val="Summary box1"/>
    <w:basedOn w:val="TableNormal"/>
    <w:next w:val="TableGrid"/>
    <w:uiPriority w:val="59"/>
    <w:rsid w:val="0029048B"/>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0">
    <w:name w:val="PBAC Table text"/>
    <w:link w:val="PBACTabletextChar0"/>
    <w:qFormat/>
    <w:rsid w:val="0029048B"/>
    <w:pPr>
      <w:keepNext/>
      <w:keepLines/>
      <w:suppressLineNumbers/>
      <w:spacing w:after="20"/>
      <w:textboxTightWrap w:val="allLines"/>
    </w:pPr>
    <w:rPr>
      <w:rFonts w:ascii="Arial Narrow" w:hAnsi="Arial Narrow" w:cs="Arial"/>
      <w:szCs w:val="24"/>
      <w:lang w:eastAsia="en-GB"/>
    </w:rPr>
  </w:style>
  <w:style w:type="character" w:customStyle="1" w:styleId="PBACTabletextChar0">
    <w:name w:val="PBAC Table text Char"/>
    <w:basedOn w:val="DefaultParagraphFont"/>
    <w:link w:val="PBACTabletext0"/>
    <w:rsid w:val="0029048B"/>
    <w:rPr>
      <w:rFonts w:ascii="Arial Narrow" w:hAnsi="Arial Narrow" w:cs="Arial"/>
      <w:szCs w:val="24"/>
      <w:lang w:eastAsia="en-GB"/>
    </w:rPr>
  </w:style>
  <w:style w:type="character" w:styleId="UnresolvedMention">
    <w:name w:val="Unresolved Mention"/>
    <w:basedOn w:val="DefaultParagraphFont"/>
    <w:uiPriority w:val="99"/>
    <w:semiHidden/>
    <w:unhideWhenUsed/>
    <w:rsid w:val="0026311F"/>
    <w:rPr>
      <w:color w:val="605E5C"/>
      <w:shd w:val="clear" w:color="auto" w:fill="E1DFDD"/>
    </w:rPr>
  </w:style>
  <w:style w:type="character" w:customStyle="1" w:styleId="Heading1Char">
    <w:name w:val="Heading 1 Char"/>
    <w:basedOn w:val="DefaultParagraphFont"/>
    <w:link w:val="Heading1"/>
    <w:uiPriority w:val="9"/>
    <w:rsid w:val="00C0226D"/>
    <w:rPr>
      <w:rFonts w:ascii="Calibri" w:hAnsi="Calibri" w:cs="Arial"/>
      <w:b/>
      <w:caps/>
      <w:sz w:val="32"/>
      <w:szCs w:val="24"/>
    </w:rPr>
  </w:style>
  <w:style w:type="paragraph" w:customStyle="1" w:styleId="3-SubsectionHeading">
    <w:name w:val="3-Subsection Heading"/>
    <w:basedOn w:val="Heading2"/>
    <w:next w:val="Normal"/>
    <w:link w:val="3-SubsectionHeadingChar"/>
    <w:qFormat/>
    <w:rsid w:val="003A48D2"/>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3A48D2"/>
    <w:rPr>
      <w:rFonts w:asciiTheme="minorHAnsi" w:eastAsiaTheme="majorEastAsia" w:hAnsiTheme="minorHAnsi" w:cstheme="majorBidi"/>
      <w:b/>
      <w:i/>
      <w:snapToGrid/>
      <w:spacing w:val="5"/>
      <w:kern w:val="28"/>
      <w:sz w:val="28"/>
      <w:szCs w:val="36"/>
      <w:lang w:eastAsia="en-US"/>
    </w:rPr>
  </w:style>
  <w:style w:type="paragraph" w:customStyle="1" w:styleId="PBACH5">
    <w:name w:val="PBAC H5"/>
    <w:basedOn w:val="Heading5"/>
    <w:next w:val="Normal"/>
    <w:qFormat/>
    <w:rsid w:val="008C4DAF"/>
    <w:pPr>
      <w:spacing w:after="120"/>
      <w:jc w:val="left"/>
    </w:pPr>
    <w:rPr>
      <w:rFonts w:cs="Arial"/>
      <w:bCs w:val="0"/>
      <w:i/>
      <w:iCs w:val="0"/>
      <w:sz w:val="24"/>
      <w:szCs w:val="24"/>
    </w:rPr>
  </w:style>
  <w:style w:type="paragraph" w:customStyle="1" w:styleId="PBACH7">
    <w:name w:val="PBAC H7"/>
    <w:basedOn w:val="Heading7"/>
    <w:next w:val="Normal"/>
    <w:qFormat/>
    <w:rsid w:val="008C4DAF"/>
    <w:pPr>
      <w:keepLines/>
      <w:spacing w:before="240" w:after="120"/>
      <w:jc w:val="left"/>
    </w:pPr>
    <w:rPr>
      <w:rFonts w:eastAsiaTheme="majorEastAsia" w:cstheme="majorBidi"/>
      <w:b w:val="0"/>
      <w:sz w:val="22"/>
      <w:szCs w:val="26"/>
      <w:u w:val="single"/>
    </w:rPr>
  </w:style>
  <w:style w:type="table" w:customStyle="1" w:styleId="Tabellengitternetz9pt1">
    <w:name w:val="Tabellengitternetz 9pt1"/>
    <w:basedOn w:val="TableNormal"/>
    <w:next w:val="TableGrid"/>
    <w:uiPriority w:val="39"/>
    <w:rsid w:val="00BF547B"/>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ll1">
    <w:name w:val="null1"/>
    <w:basedOn w:val="DefaultParagraphFont"/>
    <w:rsid w:val="00BF5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1247">
      <w:bodyDiv w:val="1"/>
      <w:marLeft w:val="0"/>
      <w:marRight w:val="0"/>
      <w:marTop w:val="0"/>
      <w:marBottom w:val="0"/>
      <w:divBdr>
        <w:top w:val="none" w:sz="0" w:space="0" w:color="auto"/>
        <w:left w:val="none" w:sz="0" w:space="0" w:color="auto"/>
        <w:bottom w:val="none" w:sz="0" w:space="0" w:color="auto"/>
        <w:right w:val="none" w:sz="0" w:space="0" w:color="auto"/>
      </w:divBdr>
      <w:divsChild>
        <w:div w:id="1493719186">
          <w:marLeft w:val="0"/>
          <w:marRight w:val="0"/>
          <w:marTop w:val="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9247215">
      <w:bodyDiv w:val="1"/>
      <w:marLeft w:val="0"/>
      <w:marRight w:val="0"/>
      <w:marTop w:val="0"/>
      <w:marBottom w:val="0"/>
      <w:divBdr>
        <w:top w:val="none" w:sz="0" w:space="0" w:color="auto"/>
        <w:left w:val="none" w:sz="0" w:space="0" w:color="auto"/>
        <w:bottom w:val="none" w:sz="0" w:space="0" w:color="auto"/>
        <w:right w:val="none" w:sz="0" w:space="0" w:color="auto"/>
      </w:divBdr>
    </w:div>
    <w:div w:id="284890280">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83869889">
      <w:bodyDiv w:val="1"/>
      <w:marLeft w:val="0"/>
      <w:marRight w:val="0"/>
      <w:marTop w:val="0"/>
      <w:marBottom w:val="0"/>
      <w:divBdr>
        <w:top w:val="none" w:sz="0" w:space="0" w:color="auto"/>
        <w:left w:val="none" w:sz="0" w:space="0" w:color="auto"/>
        <w:bottom w:val="none" w:sz="0" w:space="0" w:color="auto"/>
        <w:right w:val="none" w:sz="0" w:space="0" w:color="auto"/>
      </w:divBdr>
    </w:div>
    <w:div w:id="583495175">
      <w:bodyDiv w:val="1"/>
      <w:marLeft w:val="0"/>
      <w:marRight w:val="0"/>
      <w:marTop w:val="0"/>
      <w:marBottom w:val="0"/>
      <w:divBdr>
        <w:top w:val="none" w:sz="0" w:space="0" w:color="auto"/>
        <w:left w:val="none" w:sz="0" w:space="0" w:color="auto"/>
        <w:bottom w:val="none" w:sz="0" w:space="0" w:color="auto"/>
        <w:right w:val="none" w:sz="0" w:space="0" w:color="auto"/>
      </w:divBdr>
    </w:div>
    <w:div w:id="671294554">
      <w:bodyDiv w:val="1"/>
      <w:marLeft w:val="0"/>
      <w:marRight w:val="0"/>
      <w:marTop w:val="0"/>
      <w:marBottom w:val="0"/>
      <w:divBdr>
        <w:top w:val="none" w:sz="0" w:space="0" w:color="auto"/>
        <w:left w:val="none" w:sz="0" w:space="0" w:color="auto"/>
        <w:bottom w:val="none" w:sz="0" w:space="0" w:color="auto"/>
        <w:right w:val="none" w:sz="0" w:space="0" w:color="auto"/>
      </w:divBdr>
    </w:div>
    <w:div w:id="691568427">
      <w:bodyDiv w:val="1"/>
      <w:marLeft w:val="0"/>
      <w:marRight w:val="0"/>
      <w:marTop w:val="0"/>
      <w:marBottom w:val="0"/>
      <w:divBdr>
        <w:top w:val="none" w:sz="0" w:space="0" w:color="auto"/>
        <w:left w:val="none" w:sz="0" w:space="0" w:color="auto"/>
        <w:bottom w:val="none" w:sz="0" w:space="0" w:color="auto"/>
        <w:right w:val="none" w:sz="0" w:space="0" w:color="auto"/>
      </w:divBdr>
    </w:div>
    <w:div w:id="759301201">
      <w:bodyDiv w:val="1"/>
      <w:marLeft w:val="0"/>
      <w:marRight w:val="0"/>
      <w:marTop w:val="0"/>
      <w:marBottom w:val="0"/>
      <w:divBdr>
        <w:top w:val="none" w:sz="0" w:space="0" w:color="auto"/>
        <w:left w:val="none" w:sz="0" w:space="0" w:color="auto"/>
        <w:bottom w:val="none" w:sz="0" w:space="0" w:color="auto"/>
        <w:right w:val="none" w:sz="0" w:space="0" w:color="auto"/>
      </w:divBdr>
      <w:divsChild>
        <w:div w:id="915407013">
          <w:marLeft w:val="1080"/>
          <w:marRight w:val="0"/>
          <w:marTop w:val="100"/>
          <w:marBottom w:val="0"/>
          <w:divBdr>
            <w:top w:val="none" w:sz="0" w:space="0" w:color="auto"/>
            <w:left w:val="none" w:sz="0" w:space="0" w:color="auto"/>
            <w:bottom w:val="none" w:sz="0" w:space="0" w:color="auto"/>
            <w:right w:val="none" w:sz="0" w:space="0" w:color="auto"/>
          </w:divBdr>
        </w:div>
        <w:div w:id="755248945">
          <w:marLeft w:val="1080"/>
          <w:marRight w:val="0"/>
          <w:marTop w:val="100"/>
          <w:marBottom w:val="0"/>
          <w:divBdr>
            <w:top w:val="none" w:sz="0" w:space="0" w:color="auto"/>
            <w:left w:val="none" w:sz="0" w:space="0" w:color="auto"/>
            <w:bottom w:val="none" w:sz="0" w:space="0" w:color="auto"/>
            <w:right w:val="none" w:sz="0" w:space="0" w:color="auto"/>
          </w:divBdr>
        </w:div>
        <w:div w:id="1788961186">
          <w:marLeft w:val="1080"/>
          <w:marRight w:val="0"/>
          <w:marTop w:val="100"/>
          <w:marBottom w:val="0"/>
          <w:divBdr>
            <w:top w:val="none" w:sz="0" w:space="0" w:color="auto"/>
            <w:left w:val="none" w:sz="0" w:space="0" w:color="auto"/>
            <w:bottom w:val="none" w:sz="0" w:space="0" w:color="auto"/>
            <w:right w:val="none" w:sz="0" w:space="0" w:color="auto"/>
          </w:divBdr>
        </w:div>
        <w:div w:id="1412503067">
          <w:marLeft w:val="1080"/>
          <w:marRight w:val="0"/>
          <w:marTop w:val="100"/>
          <w:marBottom w:val="0"/>
          <w:divBdr>
            <w:top w:val="none" w:sz="0" w:space="0" w:color="auto"/>
            <w:left w:val="none" w:sz="0" w:space="0" w:color="auto"/>
            <w:bottom w:val="none" w:sz="0" w:space="0" w:color="auto"/>
            <w:right w:val="none" w:sz="0" w:space="0" w:color="auto"/>
          </w:divBdr>
        </w:div>
        <w:div w:id="1218279580">
          <w:marLeft w:val="1080"/>
          <w:marRight w:val="0"/>
          <w:marTop w:val="10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57427665">
      <w:bodyDiv w:val="1"/>
      <w:marLeft w:val="0"/>
      <w:marRight w:val="0"/>
      <w:marTop w:val="0"/>
      <w:marBottom w:val="0"/>
      <w:divBdr>
        <w:top w:val="none" w:sz="0" w:space="0" w:color="auto"/>
        <w:left w:val="none" w:sz="0" w:space="0" w:color="auto"/>
        <w:bottom w:val="none" w:sz="0" w:space="0" w:color="auto"/>
        <w:right w:val="none" w:sz="0" w:space="0" w:color="auto"/>
      </w:divBdr>
    </w:div>
    <w:div w:id="886264024">
      <w:bodyDiv w:val="1"/>
      <w:marLeft w:val="0"/>
      <w:marRight w:val="0"/>
      <w:marTop w:val="0"/>
      <w:marBottom w:val="0"/>
      <w:divBdr>
        <w:top w:val="none" w:sz="0" w:space="0" w:color="auto"/>
        <w:left w:val="none" w:sz="0" w:space="0" w:color="auto"/>
        <w:bottom w:val="none" w:sz="0" w:space="0" w:color="auto"/>
        <w:right w:val="none" w:sz="0" w:space="0" w:color="auto"/>
      </w:divBdr>
    </w:div>
    <w:div w:id="994918407">
      <w:bodyDiv w:val="1"/>
      <w:marLeft w:val="0"/>
      <w:marRight w:val="0"/>
      <w:marTop w:val="0"/>
      <w:marBottom w:val="0"/>
      <w:divBdr>
        <w:top w:val="none" w:sz="0" w:space="0" w:color="auto"/>
        <w:left w:val="none" w:sz="0" w:space="0" w:color="auto"/>
        <w:bottom w:val="none" w:sz="0" w:space="0" w:color="auto"/>
        <w:right w:val="none" w:sz="0" w:space="0" w:color="auto"/>
      </w:divBdr>
    </w:div>
    <w:div w:id="1003629602">
      <w:bodyDiv w:val="1"/>
      <w:marLeft w:val="0"/>
      <w:marRight w:val="0"/>
      <w:marTop w:val="0"/>
      <w:marBottom w:val="0"/>
      <w:divBdr>
        <w:top w:val="none" w:sz="0" w:space="0" w:color="auto"/>
        <w:left w:val="none" w:sz="0" w:space="0" w:color="auto"/>
        <w:bottom w:val="none" w:sz="0" w:space="0" w:color="auto"/>
        <w:right w:val="none" w:sz="0" w:space="0" w:color="auto"/>
      </w:divBdr>
    </w:div>
    <w:div w:id="1077821297">
      <w:bodyDiv w:val="1"/>
      <w:marLeft w:val="0"/>
      <w:marRight w:val="0"/>
      <w:marTop w:val="0"/>
      <w:marBottom w:val="0"/>
      <w:divBdr>
        <w:top w:val="none" w:sz="0" w:space="0" w:color="auto"/>
        <w:left w:val="none" w:sz="0" w:space="0" w:color="auto"/>
        <w:bottom w:val="none" w:sz="0" w:space="0" w:color="auto"/>
        <w:right w:val="none" w:sz="0" w:space="0" w:color="auto"/>
      </w:divBdr>
    </w:div>
    <w:div w:id="1138912969">
      <w:bodyDiv w:val="1"/>
      <w:marLeft w:val="0"/>
      <w:marRight w:val="0"/>
      <w:marTop w:val="0"/>
      <w:marBottom w:val="0"/>
      <w:divBdr>
        <w:top w:val="none" w:sz="0" w:space="0" w:color="auto"/>
        <w:left w:val="none" w:sz="0" w:space="0" w:color="auto"/>
        <w:bottom w:val="none" w:sz="0" w:space="0" w:color="auto"/>
        <w:right w:val="none" w:sz="0" w:space="0" w:color="auto"/>
      </w:divBdr>
    </w:div>
    <w:div w:id="1146045035">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3938529">
      <w:bodyDiv w:val="1"/>
      <w:marLeft w:val="0"/>
      <w:marRight w:val="0"/>
      <w:marTop w:val="0"/>
      <w:marBottom w:val="0"/>
      <w:divBdr>
        <w:top w:val="none" w:sz="0" w:space="0" w:color="auto"/>
        <w:left w:val="none" w:sz="0" w:space="0" w:color="auto"/>
        <w:bottom w:val="none" w:sz="0" w:space="0" w:color="auto"/>
        <w:right w:val="none" w:sz="0" w:space="0" w:color="auto"/>
      </w:divBdr>
      <w:divsChild>
        <w:div w:id="596140868">
          <w:marLeft w:val="360"/>
          <w:marRight w:val="0"/>
          <w:marTop w:val="200"/>
          <w:marBottom w:val="0"/>
          <w:divBdr>
            <w:top w:val="none" w:sz="0" w:space="0" w:color="auto"/>
            <w:left w:val="none" w:sz="0" w:space="0" w:color="auto"/>
            <w:bottom w:val="none" w:sz="0" w:space="0" w:color="auto"/>
            <w:right w:val="none" w:sz="0" w:space="0" w:color="auto"/>
          </w:divBdr>
        </w:div>
      </w:divsChild>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09476834">
      <w:bodyDiv w:val="1"/>
      <w:marLeft w:val="0"/>
      <w:marRight w:val="0"/>
      <w:marTop w:val="0"/>
      <w:marBottom w:val="0"/>
      <w:divBdr>
        <w:top w:val="none" w:sz="0" w:space="0" w:color="auto"/>
        <w:left w:val="none" w:sz="0" w:space="0" w:color="auto"/>
        <w:bottom w:val="none" w:sz="0" w:space="0" w:color="auto"/>
        <w:right w:val="none" w:sz="0" w:space="0" w:color="auto"/>
      </w:divBdr>
    </w:div>
    <w:div w:id="1319647970">
      <w:bodyDiv w:val="1"/>
      <w:marLeft w:val="0"/>
      <w:marRight w:val="0"/>
      <w:marTop w:val="0"/>
      <w:marBottom w:val="0"/>
      <w:divBdr>
        <w:top w:val="none" w:sz="0" w:space="0" w:color="auto"/>
        <w:left w:val="none" w:sz="0" w:space="0" w:color="auto"/>
        <w:bottom w:val="none" w:sz="0" w:space="0" w:color="auto"/>
        <w:right w:val="none" w:sz="0" w:space="0" w:color="auto"/>
      </w:divBdr>
    </w:div>
    <w:div w:id="1344626832">
      <w:bodyDiv w:val="1"/>
      <w:marLeft w:val="0"/>
      <w:marRight w:val="0"/>
      <w:marTop w:val="0"/>
      <w:marBottom w:val="0"/>
      <w:divBdr>
        <w:top w:val="none" w:sz="0" w:space="0" w:color="auto"/>
        <w:left w:val="none" w:sz="0" w:space="0" w:color="auto"/>
        <w:bottom w:val="none" w:sz="0" w:space="0" w:color="auto"/>
        <w:right w:val="none" w:sz="0" w:space="0" w:color="auto"/>
      </w:divBdr>
    </w:div>
    <w:div w:id="1479227054">
      <w:bodyDiv w:val="1"/>
      <w:marLeft w:val="0"/>
      <w:marRight w:val="0"/>
      <w:marTop w:val="0"/>
      <w:marBottom w:val="0"/>
      <w:divBdr>
        <w:top w:val="none" w:sz="0" w:space="0" w:color="auto"/>
        <w:left w:val="none" w:sz="0" w:space="0" w:color="auto"/>
        <w:bottom w:val="none" w:sz="0" w:space="0" w:color="auto"/>
        <w:right w:val="none" w:sz="0" w:space="0" w:color="auto"/>
      </w:divBdr>
    </w:div>
    <w:div w:id="1490486966">
      <w:bodyDiv w:val="1"/>
      <w:marLeft w:val="0"/>
      <w:marRight w:val="0"/>
      <w:marTop w:val="0"/>
      <w:marBottom w:val="0"/>
      <w:divBdr>
        <w:top w:val="none" w:sz="0" w:space="0" w:color="auto"/>
        <w:left w:val="none" w:sz="0" w:space="0" w:color="auto"/>
        <w:bottom w:val="none" w:sz="0" w:space="0" w:color="auto"/>
        <w:right w:val="none" w:sz="0" w:space="0" w:color="auto"/>
      </w:divBdr>
    </w:div>
    <w:div w:id="1511793397">
      <w:bodyDiv w:val="1"/>
      <w:marLeft w:val="0"/>
      <w:marRight w:val="0"/>
      <w:marTop w:val="0"/>
      <w:marBottom w:val="0"/>
      <w:divBdr>
        <w:top w:val="none" w:sz="0" w:space="0" w:color="auto"/>
        <w:left w:val="none" w:sz="0" w:space="0" w:color="auto"/>
        <w:bottom w:val="none" w:sz="0" w:space="0" w:color="auto"/>
        <w:right w:val="none" w:sz="0" w:space="0" w:color="auto"/>
      </w:divBdr>
    </w:div>
    <w:div w:id="1541045545">
      <w:bodyDiv w:val="1"/>
      <w:marLeft w:val="0"/>
      <w:marRight w:val="0"/>
      <w:marTop w:val="0"/>
      <w:marBottom w:val="0"/>
      <w:divBdr>
        <w:top w:val="none" w:sz="0" w:space="0" w:color="auto"/>
        <w:left w:val="none" w:sz="0" w:space="0" w:color="auto"/>
        <w:bottom w:val="none" w:sz="0" w:space="0" w:color="auto"/>
        <w:right w:val="none" w:sz="0" w:space="0" w:color="auto"/>
      </w:divBdr>
    </w:div>
    <w:div w:id="1649938904">
      <w:bodyDiv w:val="1"/>
      <w:marLeft w:val="0"/>
      <w:marRight w:val="0"/>
      <w:marTop w:val="0"/>
      <w:marBottom w:val="0"/>
      <w:divBdr>
        <w:top w:val="none" w:sz="0" w:space="0" w:color="auto"/>
        <w:left w:val="none" w:sz="0" w:space="0" w:color="auto"/>
        <w:bottom w:val="none" w:sz="0" w:space="0" w:color="auto"/>
        <w:right w:val="none" w:sz="0" w:space="0" w:color="auto"/>
      </w:divBdr>
    </w:div>
    <w:div w:id="1715034042">
      <w:bodyDiv w:val="1"/>
      <w:marLeft w:val="0"/>
      <w:marRight w:val="0"/>
      <w:marTop w:val="0"/>
      <w:marBottom w:val="0"/>
      <w:divBdr>
        <w:top w:val="none" w:sz="0" w:space="0" w:color="auto"/>
        <w:left w:val="none" w:sz="0" w:space="0" w:color="auto"/>
        <w:bottom w:val="none" w:sz="0" w:space="0" w:color="auto"/>
        <w:right w:val="none" w:sz="0" w:space="0" w:color="auto"/>
      </w:divBdr>
      <w:divsChild>
        <w:div w:id="1857426453">
          <w:marLeft w:val="0"/>
          <w:marRight w:val="0"/>
          <w:marTop w:val="0"/>
          <w:marBottom w:val="0"/>
          <w:divBdr>
            <w:top w:val="none" w:sz="0" w:space="0" w:color="auto"/>
            <w:left w:val="none" w:sz="0" w:space="0" w:color="auto"/>
            <w:bottom w:val="none" w:sz="0" w:space="0" w:color="auto"/>
            <w:right w:val="none" w:sz="0" w:space="0" w:color="auto"/>
          </w:divBdr>
          <w:divsChild>
            <w:div w:id="21275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70004">
      <w:bodyDiv w:val="1"/>
      <w:marLeft w:val="0"/>
      <w:marRight w:val="0"/>
      <w:marTop w:val="0"/>
      <w:marBottom w:val="0"/>
      <w:divBdr>
        <w:top w:val="none" w:sz="0" w:space="0" w:color="auto"/>
        <w:left w:val="none" w:sz="0" w:space="0" w:color="auto"/>
        <w:bottom w:val="none" w:sz="0" w:space="0" w:color="auto"/>
        <w:right w:val="none" w:sz="0" w:space="0" w:color="auto"/>
      </w:divBdr>
    </w:div>
    <w:div w:id="1753696987">
      <w:bodyDiv w:val="1"/>
      <w:marLeft w:val="0"/>
      <w:marRight w:val="0"/>
      <w:marTop w:val="0"/>
      <w:marBottom w:val="0"/>
      <w:divBdr>
        <w:top w:val="none" w:sz="0" w:space="0" w:color="auto"/>
        <w:left w:val="none" w:sz="0" w:space="0" w:color="auto"/>
        <w:bottom w:val="none" w:sz="0" w:space="0" w:color="auto"/>
        <w:right w:val="none" w:sz="0" w:space="0" w:color="auto"/>
      </w:divBdr>
    </w:div>
    <w:div w:id="1847330783">
      <w:bodyDiv w:val="1"/>
      <w:marLeft w:val="0"/>
      <w:marRight w:val="0"/>
      <w:marTop w:val="0"/>
      <w:marBottom w:val="0"/>
      <w:divBdr>
        <w:top w:val="none" w:sz="0" w:space="0" w:color="auto"/>
        <w:left w:val="none" w:sz="0" w:space="0" w:color="auto"/>
        <w:bottom w:val="none" w:sz="0" w:space="0" w:color="auto"/>
        <w:right w:val="none" w:sz="0" w:space="0" w:color="auto"/>
      </w:divBdr>
    </w:div>
    <w:div w:id="1870684230">
      <w:bodyDiv w:val="1"/>
      <w:marLeft w:val="0"/>
      <w:marRight w:val="0"/>
      <w:marTop w:val="0"/>
      <w:marBottom w:val="0"/>
      <w:divBdr>
        <w:top w:val="none" w:sz="0" w:space="0" w:color="auto"/>
        <w:left w:val="none" w:sz="0" w:space="0" w:color="auto"/>
        <w:bottom w:val="none" w:sz="0" w:space="0" w:color="auto"/>
        <w:right w:val="none" w:sz="0" w:space="0" w:color="auto"/>
      </w:divBdr>
      <w:divsChild>
        <w:div w:id="480928685">
          <w:marLeft w:val="360"/>
          <w:marRight w:val="0"/>
          <w:marTop w:val="200"/>
          <w:marBottom w:val="0"/>
          <w:divBdr>
            <w:top w:val="none" w:sz="0" w:space="0" w:color="auto"/>
            <w:left w:val="none" w:sz="0" w:space="0" w:color="auto"/>
            <w:bottom w:val="none" w:sz="0" w:space="0" w:color="auto"/>
            <w:right w:val="none" w:sz="0" w:space="0" w:color="auto"/>
          </w:divBdr>
        </w:div>
        <w:div w:id="181172353">
          <w:marLeft w:val="360"/>
          <w:marRight w:val="0"/>
          <w:marTop w:val="200"/>
          <w:marBottom w:val="0"/>
          <w:divBdr>
            <w:top w:val="none" w:sz="0" w:space="0" w:color="auto"/>
            <w:left w:val="none" w:sz="0" w:space="0" w:color="auto"/>
            <w:bottom w:val="none" w:sz="0" w:space="0" w:color="auto"/>
            <w:right w:val="none" w:sz="0" w:space="0" w:color="auto"/>
          </w:divBdr>
        </w:div>
        <w:div w:id="1141800231">
          <w:marLeft w:val="360"/>
          <w:marRight w:val="0"/>
          <w:marTop w:val="200"/>
          <w:marBottom w:val="0"/>
          <w:divBdr>
            <w:top w:val="none" w:sz="0" w:space="0" w:color="auto"/>
            <w:left w:val="none" w:sz="0" w:space="0" w:color="auto"/>
            <w:bottom w:val="none" w:sz="0" w:space="0" w:color="auto"/>
            <w:right w:val="none" w:sz="0" w:space="0" w:color="auto"/>
          </w:divBdr>
        </w:div>
      </w:divsChild>
    </w:div>
    <w:div w:id="1894272523">
      <w:bodyDiv w:val="1"/>
      <w:marLeft w:val="0"/>
      <w:marRight w:val="0"/>
      <w:marTop w:val="0"/>
      <w:marBottom w:val="0"/>
      <w:divBdr>
        <w:top w:val="none" w:sz="0" w:space="0" w:color="auto"/>
        <w:left w:val="none" w:sz="0" w:space="0" w:color="auto"/>
        <w:bottom w:val="none" w:sz="0" w:space="0" w:color="auto"/>
        <w:right w:val="none" w:sz="0" w:space="0" w:color="auto"/>
      </w:divBdr>
    </w:div>
    <w:div w:id="191523653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8197351">
      <w:bodyDiv w:val="1"/>
      <w:marLeft w:val="0"/>
      <w:marRight w:val="0"/>
      <w:marTop w:val="0"/>
      <w:marBottom w:val="0"/>
      <w:divBdr>
        <w:top w:val="none" w:sz="0" w:space="0" w:color="auto"/>
        <w:left w:val="none" w:sz="0" w:space="0" w:color="auto"/>
        <w:bottom w:val="none" w:sz="0" w:space="0" w:color="auto"/>
        <w:right w:val="none" w:sz="0" w:space="0" w:color="auto"/>
      </w:divBdr>
    </w:div>
    <w:div w:id="1994140273">
      <w:bodyDiv w:val="1"/>
      <w:marLeft w:val="0"/>
      <w:marRight w:val="0"/>
      <w:marTop w:val="0"/>
      <w:marBottom w:val="0"/>
      <w:divBdr>
        <w:top w:val="none" w:sz="0" w:space="0" w:color="auto"/>
        <w:left w:val="none" w:sz="0" w:space="0" w:color="auto"/>
        <w:bottom w:val="none" w:sz="0" w:space="0" w:color="auto"/>
        <w:right w:val="none" w:sz="0" w:space="0" w:color="auto"/>
      </w:divBdr>
    </w:div>
    <w:div w:id="20160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815B9-4A4B-AB4C-8592-F86CFE1FF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22960</Words>
  <Characters>127000</Characters>
  <Application>Microsoft Office Word</Application>
  <DocSecurity>0</DocSecurity>
  <Lines>1058</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2023-10-22T23:25:00Z</dcterms:created>
  <dcterms:modified xsi:type="dcterms:W3CDTF">2023-10-22T23:25:00Z</dcterms:modified>
</cp:coreProperties>
</file>