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06899" w14:textId="28F0C62E" w:rsidR="00D37AEC" w:rsidRPr="006919A9" w:rsidRDefault="00AB6B85" w:rsidP="00D37AEC">
      <w:pPr>
        <w:pStyle w:val="1-MainHeading"/>
      </w:pPr>
      <w:bookmarkStart w:id="0" w:name="_Toc124710204"/>
      <w:r>
        <w:t>6.08</w:t>
      </w:r>
      <w:r w:rsidR="00163F66" w:rsidRPr="006919A9">
        <w:tab/>
      </w:r>
      <w:r w:rsidR="00D37AEC" w:rsidRPr="006919A9">
        <w:t>PEMBROLIZUMAB,</w:t>
      </w:r>
      <w:r w:rsidR="00163F66" w:rsidRPr="006919A9">
        <w:br/>
      </w:r>
      <w:r w:rsidR="00D37AEC" w:rsidRPr="006919A9">
        <w:t>Solution concentrate for I.V. infusion</w:t>
      </w:r>
      <w:r w:rsidR="00776686">
        <w:t xml:space="preserve"> </w:t>
      </w:r>
      <w:r w:rsidR="00D37AEC" w:rsidRPr="006919A9">
        <w:t xml:space="preserve">100 mg in </w:t>
      </w:r>
      <w:r w:rsidR="00F36B65" w:rsidRPr="006919A9">
        <w:t>4</w:t>
      </w:r>
      <w:r w:rsidR="00F36B65">
        <w:t> </w:t>
      </w:r>
      <w:r w:rsidR="00D37AEC" w:rsidRPr="006919A9">
        <w:t>mL vial</w:t>
      </w:r>
      <w:r w:rsidR="00163F66" w:rsidRPr="006919A9">
        <w:t>,</w:t>
      </w:r>
      <w:r w:rsidR="00163F66" w:rsidRPr="006919A9">
        <w:br/>
      </w:r>
      <w:r w:rsidR="00D37AEC" w:rsidRPr="006919A9">
        <w:t>Keytruda</w:t>
      </w:r>
      <w:r w:rsidR="00B60939" w:rsidRPr="006919A9">
        <w:rPr>
          <w:vertAlign w:val="superscript"/>
        </w:rPr>
        <w:t>®</w:t>
      </w:r>
      <w:r w:rsidR="004A6040" w:rsidRPr="006919A9">
        <w:t>,</w:t>
      </w:r>
      <w:r w:rsidR="004A6040" w:rsidRPr="006919A9">
        <w:br/>
      </w:r>
      <w:r w:rsidR="00D37AEC" w:rsidRPr="006919A9">
        <w:t>Merck Sharp &amp; Dohme (Australia) Pty Ltd.</w:t>
      </w:r>
      <w:bookmarkEnd w:id="0"/>
      <w:r w:rsidR="00F73E08" w:rsidRPr="006919A9">
        <w:t xml:space="preserve"> </w:t>
      </w:r>
    </w:p>
    <w:p w14:paraId="11C00795" w14:textId="3DFB6D23" w:rsidR="00B50DB8" w:rsidRPr="006919A9" w:rsidRDefault="00B50DB8" w:rsidP="004A6040">
      <w:pPr>
        <w:pStyle w:val="2-SectionHeading"/>
      </w:pPr>
      <w:bookmarkStart w:id="1" w:name="_Toc124710206"/>
      <w:r w:rsidRPr="006919A9">
        <w:t xml:space="preserve">Purpose of </w:t>
      </w:r>
      <w:r w:rsidR="00CD7193" w:rsidRPr="006919A9">
        <w:t>s</w:t>
      </w:r>
      <w:r w:rsidR="00BB3A45" w:rsidRPr="006919A9">
        <w:t>ubmission</w:t>
      </w:r>
      <w:bookmarkEnd w:id="1"/>
    </w:p>
    <w:p w14:paraId="19414AA1" w14:textId="38C31F65" w:rsidR="002C2775" w:rsidRPr="006919A9" w:rsidRDefault="007170DA" w:rsidP="004E18E9">
      <w:pPr>
        <w:pStyle w:val="3-BodyText"/>
      </w:pPr>
      <w:r w:rsidRPr="006919A9">
        <w:t xml:space="preserve">The </w:t>
      </w:r>
      <w:r w:rsidR="00F73E08" w:rsidRPr="006919A9">
        <w:t xml:space="preserve">Category </w:t>
      </w:r>
      <w:r w:rsidR="00023715" w:rsidRPr="006919A9">
        <w:t xml:space="preserve">1 </w:t>
      </w:r>
      <w:r w:rsidRPr="006919A9">
        <w:t xml:space="preserve">submission requested </w:t>
      </w:r>
      <w:r w:rsidR="00D37AEC" w:rsidRPr="006919A9">
        <w:t>a Section 100 (Efficient Funding of Chemotherapy) Authority Required (STREAMLINED) listing for the treatment of early stage triple negative breast cancer in patients who have not received prior systemic therapy.</w:t>
      </w:r>
    </w:p>
    <w:p w14:paraId="4E9FBCB5" w14:textId="6F71D6C5" w:rsidR="00C2778B" w:rsidRPr="006919A9" w:rsidRDefault="005750C5" w:rsidP="004E18E9">
      <w:pPr>
        <w:pStyle w:val="3-BodyText"/>
      </w:pPr>
      <w:r w:rsidRPr="006919A9">
        <w:t xml:space="preserve">Listing was requested on the basis of </w:t>
      </w:r>
      <w:r w:rsidR="00D37AEC" w:rsidRPr="006919A9">
        <w:t xml:space="preserve">cost-utility analysis </w:t>
      </w:r>
      <w:r w:rsidRPr="006919A9">
        <w:t>versus</w:t>
      </w:r>
      <w:r w:rsidR="00D37AEC" w:rsidRPr="006919A9">
        <w:t xml:space="preserve"> chemotherapy</w:t>
      </w:r>
      <w:r w:rsidRPr="006919A9">
        <w:t>.</w:t>
      </w:r>
      <w:r w:rsidR="00BC591F" w:rsidRPr="006919A9">
        <w:t xml:space="preserve"> </w:t>
      </w:r>
    </w:p>
    <w:p w14:paraId="2C47FF08" w14:textId="4F6136E1" w:rsidR="00F95D7A" w:rsidRPr="006919A9" w:rsidRDefault="00696EF9" w:rsidP="00F95D7A">
      <w:pPr>
        <w:pStyle w:val="TableFigureHeading"/>
      </w:pPr>
      <w:r w:rsidRPr="006919A9">
        <w:t xml:space="preserve">Table </w:t>
      </w:r>
      <w:fldSimple w:instr=" SEQ Table \* ARABIC " w:fldLock="1">
        <w:r w:rsidR="0067416F">
          <w:rPr>
            <w:noProof/>
          </w:rPr>
          <w:t>1</w:t>
        </w:r>
      </w:fldSimple>
      <w:r w:rsidRPr="006919A9">
        <w:t>:</w:t>
      </w:r>
      <w:r w:rsidR="00BC591F" w:rsidRPr="006919A9">
        <w:rPr>
          <w:rStyle w:val="CommentReference"/>
          <w:b/>
          <w:szCs w:val="24"/>
        </w:rPr>
        <w:t xml:space="preserve"> </w:t>
      </w:r>
      <w:r w:rsidR="00F95D7A" w:rsidRPr="006919A9">
        <w:rPr>
          <w:rStyle w:val="CommentReference"/>
          <w:b/>
          <w:szCs w:val="24"/>
        </w:rPr>
        <w:t>Key components of the clinical issue addressed by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7374"/>
      </w:tblGrid>
      <w:tr w:rsidR="006919A9" w:rsidRPr="006919A9" w14:paraId="6D165064" w14:textId="77777777" w:rsidTr="00CE1C72">
        <w:tc>
          <w:tcPr>
            <w:tcW w:w="911" w:type="pct"/>
            <w:vAlign w:val="center"/>
          </w:tcPr>
          <w:p w14:paraId="610F9CDD" w14:textId="77777777" w:rsidR="00F95D7A" w:rsidRPr="006919A9" w:rsidRDefault="00F95D7A" w:rsidP="002234D3">
            <w:pPr>
              <w:pStyle w:val="In-tableHeading"/>
              <w:rPr>
                <w:lang w:val="en-AU"/>
              </w:rPr>
            </w:pPr>
            <w:r w:rsidRPr="006919A9">
              <w:rPr>
                <w:lang w:val="en-AU"/>
              </w:rPr>
              <w:t>Component</w:t>
            </w:r>
          </w:p>
        </w:tc>
        <w:tc>
          <w:tcPr>
            <w:tcW w:w="4089" w:type="pct"/>
            <w:vAlign w:val="center"/>
          </w:tcPr>
          <w:p w14:paraId="2F01A4A6" w14:textId="77777777" w:rsidR="00F95D7A" w:rsidRPr="006919A9" w:rsidRDefault="00F95D7A" w:rsidP="002234D3">
            <w:pPr>
              <w:pStyle w:val="In-tableHeading"/>
              <w:rPr>
                <w:lang w:val="en-AU"/>
              </w:rPr>
            </w:pPr>
            <w:r w:rsidRPr="006919A9">
              <w:rPr>
                <w:lang w:val="en-AU"/>
              </w:rPr>
              <w:t>Description</w:t>
            </w:r>
          </w:p>
        </w:tc>
      </w:tr>
      <w:tr w:rsidR="006919A9" w:rsidRPr="006919A9" w14:paraId="6C1A1067" w14:textId="77777777" w:rsidTr="00CE1C72">
        <w:tc>
          <w:tcPr>
            <w:tcW w:w="911" w:type="pct"/>
            <w:vAlign w:val="center"/>
          </w:tcPr>
          <w:p w14:paraId="0C16EF3D" w14:textId="77777777" w:rsidR="00F95D7A" w:rsidRPr="006919A9" w:rsidRDefault="00F95D7A" w:rsidP="002234D3">
            <w:pPr>
              <w:pStyle w:val="TableText0"/>
            </w:pPr>
            <w:r w:rsidRPr="006919A9">
              <w:t>Population</w:t>
            </w:r>
          </w:p>
        </w:tc>
        <w:tc>
          <w:tcPr>
            <w:tcW w:w="4089" w:type="pct"/>
            <w:vAlign w:val="center"/>
          </w:tcPr>
          <w:p w14:paraId="66E4A1A4" w14:textId="77777777" w:rsidR="00F95D7A" w:rsidRPr="006919A9" w:rsidRDefault="00F95D7A" w:rsidP="002234D3">
            <w:pPr>
              <w:pStyle w:val="TableText0"/>
            </w:pPr>
            <w:r w:rsidRPr="006919A9">
              <w:t>High risk early-stage triple negative breast cancer (TNBC) patients who have not had prior systemic therapy administered for newly diagnosed, locally advanced, centrally confirmed TNBC.</w:t>
            </w:r>
          </w:p>
        </w:tc>
      </w:tr>
      <w:tr w:rsidR="006919A9" w:rsidRPr="006919A9" w14:paraId="687EAF06" w14:textId="77777777" w:rsidTr="00CE1C72">
        <w:tc>
          <w:tcPr>
            <w:tcW w:w="911" w:type="pct"/>
            <w:vAlign w:val="center"/>
          </w:tcPr>
          <w:p w14:paraId="3EF43AFA" w14:textId="77777777" w:rsidR="00F95D7A" w:rsidRPr="006919A9" w:rsidRDefault="00F95D7A" w:rsidP="002234D3">
            <w:pPr>
              <w:pStyle w:val="TableText0"/>
            </w:pPr>
            <w:r w:rsidRPr="006919A9">
              <w:t>Intervention</w:t>
            </w:r>
          </w:p>
        </w:tc>
        <w:tc>
          <w:tcPr>
            <w:tcW w:w="4089" w:type="pct"/>
            <w:vAlign w:val="center"/>
          </w:tcPr>
          <w:p w14:paraId="3A875087" w14:textId="47A10CA5" w:rsidR="00F95D7A" w:rsidRPr="006919A9" w:rsidRDefault="00F95D7A" w:rsidP="002234D3">
            <w:pPr>
              <w:pStyle w:val="TableText0"/>
            </w:pPr>
            <w:r w:rsidRPr="006919A9">
              <w:t xml:space="preserve">Neoadjuvant: Pembrolizumab (200 mg IV) every 3 weeks in combination with paclitaxel + carboplatin for 4 cycles then pembrolizumab + doxorubicin/epirubicin + cyclophosphamide for 4 cycles, for a total of 8 cycles (24 weeks) </w:t>
            </w:r>
            <w:r w:rsidR="009C7DBE" w:rsidRPr="002B270E">
              <w:t>followed by:</w:t>
            </w:r>
          </w:p>
          <w:p w14:paraId="74291E5C" w14:textId="77777777" w:rsidR="00F95D7A" w:rsidRPr="006919A9" w:rsidRDefault="00F95D7A" w:rsidP="002234D3">
            <w:pPr>
              <w:pStyle w:val="TableText0"/>
            </w:pPr>
            <w:r w:rsidRPr="006919A9">
              <w:t>Adjuvant: Pembrolizumab (200 mg IV) every 3 weeks as a single agent for up to 9 cycles (27 weeks)</w:t>
            </w:r>
          </w:p>
        </w:tc>
      </w:tr>
      <w:tr w:rsidR="006919A9" w:rsidRPr="006919A9" w14:paraId="6E9F91FE" w14:textId="77777777" w:rsidTr="00CE1C72">
        <w:tc>
          <w:tcPr>
            <w:tcW w:w="911" w:type="pct"/>
            <w:vAlign w:val="center"/>
          </w:tcPr>
          <w:p w14:paraId="5F0D5FE8" w14:textId="77777777" w:rsidR="00F95D7A" w:rsidRPr="006919A9" w:rsidRDefault="00F95D7A" w:rsidP="002234D3">
            <w:pPr>
              <w:pStyle w:val="TableText0"/>
            </w:pPr>
            <w:r w:rsidRPr="006919A9">
              <w:t>Comparator</w:t>
            </w:r>
          </w:p>
        </w:tc>
        <w:tc>
          <w:tcPr>
            <w:tcW w:w="4089" w:type="pct"/>
            <w:vAlign w:val="center"/>
          </w:tcPr>
          <w:p w14:paraId="1F25223F" w14:textId="77777777" w:rsidR="00F95D7A" w:rsidRPr="006919A9" w:rsidRDefault="00F95D7A" w:rsidP="002234D3">
            <w:pPr>
              <w:pStyle w:val="TableText0"/>
            </w:pPr>
            <w:r w:rsidRPr="006919A9">
              <w:t>Standard chemotherapy guided by physician for the neoadjuvant phase, and placebo in the adjuvant phase</w:t>
            </w:r>
          </w:p>
        </w:tc>
      </w:tr>
      <w:tr w:rsidR="006919A9" w:rsidRPr="006919A9" w14:paraId="7CC4709D" w14:textId="77777777" w:rsidTr="00CE1C72">
        <w:tc>
          <w:tcPr>
            <w:tcW w:w="911" w:type="pct"/>
            <w:vAlign w:val="center"/>
          </w:tcPr>
          <w:p w14:paraId="7AB0A592" w14:textId="77777777" w:rsidR="00F95D7A" w:rsidRPr="006919A9" w:rsidRDefault="00F95D7A" w:rsidP="002234D3">
            <w:pPr>
              <w:pStyle w:val="TableText0"/>
            </w:pPr>
            <w:r w:rsidRPr="006919A9">
              <w:t>Outcomes</w:t>
            </w:r>
          </w:p>
        </w:tc>
        <w:tc>
          <w:tcPr>
            <w:tcW w:w="4089" w:type="pct"/>
            <w:vAlign w:val="center"/>
          </w:tcPr>
          <w:p w14:paraId="65CCCC3F" w14:textId="77777777" w:rsidR="00F95D7A" w:rsidRPr="006919A9" w:rsidRDefault="00F95D7A" w:rsidP="002234D3">
            <w:pPr>
              <w:pStyle w:val="TableText0"/>
            </w:pPr>
            <w:r w:rsidRPr="006919A9">
              <w:t>Pathological complete response (pCR), event-free survival (EFS), overall survival (OS), safety, quality of life (QoL)</w:t>
            </w:r>
          </w:p>
        </w:tc>
      </w:tr>
      <w:tr w:rsidR="006919A9" w:rsidRPr="006919A9" w14:paraId="4CF1A7BD" w14:textId="77777777" w:rsidTr="00CE1C72">
        <w:tc>
          <w:tcPr>
            <w:tcW w:w="911" w:type="pct"/>
            <w:vAlign w:val="center"/>
          </w:tcPr>
          <w:p w14:paraId="17212E2D" w14:textId="77777777" w:rsidR="00F95D7A" w:rsidRPr="006919A9" w:rsidRDefault="00F95D7A" w:rsidP="002234D3">
            <w:pPr>
              <w:pStyle w:val="TableText0"/>
            </w:pPr>
            <w:r w:rsidRPr="006919A9">
              <w:t>Clinical claim</w:t>
            </w:r>
          </w:p>
        </w:tc>
        <w:tc>
          <w:tcPr>
            <w:tcW w:w="4089" w:type="pct"/>
            <w:vAlign w:val="center"/>
          </w:tcPr>
          <w:p w14:paraId="6EF520A1" w14:textId="77777777" w:rsidR="00F95D7A" w:rsidRPr="006919A9" w:rsidRDefault="00F95D7A" w:rsidP="002234D3">
            <w:pPr>
              <w:pStyle w:val="TableText0"/>
            </w:pPr>
            <w:r w:rsidRPr="006919A9">
              <w:t>In patients with high-risk early-stage triple negative breast cancer, who have not had prior systemic therapy administered, pembrolizumab in combination with chemotherapy as neoadjuvant therapy, followed by pembrolizumab monotherapy post-surgery is superior to chemotherapy alone in terms of efficacy and inferior in terms of safety.</w:t>
            </w:r>
          </w:p>
        </w:tc>
      </w:tr>
    </w:tbl>
    <w:p w14:paraId="527CA7F0" w14:textId="09F15DB4" w:rsidR="004E43B2" w:rsidRPr="006919A9" w:rsidRDefault="00F95D7A" w:rsidP="00F95D7A">
      <w:pPr>
        <w:pStyle w:val="FooterTableFigure"/>
      </w:pPr>
      <w:r w:rsidRPr="006919A9">
        <w:t>Source: Table 1.1-1, p4 of the submission.</w:t>
      </w:r>
    </w:p>
    <w:p w14:paraId="6B4AB6C2" w14:textId="23CBFBF3" w:rsidR="005C25FF" w:rsidRPr="006919A9" w:rsidRDefault="005C25FF" w:rsidP="004A6040">
      <w:pPr>
        <w:pStyle w:val="2-SectionHeading"/>
      </w:pPr>
      <w:bookmarkStart w:id="2" w:name="_Toc124710207"/>
      <w:r w:rsidRPr="006919A9">
        <w:t>Background</w:t>
      </w:r>
      <w:bookmarkEnd w:id="2"/>
    </w:p>
    <w:p w14:paraId="2C521D6D" w14:textId="78CF03EE" w:rsidR="005C25FF" w:rsidRPr="006919A9" w:rsidRDefault="005C25FF" w:rsidP="004A6040">
      <w:pPr>
        <w:pStyle w:val="4-SubsectionHeading"/>
      </w:pPr>
      <w:bookmarkStart w:id="3" w:name="_Toc22897638"/>
      <w:bookmarkStart w:id="4" w:name="_Toc124710208"/>
      <w:r w:rsidRPr="006919A9">
        <w:t>Registration status</w:t>
      </w:r>
      <w:bookmarkEnd w:id="3"/>
      <w:bookmarkEnd w:id="4"/>
    </w:p>
    <w:p w14:paraId="2C8CCE4C" w14:textId="6FC687BD" w:rsidR="00F95D7A" w:rsidRPr="006919A9" w:rsidRDefault="00F95D7A" w:rsidP="00F95D7A">
      <w:pPr>
        <w:pStyle w:val="3-BodyText"/>
      </w:pPr>
      <w:r w:rsidRPr="006919A9">
        <w:t xml:space="preserve">Pembrolizumab was </w:t>
      </w:r>
      <w:r w:rsidR="00306F67" w:rsidRPr="00FD2109">
        <w:t xml:space="preserve">approved by the TGA on </w:t>
      </w:r>
      <w:r w:rsidR="004E1A33">
        <w:t xml:space="preserve">2 </w:t>
      </w:r>
      <w:r w:rsidR="00306F67">
        <w:t>September</w:t>
      </w:r>
      <w:r w:rsidR="00306F67" w:rsidRPr="00FD2109">
        <w:t xml:space="preserve"> 2022 </w:t>
      </w:r>
      <w:r w:rsidRPr="006919A9">
        <w:t>for the treatment of patients with high-risk early-stage triple-negative breast cancer (TNBC) in combination with chemotherapy as neoadjuvant treatment, and then continued as monotherapy as adjuvant treatment after surgery.</w:t>
      </w:r>
    </w:p>
    <w:p w14:paraId="1C65ACE8" w14:textId="77777777" w:rsidR="00F756C7" w:rsidRPr="00F756C7" w:rsidRDefault="00F756C7" w:rsidP="00F756C7">
      <w:pPr>
        <w:ind w:firstLine="720"/>
        <w:rPr>
          <w:i/>
          <w:iCs/>
        </w:rPr>
      </w:pPr>
      <w:bookmarkStart w:id="5" w:name="_Toc107902078"/>
      <w:bookmarkStart w:id="6" w:name="_Hlk76375324"/>
      <w:bookmarkStart w:id="7" w:name="_Toc124710209"/>
      <w:bookmarkEnd w:id="5"/>
      <w:r w:rsidRPr="00F756C7">
        <w:rPr>
          <w:i/>
          <w:iCs/>
        </w:rPr>
        <w:t>For more detail on PBAC’s view, see section 7 PBAC outcome.</w:t>
      </w:r>
    </w:p>
    <w:bookmarkEnd w:id="6"/>
    <w:p w14:paraId="76E4EF3C" w14:textId="13040F70" w:rsidR="00B60939" w:rsidRPr="006919A9" w:rsidRDefault="00B50DB8" w:rsidP="004E18E9">
      <w:pPr>
        <w:pStyle w:val="2-SectionHeading"/>
      </w:pPr>
      <w:r w:rsidRPr="006919A9">
        <w:lastRenderedPageBreak/>
        <w:t>Requested listing</w:t>
      </w:r>
      <w:bookmarkEnd w:id="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8"/>
        <w:gridCol w:w="1215"/>
        <w:gridCol w:w="2940"/>
        <w:gridCol w:w="1692"/>
        <w:gridCol w:w="1632"/>
      </w:tblGrid>
      <w:tr w:rsidR="006919A9" w:rsidRPr="006919A9" w14:paraId="2692E1A2" w14:textId="77777777" w:rsidTr="005514C3">
        <w:trPr>
          <w:trHeight w:val="20"/>
        </w:trPr>
        <w:tc>
          <w:tcPr>
            <w:tcW w:w="1527" w:type="pct"/>
            <w:gridSpan w:val="2"/>
            <w:vAlign w:val="center"/>
          </w:tcPr>
          <w:p w14:paraId="393B3085" w14:textId="77777777" w:rsidR="00B868FE" w:rsidRPr="006919A9" w:rsidRDefault="00B868FE" w:rsidP="002234D3">
            <w:pPr>
              <w:pStyle w:val="In-tableHeading"/>
              <w:rPr>
                <w:lang w:val="en-AU"/>
              </w:rPr>
            </w:pPr>
            <w:bookmarkStart w:id="8" w:name="_Hlk104809082"/>
            <w:r w:rsidRPr="006919A9">
              <w:rPr>
                <w:lang w:val="en-AU"/>
              </w:rPr>
              <w:t>MEDICINAL PRODUCT</w:t>
            </w:r>
          </w:p>
          <w:p w14:paraId="2EC13323" w14:textId="77777777" w:rsidR="00B868FE" w:rsidRPr="006919A9" w:rsidRDefault="00B868FE" w:rsidP="002234D3">
            <w:pPr>
              <w:pStyle w:val="In-tableHeading"/>
              <w:rPr>
                <w:lang w:val="en-AU"/>
              </w:rPr>
            </w:pPr>
            <w:r w:rsidRPr="006919A9">
              <w:rPr>
                <w:lang w:val="en-AU"/>
              </w:rPr>
              <w:t>Form</w:t>
            </w:r>
          </w:p>
        </w:tc>
        <w:tc>
          <w:tcPr>
            <w:tcW w:w="1630" w:type="pct"/>
            <w:tcBorders>
              <w:bottom w:val="single" w:sz="4" w:space="0" w:color="auto"/>
            </w:tcBorders>
            <w:vAlign w:val="center"/>
          </w:tcPr>
          <w:p w14:paraId="44D390DE" w14:textId="77777777" w:rsidR="00B868FE" w:rsidRPr="006919A9" w:rsidRDefault="00B868FE" w:rsidP="002234D3">
            <w:pPr>
              <w:pStyle w:val="In-tableHeading"/>
              <w:jc w:val="center"/>
              <w:rPr>
                <w:lang w:val="en-AU"/>
              </w:rPr>
            </w:pPr>
            <w:r w:rsidRPr="006919A9">
              <w:rPr>
                <w:lang w:val="en-AU"/>
              </w:rPr>
              <w:t>Dispensed Price Max Amt</w:t>
            </w:r>
          </w:p>
        </w:tc>
        <w:tc>
          <w:tcPr>
            <w:tcW w:w="938" w:type="pct"/>
            <w:vAlign w:val="center"/>
          </w:tcPr>
          <w:p w14:paraId="0369759C" w14:textId="77777777" w:rsidR="00B868FE" w:rsidRPr="006919A9" w:rsidRDefault="00B868FE" w:rsidP="002234D3">
            <w:pPr>
              <w:pStyle w:val="In-tableHeading"/>
              <w:jc w:val="center"/>
              <w:rPr>
                <w:lang w:val="en-AU"/>
              </w:rPr>
            </w:pPr>
            <w:r w:rsidRPr="006919A9">
              <w:rPr>
                <w:lang w:val="en-AU"/>
              </w:rPr>
              <w:t>Max. Amount</w:t>
            </w:r>
          </w:p>
        </w:tc>
        <w:tc>
          <w:tcPr>
            <w:tcW w:w="905" w:type="pct"/>
            <w:vAlign w:val="center"/>
          </w:tcPr>
          <w:p w14:paraId="7FD196CB" w14:textId="77777777" w:rsidR="00B868FE" w:rsidRPr="006919A9" w:rsidRDefault="00B868FE" w:rsidP="002234D3">
            <w:pPr>
              <w:pStyle w:val="In-tableHeading"/>
              <w:jc w:val="center"/>
              <w:rPr>
                <w:lang w:val="en-AU"/>
              </w:rPr>
            </w:pPr>
            <w:r w:rsidRPr="006919A9">
              <w:rPr>
                <w:lang w:val="en-AU"/>
              </w:rPr>
              <w:t>№.of Rpts</w:t>
            </w:r>
          </w:p>
        </w:tc>
      </w:tr>
      <w:tr w:rsidR="006919A9" w:rsidRPr="006919A9" w14:paraId="2619A03D" w14:textId="77777777" w:rsidTr="005514C3">
        <w:trPr>
          <w:trHeight w:val="20"/>
        </w:trPr>
        <w:tc>
          <w:tcPr>
            <w:tcW w:w="1527" w:type="pct"/>
            <w:gridSpan w:val="2"/>
            <w:vAlign w:val="center"/>
          </w:tcPr>
          <w:p w14:paraId="6BE6CF4D" w14:textId="77777777" w:rsidR="00B868FE" w:rsidRPr="006919A9" w:rsidRDefault="00B868FE" w:rsidP="002234D3">
            <w:pPr>
              <w:pStyle w:val="TableText0"/>
            </w:pPr>
            <w:r w:rsidRPr="006919A9">
              <w:t>Pembrolizumab 100mg injection, 1 vial (neoadjuvant)</w:t>
            </w:r>
          </w:p>
        </w:tc>
        <w:tc>
          <w:tcPr>
            <w:tcW w:w="1630" w:type="pct"/>
            <w:tcBorders>
              <w:bottom w:val="nil"/>
            </w:tcBorders>
            <w:vAlign w:val="center"/>
          </w:tcPr>
          <w:p w14:paraId="10ABB9CE" w14:textId="77777777" w:rsidR="00B868FE" w:rsidRPr="002F1591" w:rsidRDefault="00B868FE" w:rsidP="002234D3">
            <w:pPr>
              <w:pStyle w:val="TableText0"/>
              <w:jc w:val="center"/>
            </w:pPr>
            <w:r w:rsidRPr="002F1591">
              <w:t>$7,881.87 private published price</w:t>
            </w:r>
          </w:p>
          <w:p w14:paraId="2703DEFE" w14:textId="77777777" w:rsidR="00B868FE" w:rsidRPr="006919A9" w:rsidRDefault="00B868FE" w:rsidP="002234D3">
            <w:pPr>
              <w:pStyle w:val="TableText0"/>
              <w:jc w:val="center"/>
            </w:pPr>
            <w:r w:rsidRPr="002F1591">
              <w:t>$7,733.78</w:t>
            </w:r>
            <w:r w:rsidRPr="006919A9">
              <w:t xml:space="preserve"> public published price</w:t>
            </w:r>
          </w:p>
        </w:tc>
        <w:tc>
          <w:tcPr>
            <w:tcW w:w="938" w:type="pct"/>
            <w:vAlign w:val="center"/>
          </w:tcPr>
          <w:p w14:paraId="5A8E70DE" w14:textId="77777777" w:rsidR="00B868FE" w:rsidRPr="006919A9" w:rsidRDefault="00B868FE" w:rsidP="002234D3">
            <w:pPr>
              <w:pStyle w:val="TableText0"/>
              <w:jc w:val="center"/>
            </w:pPr>
            <w:r w:rsidRPr="006919A9">
              <w:t>200mg</w:t>
            </w:r>
          </w:p>
        </w:tc>
        <w:tc>
          <w:tcPr>
            <w:tcW w:w="905" w:type="pct"/>
            <w:vAlign w:val="center"/>
          </w:tcPr>
          <w:p w14:paraId="258CD023" w14:textId="77777777" w:rsidR="00B868FE" w:rsidRPr="006919A9" w:rsidRDefault="00B868FE" w:rsidP="002234D3">
            <w:pPr>
              <w:pStyle w:val="TableText0"/>
              <w:jc w:val="center"/>
            </w:pPr>
            <w:r w:rsidRPr="006919A9">
              <w:t>7</w:t>
            </w:r>
          </w:p>
        </w:tc>
      </w:tr>
      <w:tr w:rsidR="006919A9" w:rsidRPr="006919A9" w14:paraId="190E8CF9" w14:textId="77777777" w:rsidTr="005514C3">
        <w:trPr>
          <w:trHeight w:val="20"/>
        </w:trPr>
        <w:tc>
          <w:tcPr>
            <w:tcW w:w="1527" w:type="pct"/>
            <w:gridSpan w:val="2"/>
            <w:vAlign w:val="center"/>
          </w:tcPr>
          <w:p w14:paraId="40250F9D" w14:textId="77777777" w:rsidR="00B868FE" w:rsidRPr="006919A9" w:rsidRDefault="00B868FE" w:rsidP="002234D3">
            <w:pPr>
              <w:pStyle w:val="TableText0"/>
            </w:pPr>
            <w:r w:rsidRPr="006919A9">
              <w:t>Pembrolizumab 100mg injection, 1 vial (adjuvant)</w:t>
            </w:r>
          </w:p>
        </w:tc>
        <w:tc>
          <w:tcPr>
            <w:tcW w:w="1630" w:type="pct"/>
            <w:tcBorders>
              <w:top w:val="nil"/>
            </w:tcBorders>
            <w:vAlign w:val="center"/>
          </w:tcPr>
          <w:p w14:paraId="68D4D080" w14:textId="3532563F" w:rsidR="00B868FE" w:rsidRPr="006919A9" w:rsidRDefault="00B868FE" w:rsidP="002234D3">
            <w:pPr>
              <w:pStyle w:val="TableText0"/>
              <w:jc w:val="center"/>
            </w:pPr>
            <w:r w:rsidRPr="006919A9">
              <w:t>$</w:t>
            </w:r>
            <w:r w:rsidR="00BB281C" w:rsidRPr="00BB281C">
              <w:rPr>
                <w:color w:val="000000"/>
                <w:spacing w:val="103"/>
                <w:shd w:val="solid" w:color="000000" w:fill="000000"/>
                <w:fitText w:val="196" w:id="-1234422784"/>
                <w14:textFill>
                  <w14:solidFill>
                    <w14:srgbClr w14:val="000000">
                      <w14:alpha w14:val="100000"/>
                    </w14:srgbClr>
                  </w14:solidFill>
                </w14:textFill>
              </w:rPr>
              <w:t>|</w:t>
            </w:r>
            <w:r w:rsidR="00BB281C" w:rsidRPr="00BB281C">
              <w:rPr>
                <w:color w:val="000000"/>
                <w:shd w:val="solid" w:color="000000" w:fill="000000"/>
                <w:fitText w:val="196" w:id="-1234422784"/>
                <w14:textFill>
                  <w14:solidFill>
                    <w14:srgbClr w14:val="000000">
                      <w14:alpha w14:val="100000"/>
                    </w14:srgbClr>
                  </w14:solidFill>
                </w14:textFill>
              </w:rPr>
              <w:t>|</w:t>
            </w:r>
            <w:r w:rsidRPr="006919A9">
              <w:t xml:space="preserve"> private effective price</w:t>
            </w:r>
          </w:p>
          <w:p w14:paraId="474FAFDE" w14:textId="2B9E899A" w:rsidR="00B868FE" w:rsidRPr="006919A9" w:rsidRDefault="00B868FE" w:rsidP="002234D3">
            <w:pPr>
              <w:pStyle w:val="TableText0"/>
              <w:jc w:val="center"/>
            </w:pPr>
            <w:r w:rsidRPr="006919A9">
              <w:t>$</w:t>
            </w:r>
            <w:r w:rsidR="00BB281C" w:rsidRPr="00BB281C">
              <w:rPr>
                <w:color w:val="000000"/>
                <w:spacing w:val="75"/>
                <w:shd w:val="solid" w:color="000000" w:fill="000000"/>
                <w:fitText w:val="161" w:id="-1234422783"/>
                <w14:textFill>
                  <w14:solidFill>
                    <w14:srgbClr w14:val="000000">
                      <w14:alpha w14:val="100000"/>
                    </w14:srgbClr>
                  </w14:solidFill>
                </w14:textFill>
              </w:rPr>
              <w:t>|</w:t>
            </w:r>
            <w:r w:rsidR="00BB281C" w:rsidRPr="00BB281C">
              <w:rPr>
                <w:color w:val="000000"/>
                <w:spacing w:val="1"/>
                <w:shd w:val="solid" w:color="000000" w:fill="000000"/>
                <w:fitText w:val="161" w:id="-1234422783"/>
                <w14:textFill>
                  <w14:solidFill>
                    <w14:srgbClr w14:val="000000">
                      <w14:alpha w14:val="100000"/>
                    </w14:srgbClr>
                  </w14:solidFill>
                </w14:textFill>
              </w:rPr>
              <w:t>|</w:t>
            </w:r>
            <w:r w:rsidRPr="006919A9">
              <w:t xml:space="preserve"> public effective price</w:t>
            </w:r>
          </w:p>
        </w:tc>
        <w:tc>
          <w:tcPr>
            <w:tcW w:w="938" w:type="pct"/>
            <w:vAlign w:val="center"/>
          </w:tcPr>
          <w:p w14:paraId="571AAAAB" w14:textId="77777777" w:rsidR="00B868FE" w:rsidRPr="006919A9" w:rsidRDefault="00B868FE" w:rsidP="002234D3">
            <w:pPr>
              <w:pStyle w:val="TableText0"/>
              <w:jc w:val="center"/>
            </w:pPr>
            <w:r w:rsidRPr="006919A9">
              <w:t>200mg</w:t>
            </w:r>
          </w:p>
        </w:tc>
        <w:tc>
          <w:tcPr>
            <w:tcW w:w="905" w:type="pct"/>
            <w:vAlign w:val="center"/>
          </w:tcPr>
          <w:p w14:paraId="351245DA" w14:textId="77777777" w:rsidR="00B868FE" w:rsidRPr="006919A9" w:rsidRDefault="00B868FE" w:rsidP="002234D3">
            <w:pPr>
              <w:pStyle w:val="TableText0"/>
              <w:jc w:val="center"/>
            </w:pPr>
            <w:r w:rsidRPr="006919A9">
              <w:t>8</w:t>
            </w:r>
          </w:p>
        </w:tc>
      </w:tr>
      <w:tr w:rsidR="006919A9" w:rsidRPr="006919A9" w14:paraId="457BF22C" w14:textId="77777777" w:rsidTr="005514C3">
        <w:trPr>
          <w:trHeight w:val="20"/>
        </w:trPr>
        <w:tc>
          <w:tcPr>
            <w:tcW w:w="5000" w:type="pct"/>
            <w:gridSpan w:val="5"/>
            <w:vAlign w:val="center"/>
          </w:tcPr>
          <w:p w14:paraId="5E42D897" w14:textId="77777777" w:rsidR="00B868FE" w:rsidRPr="006919A9" w:rsidRDefault="00B868FE" w:rsidP="002234D3">
            <w:pPr>
              <w:rPr>
                <w:b/>
              </w:rPr>
            </w:pPr>
            <w:r w:rsidRPr="006919A9">
              <w:rPr>
                <w:rFonts w:ascii="Arial Narrow" w:eastAsiaTheme="majorEastAsia" w:hAnsi="Arial Narrow" w:cs="Times New Roman"/>
                <w:b/>
                <w:sz w:val="20"/>
              </w:rPr>
              <w:t>Available brands</w:t>
            </w:r>
            <w:r w:rsidRPr="006919A9">
              <w:rPr>
                <w:b/>
              </w:rPr>
              <w:t xml:space="preserve"> </w:t>
            </w:r>
          </w:p>
        </w:tc>
      </w:tr>
      <w:tr w:rsidR="006919A9" w:rsidRPr="006919A9" w14:paraId="6F349F65" w14:textId="77777777" w:rsidTr="005514C3">
        <w:trPr>
          <w:trHeight w:val="20"/>
        </w:trPr>
        <w:tc>
          <w:tcPr>
            <w:tcW w:w="5000" w:type="pct"/>
            <w:gridSpan w:val="5"/>
            <w:vAlign w:val="center"/>
          </w:tcPr>
          <w:p w14:paraId="3F06493E" w14:textId="77777777" w:rsidR="00B868FE" w:rsidRPr="006919A9" w:rsidRDefault="00B868FE" w:rsidP="002234D3">
            <w:pPr>
              <w:pStyle w:val="TableText0"/>
            </w:pPr>
            <w:r w:rsidRPr="006919A9">
              <w:t>Keytruda</w:t>
            </w:r>
            <w:r w:rsidRPr="006919A9">
              <w:br/>
              <w:t>pembrolizumab, 100mg injection, 1 vial</w:t>
            </w:r>
          </w:p>
        </w:tc>
      </w:tr>
      <w:tr w:rsidR="006919A9" w:rsidRPr="006919A9" w14:paraId="3D72D7DE" w14:textId="77777777" w:rsidTr="00AA43F3">
        <w:tblPrEx>
          <w:tblCellMar>
            <w:left w:w="28" w:type="dxa"/>
            <w:right w:w="28" w:type="dxa"/>
          </w:tblCellMar>
          <w:tblLook w:val="04A0" w:firstRow="1" w:lastRow="0" w:firstColumn="1" w:lastColumn="0" w:noHBand="0" w:noVBand="1"/>
        </w:tblPrEx>
        <w:trPr>
          <w:trHeight w:val="20"/>
        </w:trPr>
        <w:tc>
          <w:tcPr>
            <w:tcW w:w="853" w:type="pct"/>
            <w:hideMark/>
          </w:tcPr>
          <w:p w14:paraId="77BF3A3F" w14:textId="77777777" w:rsidR="0079654E" w:rsidRPr="006919A9" w:rsidRDefault="0079654E" w:rsidP="00CE1C72">
            <w:pPr>
              <w:pStyle w:val="Tabletext"/>
              <w:rPr>
                <w:szCs w:val="20"/>
              </w:rPr>
            </w:pPr>
            <w:r w:rsidRPr="006919A9">
              <w:rPr>
                <w:b/>
                <w:szCs w:val="20"/>
              </w:rPr>
              <w:t>Condition:</w:t>
            </w:r>
          </w:p>
        </w:tc>
        <w:tc>
          <w:tcPr>
            <w:tcW w:w="4147" w:type="pct"/>
            <w:gridSpan w:val="4"/>
          </w:tcPr>
          <w:p w14:paraId="7E2A7260" w14:textId="77777777" w:rsidR="0079654E" w:rsidRPr="006919A9" w:rsidRDefault="0079654E" w:rsidP="00CE1C72">
            <w:pPr>
              <w:pStyle w:val="Tabletext"/>
              <w:rPr>
                <w:szCs w:val="20"/>
              </w:rPr>
            </w:pPr>
            <w:r w:rsidRPr="006919A9">
              <w:rPr>
                <w:szCs w:val="20"/>
              </w:rPr>
              <w:t>Triple negative breast cancer</w:t>
            </w:r>
          </w:p>
        </w:tc>
      </w:tr>
      <w:tr w:rsidR="006919A9" w:rsidRPr="006919A9" w14:paraId="7A52643A" w14:textId="77777777" w:rsidTr="00AA43F3">
        <w:tblPrEx>
          <w:tblCellMar>
            <w:left w:w="28" w:type="dxa"/>
            <w:right w:w="28" w:type="dxa"/>
          </w:tblCellMar>
          <w:tblLook w:val="04A0" w:firstRow="1" w:lastRow="0" w:firstColumn="1" w:lastColumn="0" w:noHBand="0" w:noVBand="1"/>
        </w:tblPrEx>
        <w:trPr>
          <w:trHeight w:val="20"/>
        </w:trPr>
        <w:tc>
          <w:tcPr>
            <w:tcW w:w="853" w:type="pct"/>
          </w:tcPr>
          <w:p w14:paraId="79D03763" w14:textId="77777777" w:rsidR="0079654E" w:rsidRPr="006919A9" w:rsidRDefault="0079654E" w:rsidP="00CE1C72">
            <w:pPr>
              <w:pStyle w:val="Tabletext"/>
              <w:rPr>
                <w:szCs w:val="20"/>
              </w:rPr>
            </w:pPr>
            <w:r w:rsidRPr="006919A9">
              <w:rPr>
                <w:b/>
                <w:szCs w:val="20"/>
              </w:rPr>
              <w:t>PBS Indication:</w:t>
            </w:r>
          </w:p>
        </w:tc>
        <w:tc>
          <w:tcPr>
            <w:tcW w:w="4147" w:type="pct"/>
            <w:gridSpan w:val="4"/>
            <w:vAlign w:val="center"/>
          </w:tcPr>
          <w:p w14:paraId="43E9C5B4" w14:textId="77777777" w:rsidR="0079654E" w:rsidRPr="006919A9" w:rsidRDefault="0079654E" w:rsidP="00CE1C72">
            <w:pPr>
              <w:pStyle w:val="Tabletext"/>
              <w:ind w:right="273"/>
              <w:rPr>
                <w:szCs w:val="20"/>
              </w:rPr>
            </w:pPr>
            <w:r w:rsidRPr="006919A9">
              <w:t>early stage triple negative breast cancer</w:t>
            </w:r>
          </w:p>
        </w:tc>
      </w:tr>
      <w:tr w:rsidR="006919A9" w:rsidRPr="006919A9" w14:paraId="2D58B3A6" w14:textId="77777777" w:rsidTr="00AA43F3">
        <w:tblPrEx>
          <w:tblCellMar>
            <w:left w:w="28" w:type="dxa"/>
            <w:right w:w="28" w:type="dxa"/>
          </w:tblCellMar>
          <w:tblLook w:val="04A0" w:firstRow="1" w:lastRow="0" w:firstColumn="1" w:lastColumn="0" w:noHBand="0" w:noVBand="1"/>
        </w:tblPrEx>
        <w:trPr>
          <w:trHeight w:val="20"/>
        </w:trPr>
        <w:tc>
          <w:tcPr>
            <w:tcW w:w="853" w:type="pct"/>
            <w:hideMark/>
          </w:tcPr>
          <w:p w14:paraId="45DBFD1B" w14:textId="77777777" w:rsidR="0079654E" w:rsidRPr="006919A9" w:rsidRDefault="0079654E" w:rsidP="00CE1C72">
            <w:pPr>
              <w:pStyle w:val="Tabletext"/>
              <w:rPr>
                <w:b/>
                <w:szCs w:val="20"/>
              </w:rPr>
            </w:pPr>
            <w:r w:rsidRPr="006919A9">
              <w:rPr>
                <w:b/>
                <w:szCs w:val="20"/>
              </w:rPr>
              <w:t>Restriction:</w:t>
            </w:r>
          </w:p>
          <w:p w14:paraId="2389CE5A" w14:textId="77777777" w:rsidR="0079654E" w:rsidRPr="006919A9" w:rsidRDefault="0079654E" w:rsidP="00CE1C72">
            <w:pPr>
              <w:pStyle w:val="Tabletext"/>
              <w:rPr>
                <w:szCs w:val="20"/>
              </w:rPr>
            </w:pPr>
            <w:r w:rsidRPr="006919A9">
              <w:rPr>
                <w:szCs w:val="20"/>
              </w:rPr>
              <w:t xml:space="preserve">Section 100 (Efficient funding of chemotherapy) </w:t>
            </w:r>
          </w:p>
        </w:tc>
        <w:tc>
          <w:tcPr>
            <w:tcW w:w="4147" w:type="pct"/>
            <w:gridSpan w:val="4"/>
            <w:vAlign w:val="center"/>
          </w:tcPr>
          <w:p w14:paraId="78BE087E" w14:textId="77777777" w:rsidR="0079654E" w:rsidRPr="006919A9" w:rsidRDefault="0079654E" w:rsidP="00CE1C72">
            <w:pPr>
              <w:pStyle w:val="Tabletext"/>
              <w:rPr>
                <w:szCs w:val="20"/>
              </w:rPr>
            </w:pPr>
            <w:r w:rsidRPr="006919A9">
              <w:rPr>
                <w:szCs w:val="20"/>
              </w:rPr>
              <w:fldChar w:fldCharType="begin" w:fldLock="1">
                <w:ffData>
                  <w:name w:val=""/>
                  <w:enabled/>
                  <w:calcOnExit w:val="0"/>
                  <w:checkBox>
                    <w:sizeAuto/>
                    <w:default w:val="1"/>
                  </w:checkBox>
                </w:ffData>
              </w:fldChar>
            </w:r>
            <w:r w:rsidRPr="006919A9">
              <w:rPr>
                <w:szCs w:val="20"/>
              </w:rPr>
              <w:instrText xml:space="preserve"> FORMCHECKBOX </w:instrText>
            </w:r>
            <w:r w:rsidR="00740AEA">
              <w:rPr>
                <w:szCs w:val="20"/>
              </w:rPr>
            </w:r>
            <w:r w:rsidR="00740AEA">
              <w:rPr>
                <w:szCs w:val="20"/>
              </w:rPr>
              <w:fldChar w:fldCharType="separate"/>
            </w:r>
            <w:r w:rsidRPr="006919A9">
              <w:rPr>
                <w:szCs w:val="20"/>
              </w:rPr>
              <w:fldChar w:fldCharType="end"/>
            </w:r>
            <w:r w:rsidRPr="006919A9">
              <w:rPr>
                <w:szCs w:val="20"/>
              </w:rPr>
              <w:t>Authority Required – (STREAMLINED)</w:t>
            </w:r>
          </w:p>
        </w:tc>
      </w:tr>
      <w:tr w:rsidR="006919A9" w:rsidRPr="006919A9" w14:paraId="09926852" w14:textId="77777777" w:rsidTr="00AA43F3">
        <w:tblPrEx>
          <w:tblCellMar>
            <w:left w:w="28" w:type="dxa"/>
            <w:right w:w="28" w:type="dxa"/>
          </w:tblCellMar>
          <w:tblLook w:val="04A0" w:firstRow="1" w:lastRow="0" w:firstColumn="1" w:lastColumn="0" w:noHBand="0" w:noVBand="1"/>
        </w:tblPrEx>
        <w:trPr>
          <w:trHeight w:val="20"/>
        </w:trPr>
        <w:tc>
          <w:tcPr>
            <w:tcW w:w="853" w:type="pct"/>
            <w:hideMark/>
          </w:tcPr>
          <w:p w14:paraId="3EF0B41B" w14:textId="77777777" w:rsidR="0079654E" w:rsidRPr="006919A9" w:rsidRDefault="0079654E" w:rsidP="00CE1C72">
            <w:pPr>
              <w:pStyle w:val="Tabletext"/>
              <w:rPr>
                <w:b/>
                <w:szCs w:val="20"/>
              </w:rPr>
            </w:pPr>
            <w:r w:rsidRPr="006919A9">
              <w:rPr>
                <w:b/>
                <w:szCs w:val="20"/>
              </w:rPr>
              <w:t>Treatment criteria (initiation/neoadjuvant)</w:t>
            </w:r>
          </w:p>
          <w:p w14:paraId="333A509E" w14:textId="77777777" w:rsidR="0079654E" w:rsidRPr="006919A9" w:rsidRDefault="0079654E" w:rsidP="00CE1C72">
            <w:pPr>
              <w:pStyle w:val="Tabletext"/>
              <w:rPr>
                <w:szCs w:val="20"/>
              </w:rPr>
            </w:pPr>
          </w:p>
        </w:tc>
        <w:tc>
          <w:tcPr>
            <w:tcW w:w="4147" w:type="pct"/>
            <w:gridSpan w:val="4"/>
          </w:tcPr>
          <w:p w14:paraId="5F338AF3" w14:textId="77777777" w:rsidR="0079654E" w:rsidRPr="006919A9" w:rsidRDefault="0079654E" w:rsidP="00CE1C72">
            <w:pPr>
              <w:pStyle w:val="Tabletext"/>
              <w:rPr>
                <w:szCs w:val="20"/>
              </w:rPr>
            </w:pPr>
            <w:r w:rsidRPr="006919A9">
              <w:rPr>
                <w:szCs w:val="20"/>
              </w:rPr>
              <w:t>The condition must be hormone receptor (oestrogen and progesterone receptor) negative</w:t>
            </w:r>
          </w:p>
          <w:p w14:paraId="5766660A" w14:textId="77777777" w:rsidR="0079654E" w:rsidRPr="006919A9" w:rsidRDefault="0079654E" w:rsidP="00CE1C72">
            <w:pPr>
              <w:pStyle w:val="Tabletext"/>
              <w:rPr>
                <w:szCs w:val="20"/>
              </w:rPr>
            </w:pPr>
            <w:r w:rsidRPr="006919A9">
              <w:rPr>
                <w:szCs w:val="20"/>
              </w:rPr>
              <w:t>AND</w:t>
            </w:r>
          </w:p>
          <w:p w14:paraId="0E657EB4" w14:textId="77777777" w:rsidR="0079654E" w:rsidRPr="006919A9" w:rsidRDefault="0079654E" w:rsidP="00CE1C72">
            <w:pPr>
              <w:pStyle w:val="Tabletext"/>
              <w:rPr>
                <w:szCs w:val="20"/>
              </w:rPr>
            </w:pPr>
            <w:r w:rsidRPr="006919A9">
              <w:rPr>
                <w:szCs w:val="20"/>
              </w:rPr>
              <w:t>The condition must be human epidermal growth factor receptor 2 (HER2) negative</w:t>
            </w:r>
          </w:p>
          <w:p w14:paraId="66BA7689" w14:textId="77777777" w:rsidR="0079654E" w:rsidRPr="006919A9" w:rsidRDefault="0079654E" w:rsidP="00CE1C72">
            <w:pPr>
              <w:pStyle w:val="Tabletext"/>
              <w:rPr>
                <w:szCs w:val="20"/>
              </w:rPr>
            </w:pPr>
            <w:r w:rsidRPr="006919A9">
              <w:rPr>
                <w:szCs w:val="20"/>
              </w:rPr>
              <w:t>AND</w:t>
            </w:r>
          </w:p>
          <w:p w14:paraId="1A6259FC" w14:textId="77777777" w:rsidR="0079654E" w:rsidRPr="006919A9" w:rsidRDefault="0079654E" w:rsidP="00CE1C72">
            <w:pPr>
              <w:pStyle w:val="Tabletext"/>
              <w:rPr>
                <w:szCs w:val="20"/>
              </w:rPr>
            </w:pPr>
            <w:r w:rsidRPr="006919A9">
              <w:rPr>
                <w:szCs w:val="20"/>
              </w:rPr>
              <w:t>Patient must be preparing for surgery (neoadjuvant)</w:t>
            </w:r>
          </w:p>
          <w:p w14:paraId="4A22E7D2" w14:textId="77777777" w:rsidR="0079654E" w:rsidRPr="006919A9" w:rsidRDefault="0079654E" w:rsidP="00CE1C72">
            <w:pPr>
              <w:pStyle w:val="Tabletext"/>
              <w:rPr>
                <w:szCs w:val="20"/>
              </w:rPr>
            </w:pPr>
            <w:r w:rsidRPr="006919A9">
              <w:rPr>
                <w:szCs w:val="20"/>
              </w:rPr>
              <w:t>AND</w:t>
            </w:r>
          </w:p>
          <w:p w14:paraId="382443DF" w14:textId="77777777" w:rsidR="0079654E" w:rsidRPr="006919A9" w:rsidRDefault="0079654E" w:rsidP="00CE1C72">
            <w:pPr>
              <w:pStyle w:val="Tabletext"/>
              <w:rPr>
                <w:szCs w:val="20"/>
              </w:rPr>
            </w:pPr>
            <w:r w:rsidRPr="006919A9">
              <w:rPr>
                <w:szCs w:val="20"/>
              </w:rPr>
              <w:t>The condition must not have previously been treated</w:t>
            </w:r>
          </w:p>
          <w:p w14:paraId="624CA105" w14:textId="77777777" w:rsidR="0079654E" w:rsidRPr="006919A9" w:rsidRDefault="0079654E" w:rsidP="00CE1C72">
            <w:pPr>
              <w:pStyle w:val="Tabletext"/>
              <w:rPr>
                <w:szCs w:val="20"/>
              </w:rPr>
            </w:pPr>
            <w:r w:rsidRPr="006919A9">
              <w:rPr>
                <w:szCs w:val="20"/>
              </w:rPr>
              <w:t>AND</w:t>
            </w:r>
          </w:p>
          <w:p w14:paraId="30CA22F2" w14:textId="77777777" w:rsidR="0079654E" w:rsidRPr="006919A9" w:rsidRDefault="0079654E" w:rsidP="00CE1C72">
            <w:pPr>
              <w:pStyle w:val="Tabletext"/>
              <w:rPr>
                <w:szCs w:val="20"/>
              </w:rPr>
            </w:pPr>
            <w:r w:rsidRPr="006919A9">
              <w:rPr>
                <w:szCs w:val="20"/>
              </w:rPr>
              <w:t>Patient must have a Eastern Cooperative Oncology Group (ECOG) performance status score of 1 or less</w:t>
            </w:r>
          </w:p>
          <w:p w14:paraId="55AB677E" w14:textId="77777777" w:rsidR="0079654E" w:rsidRPr="006919A9" w:rsidRDefault="0079654E" w:rsidP="00CE1C72">
            <w:pPr>
              <w:pStyle w:val="Tabletext"/>
              <w:rPr>
                <w:szCs w:val="20"/>
              </w:rPr>
            </w:pPr>
            <w:r w:rsidRPr="006919A9">
              <w:rPr>
                <w:szCs w:val="20"/>
              </w:rPr>
              <w:t>AND</w:t>
            </w:r>
          </w:p>
          <w:p w14:paraId="2BAE34DA" w14:textId="77777777" w:rsidR="0079654E" w:rsidRPr="006919A9" w:rsidRDefault="0079654E" w:rsidP="00CE1C72">
            <w:pPr>
              <w:pStyle w:val="Tabletext"/>
              <w:rPr>
                <w:szCs w:val="20"/>
              </w:rPr>
            </w:pPr>
            <w:r w:rsidRPr="006919A9">
              <w:rPr>
                <w:szCs w:val="20"/>
              </w:rPr>
              <w:t>The treatment must be in combination with chemotherapy</w:t>
            </w:r>
          </w:p>
          <w:p w14:paraId="552E4E22" w14:textId="77777777" w:rsidR="0079654E" w:rsidRPr="006919A9" w:rsidRDefault="0079654E" w:rsidP="00CE1C72">
            <w:pPr>
              <w:pStyle w:val="Tabletext"/>
              <w:rPr>
                <w:szCs w:val="20"/>
              </w:rPr>
            </w:pPr>
            <w:r w:rsidRPr="006919A9">
              <w:rPr>
                <w:szCs w:val="20"/>
              </w:rPr>
              <w:t>AND</w:t>
            </w:r>
          </w:p>
          <w:p w14:paraId="6C785E5E" w14:textId="77777777" w:rsidR="0079654E" w:rsidRPr="006919A9" w:rsidRDefault="0079654E" w:rsidP="00CE1C72">
            <w:pPr>
              <w:pStyle w:val="Tabletext"/>
              <w:rPr>
                <w:szCs w:val="20"/>
              </w:rPr>
            </w:pPr>
            <w:r w:rsidRPr="006919A9">
              <w:rPr>
                <w:szCs w:val="20"/>
              </w:rPr>
              <w:t>The patient must not receive more than 24 weeks of PBS-subsidised therapy during this phase of therapy</w:t>
            </w:r>
          </w:p>
          <w:p w14:paraId="60C92B31" w14:textId="77777777" w:rsidR="0079654E" w:rsidRPr="006919A9" w:rsidRDefault="0079654E" w:rsidP="00CE1C72">
            <w:pPr>
              <w:pStyle w:val="Tabletext"/>
              <w:rPr>
                <w:szCs w:val="20"/>
              </w:rPr>
            </w:pPr>
            <w:r w:rsidRPr="006919A9">
              <w:rPr>
                <w:szCs w:val="20"/>
              </w:rPr>
              <w:t>AND</w:t>
            </w:r>
          </w:p>
          <w:p w14:paraId="208AD823" w14:textId="77777777" w:rsidR="0079654E" w:rsidRPr="006919A9" w:rsidRDefault="0079654E" w:rsidP="00CE1C72">
            <w:pPr>
              <w:pStyle w:val="Tabletext"/>
              <w:rPr>
                <w:szCs w:val="20"/>
              </w:rPr>
            </w:pPr>
            <w:r w:rsidRPr="006919A9">
              <w:rPr>
                <w:szCs w:val="20"/>
              </w:rPr>
              <w:t>The treatment must not be used in a patient with a left ventricular ejection fraction (LVEF) of less than 50%</w:t>
            </w:r>
          </w:p>
        </w:tc>
      </w:tr>
      <w:tr w:rsidR="006919A9" w:rsidRPr="006919A9" w14:paraId="5783C402" w14:textId="77777777" w:rsidTr="00AA43F3">
        <w:tblPrEx>
          <w:tblCellMar>
            <w:left w:w="28" w:type="dxa"/>
            <w:right w:w="28" w:type="dxa"/>
          </w:tblCellMar>
          <w:tblLook w:val="04A0" w:firstRow="1" w:lastRow="0" w:firstColumn="1" w:lastColumn="0" w:noHBand="0" w:noVBand="1"/>
        </w:tblPrEx>
        <w:trPr>
          <w:trHeight w:val="20"/>
        </w:trPr>
        <w:tc>
          <w:tcPr>
            <w:tcW w:w="853" w:type="pct"/>
            <w:hideMark/>
          </w:tcPr>
          <w:p w14:paraId="50B8CEB4" w14:textId="77777777" w:rsidR="0079654E" w:rsidRPr="006919A9" w:rsidRDefault="0079654E" w:rsidP="00CE1C72">
            <w:pPr>
              <w:pStyle w:val="Tabletext"/>
              <w:rPr>
                <w:b/>
                <w:szCs w:val="20"/>
              </w:rPr>
            </w:pPr>
            <w:r w:rsidRPr="006919A9">
              <w:rPr>
                <w:b/>
                <w:szCs w:val="20"/>
              </w:rPr>
              <w:t>Treatment criteria (continuation/adjuvant)</w:t>
            </w:r>
          </w:p>
          <w:p w14:paraId="5CDEC314" w14:textId="77777777" w:rsidR="0079654E" w:rsidRPr="006919A9" w:rsidRDefault="0079654E" w:rsidP="00CE1C72">
            <w:pPr>
              <w:pStyle w:val="Tabletext"/>
              <w:rPr>
                <w:szCs w:val="20"/>
              </w:rPr>
            </w:pPr>
          </w:p>
        </w:tc>
        <w:tc>
          <w:tcPr>
            <w:tcW w:w="4147" w:type="pct"/>
            <w:gridSpan w:val="4"/>
          </w:tcPr>
          <w:p w14:paraId="68EEC17C" w14:textId="77777777" w:rsidR="0079654E" w:rsidRPr="006919A9" w:rsidRDefault="0079654E" w:rsidP="00CE1C72">
            <w:pPr>
              <w:rPr>
                <w:rFonts w:ascii="Arial Narrow" w:hAnsi="Arial Narrow"/>
                <w:sz w:val="20"/>
                <w:szCs w:val="20"/>
              </w:rPr>
            </w:pPr>
            <w:r w:rsidRPr="006919A9">
              <w:rPr>
                <w:rFonts w:ascii="Arial Narrow" w:hAnsi="Arial Narrow"/>
                <w:sz w:val="20"/>
                <w:szCs w:val="20"/>
              </w:rPr>
              <w:t>Patient must have undergone surgery (adjuvant)</w:t>
            </w:r>
          </w:p>
          <w:p w14:paraId="2A81AF7A" w14:textId="77777777" w:rsidR="0079654E" w:rsidRPr="006919A9" w:rsidRDefault="0079654E" w:rsidP="00CE1C72">
            <w:pPr>
              <w:rPr>
                <w:rFonts w:ascii="Arial Narrow" w:hAnsi="Arial Narrow"/>
                <w:sz w:val="20"/>
                <w:szCs w:val="20"/>
              </w:rPr>
            </w:pPr>
            <w:r w:rsidRPr="006919A9">
              <w:rPr>
                <w:rFonts w:ascii="Arial Narrow" w:hAnsi="Arial Narrow"/>
                <w:sz w:val="20"/>
                <w:szCs w:val="20"/>
              </w:rPr>
              <w:t>AND</w:t>
            </w:r>
          </w:p>
          <w:p w14:paraId="4C35B7B5" w14:textId="77777777" w:rsidR="0079654E" w:rsidRPr="006919A9" w:rsidRDefault="0079654E" w:rsidP="00CE1C72">
            <w:pPr>
              <w:rPr>
                <w:rFonts w:ascii="Arial Narrow" w:hAnsi="Arial Narrow"/>
                <w:sz w:val="20"/>
                <w:szCs w:val="20"/>
              </w:rPr>
            </w:pPr>
            <w:r w:rsidRPr="006919A9">
              <w:rPr>
                <w:rFonts w:ascii="Arial Narrow" w:hAnsi="Arial Narrow"/>
                <w:sz w:val="20"/>
                <w:szCs w:val="20"/>
              </w:rPr>
              <w:t>Patient must have an Eastern Cooperative Oncology Group (ECOG) performance status score of 1 or less</w:t>
            </w:r>
          </w:p>
          <w:p w14:paraId="43D5732B" w14:textId="77777777" w:rsidR="0079654E" w:rsidRPr="006919A9" w:rsidRDefault="0079654E" w:rsidP="00CE1C72">
            <w:pPr>
              <w:rPr>
                <w:rFonts w:ascii="Arial Narrow" w:hAnsi="Arial Narrow"/>
                <w:sz w:val="20"/>
                <w:szCs w:val="20"/>
              </w:rPr>
            </w:pPr>
            <w:r w:rsidRPr="006919A9">
              <w:rPr>
                <w:rFonts w:ascii="Arial Narrow" w:hAnsi="Arial Narrow"/>
                <w:sz w:val="20"/>
                <w:szCs w:val="20"/>
              </w:rPr>
              <w:t>AND</w:t>
            </w:r>
          </w:p>
          <w:p w14:paraId="6EB01F58" w14:textId="77777777" w:rsidR="0079654E" w:rsidRPr="006919A9" w:rsidRDefault="0079654E" w:rsidP="00CE1C72">
            <w:pPr>
              <w:rPr>
                <w:rFonts w:ascii="Arial Narrow" w:hAnsi="Arial Narrow"/>
                <w:sz w:val="20"/>
                <w:szCs w:val="20"/>
              </w:rPr>
            </w:pPr>
            <w:r w:rsidRPr="006919A9">
              <w:rPr>
                <w:rFonts w:ascii="Arial Narrow" w:hAnsi="Arial Narrow"/>
                <w:sz w:val="20"/>
                <w:szCs w:val="20"/>
              </w:rPr>
              <w:t>The treatment must be the sole PBS-subsidised therapy for this condition</w:t>
            </w:r>
          </w:p>
          <w:p w14:paraId="75AF744B" w14:textId="77777777" w:rsidR="0079654E" w:rsidRPr="006919A9" w:rsidRDefault="0079654E" w:rsidP="00CE1C72">
            <w:pPr>
              <w:rPr>
                <w:rFonts w:ascii="Arial Narrow" w:hAnsi="Arial Narrow"/>
                <w:sz w:val="20"/>
                <w:szCs w:val="20"/>
              </w:rPr>
            </w:pPr>
            <w:r w:rsidRPr="006919A9">
              <w:rPr>
                <w:rFonts w:ascii="Arial Narrow" w:hAnsi="Arial Narrow"/>
                <w:sz w:val="20"/>
                <w:szCs w:val="20"/>
              </w:rPr>
              <w:t>AND</w:t>
            </w:r>
          </w:p>
          <w:p w14:paraId="670D4EDD" w14:textId="77777777" w:rsidR="0079654E" w:rsidRPr="006919A9" w:rsidRDefault="0079654E" w:rsidP="00CE1C72">
            <w:pPr>
              <w:rPr>
                <w:rFonts w:ascii="Arial Narrow" w:hAnsi="Arial Narrow"/>
                <w:sz w:val="20"/>
                <w:szCs w:val="20"/>
              </w:rPr>
            </w:pPr>
            <w:r w:rsidRPr="006919A9">
              <w:rPr>
                <w:rFonts w:ascii="Arial Narrow" w:hAnsi="Arial Narrow"/>
                <w:sz w:val="20"/>
                <w:szCs w:val="20"/>
              </w:rPr>
              <w:t>Patient must have previously been issued with an authority prescription for this drug for neoadjuvant treatment</w:t>
            </w:r>
          </w:p>
          <w:p w14:paraId="04976A9A" w14:textId="77777777" w:rsidR="0079654E" w:rsidRPr="006919A9" w:rsidRDefault="0079654E" w:rsidP="00CE1C72">
            <w:pPr>
              <w:rPr>
                <w:rFonts w:ascii="Arial Narrow" w:hAnsi="Arial Narrow"/>
                <w:sz w:val="20"/>
                <w:szCs w:val="20"/>
              </w:rPr>
            </w:pPr>
            <w:r w:rsidRPr="006919A9">
              <w:rPr>
                <w:rFonts w:ascii="Arial Narrow" w:hAnsi="Arial Narrow"/>
                <w:sz w:val="20"/>
                <w:szCs w:val="20"/>
              </w:rPr>
              <w:t>AND</w:t>
            </w:r>
          </w:p>
          <w:p w14:paraId="3FE14227" w14:textId="77777777" w:rsidR="0079654E" w:rsidRPr="006919A9" w:rsidRDefault="0079654E" w:rsidP="00CE1C72">
            <w:pPr>
              <w:rPr>
                <w:rFonts w:ascii="Arial Narrow" w:hAnsi="Arial Narrow"/>
                <w:sz w:val="20"/>
                <w:szCs w:val="20"/>
              </w:rPr>
            </w:pPr>
            <w:r w:rsidRPr="006919A9">
              <w:rPr>
                <w:rFonts w:ascii="Arial Narrow" w:hAnsi="Arial Narrow"/>
                <w:sz w:val="20"/>
                <w:szCs w:val="20"/>
              </w:rPr>
              <w:t>Patient must not receive more than 27 weeks of PBS subsidised therapy during this phase of therapy</w:t>
            </w:r>
          </w:p>
          <w:p w14:paraId="3FB3B273" w14:textId="77777777" w:rsidR="0079654E" w:rsidRPr="006919A9" w:rsidRDefault="0079654E" w:rsidP="00CE1C72">
            <w:pPr>
              <w:rPr>
                <w:rFonts w:ascii="Arial Narrow" w:hAnsi="Arial Narrow"/>
                <w:sz w:val="20"/>
                <w:szCs w:val="20"/>
              </w:rPr>
            </w:pPr>
            <w:r w:rsidRPr="006919A9">
              <w:rPr>
                <w:rFonts w:ascii="Arial Narrow" w:hAnsi="Arial Narrow"/>
                <w:sz w:val="20"/>
                <w:szCs w:val="20"/>
              </w:rPr>
              <w:t>AND</w:t>
            </w:r>
          </w:p>
          <w:p w14:paraId="6BD1CF46" w14:textId="77777777" w:rsidR="0079654E" w:rsidRPr="006919A9" w:rsidRDefault="0079654E" w:rsidP="00CE1C72">
            <w:pPr>
              <w:rPr>
                <w:rFonts w:ascii="Arial Narrow" w:hAnsi="Arial Narrow"/>
                <w:sz w:val="20"/>
                <w:szCs w:val="20"/>
              </w:rPr>
            </w:pPr>
            <w:r w:rsidRPr="006919A9">
              <w:rPr>
                <w:rFonts w:ascii="Arial Narrow" w:hAnsi="Arial Narrow"/>
                <w:sz w:val="20"/>
                <w:szCs w:val="20"/>
              </w:rPr>
              <w:t>The treatment must not be used in a patient with a left ventricular ejection fraction (LVEF) of less than 50%</w:t>
            </w:r>
          </w:p>
          <w:p w14:paraId="6B09A70A" w14:textId="77777777" w:rsidR="0079654E" w:rsidRPr="006919A9" w:rsidRDefault="0079654E" w:rsidP="00CE1C72">
            <w:pPr>
              <w:rPr>
                <w:rFonts w:ascii="Arial Narrow" w:hAnsi="Arial Narrow"/>
                <w:sz w:val="20"/>
                <w:szCs w:val="20"/>
              </w:rPr>
            </w:pPr>
            <w:r w:rsidRPr="006919A9">
              <w:rPr>
                <w:rFonts w:ascii="Arial Narrow" w:hAnsi="Arial Narrow"/>
                <w:sz w:val="20"/>
                <w:szCs w:val="20"/>
              </w:rPr>
              <w:t>AND</w:t>
            </w:r>
          </w:p>
          <w:p w14:paraId="6C5A1926" w14:textId="77777777" w:rsidR="0079654E" w:rsidRPr="006919A9" w:rsidRDefault="0079654E" w:rsidP="00CE1C72">
            <w:pPr>
              <w:rPr>
                <w:rFonts w:ascii="Arial Narrow" w:hAnsi="Arial Narrow"/>
                <w:sz w:val="20"/>
                <w:szCs w:val="20"/>
              </w:rPr>
            </w:pPr>
            <w:r w:rsidRPr="006919A9">
              <w:rPr>
                <w:rFonts w:ascii="Arial Narrow" w:hAnsi="Arial Narrow"/>
                <w:sz w:val="20"/>
                <w:szCs w:val="20"/>
              </w:rPr>
              <w:t>The treatment must not exceed a total of 17 doses or up to 12 months of combined initial and continuing treatment for this condition, whichever comes first</w:t>
            </w:r>
          </w:p>
        </w:tc>
      </w:tr>
      <w:tr w:rsidR="006919A9" w:rsidRPr="006919A9" w14:paraId="1363865C" w14:textId="77777777" w:rsidTr="00AA43F3">
        <w:tblPrEx>
          <w:tblCellMar>
            <w:left w:w="28" w:type="dxa"/>
            <w:right w:w="28" w:type="dxa"/>
          </w:tblCellMar>
          <w:tblLook w:val="04A0" w:firstRow="1" w:lastRow="0" w:firstColumn="1" w:lastColumn="0" w:noHBand="0" w:noVBand="1"/>
        </w:tblPrEx>
        <w:trPr>
          <w:trHeight w:val="20"/>
        </w:trPr>
        <w:tc>
          <w:tcPr>
            <w:tcW w:w="853" w:type="pct"/>
            <w:hideMark/>
          </w:tcPr>
          <w:p w14:paraId="75036EA5" w14:textId="77777777" w:rsidR="0079654E" w:rsidRPr="006919A9" w:rsidRDefault="0079654E" w:rsidP="00CE1C72">
            <w:pPr>
              <w:pStyle w:val="Tabletext"/>
              <w:rPr>
                <w:b/>
                <w:szCs w:val="20"/>
              </w:rPr>
            </w:pPr>
            <w:r w:rsidRPr="006919A9">
              <w:rPr>
                <w:b/>
                <w:szCs w:val="20"/>
              </w:rPr>
              <w:t>Treatment criteria (grandfathering)</w:t>
            </w:r>
          </w:p>
          <w:p w14:paraId="1FB89BB1" w14:textId="77777777" w:rsidR="0079654E" w:rsidRPr="006919A9" w:rsidRDefault="0079654E" w:rsidP="00CE1C72">
            <w:pPr>
              <w:pStyle w:val="Tabletext"/>
              <w:rPr>
                <w:szCs w:val="20"/>
              </w:rPr>
            </w:pPr>
          </w:p>
        </w:tc>
        <w:tc>
          <w:tcPr>
            <w:tcW w:w="4147" w:type="pct"/>
            <w:gridSpan w:val="4"/>
          </w:tcPr>
          <w:p w14:paraId="08399093" w14:textId="77777777" w:rsidR="0079654E" w:rsidRPr="006919A9" w:rsidRDefault="0079654E" w:rsidP="00CE1C72">
            <w:pPr>
              <w:rPr>
                <w:rFonts w:ascii="Arial Narrow" w:hAnsi="Arial Narrow"/>
                <w:sz w:val="20"/>
                <w:szCs w:val="20"/>
              </w:rPr>
            </w:pPr>
            <w:r w:rsidRPr="006919A9">
              <w:rPr>
                <w:rFonts w:ascii="Arial Narrow" w:hAnsi="Arial Narrow"/>
                <w:sz w:val="20"/>
                <w:szCs w:val="20"/>
              </w:rPr>
              <w:lastRenderedPageBreak/>
              <w:t>Patient must have received non-PBS subsidised treatment with this drug for this condition prior to [listing date]</w:t>
            </w:r>
          </w:p>
          <w:p w14:paraId="236BFE84" w14:textId="77777777" w:rsidR="0079654E" w:rsidRPr="006919A9" w:rsidRDefault="0079654E" w:rsidP="00CE1C72">
            <w:pPr>
              <w:rPr>
                <w:rFonts w:ascii="Arial Narrow" w:hAnsi="Arial Narrow"/>
                <w:sz w:val="20"/>
                <w:szCs w:val="20"/>
              </w:rPr>
            </w:pPr>
            <w:r w:rsidRPr="006919A9">
              <w:rPr>
                <w:rFonts w:ascii="Arial Narrow" w:hAnsi="Arial Narrow"/>
                <w:sz w:val="20"/>
                <w:szCs w:val="20"/>
              </w:rPr>
              <w:lastRenderedPageBreak/>
              <w:t>AND</w:t>
            </w:r>
          </w:p>
          <w:p w14:paraId="010FE0C1" w14:textId="77777777" w:rsidR="0079654E" w:rsidRPr="006919A9" w:rsidRDefault="0079654E" w:rsidP="00CE1C72">
            <w:pPr>
              <w:rPr>
                <w:rFonts w:ascii="Arial Narrow" w:hAnsi="Arial Narrow"/>
                <w:sz w:val="20"/>
                <w:szCs w:val="20"/>
              </w:rPr>
            </w:pPr>
            <w:r w:rsidRPr="006919A9">
              <w:rPr>
                <w:rFonts w:ascii="Arial Narrow" w:hAnsi="Arial Narrow"/>
                <w:sz w:val="20"/>
                <w:szCs w:val="20"/>
              </w:rPr>
              <w:t xml:space="preserve">Patient must have received pembrolizumab combined with chemotherapy for this condition </w:t>
            </w:r>
          </w:p>
          <w:p w14:paraId="592DF493" w14:textId="77777777" w:rsidR="0079654E" w:rsidRPr="006919A9" w:rsidRDefault="0079654E" w:rsidP="00CE1C72">
            <w:pPr>
              <w:rPr>
                <w:rFonts w:ascii="Arial Narrow" w:hAnsi="Arial Narrow"/>
                <w:sz w:val="20"/>
                <w:szCs w:val="20"/>
              </w:rPr>
            </w:pPr>
            <w:r w:rsidRPr="006919A9">
              <w:rPr>
                <w:rFonts w:ascii="Arial Narrow" w:hAnsi="Arial Narrow"/>
                <w:sz w:val="20"/>
                <w:szCs w:val="20"/>
              </w:rPr>
              <w:t>AND</w:t>
            </w:r>
          </w:p>
          <w:p w14:paraId="530C888A" w14:textId="77777777" w:rsidR="0079654E" w:rsidRPr="006919A9" w:rsidRDefault="0079654E" w:rsidP="00CE1C72">
            <w:pPr>
              <w:rPr>
                <w:rFonts w:ascii="Arial Narrow" w:hAnsi="Arial Narrow"/>
                <w:sz w:val="20"/>
                <w:szCs w:val="20"/>
              </w:rPr>
            </w:pPr>
            <w:r w:rsidRPr="006919A9">
              <w:rPr>
                <w:rFonts w:ascii="Arial Narrow" w:hAnsi="Arial Narrow"/>
                <w:sz w:val="20"/>
                <w:szCs w:val="20"/>
              </w:rPr>
              <w:t>Patient must not have received prior PBS funded treatment with a programmed cell death-1 (PD-1) inhibitor or a programmed cell death ligand-1 (PD-L1) inhibitor or any prior tyrosine kinase inhibitor for this condition</w:t>
            </w:r>
          </w:p>
          <w:p w14:paraId="22DEF2F9" w14:textId="77777777" w:rsidR="0079654E" w:rsidRPr="006919A9" w:rsidRDefault="0079654E" w:rsidP="00CE1C72">
            <w:pPr>
              <w:rPr>
                <w:rFonts w:ascii="Arial Narrow" w:hAnsi="Arial Narrow"/>
                <w:sz w:val="20"/>
                <w:szCs w:val="20"/>
              </w:rPr>
            </w:pPr>
            <w:r w:rsidRPr="006919A9">
              <w:rPr>
                <w:rFonts w:ascii="Arial Narrow" w:hAnsi="Arial Narrow"/>
                <w:sz w:val="20"/>
                <w:szCs w:val="20"/>
              </w:rPr>
              <w:t>AND</w:t>
            </w:r>
          </w:p>
          <w:p w14:paraId="5E1BEFF4" w14:textId="77777777" w:rsidR="0079654E" w:rsidRPr="006919A9" w:rsidRDefault="0079654E" w:rsidP="00CE1C72">
            <w:pPr>
              <w:rPr>
                <w:rFonts w:ascii="Arial Narrow" w:hAnsi="Arial Narrow"/>
                <w:sz w:val="20"/>
                <w:szCs w:val="20"/>
              </w:rPr>
            </w:pPr>
            <w:r w:rsidRPr="006919A9">
              <w:rPr>
                <w:rFonts w:ascii="Arial Narrow" w:hAnsi="Arial Narrow"/>
                <w:sz w:val="20"/>
                <w:szCs w:val="20"/>
              </w:rPr>
              <w:t>Patient must not have developed disease progression while receiving PBS-subsidised treatment with this drug for this condition</w:t>
            </w:r>
          </w:p>
          <w:p w14:paraId="70D15800" w14:textId="77777777" w:rsidR="0079654E" w:rsidRPr="006919A9" w:rsidRDefault="0079654E" w:rsidP="00CE1C72">
            <w:pPr>
              <w:rPr>
                <w:rFonts w:ascii="Arial Narrow" w:hAnsi="Arial Narrow"/>
                <w:sz w:val="20"/>
                <w:szCs w:val="20"/>
              </w:rPr>
            </w:pPr>
            <w:r w:rsidRPr="006919A9">
              <w:rPr>
                <w:rFonts w:ascii="Arial Narrow" w:hAnsi="Arial Narrow"/>
                <w:sz w:val="20"/>
                <w:szCs w:val="20"/>
              </w:rPr>
              <w:t>AND</w:t>
            </w:r>
          </w:p>
          <w:p w14:paraId="2A29FB93" w14:textId="77777777" w:rsidR="0079654E" w:rsidRPr="006919A9" w:rsidRDefault="0079654E" w:rsidP="00CE1C72">
            <w:pPr>
              <w:rPr>
                <w:rFonts w:ascii="Arial Narrow" w:hAnsi="Arial Narrow"/>
                <w:sz w:val="20"/>
                <w:szCs w:val="20"/>
              </w:rPr>
            </w:pPr>
            <w:r w:rsidRPr="006919A9">
              <w:rPr>
                <w:rFonts w:ascii="Arial Narrow" w:hAnsi="Arial Narrow"/>
                <w:sz w:val="20"/>
                <w:szCs w:val="20"/>
              </w:rPr>
              <w:t>Patient must have had a Eastern Cooperative Oncology Group (ECOG) performance status score of 1 or less prior to initiation of non-PBS-subsidised treatment with this drug for this condition</w:t>
            </w:r>
          </w:p>
          <w:p w14:paraId="27A50EBF" w14:textId="77777777" w:rsidR="0079654E" w:rsidRPr="006919A9" w:rsidRDefault="0079654E" w:rsidP="00CE1C72">
            <w:pPr>
              <w:rPr>
                <w:rFonts w:ascii="Arial Narrow" w:hAnsi="Arial Narrow"/>
                <w:sz w:val="20"/>
                <w:szCs w:val="20"/>
              </w:rPr>
            </w:pPr>
            <w:r w:rsidRPr="006919A9">
              <w:rPr>
                <w:rFonts w:ascii="Arial Narrow" w:hAnsi="Arial Narrow"/>
                <w:sz w:val="20"/>
                <w:szCs w:val="20"/>
              </w:rPr>
              <w:t>AND</w:t>
            </w:r>
          </w:p>
          <w:p w14:paraId="02336EC9" w14:textId="77777777" w:rsidR="0079654E" w:rsidRPr="006919A9" w:rsidRDefault="0079654E" w:rsidP="00CE1C72">
            <w:pPr>
              <w:rPr>
                <w:rFonts w:ascii="Arial Narrow" w:hAnsi="Arial Narrow"/>
                <w:sz w:val="20"/>
                <w:szCs w:val="20"/>
              </w:rPr>
            </w:pPr>
            <w:r w:rsidRPr="006919A9">
              <w:rPr>
                <w:rFonts w:ascii="Arial Narrow" w:hAnsi="Arial Narrow"/>
                <w:sz w:val="20"/>
                <w:szCs w:val="20"/>
              </w:rPr>
              <w:t>The treatment must not exceed a total of 17 doses or up to 12 months of combined initial and continuing treatment for this condition whichever comes first</w:t>
            </w:r>
          </w:p>
          <w:p w14:paraId="0A2DCDBE" w14:textId="77777777" w:rsidR="0079654E" w:rsidRPr="006919A9" w:rsidRDefault="0079654E" w:rsidP="00CE1C72">
            <w:pPr>
              <w:rPr>
                <w:rFonts w:ascii="Arial Narrow" w:hAnsi="Arial Narrow"/>
                <w:sz w:val="20"/>
                <w:szCs w:val="20"/>
              </w:rPr>
            </w:pPr>
          </w:p>
          <w:p w14:paraId="1A3AB8C3" w14:textId="77777777" w:rsidR="0079654E" w:rsidRPr="006919A9" w:rsidRDefault="0079654E" w:rsidP="00CE1C72">
            <w:pPr>
              <w:rPr>
                <w:rFonts w:ascii="Arial Narrow" w:hAnsi="Arial Narrow"/>
                <w:sz w:val="20"/>
                <w:szCs w:val="20"/>
              </w:rPr>
            </w:pPr>
            <w:r w:rsidRPr="006919A9">
              <w:rPr>
                <w:rFonts w:ascii="Arial Narrow" w:hAnsi="Arial Narrow"/>
                <w:sz w:val="20"/>
                <w:szCs w:val="20"/>
              </w:rPr>
              <w:t>A patient may qualify for PBS-subsidised treatment under this restriction once only. For continuing PBS-subsidised treatment, a Grandfathered patient must qualify under the Continuing treatment criteria.</w:t>
            </w:r>
          </w:p>
          <w:p w14:paraId="59CEC6ED" w14:textId="77777777" w:rsidR="0079654E" w:rsidRPr="006919A9" w:rsidRDefault="0079654E" w:rsidP="00CE1C72">
            <w:pPr>
              <w:rPr>
                <w:rFonts w:ascii="Arial Narrow" w:hAnsi="Arial Narrow"/>
                <w:sz w:val="20"/>
                <w:szCs w:val="20"/>
              </w:rPr>
            </w:pPr>
          </w:p>
          <w:p w14:paraId="6CB26898" w14:textId="77777777" w:rsidR="0079654E" w:rsidRPr="006919A9" w:rsidRDefault="0079654E" w:rsidP="00CE1C72">
            <w:pPr>
              <w:rPr>
                <w:rFonts w:ascii="Arial Narrow" w:hAnsi="Arial Narrow"/>
                <w:sz w:val="20"/>
                <w:szCs w:val="20"/>
              </w:rPr>
            </w:pPr>
            <w:r w:rsidRPr="006919A9">
              <w:rPr>
                <w:rFonts w:ascii="Arial Narrow" w:hAnsi="Arial Narrow"/>
                <w:sz w:val="20"/>
                <w:szCs w:val="20"/>
              </w:rPr>
              <w:t>This grandfather restriction will cease to operate from 12 months after the date specified in the clinical criteria.</w:t>
            </w:r>
          </w:p>
        </w:tc>
      </w:tr>
      <w:tr w:rsidR="006919A9" w:rsidRPr="006919A9" w14:paraId="06BBEED5" w14:textId="77777777" w:rsidTr="00AA43F3">
        <w:tblPrEx>
          <w:tblCellMar>
            <w:left w:w="28" w:type="dxa"/>
            <w:right w:w="28" w:type="dxa"/>
          </w:tblCellMar>
          <w:tblLook w:val="04A0" w:firstRow="1" w:lastRow="0" w:firstColumn="1" w:lastColumn="0" w:noHBand="0" w:noVBand="1"/>
        </w:tblPrEx>
        <w:trPr>
          <w:trHeight w:val="20"/>
        </w:trPr>
        <w:tc>
          <w:tcPr>
            <w:tcW w:w="853" w:type="pct"/>
          </w:tcPr>
          <w:p w14:paraId="6C2623B4" w14:textId="77777777" w:rsidR="0079654E" w:rsidRPr="006919A9" w:rsidRDefault="0079654E" w:rsidP="00CE1C72">
            <w:pPr>
              <w:pStyle w:val="Tabletext"/>
              <w:rPr>
                <w:b/>
                <w:szCs w:val="20"/>
              </w:rPr>
            </w:pPr>
            <w:r w:rsidRPr="006919A9">
              <w:rPr>
                <w:b/>
                <w:szCs w:val="20"/>
              </w:rPr>
              <w:lastRenderedPageBreak/>
              <w:t>Administrative Advice</w:t>
            </w:r>
          </w:p>
        </w:tc>
        <w:tc>
          <w:tcPr>
            <w:tcW w:w="4147" w:type="pct"/>
            <w:gridSpan w:val="4"/>
          </w:tcPr>
          <w:p w14:paraId="0E3497A5" w14:textId="77777777" w:rsidR="0079654E" w:rsidRPr="006919A9" w:rsidRDefault="0079654E" w:rsidP="00CE1C72">
            <w:pPr>
              <w:rPr>
                <w:rFonts w:ascii="Arial Narrow" w:hAnsi="Arial Narrow"/>
                <w:sz w:val="20"/>
                <w:szCs w:val="20"/>
              </w:rPr>
            </w:pPr>
            <w:r w:rsidRPr="006919A9">
              <w:rPr>
                <w:rFonts w:ascii="Arial Narrow" w:hAnsi="Arial Narrow"/>
                <w:sz w:val="20"/>
                <w:szCs w:val="20"/>
              </w:rPr>
              <w:t>No increase in the maximum quantity or number of units may be authorised.</w:t>
            </w:r>
          </w:p>
          <w:p w14:paraId="12AA541C" w14:textId="77777777" w:rsidR="0079654E" w:rsidRPr="006919A9" w:rsidRDefault="0079654E" w:rsidP="00CE1C72">
            <w:pPr>
              <w:rPr>
                <w:rFonts w:ascii="Arial Narrow" w:hAnsi="Arial Narrow"/>
                <w:sz w:val="20"/>
                <w:szCs w:val="20"/>
              </w:rPr>
            </w:pPr>
          </w:p>
          <w:p w14:paraId="2B696E5F" w14:textId="77777777" w:rsidR="0079654E" w:rsidRPr="006919A9" w:rsidRDefault="0079654E" w:rsidP="00CE1C72">
            <w:pPr>
              <w:rPr>
                <w:rFonts w:ascii="Arial Narrow" w:hAnsi="Arial Narrow"/>
                <w:sz w:val="20"/>
                <w:szCs w:val="20"/>
              </w:rPr>
            </w:pPr>
            <w:r w:rsidRPr="006919A9">
              <w:rPr>
                <w:rFonts w:ascii="Arial Narrow" w:eastAsia="Arial" w:hAnsi="Arial Narrow"/>
                <w:sz w:val="20"/>
                <w:szCs w:val="20"/>
              </w:rPr>
              <w:t>No increase in the maximum number of repeats may be authorised</w:t>
            </w:r>
          </w:p>
        </w:tc>
      </w:tr>
    </w:tbl>
    <w:bookmarkEnd w:id="8"/>
    <w:p w14:paraId="5B3B8643" w14:textId="77777777" w:rsidR="00B868FE" w:rsidRPr="006919A9" w:rsidRDefault="00B868FE" w:rsidP="00B868FE">
      <w:pPr>
        <w:pStyle w:val="FooterTableFigure"/>
        <w:widowControl w:val="0"/>
      </w:pPr>
      <w:r w:rsidRPr="006919A9">
        <w:t xml:space="preserve">Source: pp12-14 of the submission </w:t>
      </w:r>
    </w:p>
    <w:p w14:paraId="2DE9F540" w14:textId="10F1A7CF" w:rsidR="005514C3" w:rsidRDefault="005514C3" w:rsidP="005514C3">
      <w:pPr>
        <w:pStyle w:val="3-BodyText"/>
      </w:pPr>
      <w:r w:rsidRPr="00652C95">
        <w:t>The requested effective ex-manufacturer price (EMP</w:t>
      </w:r>
      <w:r w:rsidRPr="00F756C7">
        <w:t xml:space="preserve">) in the eTNBC setting </w:t>
      </w:r>
      <w:r w:rsidRPr="005767EF">
        <w:t xml:space="preserve">was </w:t>
      </w:r>
      <w:r w:rsidR="009652CA" w:rsidRPr="005767EF">
        <w:t>higher</w:t>
      </w:r>
      <w:r w:rsidR="009652CA">
        <w:t xml:space="preserve"> </w:t>
      </w:r>
      <w:r w:rsidRPr="00F756C7">
        <w:t>than the requested price in the mTNBC setting</w:t>
      </w:r>
      <w:r w:rsidRPr="00B9481C">
        <w:rPr>
          <w:i/>
          <w:iCs/>
        </w:rPr>
        <w:t>:</w:t>
      </w:r>
      <w:r>
        <w:t xml:space="preserve"> </w:t>
      </w:r>
      <w:r w:rsidRPr="00652C95">
        <w:t>$</w:t>
      </w:r>
      <w:r w:rsidR="00BB281C" w:rsidRPr="00946CCB">
        <w:rPr>
          <w:color w:val="000000"/>
          <w:w w:val="15"/>
          <w:shd w:val="solid" w:color="000000" w:fill="000000"/>
          <w:fitText w:val="-20" w:id="-1234422782"/>
          <w14:textFill>
            <w14:solidFill>
              <w14:srgbClr w14:val="000000">
                <w14:alpha w14:val="100000"/>
              </w14:srgbClr>
            </w14:solidFill>
          </w14:textFill>
        </w:rPr>
        <w:t xml:space="preserve">|  </w:t>
      </w:r>
      <w:r w:rsidR="00BB281C" w:rsidRPr="00946CCB">
        <w:rPr>
          <w:color w:val="000000"/>
          <w:spacing w:val="-69"/>
          <w:w w:val="15"/>
          <w:shd w:val="solid" w:color="000000" w:fill="000000"/>
          <w:fitText w:val="-20" w:id="-1234422782"/>
          <w14:textFill>
            <w14:solidFill>
              <w14:srgbClr w14:val="000000">
                <w14:alpha w14:val="100000"/>
              </w14:srgbClr>
            </w14:solidFill>
          </w14:textFill>
        </w:rPr>
        <w:t>|</w:t>
      </w:r>
      <w:r w:rsidRPr="00652C95">
        <w:t xml:space="preserve"> for one 100 mg vial in eTNBC compared to $</w:t>
      </w:r>
      <w:r w:rsidR="00BB281C" w:rsidRPr="00946CCB">
        <w:rPr>
          <w:color w:val="000000"/>
          <w:w w:val="15"/>
          <w:shd w:val="solid" w:color="000000" w:fill="000000"/>
          <w:fitText w:val="-20" w:id="-1234422528"/>
          <w14:textFill>
            <w14:solidFill>
              <w14:srgbClr w14:val="000000">
                <w14:alpha w14:val="100000"/>
              </w14:srgbClr>
            </w14:solidFill>
          </w14:textFill>
        </w:rPr>
        <w:t xml:space="preserve">|  </w:t>
      </w:r>
      <w:r w:rsidR="00BB281C" w:rsidRPr="00946CCB">
        <w:rPr>
          <w:color w:val="000000"/>
          <w:spacing w:val="-69"/>
          <w:w w:val="15"/>
          <w:shd w:val="solid" w:color="000000" w:fill="000000"/>
          <w:fitText w:val="-20" w:id="-1234422528"/>
          <w14:textFill>
            <w14:solidFill>
              <w14:srgbClr w14:val="000000">
                <w14:alpha w14:val="100000"/>
              </w14:srgbClr>
            </w14:solidFill>
          </w14:textFill>
        </w:rPr>
        <w:t>|</w:t>
      </w:r>
      <w:r w:rsidRPr="00652C95">
        <w:t xml:space="preserve"> for one 100 mg vial in mTNBC. </w:t>
      </w:r>
      <w:r w:rsidR="005E68E2">
        <w:t>The pre-PBAC response revised the requested EMP to $</w:t>
      </w:r>
      <w:r w:rsidR="00BB281C" w:rsidRPr="00946CCB">
        <w:rPr>
          <w:color w:val="000000"/>
          <w:w w:val="15"/>
          <w:shd w:val="solid" w:color="000000" w:fill="000000"/>
          <w:fitText w:val="-20" w:id="-1234422527"/>
          <w14:textFill>
            <w14:solidFill>
              <w14:srgbClr w14:val="000000">
                <w14:alpha w14:val="100000"/>
              </w14:srgbClr>
            </w14:solidFill>
          </w14:textFill>
        </w:rPr>
        <w:t xml:space="preserve">|  </w:t>
      </w:r>
      <w:r w:rsidR="00BB281C" w:rsidRPr="00946CCB">
        <w:rPr>
          <w:color w:val="000000"/>
          <w:spacing w:val="-69"/>
          <w:w w:val="15"/>
          <w:shd w:val="solid" w:color="000000" w:fill="000000"/>
          <w:fitText w:val="-20" w:id="-1234422527"/>
          <w14:textFill>
            <w14:solidFill>
              <w14:srgbClr w14:val="000000">
                <w14:alpha w14:val="100000"/>
              </w14:srgbClr>
            </w14:solidFill>
          </w14:textFill>
        </w:rPr>
        <w:t>|</w:t>
      </w:r>
      <w:r w:rsidR="005E68E2">
        <w:t xml:space="preserve"> per 100 mg vial in eTNBC.</w:t>
      </w:r>
    </w:p>
    <w:p w14:paraId="67303871" w14:textId="77777777" w:rsidR="005514C3" w:rsidRDefault="00B40A1A" w:rsidP="00F9707F">
      <w:pPr>
        <w:pStyle w:val="3-BodyText"/>
      </w:pPr>
      <w:r w:rsidRPr="00652C95">
        <w:t xml:space="preserve">The requested restriction was narrower than the TGA indication due to the requested restriction requiring </w:t>
      </w:r>
      <w:r w:rsidR="007626C4" w:rsidRPr="00652C95">
        <w:t>Eastern Cooperative Oncology Group (</w:t>
      </w:r>
      <w:r w:rsidRPr="00652C95">
        <w:t>ECOG</w:t>
      </w:r>
      <w:r w:rsidR="007626C4" w:rsidRPr="00652C95">
        <w:t>)</w:t>
      </w:r>
      <w:r w:rsidRPr="00652C95">
        <w:t xml:space="preserve"> status of 0 or 1. </w:t>
      </w:r>
    </w:p>
    <w:p w14:paraId="195B81B8" w14:textId="33F47751" w:rsidR="00F9707F" w:rsidRPr="00652C95" w:rsidRDefault="00B40A1A" w:rsidP="00F9707F">
      <w:pPr>
        <w:pStyle w:val="3-BodyText"/>
      </w:pPr>
      <w:r w:rsidRPr="00652C95">
        <w:t>The restriction did not specify ‘high risk’ (T1c, N1-N2; T2-T4d, N0-N2) early disease, which was specified in the TGA indication and also as part of the enrolment criteria of KN-522. As such, the requested restriction was broader than both the TGA indication and the pivotal trial</w:t>
      </w:r>
      <w:r w:rsidR="005514C3">
        <w:t xml:space="preserve"> and </w:t>
      </w:r>
      <w:r w:rsidR="00910B7E" w:rsidRPr="00652C95">
        <w:t>the efficacy and cost effectiveness of treatment in the non ‘high risk’ eTNBC population was unknown.</w:t>
      </w:r>
      <w:r w:rsidR="00901F2D">
        <w:t xml:space="preserve"> </w:t>
      </w:r>
      <w:r w:rsidR="00901F2D" w:rsidRPr="00F756C7">
        <w:t>The ESC considered it was reasonable to omit risk status from the restriction as this would be needlessly complex and unlikely to significantly affect prescribing practice.</w:t>
      </w:r>
    </w:p>
    <w:p w14:paraId="56B3469D" w14:textId="5598273A" w:rsidR="00F9707F" w:rsidRPr="00652C95" w:rsidRDefault="00F9707F" w:rsidP="00F9707F">
      <w:pPr>
        <w:pStyle w:val="3-BodyText"/>
      </w:pPr>
      <w:r w:rsidRPr="00652C95">
        <w:t>The clinical criteria that pembrolizumab must not be used in patients with a left ventricular ejection fraction (LVEF) of less than 50% was consistent with the inclusion criteria of the KN-522 trial, but not with existing listings of pembrolizumab</w:t>
      </w:r>
      <w:r w:rsidR="00856A45" w:rsidRPr="00652C95">
        <w:t xml:space="preserve"> nor the proposed listing in metastatic (m)TNBC</w:t>
      </w:r>
      <w:r w:rsidRPr="00652C95">
        <w:t>.</w:t>
      </w:r>
      <w:r w:rsidR="001C27C1" w:rsidRPr="00652C95">
        <w:t xml:space="preserve"> It was unclear whether standard assessment and monitoring of TNBC patients in Australia would include an echocardiogram or other procedures for monitoring of LVEF.</w:t>
      </w:r>
      <w:r w:rsidR="00901F2D">
        <w:t xml:space="preserve"> </w:t>
      </w:r>
      <w:r w:rsidR="00901F2D" w:rsidRPr="00F756C7">
        <w:t xml:space="preserve">The ESC </w:t>
      </w:r>
      <w:r w:rsidR="00515465" w:rsidRPr="00F756C7">
        <w:t>considered</w:t>
      </w:r>
      <w:r w:rsidR="00901F2D" w:rsidRPr="00F756C7">
        <w:t xml:space="preserve"> that LVEF would often, though not necessarily, be monitored for patients receiving anthracycline chemotherapy in this patient group, but would not be routinely performed for the </w:t>
      </w:r>
      <w:r w:rsidR="00901F2D" w:rsidRPr="00F756C7">
        <w:lastRenderedPageBreak/>
        <w:t>indication of pembrolizumab alone. Accordingly, the ESC suggested removing this criterion from the proposed restriction clinical criteria.</w:t>
      </w:r>
    </w:p>
    <w:p w14:paraId="15461F89" w14:textId="696E6E5E" w:rsidR="009130FF" w:rsidRDefault="009130FF" w:rsidP="00B868FE">
      <w:pPr>
        <w:pStyle w:val="3-BodyText"/>
      </w:pPr>
      <w:r w:rsidRPr="00652C95">
        <w:t>It was unclear if patients who experience locoregional recurrence or distant metastasis during pembrolizumab neoadjuvant treatment would remain eligible for surgery and/or should be eligible for adjuvant treatment</w:t>
      </w:r>
      <w:r w:rsidR="009C7DBE" w:rsidRPr="00652C95">
        <w:t xml:space="preserve"> with pembrolizumab</w:t>
      </w:r>
      <w:r w:rsidRPr="00652C95">
        <w:t xml:space="preserve"> (in the absence of the </w:t>
      </w:r>
      <w:r w:rsidR="00721E1A" w:rsidRPr="00652C95">
        <w:t xml:space="preserve">mTNBC </w:t>
      </w:r>
      <w:r w:rsidRPr="00652C95">
        <w:t>listing for pembrolizumab being recommended by the PBAC) as there is no proposed stopping rule except for maximum duration of treatment</w:t>
      </w:r>
      <w:r w:rsidR="00901F2D">
        <w:t xml:space="preserve">. </w:t>
      </w:r>
    </w:p>
    <w:p w14:paraId="61E538CD" w14:textId="241132B8" w:rsidR="00901F2D" w:rsidRPr="00F756C7" w:rsidRDefault="00901F2D" w:rsidP="00B9481C">
      <w:pPr>
        <w:pStyle w:val="3-BodyText"/>
      </w:pPr>
      <w:r w:rsidRPr="00F756C7">
        <w:t>The ESC noted that</w:t>
      </w:r>
      <w:r w:rsidR="00B9481C" w:rsidRPr="00F756C7">
        <w:t xml:space="preserve"> </w:t>
      </w:r>
      <w:r w:rsidRPr="00F756C7">
        <w:t xml:space="preserve">the proposed restrictions </w:t>
      </w:r>
      <w:r w:rsidR="00B9481C" w:rsidRPr="00F756C7">
        <w:t>(“The treatment must be the sole PBS</w:t>
      </w:r>
      <w:r w:rsidR="00B9481C" w:rsidRPr="00F756C7">
        <w:noBreakHyphen/>
        <w:t xml:space="preserve">subsidised therapy for this condition”) </w:t>
      </w:r>
      <w:r w:rsidRPr="00F756C7">
        <w:t xml:space="preserve">would </w:t>
      </w:r>
      <w:r w:rsidR="00B9481C" w:rsidRPr="00F756C7">
        <w:t>pre</w:t>
      </w:r>
      <w:r w:rsidRPr="00F756C7">
        <w:t xml:space="preserve">clude </w:t>
      </w:r>
      <w:r w:rsidR="00B9481C" w:rsidRPr="00F756C7">
        <w:t>combination</w:t>
      </w:r>
      <w:r w:rsidRPr="00F756C7">
        <w:t xml:space="preserve"> treatment with capecitabine </w:t>
      </w:r>
      <w:r w:rsidR="00B9481C" w:rsidRPr="00F756C7">
        <w:t xml:space="preserve">in the adjuvant setting </w:t>
      </w:r>
      <w:r w:rsidRPr="00F756C7">
        <w:t>for patients without pCR</w:t>
      </w:r>
      <w:r w:rsidR="00B9481C" w:rsidRPr="00F756C7">
        <w:t>. The ESC noted that some clinicians may wish to treat patients without pCR with capecitabine in addition to pembrolizumab, however there was no evidence available to support combination use.</w:t>
      </w:r>
    </w:p>
    <w:p w14:paraId="5E1D9109" w14:textId="77777777" w:rsidR="00F756C7" w:rsidRPr="00F756C7" w:rsidRDefault="00F756C7" w:rsidP="00F756C7">
      <w:pPr>
        <w:ind w:firstLine="720"/>
        <w:rPr>
          <w:i/>
          <w:iCs/>
        </w:rPr>
      </w:pPr>
      <w:r w:rsidRPr="00F756C7">
        <w:rPr>
          <w:i/>
          <w:iCs/>
        </w:rPr>
        <w:t>For more detail on PBAC’s view, see section 7 PBAC outcome.</w:t>
      </w:r>
    </w:p>
    <w:p w14:paraId="7075B85C" w14:textId="6366BC10" w:rsidR="00B50DB8" w:rsidRPr="006919A9" w:rsidDel="00195452" w:rsidRDefault="00203181" w:rsidP="004E18E9">
      <w:pPr>
        <w:pStyle w:val="2-SectionHeading"/>
      </w:pPr>
      <w:bookmarkStart w:id="9" w:name="_Toc124710210"/>
      <w:r w:rsidRPr="006919A9" w:rsidDel="00195452">
        <w:t xml:space="preserve">Population and </w:t>
      </w:r>
      <w:r w:rsidR="008E0D3C" w:rsidRPr="006919A9" w:rsidDel="00195452">
        <w:t>d</w:t>
      </w:r>
      <w:r w:rsidRPr="006919A9" w:rsidDel="00195452">
        <w:t>isease</w:t>
      </w:r>
      <w:bookmarkEnd w:id="9"/>
    </w:p>
    <w:p w14:paraId="21FDD135" w14:textId="4AEF2235" w:rsidR="00894489" w:rsidRPr="006919A9" w:rsidDel="00195452" w:rsidRDefault="00B868FE" w:rsidP="004E18E9">
      <w:pPr>
        <w:pStyle w:val="3-BodyText"/>
      </w:pPr>
      <w:r w:rsidRPr="006919A9">
        <w:t xml:space="preserve">TNBC is defined by a lack of progesterone receptors (PgR) and oestrogen receptors (ER), as well as the absence of </w:t>
      </w:r>
      <w:r w:rsidR="00F15D14" w:rsidRPr="006919A9">
        <w:rPr>
          <w:szCs w:val="20"/>
        </w:rPr>
        <w:t>human epidermal growth factor receptor 2 (</w:t>
      </w:r>
      <w:r w:rsidRPr="006919A9">
        <w:t>HER2</w:t>
      </w:r>
      <w:r w:rsidR="00F15D14" w:rsidRPr="006919A9">
        <w:t>)</w:t>
      </w:r>
      <w:r w:rsidRPr="006919A9">
        <w:t xml:space="preserve"> overexpression or amplification. According </w:t>
      </w:r>
      <w:r w:rsidR="0036065F" w:rsidRPr="006919A9">
        <w:t xml:space="preserve">to </w:t>
      </w:r>
      <w:r w:rsidRPr="006919A9">
        <w:t xml:space="preserve">an analysis of the </w:t>
      </w:r>
      <w:r w:rsidR="00BA7D0A" w:rsidRPr="006919A9">
        <w:t>Surveillance, Epidemiology, and End Results (</w:t>
      </w:r>
      <w:r w:rsidRPr="006919A9">
        <w:t>SEER</w:t>
      </w:r>
      <w:r w:rsidR="00BA7D0A" w:rsidRPr="006919A9">
        <w:t>)</w:t>
      </w:r>
      <w:r w:rsidRPr="006919A9">
        <w:t xml:space="preserve"> database</w:t>
      </w:r>
      <w:r w:rsidR="00BA7D0A" w:rsidRPr="006919A9">
        <w:t xml:space="preserve"> in the US</w:t>
      </w:r>
      <w:r w:rsidRPr="006919A9">
        <w:t>, the five-year survival rate for someone with locali</w:t>
      </w:r>
      <w:r w:rsidR="00933620">
        <w:t>s</w:t>
      </w:r>
      <w:r w:rsidRPr="006919A9">
        <w:t>ed triple-negative breast cancer, is 91 percent</w:t>
      </w:r>
      <w:r w:rsidR="006076C2">
        <w:t>.</w:t>
      </w:r>
      <w:r w:rsidRPr="006919A9">
        <w:t xml:space="preserve"> For cancer that has spread into nearby lymph nodes or nearby areas, the five-year survival rate is 65 percent. For cancer that has spread further into the body, such as into the bones, lungs or liver, survival is 11 percent (Cancer Centre 2022). </w:t>
      </w:r>
      <w:r w:rsidR="00500832" w:rsidRPr="006919A9">
        <w:rPr>
          <w:rFonts w:cs="Calibri"/>
        </w:rPr>
        <w:t>Patients with TNBC experience distant recurrence more frequently (approximately 34% vs approximately 20%) and earlier (mean time to distant recurrence 2.6 years vs 5.0 years) compared with patients with other types of breast cancer (Dent R, 2007).</w:t>
      </w:r>
    </w:p>
    <w:p w14:paraId="2758166E" w14:textId="46293A32" w:rsidR="00550089" w:rsidRPr="006919A9" w:rsidDel="00195452" w:rsidRDefault="00B868FE" w:rsidP="00550089">
      <w:pPr>
        <w:pStyle w:val="3-BodyText"/>
      </w:pPr>
      <w:r w:rsidRPr="006919A9">
        <w:t xml:space="preserve">Pembrolizumab is proposed as a neo-adjuvant therapy in combination with chemotherapy and subsequently as adjuvant </w:t>
      </w:r>
      <w:r w:rsidR="00C14A06">
        <w:t>mono</w:t>
      </w:r>
      <w:r w:rsidRPr="006919A9">
        <w:t>therapy</w:t>
      </w:r>
      <w:r w:rsidR="00550089">
        <w:t xml:space="preserve"> (with or without radiotherapy)</w:t>
      </w:r>
      <w:r w:rsidRPr="006919A9">
        <w:t xml:space="preserve">. </w:t>
      </w:r>
    </w:p>
    <w:p w14:paraId="2C06D9C2" w14:textId="77777777" w:rsidR="00F57342" w:rsidRPr="006919A9" w:rsidDel="00195452" w:rsidRDefault="00F57342" w:rsidP="00F57342">
      <w:pPr>
        <w:pStyle w:val="3-BodyText"/>
      </w:pPr>
      <w:r w:rsidRPr="006919A9">
        <w:t xml:space="preserve">Pembrolizumab is a programmed cell death receptor 1 (PD-1) inhibitor. PD-1 is an immune-checkpoint receptor that limits the activity of T lymphocytes in peripheral tissues. By inhibiting the PD-1 receptor from binding to its ligands, pembrolizumab reactivates tumour-specific cytotoxic T lymphocytes in the tumour microenvironment and reactivates anti-tumour immunity. </w:t>
      </w:r>
    </w:p>
    <w:p w14:paraId="64093277" w14:textId="77777777" w:rsidR="00F756C7" w:rsidRPr="00F756C7" w:rsidRDefault="00F756C7" w:rsidP="00F756C7">
      <w:pPr>
        <w:ind w:firstLine="720"/>
        <w:rPr>
          <w:i/>
          <w:iCs/>
        </w:rPr>
      </w:pPr>
      <w:bookmarkStart w:id="10" w:name="_Toc124710211"/>
      <w:r w:rsidRPr="00F756C7">
        <w:rPr>
          <w:i/>
          <w:iCs/>
        </w:rPr>
        <w:t>For more detail on PBAC’s view, see section 7 PBAC outcome.</w:t>
      </w:r>
    </w:p>
    <w:p w14:paraId="51E5AE96" w14:textId="136A63B1" w:rsidR="00B50DB8" w:rsidRPr="006919A9" w:rsidRDefault="00B50DB8" w:rsidP="004E18E9">
      <w:pPr>
        <w:pStyle w:val="2-SectionHeading"/>
      </w:pPr>
      <w:r w:rsidRPr="006919A9">
        <w:lastRenderedPageBreak/>
        <w:t>Comparator</w:t>
      </w:r>
      <w:bookmarkEnd w:id="10"/>
    </w:p>
    <w:p w14:paraId="6028C9F2" w14:textId="77777777" w:rsidR="00B868FE" w:rsidRPr="006919A9" w:rsidRDefault="00B868FE" w:rsidP="00B868FE">
      <w:pPr>
        <w:pStyle w:val="3-BodyText"/>
      </w:pPr>
      <w:r w:rsidRPr="006919A9">
        <w:t xml:space="preserve">The submission nominated standard chemotherapy guided by physician as the comparator for the neoadjuvant phase, and placebo as the comparator in the adjuvant phase. </w:t>
      </w:r>
    </w:p>
    <w:p w14:paraId="0982D181" w14:textId="2C237C9D" w:rsidR="00B868FE" w:rsidRPr="006919A9" w:rsidRDefault="00B868FE" w:rsidP="00B868FE">
      <w:pPr>
        <w:pStyle w:val="3-BodyText"/>
      </w:pPr>
      <w:r w:rsidRPr="006919A9">
        <w:t xml:space="preserve">The submission considered that patients considered eligible for neoadjuvant therapy prior to surgery can be given various chemotherapy </w:t>
      </w:r>
      <w:r w:rsidR="00D370E0" w:rsidRPr="006919A9">
        <w:t>regimens and</w:t>
      </w:r>
      <w:r w:rsidRPr="006919A9">
        <w:t xml:space="preserve"> noted that hormone therapies and HER2 therapies are not an option for TNBC patients.</w:t>
      </w:r>
    </w:p>
    <w:p w14:paraId="26FD568D" w14:textId="29A842E5" w:rsidR="00B868FE" w:rsidRPr="006919A9" w:rsidRDefault="00B868FE" w:rsidP="00B868FE">
      <w:pPr>
        <w:pStyle w:val="3-BodyText"/>
      </w:pPr>
      <w:r w:rsidRPr="006919A9">
        <w:t xml:space="preserve">The submission noted that currently in Australia, </w:t>
      </w:r>
      <w:r w:rsidR="004C2739" w:rsidRPr="006919A9">
        <w:t>e</w:t>
      </w:r>
      <w:r w:rsidRPr="006919A9">
        <w:t xml:space="preserve">viQ guidelines recommend an anthracycline with cyclophosphamide for 4 cycles, followed by a taxane for 4 cycles. However, a dose dense regimen consisting of carboplatin 3 weekly with paclitaxel weekly for 4 cycles, followed by doxorubicin plus cyclophosphamide 3 weekly for 4 cycles has been endorsed since July 2016, and this regimen matches the neoadjuvant regimen in the KN-522 trial. The submission also considered that use of carboplatin has been shown in several studies to improve the </w:t>
      </w:r>
      <w:r w:rsidR="004C2739" w:rsidRPr="006919A9">
        <w:t>pathological complete response (</w:t>
      </w:r>
      <w:r w:rsidRPr="006919A9">
        <w:t>pCR</w:t>
      </w:r>
      <w:r w:rsidR="004C2739" w:rsidRPr="006919A9">
        <w:t>)</w:t>
      </w:r>
      <w:r w:rsidRPr="006919A9">
        <w:t xml:space="preserve"> rate.</w:t>
      </w:r>
    </w:p>
    <w:p w14:paraId="770C76B7" w14:textId="71079C47" w:rsidR="00B868FE" w:rsidRPr="00652C95" w:rsidRDefault="00B868FE" w:rsidP="00B868FE">
      <w:pPr>
        <w:pStyle w:val="3-BodyText"/>
      </w:pPr>
      <w:r w:rsidRPr="006919A9">
        <w:t xml:space="preserve">The submission noted that in the neoadjuvant setting, most patients who achieve a pCR </w:t>
      </w:r>
      <w:r w:rsidR="00933620">
        <w:t xml:space="preserve">after surgery </w:t>
      </w:r>
      <w:r w:rsidRPr="006919A9">
        <w:t>do not receive any systemic therapy, just radiotherapy for consolidation. However, patients with some residual cancer burden (RCB 1-3) can receive capecitabine</w:t>
      </w:r>
      <w:r w:rsidR="005B1242">
        <w:t xml:space="preserve"> in the adjuvant setting</w:t>
      </w:r>
      <w:r w:rsidRPr="006919A9">
        <w:t xml:space="preserve">. </w:t>
      </w:r>
      <w:r w:rsidR="00515465" w:rsidRPr="00F756C7">
        <w:t xml:space="preserve">The Pre-Sub-Committee Response (PSCR) stated that capecitabine is associated with toxicities/adverse events necessitating treatment </w:t>
      </w:r>
      <w:r w:rsidR="00E52328" w:rsidRPr="00F756C7">
        <w:t>discontinuation but</w:t>
      </w:r>
      <w:r w:rsidR="00515465" w:rsidRPr="00F756C7">
        <w:t xml:space="preserve"> is used due to the lack of alternative treatments. The ESC noted that </w:t>
      </w:r>
      <w:r w:rsidR="006128AA" w:rsidRPr="00F756C7">
        <w:t xml:space="preserve">there is evidence of survival benefit for adjuvant capecitabine and that </w:t>
      </w:r>
      <w:r w:rsidR="00515465" w:rsidRPr="00F756C7">
        <w:t xml:space="preserve">AEs associated with capecitabine are manageable </w:t>
      </w:r>
      <w:r w:rsidR="006128AA" w:rsidRPr="00F756C7">
        <w:t xml:space="preserve">and may be no worse than those associated with pembrolizumab. </w:t>
      </w:r>
      <w:r w:rsidR="00515465" w:rsidRPr="00F756C7">
        <w:t xml:space="preserve">The ESC considered that in Australia the majority of patients without pCR would </w:t>
      </w:r>
      <w:r w:rsidR="006128AA" w:rsidRPr="00F756C7">
        <w:t xml:space="preserve">currently </w:t>
      </w:r>
      <w:r w:rsidR="00515465" w:rsidRPr="00F756C7">
        <w:t>receive capecitabine</w:t>
      </w:r>
      <w:r w:rsidR="006128AA" w:rsidRPr="00F756C7">
        <w:t xml:space="preserve"> and clinicians may still choose to treat patients with capecitabine in the adjuvant setting where their response to neoadjuvant pembrolizumab has been incomplete</w:t>
      </w:r>
      <w:r w:rsidR="006128AA" w:rsidRPr="006128AA">
        <w:rPr>
          <w:i/>
          <w:iCs/>
        </w:rPr>
        <w:t>.</w:t>
      </w:r>
      <w:r w:rsidR="00515465" w:rsidRPr="006128AA">
        <w:rPr>
          <w:i/>
          <w:iCs/>
        </w:rPr>
        <w:t xml:space="preserve"> </w:t>
      </w:r>
      <w:r w:rsidR="006838B7">
        <w:t>C</w:t>
      </w:r>
      <w:r w:rsidRPr="006919A9">
        <w:t xml:space="preserve">apecitabine </w:t>
      </w:r>
      <w:r w:rsidR="006838B7">
        <w:t>was</w:t>
      </w:r>
      <w:r w:rsidR="006838B7" w:rsidRPr="006919A9">
        <w:t xml:space="preserve"> </w:t>
      </w:r>
      <w:r w:rsidRPr="006919A9">
        <w:t>not included in the pivotal KN-522 trial</w:t>
      </w:r>
      <w:r w:rsidR="006128AA">
        <w:t xml:space="preserve">. </w:t>
      </w:r>
      <w:r w:rsidR="0023585C" w:rsidRPr="00652C95">
        <w:t xml:space="preserve">Exclusion of capecitabine from the comparator </w:t>
      </w:r>
      <w:r w:rsidR="006128AA" w:rsidRPr="00F756C7">
        <w:t>for the 40% of patients without pCR in</w:t>
      </w:r>
      <w:r w:rsidR="0023585C" w:rsidRPr="00F756C7">
        <w:t xml:space="preserve"> </w:t>
      </w:r>
      <w:r w:rsidR="0023585C" w:rsidRPr="00652C95">
        <w:t xml:space="preserve">the </w:t>
      </w:r>
      <w:r w:rsidR="005921CA" w:rsidRPr="00652C95">
        <w:t xml:space="preserve">KN-522 trial may have led to an overestimate of the incremental benefit associated with pembrolizumab. </w:t>
      </w:r>
    </w:p>
    <w:p w14:paraId="48F77CF8" w14:textId="17F655E2" w:rsidR="006838B7" w:rsidRPr="00652C95" w:rsidRDefault="00B868FE" w:rsidP="00467469">
      <w:pPr>
        <w:pStyle w:val="3-BodyText"/>
      </w:pPr>
      <w:r w:rsidRPr="00652C95">
        <w:t xml:space="preserve">While not PBS listed or TGA-approved in this indication, </w:t>
      </w:r>
      <w:r w:rsidR="005D7FFB" w:rsidRPr="00652C95">
        <w:t>o</w:t>
      </w:r>
      <w:r w:rsidRPr="00652C95">
        <w:t xml:space="preserve">laparib has been FDA approved </w:t>
      </w:r>
      <w:r w:rsidR="005B1242" w:rsidRPr="00652C95">
        <w:t xml:space="preserve">as an </w:t>
      </w:r>
      <w:r w:rsidRPr="00652C95">
        <w:t>adjuvant treatment for people with an inherited BRCA mutation who have been diagnosed with early-stage HER2-negative breast cancer and are at high risk for recurrence.</w:t>
      </w:r>
      <w:r w:rsidR="00DA6F77" w:rsidRPr="00652C95">
        <w:t xml:space="preserve"> Olaparib </w:t>
      </w:r>
      <w:r w:rsidR="006838B7">
        <w:t>was</w:t>
      </w:r>
      <w:r w:rsidR="00C14A06" w:rsidRPr="00652C95">
        <w:t xml:space="preserve"> also considered at the March 2023 PBAC meeting </w:t>
      </w:r>
      <w:r w:rsidR="00DA6F77" w:rsidRPr="00652C95">
        <w:t xml:space="preserve">for </w:t>
      </w:r>
      <w:r w:rsidR="00C14A06" w:rsidRPr="00652C95">
        <w:t xml:space="preserve">patients with </w:t>
      </w:r>
      <w:r w:rsidR="00DA6F77" w:rsidRPr="00652C95">
        <w:t xml:space="preserve">HER2 negative high risk </w:t>
      </w:r>
      <w:r w:rsidR="00BA1DF8" w:rsidRPr="00652C95">
        <w:t xml:space="preserve">early breast cancer </w:t>
      </w:r>
      <w:r w:rsidR="00DA6F77" w:rsidRPr="00652C95">
        <w:t xml:space="preserve">with BRCA1/2 </w:t>
      </w:r>
      <w:r w:rsidR="006128AA">
        <w:t xml:space="preserve">pathogenic variants </w:t>
      </w:r>
      <w:r w:rsidR="00DA6F77" w:rsidRPr="00652C95">
        <w:t>who have been previously treated with neoadjuvant or adjuvant chemo</w:t>
      </w:r>
      <w:r w:rsidR="00BA1DF8" w:rsidRPr="00652C95">
        <w:t>therapy</w:t>
      </w:r>
      <w:r w:rsidR="00DA6F77" w:rsidRPr="00652C95">
        <w:t>.</w:t>
      </w:r>
      <w:r w:rsidRPr="00652C95">
        <w:t xml:space="preserve"> The</w:t>
      </w:r>
      <w:r w:rsidR="006128AA">
        <w:t xml:space="preserve"> </w:t>
      </w:r>
      <w:r w:rsidR="006128AA" w:rsidRPr="00F756C7">
        <w:t>ESC considered that there would</w:t>
      </w:r>
      <w:r w:rsidR="006128AA">
        <w:t xml:space="preserve"> </w:t>
      </w:r>
      <w:r w:rsidRPr="00652C95">
        <w:t xml:space="preserve">be some overlap in these populations </w:t>
      </w:r>
      <w:r w:rsidR="00AE1FE5" w:rsidRPr="00652C95">
        <w:t xml:space="preserve">and </w:t>
      </w:r>
      <w:r w:rsidRPr="00652C95">
        <w:t xml:space="preserve">olaparib </w:t>
      </w:r>
      <w:r w:rsidR="00AE1FE5" w:rsidRPr="00652C95">
        <w:t>may be a near market comparator</w:t>
      </w:r>
      <w:r w:rsidRPr="00652C95">
        <w:t xml:space="preserve">. </w:t>
      </w:r>
    </w:p>
    <w:p w14:paraId="14358501" w14:textId="77777777" w:rsidR="00F756C7" w:rsidRPr="00F756C7" w:rsidRDefault="00F756C7" w:rsidP="00F756C7">
      <w:pPr>
        <w:ind w:firstLine="720"/>
        <w:rPr>
          <w:i/>
          <w:iCs/>
        </w:rPr>
      </w:pPr>
      <w:bookmarkStart w:id="11" w:name="_Toc124710212"/>
      <w:bookmarkStart w:id="12" w:name="_Toc22897640"/>
      <w:r w:rsidRPr="00F756C7">
        <w:rPr>
          <w:i/>
          <w:iCs/>
        </w:rPr>
        <w:t>For more detail on PBAC’s view, see section 7 PBAC outcome.</w:t>
      </w:r>
    </w:p>
    <w:p w14:paraId="7F9C27C8" w14:textId="77777777" w:rsidR="00223D5A" w:rsidRPr="006919A9" w:rsidRDefault="00223D5A" w:rsidP="00223D5A">
      <w:pPr>
        <w:pStyle w:val="2-SectionHeading"/>
      </w:pPr>
      <w:r w:rsidRPr="006919A9">
        <w:lastRenderedPageBreak/>
        <w:t>Consideration of the evidence</w:t>
      </w:r>
      <w:bookmarkEnd w:id="11"/>
    </w:p>
    <w:p w14:paraId="2E553D6A" w14:textId="77777777" w:rsidR="00F756C7" w:rsidRPr="006E1229" w:rsidRDefault="00F756C7" w:rsidP="00F756C7">
      <w:pPr>
        <w:pStyle w:val="4-SubsectionHeading"/>
      </w:pPr>
      <w:bookmarkStart w:id="13" w:name="_Hlk76375935"/>
      <w:bookmarkStart w:id="14" w:name="_Toc124710213"/>
      <w:r w:rsidRPr="006E1229">
        <w:t>Sponsor hearing</w:t>
      </w:r>
    </w:p>
    <w:p w14:paraId="1721D89D" w14:textId="6DD62570" w:rsidR="00F756C7" w:rsidRPr="00836F75" w:rsidRDefault="00F756C7" w:rsidP="00F756C7">
      <w:pPr>
        <w:widowControl w:val="0"/>
        <w:numPr>
          <w:ilvl w:val="1"/>
          <w:numId w:val="1"/>
        </w:numPr>
        <w:spacing w:after="120"/>
        <w:rPr>
          <w:rFonts w:asciiTheme="minorHAnsi" w:hAnsiTheme="minorHAnsi"/>
          <w:bCs/>
          <w:snapToGrid w:val="0"/>
        </w:rPr>
      </w:pPr>
      <w:bookmarkStart w:id="15" w:name="_Hlk76382586"/>
      <w:r w:rsidRPr="00836F75">
        <w:rPr>
          <w:rFonts w:asciiTheme="minorHAnsi" w:hAnsiTheme="minorHAnsi"/>
          <w:bCs/>
          <w:snapToGrid w:val="0"/>
        </w:rPr>
        <w:t xml:space="preserve">The sponsor requested a hearing for this item. The clinician </w:t>
      </w:r>
      <w:r w:rsidR="008D75FD">
        <w:rPr>
          <w:rFonts w:asciiTheme="minorHAnsi" w:hAnsiTheme="minorHAnsi"/>
          <w:bCs/>
          <w:snapToGrid w:val="0"/>
        </w:rPr>
        <w:t xml:space="preserve">noted that eTNBC typically affects young women, </w:t>
      </w:r>
      <w:r w:rsidR="00CC1C3D">
        <w:rPr>
          <w:rFonts w:asciiTheme="minorHAnsi" w:hAnsiTheme="minorHAnsi"/>
          <w:bCs/>
          <w:snapToGrid w:val="0"/>
        </w:rPr>
        <w:t>and has a poor prognosis, with relapse often occurring within 5 years</w:t>
      </w:r>
      <w:r w:rsidR="001D63ED">
        <w:rPr>
          <w:rFonts w:asciiTheme="minorHAnsi" w:hAnsiTheme="minorHAnsi"/>
          <w:bCs/>
          <w:snapToGrid w:val="0"/>
        </w:rPr>
        <w:t xml:space="preserve"> of primary treatment</w:t>
      </w:r>
      <w:r w:rsidR="00CC1C3D">
        <w:rPr>
          <w:rFonts w:asciiTheme="minorHAnsi" w:hAnsiTheme="minorHAnsi"/>
          <w:bCs/>
          <w:snapToGrid w:val="0"/>
        </w:rPr>
        <w:t xml:space="preserve">. The clinician noted that systemic response in TNBC is often poor because there are no targets on the cancer cell, unlike hormone or HER2 driven breast cancer. The clinician </w:t>
      </w:r>
      <w:r w:rsidR="005819DC">
        <w:rPr>
          <w:rFonts w:asciiTheme="minorHAnsi" w:hAnsiTheme="minorHAnsi"/>
          <w:bCs/>
          <w:snapToGrid w:val="0"/>
        </w:rPr>
        <w:t>stated</w:t>
      </w:r>
      <w:r w:rsidR="00CC1C3D">
        <w:rPr>
          <w:rFonts w:asciiTheme="minorHAnsi" w:hAnsiTheme="minorHAnsi"/>
          <w:bCs/>
          <w:snapToGrid w:val="0"/>
        </w:rPr>
        <w:t xml:space="preserve"> that pCR is reliably correlated with prognosis and that the best long</w:t>
      </w:r>
      <w:r w:rsidR="005819DC">
        <w:rPr>
          <w:rFonts w:asciiTheme="minorHAnsi" w:hAnsiTheme="minorHAnsi"/>
          <w:bCs/>
          <w:snapToGrid w:val="0"/>
        </w:rPr>
        <w:t>-</w:t>
      </w:r>
      <w:r w:rsidR="00CC1C3D">
        <w:rPr>
          <w:rFonts w:asciiTheme="minorHAnsi" w:hAnsiTheme="minorHAnsi"/>
          <w:bCs/>
          <w:snapToGrid w:val="0"/>
        </w:rPr>
        <w:t>term outcomes are achieved by maximising response in the neoadjuvant treatment stage</w:t>
      </w:r>
      <w:r w:rsidR="001D63ED">
        <w:rPr>
          <w:rFonts w:asciiTheme="minorHAnsi" w:hAnsiTheme="minorHAnsi"/>
          <w:bCs/>
          <w:snapToGrid w:val="0"/>
        </w:rPr>
        <w:t xml:space="preserve"> and minimising residual disease</w:t>
      </w:r>
      <w:r w:rsidR="005819DC">
        <w:rPr>
          <w:rFonts w:asciiTheme="minorHAnsi" w:hAnsiTheme="minorHAnsi"/>
          <w:bCs/>
          <w:snapToGrid w:val="0"/>
        </w:rPr>
        <w:t xml:space="preserve"> after surgery</w:t>
      </w:r>
      <w:r w:rsidR="00CC1C3D">
        <w:rPr>
          <w:rFonts w:asciiTheme="minorHAnsi" w:hAnsiTheme="minorHAnsi"/>
          <w:bCs/>
          <w:snapToGrid w:val="0"/>
        </w:rPr>
        <w:t xml:space="preserve">. </w:t>
      </w:r>
      <w:r w:rsidR="001D63ED">
        <w:rPr>
          <w:rFonts w:asciiTheme="minorHAnsi" w:hAnsiTheme="minorHAnsi"/>
          <w:bCs/>
          <w:snapToGrid w:val="0"/>
        </w:rPr>
        <w:t xml:space="preserve">The clinician </w:t>
      </w:r>
      <w:r w:rsidR="00CC1C3D">
        <w:rPr>
          <w:rFonts w:asciiTheme="minorHAnsi" w:hAnsiTheme="minorHAnsi"/>
          <w:bCs/>
          <w:snapToGrid w:val="0"/>
        </w:rPr>
        <w:t>noted that in study KN-5</w:t>
      </w:r>
      <w:r w:rsidR="00D73ED5">
        <w:rPr>
          <w:rFonts w:asciiTheme="minorHAnsi" w:hAnsiTheme="minorHAnsi"/>
          <w:bCs/>
          <w:snapToGrid w:val="0"/>
        </w:rPr>
        <w:t>2</w:t>
      </w:r>
      <w:r w:rsidR="00CC1C3D">
        <w:rPr>
          <w:rFonts w:asciiTheme="minorHAnsi" w:hAnsiTheme="minorHAnsi"/>
          <w:bCs/>
          <w:snapToGrid w:val="0"/>
        </w:rPr>
        <w:t>2</w:t>
      </w:r>
      <w:r w:rsidR="001D63ED">
        <w:rPr>
          <w:rFonts w:asciiTheme="minorHAnsi" w:hAnsiTheme="minorHAnsi"/>
          <w:bCs/>
          <w:snapToGrid w:val="0"/>
        </w:rPr>
        <w:t xml:space="preserve">, even where pCR was not achieved, residual disease burden appears to be reduced </w:t>
      </w:r>
      <w:r w:rsidR="005819DC">
        <w:rPr>
          <w:rFonts w:asciiTheme="minorHAnsi" w:hAnsiTheme="minorHAnsi"/>
          <w:bCs/>
          <w:snapToGrid w:val="0"/>
        </w:rPr>
        <w:t xml:space="preserve">for patients treated with pembrolizumab </w:t>
      </w:r>
      <w:r w:rsidR="001D63ED">
        <w:rPr>
          <w:rFonts w:asciiTheme="minorHAnsi" w:hAnsiTheme="minorHAnsi"/>
          <w:bCs/>
          <w:snapToGrid w:val="0"/>
        </w:rPr>
        <w:t>compared with chemotherapy alone</w:t>
      </w:r>
      <w:r w:rsidR="005819DC">
        <w:rPr>
          <w:rFonts w:asciiTheme="minorHAnsi" w:hAnsiTheme="minorHAnsi"/>
          <w:bCs/>
          <w:snapToGrid w:val="0"/>
        </w:rPr>
        <w:t>,</w:t>
      </w:r>
      <w:r w:rsidR="001D63ED">
        <w:rPr>
          <w:rFonts w:asciiTheme="minorHAnsi" w:hAnsiTheme="minorHAnsi"/>
          <w:bCs/>
          <w:snapToGrid w:val="0"/>
        </w:rPr>
        <w:t xml:space="preserve"> and </w:t>
      </w:r>
      <w:r w:rsidR="00CC1C3D">
        <w:rPr>
          <w:rFonts w:asciiTheme="minorHAnsi" w:hAnsiTheme="minorHAnsi"/>
          <w:bCs/>
          <w:snapToGrid w:val="0"/>
        </w:rPr>
        <w:t>EFS was improved</w:t>
      </w:r>
      <w:r w:rsidR="005819DC">
        <w:rPr>
          <w:rFonts w:asciiTheme="minorHAnsi" w:hAnsiTheme="minorHAnsi"/>
          <w:bCs/>
          <w:snapToGrid w:val="0"/>
        </w:rPr>
        <w:t xml:space="preserve"> with pembrolizumab treatment</w:t>
      </w:r>
      <w:r w:rsidR="00CC1C3D">
        <w:rPr>
          <w:rFonts w:asciiTheme="minorHAnsi" w:hAnsiTheme="minorHAnsi"/>
          <w:bCs/>
          <w:snapToGrid w:val="0"/>
        </w:rPr>
        <w:t xml:space="preserve"> regardless of pCR. </w:t>
      </w:r>
      <w:r w:rsidR="001D63ED">
        <w:rPr>
          <w:rFonts w:asciiTheme="minorHAnsi" w:hAnsiTheme="minorHAnsi"/>
          <w:bCs/>
          <w:snapToGrid w:val="0"/>
        </w:rPr>
        <w:t xml:space="preserve">The clinician considered that EFS was a good surrogate for survival as patients who relapse usually do so within 5 years. The clinician noted that immunotherapies are now used in a wide number of cancers and </w:t>
      </w:r>
      <w:r w:rsidR="005819DC">
        <w:rPr>
          <w:rFonts w:asciiTheme="minorHAnsi" w:hAnsiTheme="minorHAnsi"/>
          <w:bCs/>
          <w:snapToGrid w:val="0"/>
        </w:rPr>
        <w:t>clinicians</w:t>
      </w:r>
      <w:r w:rsidR="001D63ED">
        <w:rPr>
          <w:rFonts w:asciiTheme="minorHAnsi" w:hAnsiTheme="minorHAnsi"/>
          <w:bCs/>
          <w:snapToGrid w:val="0"/>
        </w:rPr>
        <w:t xml:space="preserve"> are well-placed to monitor and manage adverse events.</w:t>
      </w:r>
    </w:p>
    <w:bookmarkEnd w:id="15"/>
    <w:p w14:paraId="48B1FBDE" w14:textId="77777777" w:rsidR="00F756C7" w:rsidRPr="006E1229" w:rsidRDefault="00F756C7" w:rsidP="00F756C7">
      <w:pPr>
        <w:pStyle w:val="4-SubsectionHeading"/>
      </w:pPr>
      <w:r w:rsidRPr="006E1229">
        <w:t>Consumer comments</w:t>
      </w:r>
    </w:p>
    <w:p w14:paraId="6F1856A0" w14:textId="4C033B8A" w:rsidR="00F756C7" w:rsidRPr="00836F75" w:rsidRDefault="00F756C7" w:rsidP="00F756C7">
      <w:pPr>
        <w:widowControl w:val="0"/>
        <w:numPr>
          <w:ilvl w:val="1"/>
          <w:numId w:val="1"/>
        </w:numPr>
        <w:spacing w:after="120"/>
        <w:rPr>
          <w:rFonts w:asciiTheme="minorHAnsi" w:hAnsiTheme="minorHAnsi"/>
          <w:bCs/>
          <w:snapToGrid w:val="0"/>
        </w:rPr>
      </w:pPr>
      <w:bookmarkStart w:id="16" w:name="_Hlk76382618"/>
      <w:r w:rsidRPr="00836F75">
        <w:rPr>
          <w:rFonts w:asciiTheme="minorHAnsi" w:hAnsiTheme="minorHAnsi"/>
          <w:bCs/>
          <w:snapToGrid w:val="0"/>
        </w:rPr>
        <w:t>The PBAC noted and welcomed the input from individuals (</w:t>
      </w:r>
      <w:r w:rsidR="008D75FD">
        <w:rPr>
          <w:rFonts w:asciiTheme="minorHAnsi" w:hAnsiTheme="minorHAnsi"/>
          <w:bCs/>
          <w:snapToGrid w:val="0"/>
        </w:rPr>
        <w:t>12</w:t>
      </w:r>
      <w:r w:rsidRPr="00836F75">
        <w:rPr>
          <w:rFonts w:asciiTheme="minorHAnsi" w:hAnsiTheme="minorHAnsi"/>
          <w:bCs/>
          <w:snapToGrid w:val="0"/>
        </w:rPr>
        <w:t>), health care professionals (1</w:t>
      </w:r>
      <w:r w:rsidR="008D75FD">
        <w:rPr>
          <w:rFonts w:asciiTheme="minorHAnsi" w:hAnsiTheme="minorHAnsi"/>
          <w:bCs/>
          <w:snapToGrid w:val="0"/>
        </w:rPr>
        <w:t>2</w:t>
      </w:r>
      <w:r w:rsidRPr="00836F75">
        <w:rPr>
          <w:rFonts w:asciiTheme="minorHAnsi" w:hAnsiTheme="minorHAnsi"/>
          <w:bCs/>
          <w:snapToGrid w:val="0"/>
        </w:rPr>
        <w:t>) and organisations (</w:t>
      </w:r>
      <w:r w:rsidR="008D75FD">
        <w:rPr>
          <w:rFonts w:asciiTheme="minorHAnsi" w:hAnsiTheme="minorHAnsi"/>
          <w:bCs/>
          <w:snapToGrid w:val="0"/>
        </w:rPr>
        <w:t>5</w:t>
      </w:r>
      <w:r w:rsidRPr="00836F75">
        <w:rPr>
          <w:rFonts w:asciiTheme="minorHAnsi" w:hAnsiTheme="minorHAnsi"/>
          <w:bCs/>
          <w:snapToGrid w:val="0"/>
        </w:rPr>
        <w:t>) via the Consumer Comments facility on the PBS website.</w:t>
      </w:r>
    </w:p>
    <w:p w14:paraId="08CCE59C" w14:textId="3B25BF33" w:rsidR="006F1631" w:rsidRPr="00884CCC" w:rsidRDefault="005819DC" w:rsidP="00F756C7">
      <w:pPr>
        <w:widowControl w:val="0"/>
        <w:numPr>
          <w:ilvl w:val="1"/>
          <w:numId w:val="1"/>
        </w:numPr>
        <w:spacing w:after="120"/>
        <w:rPr>
          <w:rFonts w:asciiTheme="minorHAnsi" w:hAnsiTheme="minorHAnsi"/>
          <w:bCs/>
          <w:snapToGrid w:val="0"/>
        </w:rPr>
      </w:pPr>
      <w:bookmarkStart w:id="17" w:name="_Hlk97141415"/>
      <w:r>
        <w:rPr>
          <w:rFonts w:asciiTheme="minorHAnsi" w:hAnsiTheme="minorHAnsi"/>
          <w:bCs/>
          <w:snapToGrid w:val="0"/>
        </w:rPr>
        <w:t>The PBAC noted th</w:t>
      </w:r>
      <w:r w:rsidR="009652CA">
        <w:rPr>
          <w:rFonts w:asciiTheme="minorHAnsi" w:hAnsiTheme="minorHAnsi"/>
          <w:bCs/>
          <w:snapToGrid w:val="0"/>
        </w:rPr>
        <w:t xml:space="preserve">ere </w:t>
      </w:r>
      <w:r w:rsidR="003B6653">
        <w:rPr>
          <w:rFonts w:asciiTheme="minorHAnsi" w:hAnsiTheme="minorHAnsi"/>
          <w:bCs/>
          <w:snapToGrid w:val="0"/>
        </w:rPr>
        <w:t>was strong support from</w:t>
      </w:r>
      <w:r>
        <w:rPr>
          <w:rFonts w:asciiTheme="minorHAnsi" w:hAnsiTheme="minorHAnsi"/>
          <w:bCs/>
          <w:snapToGrid w:val="0"/>
        </w:rPr>
        <w:t xml:space="preserve"> health care providers </w:t>
      </w:r>
      <w:r w:rsidR="003B6653">
        <w:rPr>
          <w:rFonts w:asciiTheme="minorHAnsi" w:hAnsiTheme="minorHAnsi"/>
          <w:bCs/>
          <w:snapToGrid w:val="0"/>
        </w:rPr>
        <w:t>for</w:t>
      </w:r>
      <w:r>
        <w:rPr>
          <w:rFonts w:asciiTheme="minorHAnsi" w:hAnsiTheme="minorHAnsi"/>
          <w:bCs/>
          <w:snapToGrid w:val="0"/>
        </w:rPr>
        <w:t xml:space="preserve"> the submission</w:t>
      </w:r>
      <w:r w:rsidR="003B6653">
        <w:rPr>
          <w:rFonts w:asciiTheme="minorHAnsi" w:hAnsiTheme="minorHAnsi"/>
          <w:bCs/>
          <w:snapToGrid w:val="0"/>
        </w:rPr>
        <w:t xml:space="preserve">, </w:t>
      </w:r>
      <w:r w:rsidR="00D73ED5">
        <w:rPr>
          <w:rFonts w:asciiTheme="minorHAnsi" w:hAnsiTheme="minorHAnsi"/>
          <w:bCs/>
          <w:snapToGrid w:val="0"/>
        </w:rPr>
        <w:t xml:space="preserve">noting </w:t>
      </w:r>
      <w:r w:rsidR="006F1631" w:rsidRPr="00884CCC">
        <w:rPr>
          <w:rFonts w:asciiTheme="minorHAnsi" w:hAnsiTheme="minorHAnsi"/>
          <w:bCs/>
          <w:snapToGrid w:val="0"/>
        </w:rPr>
        <w:t>decreased mortality and morbidity rates</w:t>
      </w:r>
      <w:r w:rsidR="003B6653" w:rsidRPr="00884CCC">
        <w:rPr>
          <w:rFonts w:asciiTheme="minorHAnsi" w:hAnsiTheme="minorHAnsi"/>
          <w:bCs/>
          <w:snapToGrid w:val="0"/>
        </w:rPr>
        <w:t xml:space="preserve"> for patients treated with pembrolizumab based on EFS and pCR outcomes in KN-522</w:t>
      </w:r>
      <w:r w:rsidR="006F1631" w:rsidRPr="00884CCC">
        <w:rPr>
          <w:rFonts w:asciiTheme="minorHAnsi" w:hAnsiTheme="minorHAnsi"/>
          <w:bCs/>
          <w:snapToGrid w:val="0"/>
        </w:rPr>
        <w:t xml:space="preserve">. </w:t>
      </w:r>
      <w:r w:rsidR="003B6653" w:rsidRPr="00884CCC">
        <w:rPr>
          <w:rFonts w:asciiTheme="minorHAnsi" w:hAnsiTheme="minorHAnsi"/>
          <w:bCs/>
          <w:snapToGrid w:val="0"/>
        </w:rPr>
        <w:t>The comments noted that there are limited data on combination treatment of pembrolizumab and capecitabine, or pembrolizumab and olaparib. This provides a challenge to clinicians in determining optimal adjuvant treatment for patients who do not achieve a pCR. The comments also noted that side effects are</w:t>
      </w:r>
      <w:r w:rsidR="006F1631" w:rsidRPr="00884CCC">
        <w:rPr>
          <w:rFonts w:asciiTheme="minorHAnsi" w:hAnsiTheme="minorHAnsi"/>
          <w:bCs/>
          <w:snapToGrid w:val="0"/>
        </w:rPr>
        <w:t xml:space="preserve"> </w:t>
      </w:r>
      <w:r w:rsidR="003B6653" w:rsidRPr="00884CCC">
        <w:rPr>
          <w:rFonts w:asciiTheme="minorHAnsi" w:hAnsiTheme="minorHAnsi"/>
          <w:bCs/>
          <w:snapToGrid w:val="0"/>
        </w:rPr>
        <w:t xml:space="preserve">largely </w:t>
      </w:r>
      <w:r w:rsidR="006F1631" w:rsidRPr="00884CCC">
        <w:rPr>
          <w:rFonts w:asciiTheme="minorHAnsi" w:hAnsiTheme="minorHAnsi"/>
          <w:bCs/>
          <w:snapToGrid w:val="0"/>
        </w:rPr>
        <w:t xml:space="preserve">manageable and </w:t>
      </w:r>
      <w:r w:rsidR="003B6653" w:rsidRPr="00884CCC">
        <w:rPr>
          <w:rFonts w:asciiTheme="minorHAnsi" w:hAnsiTheme="minorHAnsi"/>
          <w:bCs/>
          <w:snapToGrid w:val="0"/>
        </w:rPr>
        <w:t xml:space="preserve">complicated immune-related side effects that substantially impact patients are </w:t>
      </w:r>
      <w:r w:rsidR="006F1631" w:rsidRPr="00884CCC">
        <w:rPr>
          <w:rFonts w:asciiTheme="minorHAnsi" w:hAnsiTheme="minorHAnsi"/>
          <w:bCs/>
          <w:snapToGrid w:val="0"/>
        </w:rPr>
        <w:t>uncommon</w:t>
      </w:r>
      <w:r w:rsidR="003B6653" w:rsidRPr="00884CCC">
        <w:rPr>
          <w:rFonts w:asciiTheme="minorHAnsi" w:hAnsiTheme="minorHAnsi"/>
          <w:bCs/>
          <w:snapToGrid w:val="0"/>
        </w:rPr>
        <w:t>.</w:t>
      </w:r>
      <w:r w:rsidR="00DA5C0C" w:rsidRPr="00884CCC">
        <w:rPr>
          <w:rFonts w:asciiTheme="minorHAnsi" w:hAnsiTheme="minorHAnsi"/>
          <w:bCs/>
          <w:snapToGrid w:val="0"/>
        </w:rPr>
        <w:t xml:space="preserve"> However, there is risk of long term immune mediated toxicities including permanent endocrinopathies, which is more relevant in the early breast cancer setting where treatment is with curative intent. Comments also noted that pembrolizumab is standard of care</w:t>
      </w:r>
      <w:r w:rsidR="00D73ED5">
        <w:rPr>
          <w:rFonts w:asciiTheme="minorHAnsi" w:hAnsiTheme="minorHAnsi"/>
          <w:bCs/>
          <w:snapToGrid w:val="0"/>
        </w:rPr>
        <w:t xml:space="preserve"> for eTNBC</w:t>
      </w:r>
      <w:r w:rsidR="00DA5C0C" w:rsidRPr="00884CCC">
        <w:rPr>
          <w:rFonts w:asciiTheme="minorHAnsi" w:hAnsiTheme="minorHAnsi"/>
          <w:bCs/>
          <w:snapToGrid w:val="0"/>
        </w:rPr>
        <w:t xml:space="preserve"> in other </w:t>
      </w:r>
      <w:r w:rsidR="00245513" w:rsidRPr="00884CCC">
        <w:rPr>
          <w:rFonts w:asciiTheme="minorHAnsi" w:hAnsiTheme="minorHAnsi"/>
          <w:bCs/>
          <w:snapToGrid w:val="0"/>
        </w:rPr>
        <w:t>countries and there is a high clinical need for patients with TNBC.</w:t>
      </w:r>
    </w:p>
    <w:bookmarkEnd w:id="17"/>
    <w:p w14:paraId="79194BE2" w14:textId="6CF3A0C3" w:rsidR="006F1631" w:rsidRPr="00C62284" w:rsidRDefault="006F1631" w:rsidP="006F1631">
      <w:pPr>
        <w:widowControl w:val="0"/>
        <w:numPr>
          <w:ilvl w:val="1"/>
          <w:numId w:val="1"/>
        </w:numPr>
        <w:spacing w:after="120"/>
        <w:rPr>
          <w:rFonts w:asciiTheme="minorHAnsi" w:hAnsiTheme="minorHAnsi"/>
          <w:bCs/>
          <w:snapToGrid w:val="0"/>
        </w:rPr>
      </w:pPr>
      <w:r w:rsidRPr="00884CCC">
        <w:rPr>
          <w:rFonts w:asciiTheme="minorHAnsi" w:hAnsiTheme="minorHAnsi"/>
          <w:bCs/>
          <w:snapToGrid w:val="0"/>
        </w:rPr>
        <w:t xml:space="preserve">The comments from patients noted that pembrolizumab trials demonstrated a clear overall survival benefit in the </w:t>
      </w:r>
      <w:r w:rsidR="00245513" w:rsidRPr="00884CCC">
        <w:rPr>
          <w:rFonts w:asciiTheme="minorHAnsi" w:hAnsiTheme="minorHAnsi"/>
          <w:bCs/>
          <w:snapToGrid w:val="0"/>
        </w:rPr>
        <w:t>e</w:t>
      </w:r>
      <w:r w:rsidRPr="00884CCC">
        <w:rPr>
          <w:rFonts w:asciiTheme="minorHAnsi" w:hAnsiTheme="minorHAnsi"/>
          <w:bCs/>
          <w:snapToGrid w:val="0"/>
        </w:rPr>
        <w:t xml:space="preserve">TNBC setting. Consumers who have had the medication noted the good quality of life they had on it and others noted the psychosocial benefits of giving hope and reducing fear by knowing there was an additional form of treatment that could reduce their risk of disease progression. Comments described the unmet </w:t>
      </w:r>
      <w:r w:rsidRPr="00C62284">
        <w:rPr>
          <w:rFonts w:asciiTheme="minorHAnsi" w:hAnsiTheme="minorHAnsi"/>
          <w:bCs/>
          <w:snapToGrid w:val="0"/>
        </w:rPr>
        <w:t xml:space="preserve">treatment need for patients with TNBC, noting the high cost to patients of self-funding pembrolizumab treatment. </w:t>
      </w:r>
    </w:p>
    <w:p w14:paraId="50E9C9C7" w14:textId="21889D92" w:rsidR="006F1631" w:rsidRPr="00C62284" w:rsidRDefault="006F1631" w:rsidP="006F1631">
      <w:pPr>
        <w:widowControl w:val="0"/>
        <w:numPr>
          <w:ilvl w:val="1"/>
          <w:numId w:val="1"/>
        </w:numPr>
        <w:spacing w:after="120"/>
        <w:rPr>
          <w:rFonts w:asciiTheme="minorHAnsi" w:hAnsiTheme="minorHAnsi"/>
          <w:bCs/>
          <w:snapToGrid w:val="0"/>
        </w:rPr>
      </w:pPr>
      <w:r w:rsidRPr="00C62284">
        <w:rPr>
          <w:rFonts w:asciiTheme="minorHAnsi" w:hAnsiTheme="minorHAnsi"/>
          <w:bCs/>
          <w:snapToGrid w:val="0"/>
        </w:rPr>
        <w:t xml:space="preserve">Comments from consumer groups Pink Hope and Breast Cancer Network Australia </w:t>
      </w:r>
      <w:r w:rsidRPr="00C62284">
        <w:rPr>
          <w:rFonts w:asciiTheme="minorHAnsi" w:hAnsiTheme="minorHAnsi"/>
          <w:bCs/>
          <w:snapToGrid w:val="0"/>
        </w:rPr>
        <w:lastRenderedPageBreak/>
        <w:t>(BCNA) provided their support for the pembrolizumab submission. Comments described TNBC patients as typically young, meaning they often have young families and work responsibilities that are impacted substantially by their diagnosis. The comments also described the need for new, effective targeted treatments for TNBC and the importance of subsidised access to treatment, given its high cost. The comments noted that</w:t>
      </w:r>
      <w:r w:rsidR="00884CCC" w:rsidRPr="00C62284">
        <w:rPr>
          <w:rFonts w:asciiTheme="minorHAnsi" w:hAnsiTheme="minorHAnsi"/>
          <w:bCs/>
          <w:snapToGrid w:val="0"/>
        </w:rPr>
        <w:t xml:space="preserve"> a pCR allows patients to hope and plan for the future and is a significant outcome. P</w:t>
      </w:r>
      <w:r w:rsidRPr="00C62284">
        <w:rPr>
          <w:rFonts w:asciiTheme="minorHAnsi" w:hAnsiTheme="minorHAnsi"/>
          <w:bCs/>
          <w:snapToGrid w:val="0"/>
        </w:rPr>
        <w:t xml:space="preserve">atients </w:t>
      </w:r>
      <w:r w:rsidR="00884CCC" w:rsidRPr="00C62284">
        <w:rPr>
          <w:rFonts w:asciiTheme="minorHAnsi" w:hAnsiTheme="minorHAnsi"/>
          <w:bCs/>
          <w:snapToGrid w:val="0"/>
        </w:rPr>
        <w:t xml:space="preserve">reported a willingness to risk AEs </w:t>
      </w:r>
      <w:r w:rsidR="00C62284" w:rsidRPr="00C62284">
        <w:rPr>
          <w:rFonts w:asciiTheme="minorHAnsi" w:hAnsiTheme="minorHAnsi"/>
          <w:bCs/>
          <w:snapToGrid w:val="0"/>
        </w:rPr>
        <w:t xml:space="preserve">if there is potential to prevent recurrence of disease and </w:t>
      </w:r>
      <w:r w:rsidRPr="00C62284">
        <w:rPr>
          <w:rFonts w:asciiTheme="minorHAnsi" w:hAnsiTheme="minorHAnsi"/>
          <w:bCs/>
          <w:snapToGrid w:val="0"/>
        </w:rPr>
        <w:t>are well-placed to consider potential side-effects with their treatment team.</w:t>
      </w:r>
    </w:p>
    <w:p w14:paraId="33EEBD32" w14:textId="5BB74EFB" w:rsidR="006F1631" w:rsidRPr="00884CCC" w:rsidRDefault="006F1631" w:rsidP="00EA3803">
      <w:pPr>
        <w:widowControl w:val="0"/>
        <w:numPr>
          <w:ilvl w:val="1"/>
          <w:numId w:val="1"/>
        </w:numPr>
        <w:spacing w:after="120"/>
        <w:rPr>
          <w:rFonts w:asciiTheme="minorHAnsi" w:hAnsiTheme="minorHAnsi"/>
          <w:bCs/>
          <w:snapToGrid w:val="0"/>
        </w:rPr>
      </w:pPr>
      <w:r w:rsidRPr="00884CCC">
        <w:rPr>
          <w:rFonts w:asciiTheme="minorHAnsi" w:hAnsiTheme="minorHAnsi"/>
          <w:bCs/>
          <w:snapToGrid w:val="0"/>
        </w:rPr>
        <w:t xml:space="preserve">Comments from Peter MacCallum Cancer Centre and Medical Oncology Group of Australia (MOGA) supported the pembrolizumab submission, noting that clinical trials have shown that it </w:t>
      </w:r>
      <w:r w:rsidR="003F5F44" w:rsidRPr="00884CCC">
        <w:rPr>
          <w:rFonts w:asciiTheme="minorHAnsi" w:hAnsiTheme="minorHAnsi"/>
          <w:bCs/>
          <w:snapToGrid w:val="0"/>
        </w:rPr>
        <w:t>reduced the risk of relapse, with improved EFS at 3 years</w:t>
      </w:r>
      <w:r w:rsidRPr="00884CCC">
        <w:rPr>
          <w:rFonts w:asciiTheme="minorHAnsi" w:hAnsiTheme="minorHAnsi"/>
          <w:bCs/>
          <w:snapToGrid w:val="0"/>
        </w:rPr>
        <w:t>, while being well-tolerated in addition to chemotherapy. MOGA also commented that relevant safety concerns include haematological toxicity (which may require transfusion and white cell growth factors, including possible hospital admission for treatment of sepsis) and immune-related adverse events including inflammation of organs and endocrine glands (some of which may lead to a need for long lasting medication). These patients will require careful management and long term follow up, however MOGA noted that there is significant experience using pembrolizumab in Australia.</w:t>
      </w:r>
      <w:r w:rsidR="00884CCC" w:rsidRPr="00884CCC">
        <w:rPr>
          <w:rFonts w:asciiTheme="minorHAnsi" w:hAnsiTheme="minorHAnsi"/>
          <w:bCs/>
          <w:snapToGrid w:val="0"/>
        </w:rPr>
        <w:t xml:space="preserve"> MOGA commented the KN-522 trial did not address alternative comparators capecitabine and olaparib </w:t>
      </w:r>
      <w:r w:rsidR="00884CCC">
        <w:rPr>
          <w:rFonts w:asciiTheme="minorHAnsi" w:hAnsiTheme="minorHAnsi"/>
          <w:bCs/>
          <w:snapToGrid w:val="0"/>
        </w:rPr>
        <w:t xml:space="preserve">and </w:t>
      </w:r>
      <w:r w:rsidR="00884CCC" w:rsidRPr="00884CCC">
        <w:rPr>
          <w:rFonts w:asciiTheme="minorHAnsi" w:hAnsiTheme="minorHAnsi"/>
          <w:bCs/>
          <w:snapToGrid w:val="0"/>
        </w:rPr>
        <w:t xml:space="preserve">decisions about the best approach for individual patients will need to take into account potential toxicities of either medication in the </w:t>
      </w:r>
      <w:r w:rsidR="00884CCC">
        <w:rPr>
          <w:rFonts w:asciiTheme="minorHAnsi" w:hAnsiTheme="minorHAnsi"/>
          <w:bCs/>
          <w:snapToGrid w:val="0"/>
        </w:rPr>
        <w:t>adjuvant</w:t>
      </w:r>
      <w:r w:rsidR="00884CCC" w:rsidRPr="00884CCC">
        <w:rPr>
          <w:rFonts w:asciiTheme="minorHAnsi" w:hAnsiTheme="minorHAnsi"/>
          <w:bCs/>
          <w:snapToGrid w:val="0"/>
        </w:rPr>
        <w:t xml:space="preserve"> setting.</w:t>
      </w:r>
    </w:p>
    <w:bookmarkEnd w:id="13"/>
    <w:bookmarkEnd w:id="16"/>
    <w:p w14:paraId="7A5300E7" w14:textId="42C1E549" w:rsidR="00474153" w:rsidRPr="00BB1D7E" w:rsidRDefault="00474153" w:rsidP="00AD1708">
      <w:pPr>
        <w:widowControl w:val="0"/>
        <w:numPr>
          <w:ilvl w:val="1"/>
          <w:numId w:val="1"/>
        </w:numPr>
        <w:spacing w:after="120"/>
        <w:rPr>
          <w:rFonts w:asciiTheme="minorHAnsi" w:hAnsiTheme="minorHAnsi"/>
          <w:bCs/>
          <w:snapToGrid w:val="0"/>
          <w:vertAlign w:val="superscript"/>
        </w:rPr>
      </w:pPr>
      <w:r w:rsidRPr="00BB1D7E">
        <w:rPr>
          <w:rFonts w:asciiTheme="minorHAnsi" w:hAnsiTheme="minorHAnsi"/>
          <w:bCs/>
          <w:snapToGrid w:val="0"/>
        </w:rPr>
        <w:t>The Medical Oncology Group of Australia (MOGA) expressed its strong support for the pembrolizumab submission, categorising it as one of the therapies of “highest priority for PBS listing” on the basis of the KN</w:t>
      </w:r>
      <w:r w:rsidR="00BB1D7E">
        <w:rPr>
          <w:rFonts w:asciiTheme="minorHAnsi" w:hAnsiTheme="minorHAnsi"/>
          <w:bCs/>
          <w:snapToGrid w:val="0"/>
        </w:rPr>
        <w:t>-</w:t>
      </w:r>
      <w:r w:rsidRPr="00BB1D7E">
        <w:rPr>
          <w:rFonts w:asciiTheme="minorHAnsi" w:hAnsiTheme="minorHAnsi"/>
          <w:bCs/>
          <w:snapToGrid w:val="0"/>
        </w:rPr>
        <w:t>522 trial. The PBAC noted that the MOGA presented a European Society for Medical Oncology Magnitude of Clinical Benefit Scale (ESMO-MCBS) for pembrolizumab</w:t>
      </w:r>
      <w:r w:rsidR="00BB1D7E" w:rsidRPr="00BB1D7E">
        <w:rPr>
          <w:rFonts w:asciiTheme="minorHAnsi" w:hAnsiTheme="minorHAnsi"/>
          <w:bCs/>
          <w:snapToGrid w:val="0"/>
        </w:rPr>
        <w:t xml:space="preserve"> which was a Grade</w:t>
      </w:r>
      <w:r w:rsidRPr="00BB1D7E">
        <w:rPr>
          <w:rFonts w:asciiTheme="minorHAnsi" w:hAnsiTheme="minorHAnsi"/>
          <w:bCs/>
          <w:snapToGrid w:val="0"/>
        </w:rPr>
        <w:t xml:space="preserve"> A</w:t>
      </w:r>
      <w:r w:rsidR="00BB1D7E">
        <w:rPr>
          <w:rFonts w:asciiTheme="minorHAnsi" w:hAnsiTheme="minorHAnsi"/>
          <w:bCs/>
          <w:snapToGrid w:val="0"/>
        </w:rPr>
        <w:t>.</w:t>
      </w:r>
      <w:r w:rsidRPr="00BB1D7E">
        <w:rPr>
          <w:rFonts w:asciiTheme="minorHAnsi" w:hAnsiTheme="minorHAnsi"/>
          <w:bCs/>
          <w:snapToGrid w:val="0"/>
        </w:rPr>
        <w:t xml:space="preserve"> </w:t>
      </w:r>
      <w:r w:rsidR="00BB1D7E" w:rsidRPr="00BB1D7E">
        <w:rPr>
          <w:rFonts w:asciiTheme="minorHAnsi" w:hAnsiTheme="minorHAnsi"/>
          <w:bCs/>
          <w:snapToGrid w:val="0"/>
        </w:rPr>
        <w:t>This is the highest grade on a scale from A to C, where A and B represent the grades with substantial improvement for new approaches to adjuvant therapy or new potentially curative therapies.</w:t>
      </w:r>
      <w:r w:rsidRPr="00BB1D7E">
        <w:rPr>
          <w:vertAlign w:val="superscript"/>
        </w:rPr>
        <w:footnoteReference w:id="1"/>
      </w:r>
      <w:r w:rsidRPr="00BB1D7E">
        <w:rPr>
          <w:rFonts w:asciiTheme="minorHAnsi" w:hAnsiTheme="minorHAnsi"/>
          <w:bCs/>
          <w:snapToGrid w:val="0"/>
          <w:vertAlign w:val="superscript"/>
        </w:rPr>
        <w:t xml:space="preserve"> </w:t>
      </w:r>
    </w:p>
    <w:p w14:paraId="609C0765" w14:textId="68755ED1" w:rsidR="00B60939" w:rsidRPr="006919A9" w:rsidRDefault="00B60939" w:rsidP="002E4F02">
      <w:pPr>
        <w:pStyle w:val="4-SubsectionHeading"/>
      </w:pPr>
      <w:r w:rsidRPr="006919A9">
        <w:t xml:space="preserve">Clinical </w:t>
      </w:r>
      <w:r w:rsidR="00B868FE" w:rsidRPr="006919A9">
        <w:t>trials</w:t>
      </w:r>
      <w:bookmarkEnd w:id="12"/>
      <w:bookmarkEnd w:id="14"/>
    </w:p>
    <w:p w14:paraId="594626EA" w14:textId="39BA99D1" w:rsidR="00B868FE" w:rsidRPr="006919A9" w:rsidRDefault="00B868FE" w:rsidP="00462B1A">
      <w:pPr>
        <w:pStyle w:val="3-BodyText"/>
      </w:pPr>
      <w:r w:rsidRPr="006919A9">
        <w:t xml:space="preserve">The submission was based on one </w:t>
      </w:r>
      <w:r w:rsidR="00D370E0" w:rsidRPr="006919A9">
        <w:t>placebo-controlled</w:t>
      </w:r>
      <w:r w:rsidRPr="006919A9">
        <w:t xml:space="preserve"> trial (KN-522) which randomised participants in a 2:1 ratio into one of the two treatments:</w:t>
      </w:r>
    </w:p>
    <w:p w14:paraId="7AB0E6C8" w14:textId="3D617DBB" w:rsidR="00C14A06" w:rsidRDefault="00DA6F77" w:rsidP="00D73ED5">
      <w:pPr>
        <w:pStyle w:val="ListParagraph"/>
        <w:numPr>
          <w:ilvl w:val="0"/>
          <w:numId w:val="8"/>
        </w:numPr>
        <w:ind w:left="1134"/>
      </w:pPr>
      <w:r>
        <w:t xml:space="preserve">Neoadjuvant: Pembrolizumab (200 mg </w:t>
      </w:r>
      <w:r w:rsidR="009A3C63">
        <w:t>intravenously (</w:t>
      </w:r>
      <w:r>
        <w:t>IV</w:t>
      </w:r>
      <w:r w:rsidR="009A3C63">
        <w:t>)</w:t>
      </w:r>
      <w:r>
        <w:t xml:space="preserve">) every 3 weeks in combination with paclitaxel + carboplatin for 4 cycles then pembrolizumab + </w:t>
      </w:r>
      <w:r>
        <w:lastRenderedPageBreak/>
        <w:t>doxorubicin/epirubicin + cyclophosphamide for 4 cycles, for a total of 8 cycles (24 weeks)</w:t>
      </w:r>
      <w:r w:rsidR="00C14A06">
        <w:t>.</w:t>
      </w:r>
      <w:r>
        <w:t xml:space="preserve"> </w:t>
      </w:r>
    </w:p>
    <w:p w14:paraId="7C35C34E" w14:textId="345A8333" w:rsidR="007455CB" w:rsidRPr="006919A9" w:rsidRDefault="00C14A06" w:rsidP="00D73ED5">
      <w:pPr>
        <w:pStyle w:val="ListParagraph"/>
        <w:ind w:left="1134"/>
      </w:pPr>
      <w:r>
        <w:t>F</w:t>
      </w:r>
      <w:r w:rsidR="00DA6F77">
        <w:t>ollowed by adjuvant: Pembrolizumab (200 mg IV) every 3 weeks as a single agent for up to 9 cycles (27 weeks)</w:t>
      </w:r>
      <w:r w:rsidR="00B736E5">
        <w:t>.</w:t>
      </w:r>
    </w:p>
    <w:p w14:paraId="734FB2C6" w14:textId="4D8180C4" w:rsidR="00B868FE" w:rsidRPr="006919A9" w:rsidRDefault="00B868FE" w:rsidP="00D73ED5">
      <w:pPr>
        <w:pStyle w:val="ListParagraph"/>
        <w:ind w:left="1134"/>
      </w:pPr>
      <w:r w:rsidRPr="006919A9">
        <w:t xml:space="preserve">or </w:t>
      </w:r>
    </w:p>
    <w:p w14:paraId="63F8EFE8" w14:textId="0F49A546" w:rsidR="00C14A06" w:rsidRDefault="00DA6F77" w:rsidP="00D73ED5">
      <w:pPr>
        <w:pStyle w:val="ListParagraph"/>
        <w:numPr>
          <w:ilvl w:val="0"/>
          <w:numId w:val="8"/>
        </w:numPr>
        <w:ind w:left="1134"/>
      </w:pPr>
      <w:r>
        <w:t xml:space="preserve">Neoadjuvant: Placebo every 3 weeks in combination with paclitaxel + carboplatin for 4 cycles then </w:t>
      </w:r>
      <w:r w:rsidR="007926B0">
        <w:t>p</w:t>
      </w:r>
      <w:r>
        <w:t>lacebo + doxorubicin/epirubicin + cyclophosphamide for 4 cycles, for a total of 8 cycles (24 weeks)</w:t>
      </w:r>
      <w:r w:rsidR="00C14A06">
        <w:t>.</w:t>
      </w:r>
    </w:p>
    <w:p w14:paraId="075DFBD2" w14:textId="0F67FFB7" w:rsidR="00DA6F77" w:rsidRPr="006919A9" w:rsidRDefault="00C14A06" w:rsidP="00D73ED5">
      <w:pPr>
        <w:pStyle w:val="ListParagraph"/>
        <w:ind w:left="1134"/>
      </w:pPr>
      <w:r>
        <w:t>F</w:t>
      </w:r>
      <w:r w:rsidR="00DA6F77">
        <w:t xml:space="preserve">ollowed by adjuvant: </w:t>
      </w:r>
      <w:r w:rsidR="007926B0">
        <w:t>placebo</w:t>
      </w:r>
      <w:r w:rsidR="00DA6F77">
        <w:t xml:space="preserve"> every 3 weeks for up to 9 cycles (27 weeks)</w:t>
      </w:r>
      <w:r w:rsidR="00B736E5">
        <w:t>.</w:t>
      </w:r>
    </w:p>
    <w:p w14:paraId="332CC344" w14:textId="469EC53D" w:rsidR="001D769B" w:rsidRPr="00652C95" w:rsidRDefault="007926B0" w:rsidP="001D769B">
      <w:pPr>
        <w:pStyle w:val="3-BodyText"/>
      </w:pPr>
      <w:r w:rsidRPr="00652C95">
        <w:t>The submission presented results for interim analysis 4</w:t>
      </w:r>
      <w:r w:rsidR="001D769B" w:rsidRPr="00652C95">
        <w:t xml:space="preserve"> (IA4)</w:t>
      </w:r>
      <w:r w:rsidRPr="00652C95">
        <w:t xml:space="preserve">, with a data cut-off of </w:t>
      </w:r>
      <w:r w:rsidR="001D769B" w:rsidRPr="00652C95">
        <w:t xml:space="preserve">23 March 2021. The KN-522 CSR noted that </w:t>
      </w:r>
      <w:r w:rsidR="001D769B" w:rsidRPr="00652C95">
        <w:rPr>
          <w:rFonts w:ascii="0Ví'83$" w:hAnsi="0Ví'83$" w:cs="0Ví'83$"/>
          <w:lang w:val="en-US"/>
        </w:rPr>
        <w:t>results had previously been reported in interim analysis 1 (IA1: data cutoff 24 S</w:t>
      </w:r>
      <w:r w:rsidR="00002720">
        <w:rPr>
          <w:rFonts w:ascii="0Ví'83$" w:hAnsi="0Ví'83$" w:cs="0Ví'83$"/>
          <w:lang w:val="en-US"/>
        </w:rPr>
        <w:t xml:space="preserve">eptember </w:t>
      </w:r>
      <w:r w:rsidR="001D769B" w:rsidRPr="00652C95">
        <w:rPr>
          <w:rFonts w:ascii="0Ví'83$" w:hAnsi="0Ví'83$" w:cs="0Ví'83$"/>
          <w:lang w:val="en-US"/>
        </w:rPr>
        <w:t>2018)</w:t>
      </w:r>
      <w:r w:rsidR="00DB1033" w:rsidRPr="00652C95">
        <w:rPr>
          <w:rFonts w:ascii="0Ví'83$" w:hAnsi="0Ví'83$" w:cs="0Ví'83$"/>
          <w:lang w:val="en-US"/>
        </w:rPr>
        <w:t xml:space="preserve"> </w:t>
      </w:r>
      <w:r w:rsidR="001D769B" w:rsidRPr="00652C95">
        <w:rPr>
          <w:rFonts w:ascii="0Ví'83$" w:hAnsi="0Ví'83$" w:cs="0Ví'83$"/>
          <w:lang w:val="en-US"/>
        </w:rPr>
        <w:t>and interim analysis 2 (IA2: data cutoff</w:t>
      </w:r>
      <w:r w:rsidR="001D769B" w:rsidRPr="00652C95">
        <w:t xml:space="preserve"> </w:t>
      </w:r>
      <w:r w:rsidR="001D769B" w:rsidRPr="00652C95">
        <w:rPr>
          <w:rFonts w:ascii="0Ví'83$" w:hAnsi="0Ví'83$" w:cs="0Ví'83$"/>
          <w:lang w:val="en-US"/>
        </w:rPr>
        <w:t>24 April 2019).</w:t>
      </w:r>
    </w:p>
    <w:p w14:paraId="22487098" w14:textId="33BED47C" w:rsidR="00B868FE" w:rsidRPr="006919A9" w:rsidRDefault="00A73134" w:rsidP="00B868FE">
      <w:pPr>
        <w:pStyle w:val="3-BodyText"/>
      </w:pPr>
      <w:r w:rsidRPr="006919A9">
        <w:rPr>
          <w:snapToGrid/>
        </w:rPr>
        <w:t xml:space="preserve">Details of </w:t>
      </w:r>
      <w:r w:rsidR="00B868FE" w:rsidRPr="006919A9">
        <w:rPr>
          <w:snapToGrid/>
        </w:rPr>
        <w:t xml:space="preserve">KN-552 </w:t>
      </w:r>
      <w:r w:rsidRPr="006919A9">
        <w:rPr>
          <w:snapToGrid/>
        </w:rPr>
        <w:t xml:space="preserve">are provided in </w:t>
      </w:r>
      <w:r w:rsidR="00696EF9" w:rsidRPr="006919A9">
        <w:rPr>
          <w:snapToGrid/>
        </w:rPr>
        <w:fldChar w:fldCharType="begin" w:fldLock="1"/>
      </w:r>
      <w:r w:rsidR="00696EF9" w:rsidRPr="006919A9">
        <w:rPr>
          <w:snapToGrid/>
        </w:rPr>
        <w:instrText xml:space="preserve"> REF _Ref104803956 \h </w:instrText>
      </w:r>
      <w:r w:rsidR="00696EF9" w:rsidRPr="006919A9">
        <w:rPr>
          <w:snapToGrid/>
        </w:rPr>
      </w:r>
      <w:r w:rsidR="00696EF9" w:rsidRPr="006919A9">
        <w:rPr>
          <w:snapToGrid/>
        </w:rPr>
        <w:fldChar w:fldCharType="separate"/>
      </w:r>
      <w:r w:rsidR="0067416F" w:rsidRPr="006919A9">
        <w:t xml:space="preserve">Table </w:t>
      </w:r>
      <w:r w:rsidR="0067416F">
        <w:rPr>
          <w:noProof/>
        </w:rPr>
        <w:t>2</w:t>
      </w:r>
      <w:r w:rsidR="00696EF9" w:rsidRPr="006919A9">
        <w:rPr>
          <w:snapToGrid/>
        </w:rPr>
        <w:fldChar w:fldCharType="end"/>
      </w:r>
      <w:r w:rsidRPr="006919A9">
        <w:rPr>
          <w:snapToGrid/>
        </w:rPr>
        <w:t>.</w:t>
      </w:r>
    </w:p>
    <w:p w14:paraId="2E01E990" w14:textId="2F6E4B8F" w:rsidR="00B868FE" w:rsidRPr="006919A9" w:rsidRDefault="00696EF9" w:rsidP="000B6933">
      <w:pPr>
        <w:pStyle w:val="TableFigureHeading"/>
        <w:keepLines/>
      </w:pPr>
      <w:bookmarkStart w:id="18" w:name="_Ref104803956"/>
      <w:r w:rsidRPr="006919A9">
        <w:t xml:space="preserve">Table </w:t>
      </w:r>
      <w:fldSimple w:instr=" SEQ Table \* ARABIC " w:fldLock="1">
        <w:r w:rsidR="0067416F">
          <w:rPr>
            <w:noProof/>
          </w:rPr>
          <w:t>2</w:t>
        </w:r>
      </w:fldSimple>
      <w:bookmarkEnd w:id="18"/>
      <w:r w:rsidRPr="006919A9">
        <w:t>:</w:t>
      </w:r>
      <w:r w:rsidR="00BC591F" w:rsidRPr="006919A9">
        <w:rPr>
          <w:rStyle w:val="CommentReference"/>
          <w:b/>
          <w:szCs w:val="24"/>
        </w:rPr>
        <w:t xml:space="preserve"> </w:t>
      </w:r>
      <w:r w:rsidR="00B868FE" w:rsidRPr="006919A9">
        <w:rPr>
          <w:rStyle w:val="CommentReference"/>
          <w:b/>
          <w:szCs w:val="24"/>
        </w:rPr>
        <w:t xml:space="preserve">Trials and </w:t>
      </w:r>
      <w:r w:rsidR="007455CB" w:rsidRPr="006919A9">
        <w:rPr>
          <w:rStyle w:val="CommentReference"/>
          <w:b/>
          <w:szCs w:val="24"/>
        </w:rPr>
        <w:t xml:space="preserve">key </w:t>
      </w:r>
      <w:r w:rsidR="00B868FE" w:rsidRPr="006919A9">
        <w:rPr>
          <w:rStyle w:val="CommentReference"/>
          <w:b/>
          <w:szCs w:val="24"/>
        </w:rPr>
        <w:t>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5"/>
        <w:gridCol w:w="5459"/>
        <w:gridCol w:w="2123"/>
      </w:tblGrid>
      <w:tr w:rsidR="006919A9" w:rsidRPr="006919A9" w14:paraId="7456F0D8" w14:textId="77777777" w:rsidTr="002234D3">
        <w:trPr>
          <w:tblHeader/>
        </w:trPr>
        <w:tc>
          <w:tcPr>
            <w:tcW w:w="796" w:type="pct"/>
            <w:vAlign w:val="center"/>
          </w:tcPr>
          <w:p w14:paraId="1A6A06AD" w14:textId="77777777" w:rsidR="00B868FE" w:rsidRPr="006919A9" w:rsidRDefault="00B868FE" w:rsidP="000B6933">
            <w:pPr>
              <w:pStyle w:val="In-tableHeading"/>
              <w:keepLines/>
              <w:rPr>
                <w:lang w:val="en-AU"/>
              </w:rPr>
            </w:pPr>
            <w:r w:rsidRPr="006919A9">
              <w:rPr>
                <w:lang w:val="en-AU"/>
              </w:rPr>
              <w:t>Trial ID</w:t>
            </w:r>
          </w:p>
        </w:tc>
        <w:tc>
          <w:tcPr>
            <w:tcW w:w="3027" w:type="pct"/>
            <w:vAlign w:val="center"/>
          </w:tcPr>
          <w:p w14:paraId="708EC85D" w14:textId="77777777" w:rsidR="00B868FE" w:rsidRPr="006919A9" w:rsidRDefault="00B868FE" w:rsidP="000B6933">
            <w:pPr>
              <w:pStyle w:val="In-tableHeading"/>
              <w:keepLines/>
              <w:rPr>
                <w:lang w:val="en-AU"/>
              </w:rPr>
            </w:pPr>
            <w:r w:rsidRPr="006919A9">
              <w:rPr>
                <w:lang w:val="en-AU"/>
              </w:rPr>
              <w:t>Protocol title/ Publication title</w:t>
            </w:r>
          </w:p>
        </w:tc>
        <w:tc>
          <w:tcPr>
            <w:tcW w:w="1177" w:type="pct"/>
            <w:vAlign w:val="center"/>
          </w:tcPr>
          <w:p w14:paraId="30A9921B" w14:textId="77777777" w:rsidR="00B868FE" w:rsidRPr="006919A9" w:rsidRDefault="00B868FE" w:rsidP="000B6933">
            <w:pPr>
              <w:pStyle w:val="In-tableHeading"/>
              <w:keepLines/>
              <w:rPr>
                <w:lang w:val="en-AU"/>
              </w:rPr>
            </w:pPr>
            <w:r w:rsidRPr="006919A9">
              <w:rPr>
                <w:lang w:val="en-AU"/>
              </w:rPr>
              <w:t>Publication citation</w:t>
            </w:r>
          </w:p>
        </w:tc>
      </w:tr>
      <w:tr w:rsidR="006919A9" w:rsidRPr="006919A9" w14:paraId="341408E8" w14:textId="77777777" w:rsidTr="002234D3">
        <w:tc>
          <w:tcPr>
            <w:tcW w:w="796" w:type="pct"/>
            <w:tcBorders>
              <w:bottom w:val="nil"/>
            </w:tcBorders>
            <w:vAlign w:val="center"/>
          </w:tcPr>
          <w:p w14:paraId="466282E8" w14:textId="77777777" w:rsidR="00B868FE" w:rsidRPr="006919A9" w:rsidRDefault="00B868FE" w:rsidP="002234D3">
            <w:pPr>
              <w:pStyle w:val="TableText0"/>
              <w:keepNext w:val="0"/>
            </w:pPr>
            <w:r w:rsidRPr="006919A9">
              <w:t>KN-522</w:t>
            </w:r>
          </w:p>
        </w:tc>
        <w:tc>
          <w:tcPr>
            <w:tcW w:w="3027" w:type="pct"/>
            <w:tcBorders>
              <w:bottom w:val="nil"/>
            </w:tcBorders>
            <w:vAlign w:val="center"/>
          </w:tcPr>
          <w:p w14:paraId="4C44E29C" w14:textId="77777777" w:rsidR="00B868FE" w:rsidRPr="006919A9" w:rsidRDefault="00B868FE" w:rsidP="002234D3">
            <w:pPr>
              <w:pStyle w:val="TableText0"/>
              <w:keepNext w:val="0"/>
              <w:rPr>
                <w:szCs w:val="18"/>
              </w:rPr>
            </w:pPr>
            <w:r w:rsidRPr="006919A9">
              <w:rPr>
                <w:szCs w:val="18"/>
              </w:rPr>
              <w:t>A Randomised, Double-Blind, Phase III Study to evaluate Pembrolizumab plus chemotherapy vs Placebo plus chemotherapy as neoadjuvant therapy and Pembrolizumab vs placebo as adjuvant therapy for triple negative breast cancer (KEYNOTE-522) Clinical Study Report (CSR) – Interim analysis 4</w:t>
            </w:r>
          </w:p>
        </w:tc>
        <w:tc>
          <w:tcPr>
            <w:tcW w:w="1177" w:type="pct"/>
            <w:tcBorders>
              <w:bottom w:val="nil"/>
            </w:tcBorders>
            <w:vAlign w:val="center"/>
          </w:tcPr>
          <w:p w14:paraId="09B65CD5" w14:textId="77777777" w:rsidR="00B868FE" w:rsidRPr="006919A9" w:rsidRDefault="00B868FE" w:rsidP="002234D3">
            <w:pPr>
              <w:pStyle w:val="TableText0"/>
              <w:keepNext w:val="0"/>
            </w:pPr>
            <w:r w:rsidRPr="006919A9">
              <w:t>26 July 2021</w:t>
            </w:r>
          </w:p>
        </w:tc>
      </w:tr>
      <w:tr w:rsidR="006919A9" w:rsidRPr="006919A9" w14:paraId="599C48C4" w14:textId="77777777" w:rsidTr="002234D3">
        <w:tc>
          <w:tcPr>
            <w:tcW w:w="796" w:type="pct"/>
            <w:tcBorders>
              <w:top w:val="nil"/>
              <w:bottom w:val="nil"/>
            </w:tcBorders>
            <w:vAlign w:val="center"/>
          </w:tcPr>
          <w:p w14:paraId="7FA68897" w14:textId="77777777" w:rsidR="00B868FE" w:rsidRPr="006919A9" w:rsidRDefault="00B868FE" w:rsidP="002234D3">
            <w:pPr>
              <w:pStyle w:val="TableText0"/>
              <w:keepNext w:val="0"/>
            </w:pPr>
          </w:p>
        </w:tc>
        <w:tc>
          <w:tcPr>
            <w:tcW w:w="3027" w:type="pct"/>
            <w:tcBorders>
              <w:top w:val="nil"/>
              <w:bottom w:val="nil"/>
            </w:tcBorders>
            <w:vAlign w:val="center"/>
          </w:tcPr>
          <w:p w14:paraId="32D300AB" w14:textId="77777777" w:rsidR="00B868FE" w:rsidRPr="006919A9" w:rsidRDefault="00B868FE" w:rsidP="002234D3">
            <w:pPr>
              <w:pStyle w:val="TableText0"/>
              <w:keepNext w:val="0"/>
              <w:rPr>
                <w:szCs w:val="18"/>
              </w:rPr>
            </w:pPr>
            <w:r w:rsidRPr="006919A9">
              <w:rPr>
                <w:szCs w:val="18"/>
              </w:rPr>
              <w:t xml:space="preserve">Schmid P, Cortes J, Dent R, </w:t>
            </w:r>
            <w:proofErr w:type="spellStart"/>
            <w:r w:rsidRPr="006919A9">
              <w:rPr>
                <w:szCs w:val="18"/>
              </w:rPr>
              <w:t>Pusztai</w:t>
            </w:r>
            <w:proofErr w:type="spellEnd"/>
            <w:r w:rsidRPr="006919A9">
              <w:rPr>
                <w:szCs w:val="18"/>
              </w:rPr>
              <w:t xml:space="preserve"> L, McArthur H, </w:t>
            </w:r>
            <w:proofErr w:type="spellStart"/>
            <w:r w:rsidRPr="006919A9">
              <w:rPr>
                <w:szCs w:val="18"/>
              </w:rPr>
              <w:t>Kümmel</w:t>
            </w:r>
            <w:proofErr w:type="spellEnd"/>
            <w:r w:rsidRPr="006919A9">
              <w:rPr>
                <w:szCs w:val="18"/>
              </w:rPr>
              <w:t xml:space="preserve"> S, Bergh J, </w:t>
            </w:r>
            <w:proofErr w:type="spellStart"/>
            <w:r w:rsidRPr="006919A9">
              <w:rPr>
                <w:szCs w:val="18"/>
              </w:rPr>
              <w:t>Denkert</w:t>
            </w:r>
            <w:proofErr w:type="spellEnd"/>
            <w:r w:rsidRPr="006919A9">
              <w:rPr>
                <w:szCs w:val="18"/>
              </w:rPr>
              <w:t xml:space="preserve"> C, Park YH, Hui R, Harbeck N, Takahashi M, </w:t>
            </w:r>
            <w:proofErr w:type="spellStart"/>
            <w:r w:rsidRPr="006919A9">
              <w:rPr>
                <w:szCs w:val="18"/>
              </w:rPr>
              <w:t>Untch</w:t>
            </w:r>
            <w:proofErr w:type="spellEnd"/>
            <w:r w:rsidRPr="006919A9">
              <w:rPr>
                <w:szCs w:val="18"/>
              </w:rPr>
              <w:t xml:space="preserve"> M, Fasching PA, Cardoso F, Andersen J, </w:t>
            </w:r>
            <w:proofErr w:type="spellStart"/>
            <w:r w:rsidRPr="006919A9">
              <w:rPr>
                <w:szCs w:val="18"/>
              </w:rPr>
              <w:t>Patt</w:t>
            </w:r>
            <w:proofErr w:type="spellEnd"/>
            <w:r w:rsidRPr="006919A9">
              <w:rPr>
                <w:szCs w:val="18"/>
              </w:rPr>
              <w:t xml:space="preserve"> D, </w:t>
            </w:r>
            <w:proofErr w:type="spellStart"/>
            <w:r w:rsidRPr="006919A9">
              <w:rPr>
                <w:szCs w:val="18"/>
              </w:rPr>
              <w:t>Danso</w:t>
            </w:r>
            <w:proofErr w:type="spellEnd"/>
            <w:r w:rsidRPr="006919A9">
              <w:rPr>
                <w:szCs w:val="18"/>
              </w:rPr>
              <w:t xml:space="preserve"> M, Ferreira M, Mouret-Reynier MA, Im SA, Ahn JH, </w:t>
            </w:r>
            <w:proofErr w:type="spellStart"/>
            <w:r w:rsidRPr="006919A9">
              <w:rPr>
                <w:szCs w:val="18"/>
              </w:rPr>
              <w:t>Gion</w:t>
            </w:r>
            <w:proofErr w:type="spellEnd"/>
            <w:r w:rsidRPr="006919A9">
              <w:rPr>
                <w:szCs w:val="18"/>
              </w:rPr>
              <w:t xml:space="preserve"> M, Baron-Hay S, Boileau JF, Ding Y, </w:t>
            </w:r>
            <w:proofErr w:type="spellStart"/>
            <w:r w:rsidRPr="006919A9">
              <w:rPr>
                <w:szCs w:val="18"/>
              </w:rPr>
              <w:t>Tryfonidis</w:t>
            </w:r>
            <w:proofErr w:type="spellEnd"/>
            <w:r w:rsidRPr="006919A9">
              <w:rPr>
                <w:szCs w:val="18"/>
              </w:rPr>
              <w:t xml:space="preserve"> K, </w:t>
            </w:r>
            <w:proofErr w:type="spellStart"/>
            <w:r w:rsidRPr="006919A9">
              <w:rPr>
                <w:szCs w:val="18"/>
              </w:rPr>
              <w:t>Aktan</w:t>
            </w:r>
            <w:proofErr w:type="spellEnd"/>
            <w:r w:rsidRPr="006919A9">
              <w:rPr>
                <w:szCs w:val="18"/>
              </w:rPr>
              <w:t xml:space="preserve"> G, Karantza V, O'Shaughnessy J; KEYNOTE-522 Investigators. Event-free Survival with Pembrolizumab in Early Triple-Negative Breast Cancer. </w:t>
            </w:r>
          </w:p>
        </w:tc>
        <w:tc>
          <w:tcPr>
            <w:tcW w:w="1177" w:type="pct"/>
            <w:tcBorders>
              <w:top w:val="nil"/>
              <w:bottom w:val="nil"/>
            </w:tcBorders>
            <w:vAlign w:val="center"/>
          </w:tcPr>
          <w:p w14:paraId="63CD64AE" w14:textId="77777777" w:rsidR="00B868FE" w:rsidRPr="006919A9" w:rsidRDefault="00B868FE" w:rsidP="002234D3">
            <w:pPr>
              <w:pStyle w:val="TableText0"/>
              <w:keepNext w:val="0"/>
              <w:rPr>
                <w:szCs w:val="18"/>
              </w:rPr>
            </w:pPr>
            <w:r w:rsidRPr="006919A9">
              <w:rPr>
                <w:i/>
                <w:iCs/>
                <w:szCs w:val="18"/>
              </w:rPr>
              <w:t>NEJM</w:t>
            </w:r>
            <w:r w:rsidRPr="006919A9">
              <w:rPr>
                <w:szCs w:val="18"/>
              </w:rPr>
              <w:t xml:space="preserve"> 2022; 386(6):556-567.</w:t>
            </w:r>
          </w:p>
        </w:tc>
      </w:tr>
      <w:tr w:rsidR="006919A9" w:rsidRPr="006919A9" w14:paraId="31E84C52" w14:textId="77777777" w:rsidTr="005C3B2E">
        <w:tc>
          <w:tcPr>
            <w:tcW w:w="796" w:type="pct"/>
            <w:tcBorders>
              <w:top w:val="nil"/>
              <w:bottom w:val="single" w:sz="4" w:space="0" w:color="auto"/>
            </w:tcBorders>
            <w:vAlign w:val="center"/>
          </w:tcPr>
          <w:p w14:paraId="5BA07413" w14:textId="77777777" w:rsidR="00B868FE" w:rsidRPr="006919A9" w:rsidRDefault="00B868FE" w:rsidP="002234D3">
            <w:pPr>
              <w:pStyle w:val="TableText0"/>
              <w:keepNext w:val="0"/>
            </w:pPr>
          </w:p>
        </w:tc>
        <w:tc>
          <w:tcPr>
            <w:tcW w:w="3027" w:type="pct"/>
            <w:tcBorders>
              <w:top w:val="nil"/>
              <w:bottom w:val="single" w:sz="4" w:space="0" w:color="auto"/>
            </w:tcBorders>
            <w:vAlign w:val="center"/>
          </w:tcPr>
          <w:p w14:paraId="3591D3D2" w14:textId="77777777" w:rsidR="00B868FE" w:rsidRPr="006919A9" w:rsidRDefault="00B868FE" w:rsidP="002234D3">
            <w:pPr>
              <w:pStyle w:val="TableText0"/>
              <w:keepNext w:val="0"/>
              <w:rPr>
                <w:szCs w:val="18"/>
              </w:rPr>
            </w:pPr>
            <w:r w:rsidRPr="006919A9">
              <w:rPr>
                <w:szCs w:val="18"/>
              </w:rPr>
              <w:t xml:space="preserve">Schmid P, Cortes J, </w:t>
            </w:r>
            <w:proofErr w:type="spellStart"/>
            <w:r w:rsidRPr="006919A9">
              <w:rPr>
                <w:szCs w:val="18"/>
              </w:rPr>
              <w:t>Pusztai</w:t>
            </w:r>
            <w:proofErr w:type="spellEnd"/>
            <w:r w:rsidRPr="006919A9">
              <w:rPr>
                <w:szCs w:val="18"/>
              </w:rPr>
              <w:t xml:space="preserve"> L, McArthur H, </w:t>
            </w:r>
            <w:proofErr w:type="spellStart"/>
            <w:r w:rsidRPr="006919A9">
              <w:rPr>
                <w:szCs w:val="18"/>
              </w:rPr>
              <w:t>Kümmel</w:t>
            </w:r>
            <w:proofErr w:type="spellEnd"/>
            <w:r w:rsidRPr="006919A9">
              <w:rPr>
                <w:szCs w:val="18"/>
              </w:rPr>
              <w:t xml:space="preserve"> S, Bergh J, </w:t>
            </w:r>
            <w:proofErr w:type="spellStart"/>
            <w:r w:rsidRPr="006919A9">
              <w:rPr>
                <w:szCs w:val="18"/>
              </w:rPr>
              <w:t>Denkert</w:t>
            </w:r>
            <w:proofErr w:type="spellEnd"/>
            <w:r w:rsidRPr="006919A9">
              <w:rPr>
                <w:szCs w:val="18"/>
              </w:rPr>
              <w:t xml:space="preserve"> C, Park YH, Hui R, Harbeck N, Takahashi M, </w:t>
            </w:r>
            <w:proofErr w:type="spellStart"/>
            <w:r w:rsidRPr="006919A9">
              <w:rPr>
                <w:szCs w:val="18"/>
              </w:rPr>
              <w:t>Foukakis</w:t>
            </w:r>
            <w:proofErr w:type="spellEnd"/>
            <w:r w:rsidRPr="006919A9">
              <w:rPr>
                <w:szCs w:val="18"/>
              </w:rPr>
              <w:t xml:space="preserve"> T, Fasching PA, Cardoso F, </w:t>
            </w:r>
            <w:proofErr w:type="spellStart"/>
            <w:r w:rsidRPr="006919A9">
              <w:rPr>
                <w:szCs w:val="18"/>
              </w:rPr>
              <w:t>Untch</w:t>
            </w:r>
            <w:proofErr w:type="spellEnd"/>
            <w:r w:rsidRPr="006919A9">
              <w:rPr>
                <w:szCs w:val="18"/>
              </w:rPr>
              <w:t xml:space="preserve"> M, Jia L, Karantza V, Zhao J, </w:t>
            </w:r>
            <w:proofErr w:type="spellStart"/>
            <w:r w:rsidRPr="006919A9">
              <w:rPr>
                <w:szCs w:val="18"/>
              </w:rPr>
              <w:t>Aktan</w:t>
            </w:r>
            <w:proofErr w:type="spellEnd"/>
            <w:r w:rsidRPr="006919A9">
              <w:rPr>
                <w:szCs w:val="18"/>
              </w:rPr>
              <w:t xml:space="preserve"> G, Dent R, O'Shaughnessy J; KEYNOTE-522 Investigators. Pembrolizumab for Early Triple-Negative Breast Cancer. N Engl J Med. </w:t>
            </w:r>
          </w:p>
        </w:tc>
        <w:tc>
          <w:tcPr>
            <w:tcW w:w="1177" w:type="pct"/>
            <w:tcBorders>
              <w:top w:val="nil"/>
              <w:bottom w:val="single" w:sz="4" w:space="0" w:color="auto"/>
            </w:tcBorders>
            <w:vAlign w:val="center"/>
          </w:tcPr>
          <w:p w14:paraId="3677EDBD" w14:textId="77777777" w:rsidR="00B868FE" w:rsidRPr="006919A9" w:rsidRDefault="00B868FE" w:rsidP="002234D3">
            <w:pPr>
              <w:pStyle w:val="TableText0"/>
              <w:keepNext w:val="0"/>
              <w:rPr>
                <w:szCs w:val="18"/>
              </w:rPr>
            </w:pPr>
            <w:r w:rsidRPr="006919A9">
              <w:rPr>
                <w:i/>
                <w:iCs/>
                <w:szCs w:val="18"/>
              </w:rPr>
              <w:t xml:space="preserve">NEJM </w:t>
            </w:r>
            <w:r w:rsidRPr="006919A9">
              <w:rPr>
                <w:szCs w:val="18"/>
              </w:rPr>
              <w:t>2020; 382(9):810-821.</w:t>
            </w:r>
          </w:p>
        </w:tc>
      </w:tr>
    </w:tbl>
    <w:p w14:paraId="2B4AFFD3" w14:textId="77777777" w:rsidR="00B868FE" w:rsidRPr="006919A9" w:rsidRDefault="00B868FE" w:rsidP="00B868FE">
      <w:pPr>
        <w:pStyle w:val="FooterTableFigure"/>
        <w:rPr>
          <w:sz w:val="20"/>
        </w:rPr>
      </w:pPr>
      <w:r w:rsidRPr="006919A9">
        <w:t>Source: Table 2.2-2, pp18-19 of the submission.</w:t>
      </w:r>
    </w:p>
    <w:p w14:paraId="1B3D61D0" w14:textId="229C55D1" w:rsidR="00B868FE" w:rsidRPr="006919A9" w:rsidRDefault="00B868FE" w:rsidP="00B868FE">
      <w:pPr>
        <w:pStyle w:val="3-BodyText"/>
      </w:pPr>
      <w:r w:rsidRPr="006919A9">
        <w:t xml:space="preserve">The key features of the KN-552 </w:t>
      </w:r>
      <w:r w:rsidR="009C5829">
        <w:t xml:space="preserve">trial </w:t>
      </w:r>
      <w:r w:rsidRPr="006919A9">
        <w:t xml:space="preserve">are summarised in </w:t>
      </w:r>
      <w:r w:rsidRPr="006919A9">
        <w:fldChar w:fldCharType="begin" w:fldLock="1"/>
      </w:r>
      <w:r w:rsidRPr="006919A9">
        <w:instrText xml:space="preserve"> REF _Ref104804098 \h  \* MERGEFORMAT </w:instrText>
      </w:r>
      <w:r w:rsidRPr="006919A9">
        <w:fldChar w:fldCharType="separate"/>
      </w:r>
      <w:r w:rsidR="0067416F" w:rsidRPr="0067416F">
        <w:t>Table 3</w:t>
      </w:r>
      <w:r w:rsidRPr="006919A9">
        <w:fldChar w:fldCharType="end"/>
      </w:r>
      <w:r w:rsidRPr="006919A9">
        <w:t>.</w:t>
      </w:r>
    </w:p>
    <w:p w14:paraId="60002FDD" w14:textId="199746BD" w:rsidR="00B868FE" w:rsidRPr="006919A9" w:rsidRDefault="00B868FE" w:rsidP="00B868FE">
      <w:pPr>
        <w:pStyle w:val="Caption"/>
        <w:rPr>
          <w:rStyle w:val="CommentReference"/>
          <w:rFonts w:eastAsiaTheme="majorEastAsia" w:cstheme="majorBidi"/>
          <w:b/>
          <w:szCs w:val="24"/>
        </w:rPr>
      </w:pPr>
      <w:bookmarkStart w:id="19" w:name="_Ref104804098"/>
      <w:r w:rsidRPr="006919A9">
        <w:rPr>
          <w:rStyle w:val="CommentReference"/>
          <w:rFonts w:eastAsiaTheme="majorEastAsia" w:cstheme="majorBidi"/>
          <w:b/>
          <w:szCs w:val="24"/>
        </w:rPr>
        <w:t xml:space="preserve">Table </w:t>
      </w:r>
      <w:r w:rsidRPr="006919A9">
        <w:rPr>
          <w:rStyle w:val="CommentReference"/>
          <w:rFonts w:eastAsiaTheme="majorEastAsia" w:cstheme="majorBidi"/>
          <w:b/>
          <w:szCs w:val="24"/>
        </w:rPr>
        <w:fldChar w:fldCharType="begin" w:fldLock="1"/>
      </w:r>
      <w:r w:rsidRPr="006919A9">
        <w:rPr>
          <w:rStyle w:val="CommentReference"/>
          <w:rFonts w:eastAsiaTheme="majorEastAsia" w:cstheme="majorBidi"/>
          <w:b/>
          <w:szCs w:val="24"/>
        </w:rPr>
        <w:instrText xml:space="preserve"> SEQ Table \* ARABIC </w:instrText>
      </w:r>
      <w:r w:rsidRPr="006919A9">
        <w:rPr>
          <w:rStyle w:val="CommentReference"/>
          <w:rFonts w:eastAsiaTheme="majorEastAsia" w:cstheme="majorBidi"/>
          <w:b/>
          <w:szCs w:val="24"/>
        </w:rPr>
        <w:fldChar w:fldCharType="separate"/>
      </w:r>
      <w:r w:rsidR="0067416F">
        <w:rPr>
          <w:rStyle w:val="CommentReference"/>
          <w:rFonts w:eastAsiaTheme="majorEastAsia" w:cstheme="majorBidi"/>
          <w:b/>
          <w:noProof/>
          <w:szCs w:val="24"/>
        </w:rPr>
        <w:t>3</w:t>
      </w:r>
      <w:r w:rsidRPr="006919A9">
        <w:rPr>
          <w:rStyle w:val="CommentReference"/>
          <w:rFonts w:eastAsiaTheme="majorEastAsia" w:cstheme="majorBidi"/>
          <w:b/>
          <w:szCs w:val="24"/>
        </w:rPr>
        <w:fldChar w:fldCharType="end"/>
      </w:r>
      <w:bookmarkEnd w:id="19"/>
      <w:r w:rsidRPr="006919A9">
        <w:rPr>
          <w:rStyle w:val="CommentReference"/>
          <w:rFonts w:eastAsiaTheme="majorEastAsia" w:cstheme="majorBidi"/>
          <w:b/>
          <w:szCs w:val="24"/>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86"/>
        <w:gridCol w:w="840"/>
        <w:gridCol w:w="1410"/>
        <w:gridCol w:w="1120"/>
        <w:gridCol w:w="1546"/>
        <w:gridCol w:w="1122"/>
        <w:gridCol w:w="1693"/>
      </w:tblGrid>
      <w:tr w:rsidR="006919A9" w:rsidRPr="006919A9" w14:paraId="1B2C0493" w14:textId="77777777" w:rsidTr="002234D3">
        <w:trPr>
          <w:cantSplit/>
          <w:tblHeader/>
        </w:trPr>
        <w:tc>
          <w:tcPr>
            <w:tcW w:w="713" w:type="pct"/>
            <w:shd w:val="clear" w:color="auto" w:fill="auto"/>
            <w:vAlign w:val="center"/>
          </w:tcPr>
          <w:p w14:paraId="02391B50" w14:textId="77777777" w:rsidR="00B868FE" w:rsidRPr="006919A9" w:rsidRDefault="00B868FE" w:rsidP="002234D3">
            <w:pPr>
              <w:pStyle w:val="In-tableHeading"/>
              <w:rPr>
                <w:lang w:val="en-AU"/>
              </w:rPr>
            </w:pPr>
            <w:r w:rsidRPr="006919A9">
              <w:rPr>
                <w:lang w:val="en-AU"/>
              </w:rPr>
              <w:t>Trial</w:t>
            </w:r>
          </w:p>
        </w:tc>
        <w:tc>
          <w:tcPr>
            <w:tcW w:w="466" w:type="pct"/>
            <w:shd w:val="clear" w:color="auto" w:fill="auto"/>
            <w:vAlign w:val="center"/>
          </w:tcPr>
          <w:p w14:paraId="63D9805C" w14:textId="77777777" w:rsidR="00B868FE" w:rsidRPr="006919A9" w:rsidRDefault="00B868FE" w:rsidP="002234D3">
            <w:pPr>
              <w:pStyle w:val="In-tableHeading"/>
              <w:jc w:val="center"/>
              <w:rPr>
                <w:lang w:val="en-AU"/>
              </w:rPr>
            </w:pPr>
            <w:r w:rsidRPr="006919A9">
              <w:rPr>
                <w:lang w:val="en-AU"/>
              </w:rPr>
              <w:t>N</w:t>
            </w:r>
          </w:p>
        </w:tc>
        <w:tc>
          <w:tcPr>
            <w:tcW w:w="782" w:type="pct"/>
            <w:shd w:val="clear" w:color="auto" w:fill="auto"/>
            <w:vAlign w:val="center"/>
          </w:tcPr>
          <w:p w14:paraId="2A1E4163" w14:textId="77777777" w:rsidR="00B868FE" w:rsidRPr="006919A9" w:rsidRDefault="00B868FE" w:rsidP="002234D3">
            <w:pPr>
              <w:pStyle w:val="In-tableHeading"/>
              <w:jc w:val="center"/>
              <w:rPr>
                <w:lang w:val="en-AU"/>
              </w:rPr>
            </w:pPr>
            <w:r w:rsidRPr="006919A9">
              <w:rPr>
                <w:lang w:val="en-AU"/>
              </w:rPr>
              <w:t>Design/ duration</w:t>
            </w:r>
          </w:p>
        </w:tc>
        <w:tc>
          <w:tcPr>
            <w:tcW w:w="621" w:type="pct"/>
            <w:shd w:val="clear" w:color="auto" w:fill="auto"/>
            <w:vAlign w:val="center"/>
          </w:tcPr>
          <w:p w14:paraId="65BF3606" w14:textId="77777777" w:rsidR="00B868FE" w:rsidRPr="006919A9" w:rsidRDefault="00B868FE" w:rsidP="002234D3">
            <w:pPr>
              <w:pStyle w:val="In-tableHeading"/>
              <w:jc w:val="center"/>
              <w:rPr>
                <w:lang w:val="en-AU"/>
              </w:rPr>
            </w:pPr>
            <w:r w:rsidRPr="006919A9">
              <w:rPr>
                <w:lang w:val="en-AU"/>
              </w:rPr>
              <w:t>Risk of bias</w:t>
            </w:r>
          </w:p>
        </w:tc>
        <w:tc>
          <w:tcPr>
            <w:tcW w:w="857" w:type="pct"/>
            <w:shd w:val="clear" w:color="auto" w:fill="auto"/>
            <w:vAlign w:val="center"/>
          </w:tcPr>
          <w:p w14:paraId="738873D2" w14:textId="77777777" w:rsidR="00B868FE" w:rsidRPr="006919A9" w:rsidRDefault="00B868FE" w:rsidP="002234D3">
            <w:pPr>
              <w:pStyle w:val="In-tableHeading"/>
              <w:jc w:val="center"/>
              <w:rPr>
                <w:lang w:val="en-AU"/>
              </w:rPr>
            </w:pPr>
            <w:r w:rsidRPr="006919A9">
              <w:rPr>
                <w:lang w:val="en-AU"/>
              </w:rPr>
              <w:t>Patient population</w:t>
            </w:r>
          </w:p>
        </w:tc>
        <w:tc>
          <w:tcPr>
            <w:tcW w:w="622" w:type="pct"/>
            <w:shd w:val="clear" w:color="auto" w:fill="auto"/>
            <w:vAlign w:val="center"/>
          </w:tcPr>
          <w:p w14:paraId="54D031DA" w14:textId="77777777" w:rsidR="00B868FE" w:rsidRPr="006919A9" w:rsidRDefault="00B868FE" w:rsidP="002234D3">
            <w:pPr>
              <w:pStyle w:val="In-tableHeading"/>
              <w:jc w:val="center"/>
              <w:rPr>
                <w:lang w:val="en-AU"/>
              </w:rPr>
            </w:pPr>
            <w:r w:rsidRPr="006919A9">
              <w:rPr>
                <w:lang w:val="en-AU"/>
              </w:rPr>
              <w:t>Outcome(s)</w:t>
            </w:r>
          </w:p>
        </w:tc>
        <w:tc>
          <w:tcPr>
            <w:tcW w:w="939" w:type="pct"/>
            <w:shd w:val="clear" w:color="auto" w:fill="auto"/>
            <w:vAlign w:val="center"/>
          </w:tcPr>
          <w:p w14:paraId="52156E0F" w14:textId="77777777" w:rsidR="00B868FE" w:rsidRPr="006919A9" w:rsidRDefault="00B868FE" w:rsidP="002234D3">
            <w:pPr>
              <w:pStyle w:val="In-tableHeading"/>
              <w:jc w:val="center"/>
              <w:rPr>
                <w:lang w:val="en-AU"/>
              </w:rPr>
            </w:pPr>
            <w:r w:rsidRPr="006919A9">
              <w:rPr>
                <w:lang w:val="en-AU"/>
              </w:rPr>
              <w:t>Use in modelled evaluation</w:t>
            </w:r>
          </w:p>
        </w:tc>
      </w:tr>
      <w:tr w:rsidR="006919A9" w:rsidRPr="006919A9" w14:paraId="7397099C" w14:textId="77777777" w:rsidTr="002234D3">
        <w:trPr>
          <w:cantSplit/>
        </w:trPr>
        <w:tc>
          <w:tcPr>
            <w:tcW w:w="5000" w:type="pct"/>
            <w:gridSpan w:val="7"/>
            <w:shd w:val="clear" w:color="auto" w:fill="auto"/>
            <w:vAlign w:val="center"/>
          </w:tcPr>
          <w:p w14:paraId="02B84E0D" w14:textId="77777777" w:rsidR="00B868FE" w:rsidRPr="006919A9" w:rsidRDefault="00B868FE" w:rsidP="002234D3">
            <w:pPr>
              <w:pStyle w:val="In-tableHeading"/>
              <w:rPr>
                <w:lang w:val="en-AU"/>
              </w:rPr>
            </w:pPr>
            <w:r w:rsidRPr="006919A9">
              <w:rPr>
                <w:lang w:val="en-AU"/>
              </w:rPr>
              <w:t>Pembrolizumab plus chemotherapy versus placebo plus chemotherapy</w:t>
            </w:r>
          </w:p>
        </w:tc>
      </w:tr>
      <w:tr w:rsidR="006919A9" w:rsidRPr="006919A9" w14:paraId="32831A12" w14:textId="77777777" w:rsidTr="002234D3">
        <w:trPr>
          <w:cantSplit/>
        </w:trPr>
        <w:tc>
          <w:tcPr>
            <w:tcW w:w="713" w:type="pct"/>
            <w:shd w:val="clear" w:color="auto" w:fill="auto"/>
            <w:vAlign w:val="center"/>
          </w:tcPr>
          <w:p w14:paraId="04588B0E" w14:textId="77777777" w:rsidR="00B868FE" w:rsidRPr="006919A9" w:rsidRDefault="00B868FE" w:rsidP="002234D3">
            <w:pPr>
              <w:pStyle w:val="TableText0"/>
            </w:pPr>
            <w:r w:rsidRPr="006919A9">
              <w:t>KN-522</w:t>
            </w:r>
          </w:p>
        </w:tc>
        <w:tc>
          <w:tcPr>
            <w:tcW w:w="466" w:type="pct"/>
            <w:shd w:val="clear" w:color="auto" w:fill="auto"/>
            <w:vAlign w:val="center"/>
          </w:tcPr>
          <w:p w14:paraId="53DB5959" w14:textId="77777777" w:rsidR="00B868FE" w:rsidRPr="006919A9" w:rsidRDefault="00B868FE" w:rsidP="002234D3">
            <w:pPr>
              <w:pStyle w:val="TableText0"/>
              <w:jc w:val="center"/>
            </w:pPr>
            <w:r w:rsidRPr="006919A9">
              <w:t>225</w:t>
            </w:r>
          </w:p>
        </w:tc>
        <w:tc>
          <w:tcPr>
            <w:tcW w:w="782" w:type="pct"/>
            <w:shd w:val="clear" w:color="auto" w:fill="auto"/>
            <w:vAlign w:val="center"/>
          </w:tcPr>
          <w:p w14:paraId="20FF8D31" w14:textId="77777777" w:rsidR="00B868FE" w:rsidRPr="006919A9" w:rsidRDefault="00B868FE" w:rsidP="002234D3">
            <w:pPr>
              <w:pStyle w:val="TableText0"/>
              <w:jc w:val="center"/>
            </w:pPr>
            <w:r w:rsidRPr="006919A9">
              <w:t>MC, R, DB</w:t>
            </w:r>
          </w:p>
          <w:p w14:paraId="06D84CD2" w14:textId="77777777" w:rsidR="00B868FE" w:rsidRPr="006919A9" w:rsidRDefault="00B868FE" w:rsidP="002234D3">
            <w:pPr>
              <w:pStyle w:val="TableText0"/>
              <w:jc w:val="center"/>
            </w:pPr>
            <w:r w:rsidRPr="006919A9">
              <w:t>27 weeks max treatment duration</w:t>
            </w:r>
          </w:p>
        </w:tc>
        <w:tc>
          <w:tcPr>
            <w:tcW w:w="621" w:type="pct"/>
            <w:shd w:val="clear" w:color="auto" w:fill="auto"/>
            <w:vAlign w:val="center"/>
          </w:tcPr>
          <w:p w14:paraId="3307DAB9" w14:textId="77777777" w:rsidR="00B868FE" w:rsidRPr="00652C95" w:rsidRDefault="00B868FE" w:rsidP="002234D3">
            <w:pPr>
              <w:pStyle w:val="TableText0"/>
              <w:jc w:val="center"/>
              <w:rPr>
                <w:iCs/>
              </w:rPr>
            </w:pPr>
            <w:r w:rsidRPr="00652C95">
              <w:rPr>
                <w:iCs/>
              </w:rPr>
              <w:t>Low</w:t>
            </w:r>
          </w:p>
        </w:tc>
        <w:tc>
          <w:tcPr>
            <w:tcW w:w="857" w:type="pct"/>
            <w:shd w:val="clear" w:color="auto" w:fill="auto"/>
            <w:vAlign w:val="center"/>
          </w:tcPr>
          <w:p w14:paraId="4F5EBB28" w14:textId="77777777" w:rsidR="00B868FE" w:rsidRPr="006919A9" w:rsidRDefault="00B868FE" w:rsidP="002234D3">
            <w:pPr>
              <w:pStyle w:val="TableText0"/>
              <w:jc w:val="center"/>
            </w:pPr>
            <w:r w:rsidRPr="006919A9">
              <w:t>Early TNBC (adjuvant and neoadjuvant setting)</w:t>
            </w:r>
          </w:p>
        </w:tc>
        <w:tc>
          <w:tcPr>
            <w:tcW w:w="622" w:type="pct"/>
            <w:shd w:val="clear" w:color="auto" w:fill="auto"/>
            <w:vAlign w:val="center"/>
          </w:tcPr>
          <w:p w14:paraId="003EC01B" w14:textId="77777777" w:rsidR="00B868FE" w:rsidRPr="006919A9" w:rsidRDefault="00B868FE" w:rsidP="002234D3">
            <w:pPr>
              <w:pStyle w:val="TableText0"/>
              <w:jc w:val="center"/>
            </w:pPr>
            <w:r w:rsidRPr="006919A9">
              <w:t>pCR, EFS</w:t>
            </w:r>
          </w:p>
        </w:tc>
        <w:tc>
          <w:tcPr>
            <w:tcW w:w="939" w:type="pct"/>
            <w:shd w:val="clear" w:color="auto" w:fill="auto"/>
            <w:vAlign w:val="center"/>
          </w:tcPr>
          <w:p w14:paraId="025C85BB" w14:textId="6F152EBE" w:rsidR="00B868FE" w:rsidRPr="006919A9" w:rsidRDefault="00023715" w:rsidP="002234D3">
            <w:pPr>
              <w:pStyle w:val="TableText0"/>
              <w:jc w:val="center"/>
            </w:pPr>
            <w:r w:rsidRPr="006919A9">
              <w:t>EFS</w:t>
            </w:r>
          </w:p>
        </w:tc>
      </w:tr>
    </w:tbl>
    <w:p w14:paraId="6A8C0329" w14:textId="77777777" w:rsidR="00B868FE" w:rsidRPr="006919A9" w:rsidRDefault="00B868FE" w:rsidP="00B868FE">
      <w:pPr>
        <w:pStyle w:val="FooterTableFigure"/>
      </w:pPr>
      <w:r w:rsidRPr="006919A9">
        <w:t xml:space="preserve">Source: pp19-20 of the submission. </w:t>
      </w:r>
    </w:p>
    <w:p w14:paraId="5215AD48" w14:textId="29B8F915" w:rsidR="00D6569B" w:rsidRDefault="00B868FE" w:rsidP="00B868FE">
      <w:pPr>
        <w:pStyle w:val="FooterTableFigure"/>
      </w:pPr>
      <w:r w:rsidRPr="006919A9">
        <w:t>DB = double blind; MC = multi-centre; EFS = event-free survival; R = randomised.</w:t>
      </w:r>
    </w:p>
    <w:p w14:paraId="4A4FE085" w14:textId="1C5613CC" w:rsidR="00B60939" w:rsidRPr="006919A9" w:rsidRDefault="00B60939" w:rsidP="00EC5836">
      <w:pPr>
        <w:pStyle w:val="4-SubsectionHeading"/>
      </w:pPr>
      <w:bookmarkStart w:id="20" w:name="_Toc22897641"/>
      <w:bookmarkStart w:id="21" w:name="_Toc124710214"/>
      <w:r w:rsidRPr="006919A9">
        <w:lastRenderedPageBreak/>
        <w:t>Comparative effectiveness</w:t>
      </w:r>
      <w:bookmarkEnd w:id="20"/>
      <w:bookmarkEnd w:id="21"/>
    </w:p>
    <w:p w14:paraId="6D7940D2" w14:textId="4D749516" w:rsidR="00140969" w:rsidRPr="006919A9" w:rsidRDefault="00140969" w:rsidP="0007124D">
      <w:pPr>
        <w:pStyle w:val="3-BodyText"/>
      </w:pPr>
      <w:r w:rsidRPr="006919A9">
        <w:fldChar w:fldCharType="begin" w:fldLock="1"/>
      </w:r>
      <w:r w:rsidRPr="006919A9">
        <w:instrText xml:space="preserve"> REF _Ref123389617 \h  \* MERGEFORMAT </w:instrText>
      </w:r>
      <w:r w:rsidRPr="006919A9">
        <w:fldChar w:fldCharType="separate"/>
      </w:r>
      <w:r w:rsidR="0067416F" w:rsidRPr="0067416F">
        <w:rPr>
          <w:rFonts w:eastAsiaTheme="majorEastAsia"/>
        </w:rPr>
        <w:t xml:space="preserve">Table </w:t>
      </w:r>
      <w:r w:rsidR="0067416F" w:rsidRPr="0067416F">
        <w:t>4</w:t>
      </w:r>
      <w:r w:rsidRPr="006919A9">
        <w:fldChar w:fldCharType="end"/>
      </w:r>
      <w:r w:rsidRPr="006919A9">
        <w:t xml:space="preserve"> presents the results of the rate of pCR, as defined by </w:t>
      </w:r>
      <w:r w:rsidR="007926B0">
        <w:t xml:space="preserve">absence of </w:t>
      </w:r>
      <w:r w:rsidR="0043327B">
        <w:t>tumour</w:t>
      </w:r>
      <w:r w:rsidR="006D38F8">
        <w:t xml:space="preserve"> </w:t>
      </w:r>
      <w:r w:rsidR="007926B0">
        <w:t xml:space="preserve">in the breast </w:t>
      </w:r>
      <w:r w:rsidR="006D38F8">
        <w:t xml:space="preserve">or lymph </w:t>
      </w:r>
      <w:r w:rsidR="007926B0">
        <w:t>nodes (</w:t>
      </w:r>
      <w:r w:rsidR="00201410">
        <w:t xml:space="preserve">i.e. </w:t>
      </w:r>
      <w:r w:rsidR="009E4B30">
        <w:t xml:space="preserve">in the TNM staging system, </w:t>
      </w:r>
      <w:proofErr w:type="spellStart"/>
      <w:r w:rsidRPr="006919A9">
        <w:t>yp</w:t>
      </w:r>
      <w:proofErr w:type="spellEnd"/>
      <w:r w:rsidR="00D1186E">
        <w:t xml:space="preserve"> </w:t>
      </w:r>
      <w:r w:rsidRPr="006919A9">
        <w:t>T0/Tis ypN0</w:t>
      </w:r>
      <w:r w:rsidR="00D1186E">
        <w:t xml:space="preserve"> where </w:t>
      </w:r>
      <w:proofErr w:type="spellStart"/>
      <w:r w:rsidR="00D1186E">
        <w:t>yp</w:t>
      </w:r>
      <w:proofErr w:type="spellEnd"/>
      <w:r w:rsidR="00D1186E">
        <w:t xml:space="preserve"> </w:t>
      </w:r>
      <w:r w:rsidR="002C28BC">
        <w:t>indicates pathological data following s</w:t>
      </w:r>
      <w:r w:rsidR="002C28BC" w:rsidRPr="002C28BC">
        <w:t>ystemic or radiation therapy be it prior to surgery or as a primary treatment</w:t>
      </w:r>
      <w:r w:rsidR="00DD3191">
        <w:t>, T0 indicating no evidence of primary tumour</w:t>
      </w:r>
      <w:r w:rsidR="002625BA">
        <w:t>, Tis indicating carcinoma in situ and N</w:t>
      </w:r>
      <w:r w:rsidR="00672081">
        <w:t>0</w:t>
      </w:r>
      <w:r w:rsidR="002625BA">
        <w:t xml:space="preserve"> indicating no regional nodal metastasis</w:t>
      </w:r>
      <w:r w:rsidR="007926B0">
        <w:t>)</w:t>
      </w:r>
      <w:r w:rsidRPr="006919A9">
        <w:t xml:space="preserve"> in the pembrolizumab </w:t>
      </w:r>
      <w:r w:rsidR="00EB1653">
        <w:t>+</w:t>
      </w:r>
      <w:r w:rsidR="00EB1653" w:rsidRPr="006919A9">
        <w:t xml:space="preserve"> </w:t>
      </w:r>
      <w:r w:rsidR="00D4349B" w:rsidRPr="006919A9">
        <w:t>chemotherapy</w:t>
      </w:r>
      <w:r w:rsidRPr="006919A9">
        <w:t xml:space="preserve"> and placebo </w:t>
      </w:r>
      <w:r w:rsidR="00EB1653">
        <w:t>+</w:t>
      </w:r>
      <w:r w:rsidR="00EB1653" w:rsidRPr="006919A9">
        <w:t xml:space="preserve"> </w:t>
      </w:r>
      <w:r w:rsidR="00D4349B" w:rsidRPr="006919A9">
        <w:t>chemotherapy</w:t>
      </w:r>
      <w:r w:rsidRPr="006919A9">
        <w:t xml:space="preserve"> ITT populations. </w:t>
      </w:r>
    </w:p>
    <w:p w14:paraId="222F2D65" w14:textId="10C62C0E" w:rsidR="00D56181" w:rsidRPr="006919A9" w:rsidRDefault="00D56181" w:rsidP="00D56181">
      <w:pPr>
        <w:pStyle w:val="3-BodyText"/>
      </w:pPr>
      <w:r w:rsidRPr="006919A9">
        <w:t>The submission stated that the primary endpoint of pCR was met at the first pre-specified interim analysis (IA1) and continued to show a significant improvement in the pembrolizumab treatment group in IA2, which is</w:t>
      </w:r>
      <w:r w:rsidR="009652CA">
        <w:t xml:space="preserve"> further</w:t>
      </w:r>
      <w:r w:rsidRPr="006919A9">
        <w:t xml:space="preserve"> supported through a supportive analysis (estimation) in IA4. The median follow-up in the ITT population at IA4 (data cut-off, </w:t>
      </w:r>
      <w:r w:rsidR="005C5C63">
        <w:t xml:space="preserve">23 </w:t>
      </w:r>
      <w:r w:rsidRPr="006919A9">
        <w:t xml:space="preserve">March 2021) was 37.8 months (range 2.7 to 48.0 months). </w:t>
      </w:r>
    </w:p>
    <w:p w14:paraId="51F2256A" w14:textId="5211E7F6" w:rsidR="00140969" w:rsidRPr="006919A9" w:rsidRDefault="00140969" w:rsidP="00140969">
      <w:pPr>
        <w:pStyle w:val="3-BodyText"/>
      </w:pPr>
      <w:r w:rsidRPr="006919A9">
        <w:t xml:space="preserve">Both treatment arms reported </w:t>
      </w:r>
      <w:proofErr w:type="spellStart"/>
      <w:r w:rsidRPr="006919A9">
        <w:t>pCRs</w:t>
      </w:r>
      <w:proofErr w:type="spellEnd"/>
      <w:r w:rsidRPr="006919A9">
        <w:t xml:space="preserve"> above 50%. A higher proportion of patients randomised to pembrolizumab </w:t>
      </w:r>
      <w:r w:rsidR="00D4349B" w:rsidRPr="006919A9">
        <w:t xml:space="preserve">plus chemotherapy </w:t>
      </w:r>
      <w:r w:rsidRPr="006919A9">
        <w:t xml:space="preserve">reported pCR compared to the proportion of patients randomised to placebo </w:t>
      </w:r>
      <w:r w:rsidR="00EB1653">
        <w:t>+</w:t>
      </w:r>
      <w:r w:rsidR="00EB1653" w:rsidRPr="006919A9">
        <w:t xml:space="preserve"> </w:t>
      </w:r>
      <w:r w:rsidRPr="006919A9">
        <w:t xml:space="preserve">chemotherapy at IA4, with </w:t>
      </w:r>
      <w:r w:rsidR="00D56181">
        <w:t xml:space="preserve">an absolute </w:t>
      </w:r>
      <w:r w:rsidRPr="006919A9">
        <w:t>difference of 7.5% in the ITT population.</w:t>
      </w:r>
      <w:r w:rsidR="0070477E" w:rsidRPr="006919A9">
        <w:t xml:space="preserve"> </w:t>
      </w:r>
    </w:p>
    <w:p w14:paraId="37D72DEF" w14:textId="3722D87F" w:rsidR="00140969" w:rsidRPr="006919A9" w:rsidRDefault="00140969" w:rsidP="00140969">
      <w:pPr>
        <w:pStyle w:val="In-tableHeading"/>
        <w:rPr>
          <w:lang w:val="en-AU"/>
        </w:rPr>
      </w:pPr>
      <w:bookmarkStart w:id="22" w:name="_Ref123389617"/>
      <w:r w:rsidRPr="006919A9">
        <w:rPr>
          <w:rStyle w:val="CommentReference"/>
          <w:rFonts w:cstheme="majorBidi"/>
          <w:b/>
          <w:szCs w:val="24"/>
          <w:lang w:val="en-AU"/>
        </w:rPr>
        <w:t xml:space="preserve">Table </w:t>
      </w:r>
      <w:r w:rsidRPr="006919A9">
        <w:rPr>
          <w:rStyle w:val="CommentReference"/>
          <w:rFonts w:cstheme="majorBidi"/>
          <w:b/>
          <w:szCs w:val="24"/>
          <w:lang w:val="en-AU"/>
        </w:rPr>
        <w:fldChar w:fldCharType="begin" w:fldLock="1"/>
      </w:r>
      <w:r w:rsidRPr="006919A9">
        <w:rPr>
          <w:rStyle w:val="CommentReference"/>
          <w:rFonts w:cstheme="majorBidi"/>
          <w:b/>
          <w:szCs w:val="24"/>
          <w:lang w:val="en-AU"/>
        </w:rPr>
        <w:instrText xml:space="preserve"> SEQ Table \* ARABIC </w:instrText>
      </w:r>
      <w:r w:rsidRPr="006919A9">
        <w:rPr>
          <w:rStyle w:val="CommentReference"/>
          <w:rFonts w:cstheme="majorBidi"/>
          <w:b/>
          <w:szCs w:val="24"/>
          <w:lang w:val="en-AU"/>
        </w:rPr>
        <w:fldChar w:fldCharType="separate"/>
      </w:r>
      <w:r w:rsidR="0067416F">
        <w:rPr>
          <w:rStyle w:val="CommentReference"/>
          <w:rFonts w:cstheme="majorBidi"/>
          <w:b/>
          <w:noProof/>
          <w:szCs w:val="24"/>
          <w:lang w:val="en-AU"/>
        </w:rPr>
        <w:t>4</w:t>
      </w:r>
      <w:r w:rsidRPr="006919A9">
        <w:rPr>
          <w:rStyle w:val="CommentReference"/>
          <w:rFonts w:cstheme="majorBidi"/>
          <w:b/>
          <w:szCs w:val="24"/>
          <w:lang w:val="en-AU"/>
        </w:rPr>
        <w:fldChar w:fldCharType="end"/>
      </w:r>
      <w:bookmarkEnd w:id="22"/>
      <w:r w:rsidRPr="006919A9">
        <w:rPr>
          <w:rStyle w:val="CommentReference"/>
          <w:rFonts w:cstheme="majorBidi"/>
          <w:b/>
          <w:szCs w:val="24"/>
          <w:lang w:val="en-AU"/>
        </w:rPr>
        <w:t xml:space="preserve">: </w:t>
      </w:r>
      <w:r w:rsidRPr="006919A9">
        <w:rPr>
          <w:lang w:val="en-AU"/>
        </w:rPr>
        <w:t>Results of pCR (ypT0/Tis ypN0), ITT KN-522</w:t>
      </w:r>
      <w:r w:rsidR="00D56181">
        <w:rPr>
          <w:lang w:val="en-AU"/>
        </w:rPr>
        <w:t xml:space="preserve"> IA4</w:t>
      </w:r>
    </w:p>
    <w:tbl>
      <w:tblPr>
        <w:tblStyle w:val="TableGrid"/>
        <w:tblW w:w="0" w:type="auto"/>
        <w:tblLook w:val="04A0" w:firstRow="1" w:lastRow="0" w:firstColumn="1" w:lastColumn="0" w:noHBand="0" w:noVBand="1"/>
      </w:tblPr>
      <w:tblGrid>
        <w:gridCol w:w="2965"/>
        <w:gridCol w:w="1543"/>
        <w:gridCol w:w="2254"/>
        <w:gridCol w:w="2255"/>
      </w:tblGrid>
      <w:tr w:rsidR="006919A9" w:rsidRPr="006919A9" w14:paraId="33D89E14" w14:textId="77777777" w:rsidTr="00140969">
        <w:tc>
          <w:tcPr>
            <w:tcW w:w="2965" w:type="dxa"/>
          </w:tcPr>
          <w:p w14:paraId="5509FAAC" w14:textId="77777777" w:rsidR="00140969" w:rsidRPr="006919A9" w:rsidRDefault="00140969" w:rsidP="002234D3">
            <w:pPr>
              <w:pStyle w:val="TableText0"/>
              <w:rPr>
                <w:b/>
                <w:bCs w:val="0"/>
              </w:rPr>
            </w:pPr>
            <w:r w:rsidRPr="006919A9">
              <w:rPr>
                <w:b/>
                <w:bCs w:val="0"/>
              </w:rPr>
              <w:t>Treatment</w:t>
            </w:r>
          </w:p>
        </w:tc>
        <w:tc>
          <w:tcPr>
            <w:tcW w:w="1543" w:type="dxa"/>
            <w:vAlign w:val="center"/>
          </w:tcPr>
          <w:p w14:paraId="7AE271F2" w14:textId="77777777" w:rsidR="00140969" w:rsidRPr="006919A9" w:rsidRDefault="00140969" w:rsidP="002234D3">
            <w:pPr>
              <w:pStyle w:val="TableText0"/>
              <w:jc w:val="center"/>
              <w:rPr>
                <w:b/>
                <w:bCs w:val="0"/>
              </w:rPr>
            </w:pPr>
            <w:r w:rsidRPr="006919A9">
              <w:rPr>
                <w:b/>
                <w:bCs w:val="0"/>
              </w:rPr>
              <w:t>Pembro + chemo</w:t>
            </w:r>
          </w:p>
        </w:tc>
        <w:tc>
          <w:tcPr>
            <w:tcW w:w="2254" w:type="dxa"/>
            <w:vAlign w:val="center"/>
          </w:tcPr>
          <w:p w14:paraId="5C3A4C78" w14:textId="77777777" w:rsidR="00140969" w:rsidRPr="006919A9" w:rsidRDefault="00140969" w:rsidP="002234D3">
            <w:pPr>
              <w:pStyle w:val="TableText0"/>
              <w:jc w:val="center"/>
              <w:rPr>
                <w:b/>
                <w:bCs w:val="0"/>
              </w:rPr>
            </w:pPr>
            <w:r w:rsidRPr="006919A9">
              <w:rPr>
                <w:b/>
                <w:bCs w:val="0"/>
              </w:rPr>
              <w:t>Placebo + chemo</w:t>
            </w:r>
          </w:p>
        </w:tc>
        <w:tc>
          <w:tcPr>
            <w:tcW w:w="2255" w:type="dxa"/>
            <w:vAlign w:val="center"/>
          </w:tcPr>
          <w:p w14:paraId="439485AA" w14:textId="77777777" w:rsidR="00140969" w:rsidRPr="006919A9" w:rsidRDefault="00140969" w:rsidP="002234D3">
            <w:pPr>
              <w:pStyle w:val="TableText0"/>
              <w:jc w:val="center"/>
              <w:rPr>
                <w:b/>
                <w:bCs w:val="0"/>
              </w:rPr>
            </w:pPr>
            <w:r w:rsidRPr="006919A9">
              <w:rPr>
                <w:b/>
                <w:bCs w:val="0"/>
              </w:rPr>
              <w:t>Difference in % (95%CI)</w:t>
            </w:r>
          </w:p>
        </w:tc>
      </w:tr>
      <w:tr w:rsidR="006919A9" w:rsidRPr="006919A9" w14:paraId="0C20C90F" w14:textId="77777777" w:rsidTr="00140969">
        <w:tc>
          <w:tcPr>
            <w:tcW w:w="2965" w:type="dxa"/>
          </w:tcPr>
          <w:p w14:paraId="5D271DBF" w14:textId="77777777" w:rsidR="00140969" w:rsidRPr="006919A9" w:rsidRDefault="00140969" w:rsidP="002234D3">
            <w:pPr>
              <w:pStyle w:val="TableText0"/>
            </w:pPr>
            <w:r w:rsidRPr="006919A9">
              <w:t>n/N</w:t>
            </w:r>
          </w:p>
        </w:tc>
        <w:tc>
          <w:tcPr>
            <w:tcW w:w="1543" w:type="dxa"/>
            <w:vAlign w:val="center"/>
          </w:tcPr>
          <w:p w14:paraId="40AD20A6" w14:textId="77777777" w:rsidR="00140969" w:rsidRPr="006919A9" w:rsidRDefault="00140969" w:rsidP="002234D3">
            <w:pPr>
              <w:pStyle w:val="TableText0"/>
              <w:jc w:val="center"/>
            </w:pPr>
            <w:r w:rsidRPr="006919A9">
              <w:t>494/784</w:t>
            </w:r>
          </w:p>
        </w:tc>
        <w:tc>
          <w:tcPr>
            <w:tcW w:w="2254" w:type="dxa"/>
            <w:vAlign w:val="center"/>
          </w:tcPr>
          <w:p w14:paraId="4CCA483C" w14:textId="77777777" w:rsidR="00140969" w:rsidRPr="006919A9" w:rsidRDefault="00140969" w:rsidP="002234D3">
            <w:pPr>
              <w:pStyle w:val="TableText0"/>
              <w:jc w:val="center"/>
            </w:pPr>
            <w:r w:rsidRPr="006919A9">
              <w:t>217/390</w:t>
            </w:r>
          </w:p>
        </w:tc>
        <w:tc>
          <w:tcPr>
            <w:tcW w:w="2255" w:type="dxa"/>
            <w:vAlign w:val="center"/>
          </w:tcPr>
          <w:p w14:paraId="07420E07" w14:textId="77777777" w:rsidR="00140969" w:rsidRPr="006919A9" w:rsidRDefault="00140969" w:rsidP="002234D3">
            <w:pPr>
              <w:pStyle w:val="TableText0"/>
              <w:jc w:val="center"/>
            </w:pPr>
          </w:p>
        </w:tc>
      </w:tr>
      <w:tr w:rsidR="006919A9" w:rsidRPr="006919A9" w14:paraId="04388CD3" w14:textId="77777777" w:rsidTr="00140969">
        <w:tc>
          <w:tcPr>
            <w:tcW w:w="2965" w:type="dxa"/>
          </w:tcPr>
          <w:p w14:paraId="60CE05DC" w14:textId="77777777" w:rsidR="00140969" w:rsidRPr="006919A9" w:rsidRDefault="00140969" w:rsidP="002234D3">
            <w:pPr>
              <w:pStyle w:val="TableText0"/>
            </w:pPr>
            <w:r w:rsidRPr="006919A9">
              <w:t>pCR rate (95% CI)</w:t>
            </w:r>
          </w:p>
        </w:tc>
        <w:tc>
          <w:tcPr>
            <w:tcW w:w="1543" w:type="dxa"/>
            <w:vAlign w:val="center"/>
          </w:tcPr>
          <w:p w14:paraId="5AC3B8B7" w14:textId="77777777" w:rsidR="00140969" w:rsidRPr="006919A9" w:rsidRDefault="00140969" w:rsidP="002234D3">
            <w:pPr>
              <w:pStyle w:val="TableText0"/>
              <w:jc w:val="center"/>
            </w:pPr>
            <w:r w:rsidRPr="006919A9">
              <w:t>63.0 (59.5, 66.4)</w:t>
            </w:r>
          </w:p>
        </w:tc>
        <w:tc>
          <w:tcPr>
            <w:tcW w:w="2254" w:type="dxa"/>
            <w:vAlign w:val="center"/>
          </w:tcPr>
          <w:p w14:paraId="21921E9F" w14:textId="77777777" w:rsidR="00140969" w:rsidRPr="006919A9" w:rsidRDefault="00140969" w:rsidP="002234D3">
            <w:pPr>
              <w:pStyle w:val="TableText0"/>
              <w:jc w:val="center"/>
            </w:pPr>
            <w:r w:rsidRPr="006919A9">
              <w:t>55.6 (50.6, 60.6)</w:t>
            </w:r>
          </w:p>
        </w:tc>
        <w:tc>
          <w:tcPr>
            <w:tcW w:w="2255" w:type="dxa"/>
            <w:vAlign w:val="center"/>
          </w:tcPr>
          <w:p w14:paraId="7DAD80F1" w14:textId="77777777" w:rsidR="00140969" w:rsidRPr="006919A9" w:rsidRDefault="00140969" w:rsidP="002234D3">
            <w:pPr>
              <w:pStyle w:val="TableText0"/>
              <w:jc w:val="center"/>
            </w:pPr>
            <w:r w:rsidRPr="006919A9">
              <w:t>7.5 (1.6, 13.4)</w:t>
            </w:r>
          </w:p>
        </w:tc>
      </w:tr>
    </w:tbl>
    <w:p w14:paraId="60CDFAD2" w14:textId="6415C6B0" w:rsidR="00140969" w:rsidRPr="006919A9" w:rsidRDefault="00140969" w:rsidP="00140969">
      <w:pPr>
        <w:pStyle w:val="FooterTableFigure"/>
      </w:pPr>
      <w:r w:rsidRPr="006919A9">
        <w:t xml:space="preserve">Source: Table 2.5-4, p41 of the submission </w:t>
      </w:r>
    </w:p>
    <w:p w14:paraId="4EA03E83" w14:textId="383869D4" w:rsidR="00140969" w:rsidRDefault="00D4349B" w:rsidP="00140969">
      <w:pPr>
        <w:pStyle w:val="FooterTableFigure"/>
      </w:pPr>
      <w:r w:rsidRPr="006919A9">
        <w:t xml:space="preserve">Chemo = chemotherapy; </w:t>
      </w:r>
      <w:r w:rsidR="00140969" w:rsidRPr="006919A9">
        <w:t>CI = confidence interval; IA = interim analysis; NR = not reported; pCR = pathological complete response</w:t>
      </w:r>
      <w:r w:rsidRPr="006919A9">
        <w:t>; pembro = pembrolizumab</w:t>
      </w:r>
    </w:p>
    <w:p w14:paraId="1954BB9A" w14:textId="1D70CD42" w:rsidR="00D6569B" w:rsidRPr="00D6569B" w:rsidRDefault="00D6569B" w:rsidP="00140969">
      <w:pPr>
        <w:pStyle w:val="3-BodyText"/>
        <w:rPr>
          <w:snapToGrid/>
        </w:rPr>
      </w:pPr>
      <w:r w:rsidRPr="00D6569B">
        <w:rPr>
          <w:snapToGrid/>
        </w:rPr>
        <w:t>The PBAC noted that</w:t>
      </w:r>
      <w:r w:rsidR="00663829">
        <w:rPr>
          <w:snapToGrid/>
        </w:rPr>
        <w:t xml:space="preserve"> </w:t>
      </w:r>
      <w:r w:rsidR="00CF6486">
        <w:rPr>
          <w:snapToGrid/>
        </w:rPr>
        <w:t>75</w:t>
      </w:r>
      <w:r w:rsidRPr="00D6569B">
        <w:rPr>
          <w:snapToGrid/>
        </w:rPr>
        <w:t>%</w:t>
      </w:r>
      <w:r w:rsidR="00CF6486">
        <w:rPr>
          <w:snapToGrid/>
        </w:rPr>
        <w:t xml:space="preserve"> (588/783</w:t>
      </w:r>
      <w:r w:rsidR="00B66651">
        <w:rPr>
          <w:rStyle w:val="FootnoteReference"/>
          <w:snapToGrid/>
        </w:rPr>
        <w:footnoteReference w:id="2"/>
      </w:r>
      <w:r w:rsidR="00CF6486">
        <w:rPr>
          <w:snapToGrid/>
        </w:rPr>
        <w:t>)</w:t>
      </w:r>
      <w:r w:rsidRPr="00D6569B">
        <w:rPr>
          <w:snapToGrid/>
        </w:rPr>
        <w:t xml:space="preserve"> of </w:t>
      </w:r>
      <w:r w:rsidR="00CF6486">
        <w:rPr>
          <w:snapToGrid/>
        </w:rPr>
        <w:t xml:space="preserve">treated </w:t>
      </w:r>
      <w:r w:rsidRPr="00D6569B">
        <w:rPr>
          <w:snapToGrid/>
        </w:rPr>
        <w:t xml:space="preserve">patients in the pembrolizumab arm </w:t>
      </w:r>
      <w:r w:rsidR="00663829">
        <w:rPr>
          <w:snapToGrid/>
        </w:rPr>
        <w:t xml:space="preserve">went </w:t>
      </w:r>
      <w:r w:rsidRPr="00D6569B">
        <w:rPr>
          <w:snapToGrid/>
        </w:rPr>
        <w:t xml:space="preserve">on to </w:t>
      </w:r>
      <w:r w:rsidR="00CF6486">
        <w:rPr>
          <w:snapToGrid/>
        </w:rPr>
        <w:t xml:space="preserve">receive </w:t>
      </w:r>
      <w:r w:rsidRPr="00D6569B">
        <w:rPr>
          <w:snapToGrid/>
        </w:rPr>
        <w:t xml:space="preserve">adjuvant pembrolizumab treatment. </w:t>
      </w:r>
    </w:p>
    <w:p w14:paraId="0970739C" w14:textId="3832BB39" w:rsidR="00140969" w:rsidRPr="006919A9" w:rsidRDefault="00140969" w:rsidP="00140969">
      <w:pPr>
        <w:pStyle w:val="3-BodyText"/>
      </w:pPr>
      <w:r w:rsidRPr="006919A9">
        <w:fldChar w:fldCharType="begin" w:fldLock="1"/>
      </w:r>
      <w:r w:rsidRPr="006919A9">
        <w:instrText xml:space="preserve"> REF _Ref123389993 \h  \* MERGEFORMAT </w:instrText>
      </w:r>
      <w:r w:rsidRPr="006919A9">
        <w:fldChar w:fldCharType="separate"/>
      </w:r>
      <w:r w:rsidR="0067416F" w:rsidRPr="0067416F">
        <w:rPr>
          <w:rFonts w:eastAsiaTheme="majorEastAsia"/>
        </w:rPr>
        <w:t>Table 5</w:t>
      </w:r>
      <w:r w:rsidRPr="006919A9">
        <w:fldChar w:fldCharType="end"/>
      </w:r>
      <w:r w:rsidRPr="006919A9">
        <w:t xml:space="preserve"> presents the </w:t>
      </w:r>
      <w:r w:rsidR="00E81EF9" w:rsidRPr="006919A9">
        <w:t>event free survival (</w:t>
      </w:r>
      <w:r w:rsidRPr="006919A9">
        <w:t>EFS</w:t>
      </w:r>
      <w:r w:rsidR="00E81EF9" w:rsidRPr="006919A9">
        <w:t>)</w:t>
      </w:r>
      <w:r w:rsidRPr="006919A9">
        <w:t xml:space="preserve"> results of KN-522 at IA4. </w:t>
      </w:r>
      <w:r w:rsidR="00BE299D">
        <w:t>T</w:t>
      </w:r>
      <w:bookmarkStart w:id="23" w:name="_Hlk130296163"/>
      <w:r w:rsidRPr="006919A9">
        <w:t xml:space="preserve">reatment with pembrolizumab plus chemotherapy was associated with a </w:t>
      </w:r>
      <w:r w:rsidR="00E84C9C">
        <w:t xml:space="preserve">7.75 </w:t>
      </w:r>
      <w:r w:rsidR="004415CF">
        <w:t xml:space="preserve">percentage point </w:t>
      </w:r>
      <w:r w:rsidRPr="006919A9">
        <w:t xml:space="preserve">reduction in the risk of events </w:t>
      </w:r>
      <w:r w:rsidR="00532B0D">
        <w:t xml:space="preserve">at 36 months </w:t>
      </w:r>
      <w:r w:rsidRPr="006919A9">
        <w:t>compared with placebo plus chemotherapy (HR 0.63 (95% CI: 0.48, 0.82; p = 0.0003093</w:t>
      </w:r>
      <w:r w:rsidR="004818C6">
        <w:t xml:space="preserve">, EFS rate at 36 months </w:t>
      </w:r>
      <w:r w:rsidR="008C7427">
        <w:t>84.5% vs 76.8%</w:t>
      </w:r>
      <w:r w:rsidRPr="006919A9">
        <w:t xml:space="preserve">). </w:t>
      </w:r>
      <w:bookmarkEnd w:id="23"/>
      <w:r w:rsidR="00B4126B">
        <w:t>M</w:t>
      </w:r>
      <w:r w:rsidRPr="006919A9">
        <w:t>edian EFS in both treatment groups had not yet been reached at the time of data cut off.</w:t>
      </w:r>
      <w:r w:rsidR="00990C3B">
        <w:t xml:space="preserve"> </w:t>
      </w:r>
    </w:p>
    <w:p w14:paraId="0D964FA2" w14:textId="228E107D" w:rsidR="00140969" w:rsidRPr="006919A9" w:rsidRDefault="00140969" w:rsidP="00140969">
      <w:pPr>
        <w:keepNext/>
        <w:keepLines/>
        <w:rPr>
          <w:rStyle w:val="CommentReference"/>
        </w:rPr>
      </w:pPr>
      <w:bookmarkStart w:id="24" w:name="_Ref123389993"/>
      <w:r w:rsidRPr="006919A9">
        <w:rPr>
          <w:rStyle w:val="CommentReference"/>
          <w:rFonts w:eastAsiaTheme="majorEastAsia" w:cstheme="majorBidi"/>
          <w:szCs w:val="24"/>
        </w:rPr>
        <w:lastRenderedPageBreak/>
        <w:t xml:space="preserve">Table </w:t>
      </w:r>
      <w:r w:rsidRPr="006919A9">
        <w:rPr>
          <w:rStyle w:val="CommentReference"/>
          <w:rFonts w:eastAsiaTheme="majorEastAsia" w:cstheme="majorBidi"/>
          <w:b w:val="0"/>
          <w:szCs w:val="24"/>
        </w:rPr>
        <w:fldChar w:fldCharType="begin" w:fldLock="1"/>
      </w:r>
      <w:r w:rsidRPr="006919A9">
        <w:rPr>
          <w:rStyle w:val="CommentReference"/>
          <w:rFonts w:eastAsiaTheme="majorEastAsia" w:cstheme="majorBidi"/>
          <w:szCs w:val="24"/>
        </w:rPr>
        <w:instrText xml:space="preserve"> SEQ Table \* ARABIC </w:instrText>
      </w:r>
      <w:r w:rsidRPr="006919A9">
        <w:rPr>
          <w:rStyle w:val="CommentReference"/>
          <w:rFonts w:eastAsiaTheme="majorEastAsia" w:cstheme="majorBidi"/>
          <w:b w:val="0"/>
          <w:szCs w:val="24"/>
        </w:rPr>
        <w:fldChar w:fldCharType="separate"/>
      </w:r>
      <w:r w:rsidR="0067416F">
        <w:rPr>
          <w:rStyle w:val="CommentReference"/>
          <w:rFonts w:eastAsiaTheme="majorEastAsia" w:cstheme="majorBidi"/>
          <w:noProof/>
          <w:szCs w:val="24"/>
        </w:rPr>
        <w:t>5</w:t>
      </w:r>
      <w:r w:rsidRPr="006919A9">
        <w:rPr>
          <w:rStyle w:val="CommentReference"/>
          <w:rFonts w:eastAsiaTheme="majorEastAsia" w:cstheme="majorBidi"/>
          <w:b w:val="0"/>
          <w:szCs w:val="24"/>
        </w:rPr>
        <w:fldChar w:fldCharType="end"/>
      </w:r>
      <w:bookmarkEnd w:id="24"/>
      <w:r w:rsidRPr="006919A9">
        <w:rPr>
          <w:rStyle w:val="CommentReference"/>
          <w:rFonts w:eastAsiaTheme="majorEastAsia" w:cstheme="majorBidi"/>
          <w:szCs w:val="24"/>
        </w:rPr>
        <w:t xml:space="preserve">: </w:t>
      </w:r>
      <w:r w:rsidRPr="006919A9">
        <w:rPr>
          <w:rStyle w:val="CommentReference"/>
        </w:rPr>
        <w:t>Event free survival in KN-522 (ITT) at IA4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5"/>
        <w:gridCol w:w="1582"/>
        <w:gridCol w:w="1719"/>
        <w:gridCol w:w="2721"/>
      </w:tblGrid>
      <w:tr w:rsidR="006919A9" w:rsidRPr="006919A9" w14:paraId="388FDF3F" w14:textId="77777777" w:rsidTr="00CE1C72">
        <w:tc>
          <w:tcPr>
            <w:tcW w:w="1661" w:type="pct"/>
            <w:vAlign w:val="center"/>
          </w:tcPr>
          <w:p w14:paraId="5A79C54E" w14:textId="77777777" w:rsidR="00140969" w:rsidRPr="006919A9" w:rsidRDefault="00140969" w:rsidP="002234D3">
            <w:pPr>
              <w:pStyle w:val="In-tableHeading"/>
              <w:keepLines/>
              <w:rPr>
                <w:lang w:val="en-AU"/>
              </w:rPr>
            </w:pPr>
          </w:p>
        </w:tc>
        <w:tc>
          <w:tcPr>
            <w:tcW w:w="877" w:type="pct"/>
            <w:vAlign w:val="center"/>
          </w:tcPr>
          <w:p w14:paraId="0C9317CF" w14:textId="77777777" w:rsidR="00140969" w:rsidRPr="006919A9" w:rsidRDefault="00140969" w:rsidP="002234D3">
            <w:pPr>
              <w:pStyle w:val="In-tableHeading"/>
              <w:keepLines/>
              <w:jc w:val="center"/>
              <w:rPr>
                <w:lang w:val="en-AU"/>
              </w:rPr>
            </w:pPr>
            <w:r w:rsidRPr="006919A9">
              <w:rPr>
                <w:lang w:val="en-AU"/>
              </w:rPr>
              <w:t>Pembro + chemo</w:t>
            </w:r>
          </w:p>
          <w:p w14:paraId="020504D8" w14:textId="77777777" w:rsidR="00140969" w:rsidRPr="006919A9" w:rsidRDefault="00140969" w:rsidP="002234D3">
            <w:pPr>
              <w:pStyle w:val="In-tableHeading"/>
              <w:keepLines/>
              <w:jc w:val="center"/>
              <w:rPr>
                <w:lang w:val="en-AU"/>
              </w:rPr>
            </w:pPr>
            <w:r w:rsidRPr="006919A9">
              <w:rPr>
                <w:lang w:val="en-AU"/>
              </w:rPr>
              <w:t>N=784</w:t>
            </w:r>
          </w:p>
        </w:tc>
        <w:tc>
          <w:tcPr>
            <w:tcW w:w="953" w:type="pct"/>
            <w:vAlign w:val="center"/>
          </w:tcPr>
          <w:p w14:paraId="15977F21" w14:textId="77777777" w:rsidR="00140969" w:rsidRPr="006919A9" w:rsidRDefault="00140969" w:rsidP="002234D3">
            <w:pPr>
              <w:pStyle w:val="In-tableHeading"/>
              <w:keepLines/>
              <w:jc w:val="center"/>
              <w:rPr>
                <w:lang w:val="en-AU"/>
              </w:rPr>
            </w:pPr>
            <w:r w:rsidRPr="006919A9">
              <w:rPr>
                <w:lang w:val="en-AU"/>
              </w:rPr>
              <w:t>Placebo + chemo</w:t>
            </w:r>
          </w:p>
          <w:p w14:paraId="6FF4D25B" w14:textId="77777777" w:rsidR="00140969" w:rsidRPr="006919A9" w:rsidRDefault="00140969" w:rsidP="002234D3">
            <w:pPr>
              <w:pStyle w:val="In-tableHeading"/>
              <w:keepLines/>
              <w:jc w:val="center"/>
              <w:rPr>
                <w:lang w:val="en-AU"/>
              </w:rPr>
            </w:pPr>
            <w:r w:rsidRPr="006919A9">
              <w:rPr>
                <w:lang w:val="en-AU"/>
              </w:rPr>
              <w:t>N=390</w:t>
            </w:r>
          </w:p>
        </w:tc>
        <w:tc>
          <w:tcPr>
            <w:tcW w:w="1509" w:type="pct"/>
            <w:vAlign w:val="center"/>
          </w:tcPr>
          <w:p w14:paraId="1E36D4D6" w14:textId="77777777" w:rsidR="00140969" w:rsidRPr="006919A9" w:rsidRDefault="00140969" w:rsidP="002234D3">
            <w:pPr>
              <w:pStyle w:val="In-tableHeading"/>
              <w:keepLines/>
              <w:jc w:val="center"/>
              <w:rPr>
                <w:lang w:val="en-AU"/>
              </w:rPr>
            </w:pPr>
            <w:r w:rsidRPr="006919A9">
              <w:rPr>
                <w:lang w:val="en-AU"/>
              </w:rPr>
              <w:t>HR (95% CI)</w:t>
            </w:r>
          </w:p>
        </w:tc>
      </w:tr>
      <w:tr w:rsidR="006919A9" w:rsidRPr="006919A9" w14:paraId="7731ACA3" w14:textId="77777777" w:rsidTr="00CE1C72">
        <w:tc>
          <w:tcPr>
            <w:tcW w:w="1661" w:type="pct"/>
            <w:vAlign w:val="center"/>
          </w:tcPr>
          <w:p w14:paraId="027454FF" w14:textId="77777777" w:rsidR="00140969" w:rsidRPr="006919A9" w:rsidRDefault="00140969" w:rsidP="002234D3">
            <w:pPr>
              <w:pStyle w:val="TableText0"/>
              <w:keepLines/>
            </w:pPr>
            <w:r w:rsidRPr="006919A9">
              <w:t>Patients with event n (%)</w:t>
            </w:r>
          </w:p>
        </w:tc>
        <w:tc>
          <w:tcPr>
            <w:tcW w:w="877" w:type="pct"/>
            <w:vAlign w:val="center"/>
          </w:tcPr>
          <w:p w14:paraId="43ED7DB3" w14:textId="77777777" w:rsidR="00140969" w:rsidRPr="006919A9" w:rsidRDefault="00140969" w:rsidP="002234D3">
            <w:pPr>
              <w:pStyle w:val="TableText0"/>
              <w:keepLines/>
              <w:jc w:val="center"/>
            </w:pPr>
            <w:r w:rsidRPr="006919A9">
              <w:t>123 (15.7)</w:t>
            </w:r>
          </w:p>
        </w:tc>
        <w:tc>
          <w:tcPr>
            <w:tcW w:w="953" w:type="pct"/>
            <w:vAlign w:val="center"/>
          </w:tcPr>
          <w:p w14:paraId="08FC0550" w14:textId="77777777" w:rsidR="00140969" w:rsidRPr="006919A9" w:rsidRDefault="00140969" w:rsidP="002234D3">
            <w:pPr>
              <w:pStyle w:val="TableText0"/>
              <w:keepLines/>
              <w:jc w:val="center"/>
            </w:pPr>
            <w:r w:rsidRPr="006919A9">
              <w:t>93 (23.8)</w:t>
            </w:r>
          </w:p>
        </w:tc>
        <w:tc>
          <w:tcPr>
            <w:tcW w:w="1509" w:type="pct"/>
            <w:vAlign w:val="center"/>
          </w:tcPr>
          <w:p w14:paraId="47648AE7" w14:textId="77777777" w:rsidR="00140969" w:rsidRPr="006919A9" w:rsidRDefault="00140969" w:rsidP="002234D3">
            <w:pPr>
              <w:pStyle w:val="TableText0"/>
              <w:keepLines/>
              <w:jc w:val="center"/>
            </w:pPr>
            <w:r w:rsidRPr="006919A9">
              <w:t>-</w:t>
            </w:r>
          </w:p>
        </w:tc>
      </w:tr>
      <w:tr w:rsidR="006919A9" w:rsidRPr="006919A9" w14:paraId="32504283" w14:textId="77777777" w:rsidTr="00CE1C72">
        <w:tc>
          <w:tcPr>
            <w:tcW w:w="1661" w:type="pct"/>
            <w:vAlign w:val="center"/>
          </w:tcPr>
          <w:p w14:paraId="47B8D88F" w14:textId="77777777" w:rsidR="00140969" w:rsidRPr="006919A9" w:rsidRDefault="00140969" w:rsidP="002234D3">
            <w:pPr>
              <w:pStyle w:val="TableText0"/>
              <w:keepLines/>
            </w:pPr>
            <w:r w:rsidRPr="006919A9">
              <w:t>Patients censored n(%)</w:t>
            </w:r>
          </w:p>
        </w:tc>
        <w:tc>
          <w:tcPr>
            <w:tcW w:w="877" w:type="pct"/>
            <w:vAlign w:val="center"/>
          </w:tcPr>
          <w:p w14:paraId="1958BCCB" w14:textId="77777777" w:rsidR="00140969" w:rsidRPr="006919A9" w:rsidRDefault="00140969" w:rsidP="002234D3">
            <w:pPr>
              <w:pStyle w:val="TableText0"/>
              <w:keepLines/>
              <w:jc w:val="center"/>
            </w:pPr>
            <w:r w:rsidRPr="006919A9">
              <w:t>661 (84.3)</w:t>
            </w:r>
          </w:p>
        </w:tc>
        <w:tc>
          <w:tcPr>
            <w:tcW w:w="953" w:type="pct"/>
            <w:vAlign w:val="center"/>
          </w:tcPr>
          <w:p w14:paraId="7C4F7F39" w14:textId="77777777" w:rsidR="00140969" w:rsidRPr="006919A9" w:rsidRDefault="00140969" w:rsidP="002234D3">
            <w:pPr>
              <w:pStyle w:val="TableText0"/>
              <w:keepLines/>
              <w:jc w:val="center"/>
            </w:pPr>
            <w:r w:rsidRPr="006919A9">
              <w:t>297 (76.2)</w:t>
            </w:r>
          </w:p>
        </w:tc>
        <w:tc>
          <w:tcPr>
            <w:tcW w:w="1509" w:type="pct"/>
            <w:vAlign w:val="center"/>
          </w:tcPr>
          <w:p w14:paraId="10D0B8DA" w14:textId="77777777" w:rsidR="00140969" w:rsidRPr="006919A9" w:rsidRDefault="00140969" w:rsidP="002234D3">
            <w:pPr>
              <w:pStyle w:val="TableText0"/>
              <w:keepLines/>
              <w:jc w:val="center"/>
            </w:pPr>
          </w:p>
        </w:tc>
      </w:tr>
      <w:tr w:rsidR="006919A9" w:rsidRPr="006919A9" w14:paraId="303EB773" w14:textId="77777777" w:rsidTr="00CE1C72">
        <w:tc>
          <w:tcPr>
            <w:tcW w:w="1661" w:type="pct"/>
            <w:vAlign w:val="center"/>
          </w:tcPr>
          <w:p w14:paraId="4C1461B9" w14:textId="77777777" w:rsidR="00140969" w:rsidRPr="006919A9" w:rsidRDefault="00140969" w:rsidP="002234D3">
            <w:pPr>
              <w:pStyle w:val="TableText0"/>
              <w:keepLines/>
            </w:pPr>
            <w:r w:rsidRPr="006919A9">
              <w:t>Median EFS months (95% CI)</w:t>
            </w:r>
          </w:p>
        </w:tc>
        <w:tc>
          <w:tcPr>
            <w:tcW w:w="877" w:type="pct"/>
            <w:vAlign w:val="center"/>
          </w:tcPr>
          <w:p w14:paraId="44F5D0A5" w14:textId="77777777" w:rsidR="00140969" w:rsidRPr="006919A9" w:rsidRDefault="00140969" w:rsidP="002234D3">
            <w:pPr>
              <w:pStyle w:val="TableText0"/>
              <w:keepLines/>
              <w:jc w:val="center"/>
            </w:pPr>
            <w:r w:rsidRPr="006919A9">
              <w:t>NR</w:t>
            </w:r>
          </w:p>
        </w:tc>
        <w:tc>
          <w:tcPr>
            <w:tcW w:w="953" w:type="pct"/>
            <w:vAlign w:val="center"/>
          </w:tcPr>
          <w:p w14:paraId="25522D00" w14:textId="77777777" w:rsidR="00140969" w:rsidRPr="006919A9" w:rsidRDefault="00140969" w:rsidP="002234D3">
            <w:pPr>
              <w:pStyle w:val="TableText0"/>
              <w:keepLines/>
              <w:jc w:val="center"/>
            </w:pPr>
            <w:r w:rsidRPr="006919A9">
              <w:t>NR</w:t>
            </w:r>
          </w:p>
        </w:tc>
        <w:tc>
          <w:tcPr>
            <w:tcW w:w="1509" w:type="pct"/>
            <w:vAlign w:val="center"/>
          </w:tcPr>
          <w:p w14:paraId="5C95116B" w14:textId="77777777" w:rsidR="00140969" w:rsidRPr="006919A9" w:rsidRDefault="00140969" w:rsidP="002234D3">
            <w:pPr>
              <w:pStyle w:val="TableText0"/>
              <w:keepLines/>
              <w:jc w:val="center"/>
              <w:rPr>
                <w:b/>
                <w:bCs w:val="0"/>
              </w:rPr>
            </w:pPr>
            <w:r w:rsidRPr="006919A9">
              <w:rPr>
                <w:b/>
                <w:bCs w:val="0"/>
              </w:rPr>
              <w:t>0.63 (0.48, 0.82)</w:t>
            </w:r>
          </w:p>
          <w:p w14:paraId="5DCA2D75" w14:textId="77777777" w:rsidR="00140969" w:rsidRPr="006919A9" w:rsidRDefault="00140969" w:rsidP="002234D3">
            <w:pPr>
              <w:pStyle w:val="TableText0"/>
              <w:keepLines/>
              <w:jc w:val="center"/>
            </w:pPr>
            <w:r w:rsidRPr="006919A9">
              <w:rPr>
                <w:b/>
                <w:bCs w:val="0"/>
              </w:rPr>
              <w:t>p=0.0003093</w:t>
            </w:r>
          </w:p>
        </w:tc>
      </w:tr>
      <w:tr w:rsidR="006919A9" w:rsidRPr="006919A9" w14:paraId="59E41E1B" w14:textId="77777777" w:rsidTr="00CE1C72">
        <w:tc>
          <w:tcPr>
            <w:tcW w:w="1661" w:type="pct"/>
          </w:tcPr>
          <w:p w14:paraId="60384079" w14:textId="1EFE0BEC" w:rsidR="00140969" w:rsidRPr="006919A9" w:rsidRDefault="00140969" w:rsidP="00140969">
            <w:pPr>
              <w:pStyle w:val="TableText0"/>
              <w:keepLines/>
            </w:pPr>
            <w:r w:rsidRPr="006919A9">
              <w:t>EFS rates at different time points</w:t>
            </w:r>
          </w:p>
        </w:tc>
        <w:tc>
          <w:tcPr>
            <w:tcW w:w="877" w:type="pct"/>
            <w:vAlign w:val="center"/>
          </w:tcPr>
          <w:p w14:paraId="690E447C" w14:textId="77777777" w:rsidR="00140969" w:rsidRPr="006919A9" w:rsidRDefault="00140969" w:rsidP="00140969">
            <w:pPr>
              <w:pStyle w:val="TableText0"/>
              <w:keepLines/>
              <w:jc w:val="center"/>
            </w:pPr>
          </w:p>
        </w:tc>
        <w:tc>
          <w:tcPr>
            <w:tcW w:w="953" w:type="pct"/>
            <w:vAlign w:val="center"/>
          </w:tcPr>
          <w:p w14:paraId="636643C7" w14:textId="77777777" w:rsidR="00140969" w:rsidRPr="006919A9" w:rsidRDefault="00140969" w:rsidP="00140969">
            <w:pPr>
              <w:pStyle w:val="TableText0"/>
              <w:keepLines/>
              <w:jc w:val="center"/>
            </w:pPr>
          </w:p>
        </w:tc>
        <w:tc>
          <w:tcPr>
            <w:tcW w:w="1509" w:type="pct"/>
            <w:vAlign w:val="center"/>
          </w:tcPr>
          <w:p w14:paraId="6543175C" w14:textId="77777777" w:rsidR="00140969" w:rsidRPr="006919A9" w:rsidRDefault="00140969" w:rsidP="00140969">
            <w:pPr>
              <w:pStyle w:val="TableText0"/>
              <w:keepLines/>
              <w:jc w:val="center"/>
              <w:rPr>
                <w:b/>
                <w:bCs w:val="0"/>
              </w:rPr>
            </w:pPr>
          </w:p>
        </w:tc>
      </w:tr>
      <w:tr w:rsidR="006919A9" w:rsidRPr="006919A9" w14:paraId="1A3BDEC8" w14:textId="77777777" w:rsidTr="00CE1C72">
        <w:tc>
          <w:tcPr>
            <w:tcW w:w="1661" w:type="pct"/>
          </w:tcPr>
          <w:p w14:paraId="0EA3AA18" w14:textId="4FE9FB9C" w:rsidR="00140969" w:rsidRPr="006919A9" w:rsidRDefault="00140969" w:rsidP="00140969">
            <w:pPr>
              <w:pStyle w:val="TableText0"/>
              <w:keepLines/>
            </w:pPr>
            <w:r w:rsidRPr="006919A9">
              <w:t>EFS Rate at 12 Months (%) (95% CI)</w:t>
            </w:r>
          </w:p>
        </w:tc>
        <w:tc>
          <w:tcPr>
            <w:tcW w:w="877" w:type="pct"/>
          </w:tcPr>
          <w:p w14:paraId="37C11E88" w14:textId="5E66793F" w:rsidR="00140969" w:rsidRPr="006919A9" w:rsidRDefault="00140969" w:rsidP="00140969">
            <w:pPr>
              <w:pStyle w:val="TableText0"/>
              <w:keepLines/>
              <w:jc w:val="center"/>
            </w:pPr>
            <w:r w:rsidRPr="006919A9">
              <w:t>93.3 (91.4, 94.9)</w:t>
            </w:r>
          </w:p>
        </w:tc>
        <w:tc>
          <w:tcPr>
            <w:tcW w:w="953" w:type="pct"/>
          </w:tcPr>
          <w:p w14:paraId="06BD09A6" w14:textId="1C463D1B" w:rsidR="00140969" w:rsidRPr="006919A9" w:rsidRDefault="00140969" w:rsidP="00140969">
            <w:pPr>
              <w:pStyle w:val="TableText0"/>
              <w:keepLines/>
              <w:jc w:val="center"/>
            </w:pPr>
            <w:r w:rsidRPr="006919A9">
              <w:t>92.5 (89.4, 94.7)</w:t>
            </w:r>
          </w:p>
        </w:tc>
        <w:tc>
          <w:tcPr>
            <w:tcW w:w="1509" w:type="pct"/>
            <w:vAlign w:val="center"/>
          </w:tcPr>
          <w:p w14:paraId="1D27C84C" w14:textId="1F4F806A" w:rsidR="00140969" w:rsidRPr="006919A9" w:rsidRDefault="00140969" w:rsidP="00140969">
            <w:pPr>
              <w:pStyle w:val="TableText0"/>
              <w:keepLines/>
              <w:jc w:val="center"/>
              <w:rPr>
                <w:b/>
                <w:bCs w:val="0"/>
              </w:rPr>
            </w:pPr>
            <w:r w:rsidRPr="006919A9">
              <w:rPr>
                <w:b/>
                <w:bCs w:val="0"/>
              </w:rPr>
              <w:t>-</w:t>
            </w:r>
          </w:p>
        </w:tc>
      </w:tr>
      <w:tr w:rsidR="006919A9" w:rsidRPr="006919A9" w14:paraId="1EEC91CD" w14:textId="77777777" w:rsidTr="00CE1C72">
        <w:tc>
          <w:tcPr>
            <w:tcW w:w="1661" w:type="pct"/>
          </w:tcPr>
          <w:p w14:paraId="05DE69F7" w14:textId="4DA2F8C5" w:rsidR="00140969" w:rsidRPr="006919A9" w:rsidRDefault="00140969" w:rsidP="00140969">
            <w:pPr>
              <w:pStyle w:val="TableText0"/>
              <w:keepLines/>
            </w:pPr>
            <w:r w:rsidRPr="006919A9">
              <w:t>EFS Rate at 18 Months (%) (95% CI)</w:t>
            </w:r>
          </w:p>
        </w:tc>
        <w:tc>
          <w:tcPr>
            <w:tcW w:w="877" w:type="pct"/>
          </w:tcPr>
          <w:p w14:paraId="4093CAE6" w14:textId="002E6DBE" w:rsidR="00140969" w:rsidRPr="006919A9" w:rsidRDefault="00140969" w:rsidP="00140969">
            <w:pPr>
              <w:pStyle w:val="TableText0"/>
              <w:keepLines/>
              <w:jc w:val="center"/>
            </w:pPr>
            <w:r w:rsidRPr="006919A9">
              <w:t>90.0 (87.7, 91.9)</w:t>
            </w:r>
          </w:p>
        </w:tc>
        <w:tc>
          <w:tcPr>
            <w:tcW w:w="953" w:type="pct"/>
          </w:tcPr>
          <w:p w14:paraId="00DBACCE" w14:textId="1034D324" w:rsidR="00140969" w:rsidRPr="006919A9" w:rsidRDefault="00140969" w:rsidP="00140969">
            <w:pPr>
              <w:pStyle w:val="TableText0"/>
              <w:keepLines/>
              <w:jc w:val="center"/>
            </w:pPr>
            <w:r w:rsidRPr="006919A9">
              <w:t>85.8 (81.9, 88.9)</w:t>
            </w:r>
          </w:p>
        </w:tc>
        <w:tc>
          <w:tcPr>
            <w:tcW w:w="1509" w:type="pct"/>
            <w:vAlign w:val="center"/>
          </w:tcPr>
          <w:p w14:paraId="068106BF" w14:textId="46BF1128" w:rsidR="00140969" w:rsidRPr="006919A9" w:rsidRDefault="00140969" w:rsidP="00140969">
            <w:pPr>
              <w:pStyle w:val="TableText0"/>
              <w:keepLines/>
              <w:jc w:val="center"/>
              <w:rPr>
                <w:b/>
                <w:bCs w:val="0"/>
              </w:rPr>
            </w:pPr>
            <w:r w:rsidRPr="006919A9">
              <w:rPr>
                <w:b/>
                <w:bCs w:val="0"/>
              </w:rPr>
              <w:t>-</w:t>
            </w:r>
          </w:p>
        </w:tc>
      </w:tr>
      <w:tr w:rsidR="006919A9" w:rsidRPr="006919A9" w14:paraId="7E582608" w14:textId="77777777" w:rsidTr="00CE1C72">
        <w:tc>
          <w:tcPr>
            <w:tcW w:w="1661" w:type="pct"/>
          </w:tcPr>
          <w:p w14:paraId="280F9D5E" w14:textId="5594B9A3" w:rsidR="00140969" w:rsidRPr="006919A9" w:rsidRDefault="00140969" w:rsidP="00140969">
            <w:pPr>
              <w:pStyle w:val="TableText0"/>
              <w:keepLines/>
            </w:pPr>
            <w:r w:rsidRPr="006919A9">
              <w:t>EFS Rate at 24 Months (%) (95% CI)</w:t>
            </w:r>
          </w:p>
        </w:tc>
        <w:tc>
          <w:tcPr>
            <w:tcW w:w="877" w:type="pct"/>
          </w:tcPr>
          <w:p w14:paraId="7A14E953" w14:textId="45A274D8" w:rsidR="00140969" w:rsidRPr="006919A9" w:rsidRDefault="00140969" w:rsidP="00140969">
            <w:pPr>
              <w:pStyle w:val="TableText0"/>
              <w:keepLines/>
              <w:jc w:val="center"/>
            </w:pPr>
            <w:r w:rsidRPr="006919A9">
              <w:t>87.8 (85.3, 89.9)</w:t>
            </w:r>
          </w:p>
        </w:tc>
        <w:tc>
          <w:tcPr>
            <w:tcW w:w="953" w:type="pct"/>
          </w:tcPr>
          <w:p w14:paraId="0F480E9D" w14:textId="04694B3A" w:rsidR="00140969" w:rsidRPr="006919A9" w:rsidRDefault="00140969" w:rsidP="00140969">
            <w:pPr>
              <w:pStyle w:val="TableText0"/>
              <w:keepLines/>
              <w:jc w:val="center"/>
            </w:pPr>
            <w:r w:rsidRPr="006919A9">
              <w:t>81.0 (76.8, 84.6)</w:t>
            </w:r>
          </w:p>
        </w:tc>
        <w:tc>
          <w:tcPr>
            <w:tcW w:w="1509" w:type="pct"/>
            <w:vAlign w:val="center"/>
          </w:tcPr>
          <w:p w14:paraId="5A656172" w14:textId="71751F55" w:rsidR="00140969" w:rsidRPr="006919A9" w:rsidRDefault="00140969" w:rsidP="00140969">
            <w:pPr>
              <w:pStyle w:val="TableText0"/>
              <w:keepLines/>
              <w:jc w:val="center"/>
              <w:rPr>
                <w:b/>
                <w:bCs w:val="0"/>
              </w:rPr>
            </w:pPr>
            <w:r w:rsidRPr="006919A9">
              <w:rPr>
                <w:b/>
                <w:bCs w:val="0"/>
              </w:rPr>
              <w:t>-</w:t>
            </w:r>
          </w:p>
        </w:tc>
      </w:tr>
      <w:tr w:rsidR="006919A9" w:rsidRPr="006919A9" w14:paraId="34CF4826" w14:textId="77777777" w:rsidTr="00CE1C72">
        <w:tc>
          <w:tcPr>
            <w:tcW w:w="1661" w:type="pct"/>
          </w:tcPr>
          <w:p w14:paraId="16B7F606" w14:textId="5677B1DB" w:rsidR="00140969" w:rsidRPr="006919A9" w:rsidRDefault="00140969" w:rsidP="00140969">
            <w:pPr>
              <w:pStyle w:val="TableText0"/>
              <w:keepLines/>
            </w:pPr>
            <w:r w:rsidRPr="006919A9">
              <w:t>EFS Rate at 36 Months (%) (95% CI)</w:t>
            </w:r>
          </w:p>
        </w:tc>
        <w:tc>
          <w:tcPr>
            <w:tcW w:w="877" w:type="pct"/>
          </w:tcPr>
          <w:p w14:paraId="2A65F40F" w14:textId="48EF0AD4" w:rsidR="00140969" w:rsidRPr="006919A9" w:rsidRDefault="00140969" w:rsidP="00140969">
            <w:pPr>
              <w:pStyle w:val="TableText0"/>
              <w:keepLines/>
              <w:jc w:val="center"/>
            </w:pPr>
            <w:r w:rsidRPr="006919A9">
              <w:t>84.5 (81.7, 86.9)</w:t>
            </w:r>
          </w:p>
        </w:tc>
        <w:tc>
          <w:tcPr>
            <w:tcW w:w="953" w:type="pct"/>
          </w:tcPr>
          <w:p w14:paraId="2450BFEA" w14:textId="157F52EA" w:rsidR="00140969" w:rsidRPr="006919A9" w:rsidRDefault="00140969" w:rsidP="00140969">
            <w:pPr>
              <w:pStyle w:val="TableText0"/>
              <w:keepLines/>
              <w:jc w:val="center"/>
            </w:pPr>
            <w:r w:rsidRPr="006919A9">
              <w:t>76.8 (72.2, 80.7)</w:t>
            </w:r>
          </w:p>
        </w:tc>
        <w:tc>
          <w:tcPr>
            <w:tcW w:w="1509" w:type="pct"/>
            <w:vAlign w:val="center"/>
          </w:tcPr>
          <w:p w14:paraId="48DF2D07" w14:textId="12FBE0B1" w:rsidR="00140969" w:rsidRPr="006919A9" w:rsidRDefault="00140969" w:rsidP="00140969">
            <w:pPr>
              <w:pStyle w:val="TableText0"/>
              <w:keepLines/>
              <w:jc w:val="center"/>
              <w:rPr>
                <w:b/>
                <w:bCs w:val="0"/>
              </w:rPr>
            </w:pPr>
            <w:r w:rsidRPr="006919A9">
              <w:rPr>
                <w:b/>
                <w:bCs w:val="0"/>
              </w:rPr>
              <w:t>-</w:t>
            </w:r>
          </w:p>
        </w:tc>
      </w:tr>
    </w:tbl>
    <w:p w14:paraId="7110775D" w14:textId="6740C3A1" w:rsidR="00140969" w:rsidRPr="006919A9" w:rsidRDefault="00140969" w:rsidP="00140969">
      <w:pPr>
        <w:pStyle w:val="FooterTableFigure"/>
        <w:keepNext/>
        <w:keepLines/>
      </w:pPr>
      <w:r w:rsidRPr="006919A9">
        <w:t>Source: Table 2.5-8, p44 and Table 2.5-7, p43 of the submission.</w:t>
      </w:r>
    </w:p>
    <w:p w14:paraId="1BC0DAEC" w14:textId="1AD533BB" w:rsidR="00140969" w:rsidRPr="006919A9" w:rsidRDefault="00161719" w:rsidP="00140969">
      <w:pPr>
        <w:pStyle w:val="FooterTableFigure"/>
        <w:keepNext/>
        <w:keepLines/>
      </w:pPr>
      <w:r w:rsidRPr="006919A9">
        <w:t xml:space="preserve">Chemo = chemotherapy; </w:t>
      </w:r>
      <w:r w:rsidR="00140969" w:rsidRPr="006919A9">
        <w:t>CI = confidence interval; EFS = event free survival; HR = hazard ratio; ITT = intention to treat; NR = not reported</w:t>
      </w:r>
      <w:r w:rsidRPr="006919A9">
        <w:t>; pembro = pembrolizumab</w:t>
      </w:r>
    </w:p>
    <w:p w14:paraId="21996839" w14:textId="4DDF7155" w:rsidR="00140969" w:rsidRPr="00652C95" w:rsidRDefault="00140969" w:rsidP="00140969">
      <w:pPr>
        <w:pStyle w:val="3-BodyText"/>
      </w:pPr>
      <w:r w:rsidRPr="00652C95">
        <w:t>While the analysis showed a statistically significant improvement in EFS, generally, the EFS data w</w:t>
      </w:r>
      <w:r w:rsidR="00B4126B">
        <w:t>ere</w:t>
      </w:r>
      <w:r w:rsidRPr="00652C95">
        <w:t xml:space="preserve"> immature (with only 15.7% of pembrolizumab</w:t>
      </w:r>
      <w:r w:rsidR="00161719" w:rsidRPr="00652C95">
        <w:t xml:space="preserve"> plus chemotherapy</w:t>
      </w:r>
      <w:r w:rsidRPr="00652C95">
        <w:t xml:space="preserve"> and only 23.8% of placebo</w:t>
      </w:r>
      <w:r w:rsidR="00161719" w:rsidRPr="00652C95">
        <w:t xml:space="preserve"> plus chemotherapy</w:t>
      </w:r>
      <w:r w:rsidRPr="00652C95">
        <w:t xml:space="preserve"> patients having an event).</w:t>
      </w:r>
      <w:r w:rsidR="00CF33E5" w:rsidRPr="00652C95">
        <w:t xml:space="preserve"> </w:t>
      </w:r>
    </w:p>
    <w:p w14:paraId="47B90196" w14:textId="720D253E" w:rsidR="00140969" w:rsidRPr="006919A9" w:rsidRDefault="00140969" w:rsidP="00140969">
      <w:pPr>
        <w:pStyle w:val="3-BodyText"/>
      </w:pPr>
      <w:r w:rsidRPr="006919A9">
        <w:t xml:space="preserve"> </w:t>
      </w:r>
      <w:r w:rsidRPr="006919A9">
        <w:fldChar w:fldCharType="begin" w:fldLock="1"/>
      </w:r>
      <w:r w:rsidRPr="006919A9">
        <w:instrText xml:space="preserve"> REF _Ref123390968 \h  \* MERGEFORMAT </w:instrText>
      </w:r>
      <w:r w:rsidRPr="006919A9">
        <w:fldChar w:fldCharType="separate"/>
      </w:r>
      <w:r w:rsidR="0067416F" w:rsidRPr="0067416F">
        <w:t>Figure</w:t>
      </w:r>
      <w:r w:rsidR="0067416F" w:rsidRPr="0067416F">
        <w:rPr>
          <w:rFonts w:eastAsiaTheme="majorEastAsia"/>
        </w:rPr>
        <w:t xml:space="preserve"> </w:t>
      </w:r>
      <w:r w:rsidR="0067416F" w:rsidRPr="0067416F">
        <w:t>1</w:t>
      </w:r>
      <w:r w:rsidRPr="006919A9">
        <w:fldChar w:fldCharType="end"/>
      </w:r>
      <w:r w:rsidRPr="006919A9">
        <w:t xml:space="preserve"> presents the Kaplan Meier (KM) curves for EFS at IA4.</w:t>
      </w:r>
    </w:p>
    <w:p w14:paraId="5824158B" w14:textId="4C980751" w:rsidR="00140969" w:rsidRPr="006919A9" w:rsidRDefault="00140969" w:rsidP="00652C95">
      <w:pPr>
        <w:pStyle w:val="TableFigureHeading"/>
      </w:pPr>
      <w:bookmarkStart w:id="25" w:name="_Ref123390968"/>
      <w:r w:rsidRPr="006919A9">
        <w:rPr>
          <w:rStyle w:val="CommentReference"/>
          <w:b/>
          <w:szCs w:val="24"/>
        </w:rPr>
        <w:t xml:space="preserve">Figure </w:t>
      </w:r>
      <w:r w:rsidRPr="006919A9">
        <w:rPr>
          <w:rStyle w:val="CommentReference"/>
          <w:b/>
          <w:szCs w:val="24"/>
        </w:rPr>
        <w:fldChar w:fldCharType="begin" w:fldLock="1"/>
      </w:r>
      <w:r w:rsidRPr="006919A9">
        <w:rPr>
          <w:rStyle w:val="CommentReference"/>
          <w:b/>
          <w:szCs w:val="24"/>
        </w:rPr>
        <w:instrText xml:space="preserve"> SEQ Figure \* ARABIC </w:instrText>
      </w:r>
      <w:r w:rsidRPr="006919A9">
        <w:rPr>
          <w:rStyle w:val="CommentReference"/>
          <w:b/>
          <w:szCs w:val="24"/>
        </w:rPr>
        <w:fldChar w:fldCharType="separate"/>
      </w:r>
      <w:r w:rsidR="0067416F">
        <w:rPr>
          <w:rStyle w:val="CommentReference"/>
          <w:b/>
          <w:noProof/>
          <w:szCs w:val="24"/>
        </w:rPr>
        <w:t>1</w:t>
      </w:r>
      <w:r w:rsidRPr="006919A9">
        <w:rPr>
          <w:rStyle w:val="CommentReference"/>
          <w:b/>
          <w:szCs w:val="24"/>
        </w:rPr>
        <w:fldChar w:fldCharType="end"/>
      </w:r>
      <w:bookmarkEnd w:id="25"/>
      <w:r w:rsidRPr="006919A9">
        <w:rPr>
          <w:rStyle w:val="CommentReference"/>
          <w:b/>
          <w:szCs w:val="24"/>
        </w:rPr>
        <w:t>:</w:t>
      </w:r>
      <w:r w:rsidRPr="006919A9">
        <w:t xml:space="preserve"> KM estimates for EFS, ITT</w:t>
      </w:r>
    </w:p>
    <w:p w14:paraId="7B5B6596" w14:textId="77777777" w:rsidR="00140969" w:rsidRPr="006919A9" w:rsidRDefault="00140969" w:rsidP="00140969">
      <w:pPr>
        <w:jc w:val="center"/>
      </w:pPr>
      <w:r w:rsidRPr="006919A9">
        <w:rPr>
          <w:noProof/>
        </w:rPr>
        <w:drawing>
          <wp:inline distT="0" distB="0" distL="0" distR="0" wp14:anchorId="51D1E8ED" wp14:editId="12EA0781">
            <wp:extent cx="5732145" cy="3449823"/>
            <wp:effectExtent l="19050" t="19050" r="20955" b="17780"/>
            <wp:docPr id="10" name="Picture 10" descr="Figure 1: KM estimates for EFS, I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Figure 1: KM estimates for EFS, ITT"/>
                    <pic:cNvPicPr/>
                  </pic:nvPicPr>
                  <pic:blipFill rotWithShape="1">
                    <a:blip r:embed="rId8">
                      <a:extLst>
                        <a:ext uri="{28A0092B-C50C-407E-A947-70E740481C1C}">
                          <a14:useLocalDpi xmlns:a14="http://schemas.microsoft.com/office/drawing/2010/main" val="0"/>
                        </a:ext>
                      </a:extLst>
                    </a:blip>
                    <a:srcRect/>
                    <a:stretch/>
                  </pic:blipFill>
                  <pic:spPr bwMode="auto">
                    <a:xfrm>
                      <a:off x="0" y="0"/>
                      <a:ext cx="5732145" cy="3449823"/>
                    </a:xfrm>
                    <a:prstGeom prst="rect">
                      <a:avLst/>
                    </a:prstGeom>
                    <a:ln w="6350" cap="sq" cmpd="sng" algn="ctr">
                      <a:solidFill>
                        <a:srgbClr val="000000"/>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extLst>
                      <a:ext uri="{53640926-AAD7-44D8-BBD7-CCE9431645EC}">
                        <a14:shadowObscured xmlns:a14="http://schemas.microsoft.com/office/drawing/2010/main"/>
                      </a:ext>
                    </a:extLst>
                  </pic:spPr>
                </pic:pic>
              </a:graphicData>
            </a:graphic>
          </wp:inline>
        </w:drawing>
      </w:r>
    </w:p>
    <w:p w14:paraId="7C552180" w14:textId="77777777" w:rsidR="00140969" w:rsidRPr="006919A9" w:rsidRDefault="00140969" w:rsidP="00652C95">
      <w:pPr>
        <w:pStyle w:val="FooterTableFigure"/>
        <w:jc w:val="left"/>
      </w:pPr>
      <w:r w:rsidRPr="006919A9">
        <w:t>Source: Figure 2.5-1, p45 of the submission.</w:t>
      </w:r>
    </w:p>
    <w:p w14:paraId="1B538237" w14:textId="089A3311" w:rsidR="006135F9" w:rsidRPr="00652C95" w:rsidRDefault="00140969" w:rsidP="006135F9">
      <w:pPr>
        <w:pStyle w:val="3-BodyText"/>
      </w:pPr>
      <w:r w:rsidRPr="00652C95">
        <w:t xml:space="preserve">The </w:t>
      </w:r>
      <w:r w:rsidR="009652CA">
        <w:t xml:space="preserve">KM </w:t>
      </w:r>
      <w:r w:rsidRPr="00652C95">
        <w:t xml:space="preserve">curves show a separation after around 12 months favouring treatment with pembrolizumab </w:t>
      </w:r>
      <w:r w:rsidR="00161719" w:rsidRPr="00652C95">
        <w:t>plus</w:t>
      </w:r>
      <w:r w:rsidRPr="00652C95">
        <w:t xml:space="preserve"> chemo</w:t>
      </w:r>
      <w:r w:rsidR="00161719" w:rsidRPr="00652C95">
        <w:t>therapy</w:t>
      </w:r>
      <w:r w:rsidRPr="00652C95">
        <w:t>, but also highlight the immaturity of the EFS data.</w:t>
      </w:r>
    </w:p>
    <w:p w14:paraId="44843761" w14:textId="330FFEC4" w:rsidR="005C35B2" w:rsidRDefault="006135F9" w:rsidP="003E268C">
      <w:pPr>
        <w:pStyle w:val="3-BodyText"/>
      </w:pPr>
      <w:bookmarkStart w:id="26" w:name="_Ref127536252"/>
      <w:r w:rsidRPr="006919A9">
        <w:t>The submission presented details of a European Society of Medical Oncologists (ESMO) presentation (Fasching 2022), which the submission claimed demonstrated the association of EFS with OS</w:t>
      </w:r>
      <w:r w:rsidR="00551636">
        <w:t>, supporting its use as a surrogate end</w:t>
      </w:r>
      <w:r w:rsidR="005C35B2">
        <w:t>p</w:t>
      </w:r>
      <w:r w:rsidR="00551636">
        <w:t>oint</w:t>
      </w:r>
      <w:r w:rsidRPr="006919A9">
        <w:t>.</w:t>
      </w:r>
      <w:bookmarkEnd w:id="26"/>
      <w:r w:rsidRPr="006919A9">
        <w:t xml:space="preserve"> </w:t>
      </w:r>
    </w:p>
    <w:p w14:paraId="218DD1AE" w14:textId="07AD72AF" w:rsidR="0051621C" w:rsidRPr="006919A9" w:rsidRDefault="006135F9" w:rsidP="00B4126B">
      <w:pPr>
        <w:pStyle w:val="3-BodyText"/>
      </w:pPr>
      <w:r w:rsidRPr="006919A9">
        <w:lastRenderedPageBreak/>
        <w:t xml:space="preserve">Fasching (2022) included an analysis of individual and trial level associations in </w:t>
      </w:r>
      <w:r w:rsidR="00621B49" w:rsidRPr="006919A9">
        <w:t>45</w:t>
      </w:r>
      <w:r w:rsidR="00621B49">
        <w:t> </w:t>
      </w:r>
      <w:r w:rsidRPr="006919A9">
        <w:t xml:space="preserve">studies for a total of 7,522 patients with </w:t>
      </w:r>
      <w:r w:rsidR="006F60F1">
        <w:t>e</w:t>
      </w:r>
      <w:r w:rsidRPr="006919A9">
        <w:t xml:space="preserve">TNBC. For individual level associations, 3-year EFS significantly predicted 5-year OS. The EFS coefficient of 1.13, p &lt;0.01 </w:t>
      </w:r>
      <w:r w:rsidR="00783B32" w:rsidRPr="006919A9">
        <w:t>(</w:t>
      </w:r>
      <w:r w:rsidRPr="006919A9">
        <w:t>R</w:t>
      </w:r>
      <w:r w:rsidRPr="00DA022D">
        <w:rPr>
          <w:vertAlign w:val="superscript"/>
        </w:rPr>
        <w:t>2</w:t>
      </w:r>
      <w:r w:rsidRPr="006919A9">
        <w:t xml:space="preserve"> was 0.82 (95% CI 0.68, 0.91)</w:t>
      </w:r>
      <w:r w:rsidR="00783B32" w:rsidRPr="006919A9">
        <w:t>)</w:t>
      </w:r>
      <w:r w:rsidRPr="006919A9">
        <w:t>. The correlation between 5-year EFS and 5-year OS was similarly high (EFS coefficient = 1.02, R</w:t>
      </w:r>
      <w:r w:rsidRPr="00DA022D">
        <w:rPr>
          <w:vertAlign w:val="superscript"/>
        </w:rPr>
        <w:t>2</w:t>
      </w:r>
      <w:r w:rsidRPr="006919A9">
        <w:t xml:space="preserve"> = 0.80 (95% CI 0.65, 0.89</w:t>
      </w:r>
      <w:r w:rsidR="00783B32" w:rsidRPr="006919A9">
        <w:t>)</w:t>
      </w:r>
      <w:r w:rsidRPr="006919A9">
        <w:t xml:space="preserve">). </w:t>
      </w:r>
      <w:r w:rsidR="00551636">
        <w:t>O</w:t>
      </w:r>
      <w:r w:rsidRPr="00652C95">
        <w:t>nly 26.7% of the total population in the individual</w:t>
      </w:r>
      <w:r w:rsidR="00551636">
        <w:t>-</w:t>
      </w:r>
      <w:r w:rsidRPr="00652C95">
        <w:t xml:space="preserve">level analyses were from randomised controlled trials (RCTs) with single arm studies accounting for 4.4% and </w:t>
      </w:r>
      <w:r w:rsidR="00D370E0" w:rsidRPr="00652C95">
        <w:t>real-world</w:t>
      </w:r>
      <w:r w:rsidRPr="00652C95">
        <w:t xml:space="preserve"> evidence studies accounting for 66.9%.</w:t>
      </w:r>
      <w:r w:rsidR="00045E36">
        <w:t xml:space="preserve"> </w:t>
      </w:r>
      <w:r w:rsidRPr="006919A9">
        <w:t>Trial-level association analysis based only on the RCTs reported lower levels of correlation between EFS and OS</w:t>
      </w:r>
      <w:r w:rsidR="00D07570" w:rsidRPr="006919A9">
        <w:t xml:space="preserve"> (EFS coefficient = 1.03, </w:t>
      </w:r>
      <w:r w:rsidR="00783B32" w:rsidRPr="006919A9">
        <w:t>R</w:t>
      </w:r>
      <w:r w:rsidR="00783B32" w:rsidRPr="00551636">
        <w:rPr>
          <w:vertAlign w:val="superscript"/>
        </w:rPr>
        <w:t>2</w:t>
      </w:r>
      <w:r w:rsidR="00783B32" w:rsidRPr="006919A9">
        <w:t xml:space="preserve"> = 0.80 (95% CI 0.45,0.83))</w:t>
      </w:r>
      <w:r w:rsidR="00045E36">
        <w:t>.</w:t>
      </w:r>
      <w:r w:rsidR="00B4126B" w:rsidRPr="00B4126B">
        <w:t xml:space="preserve"> </w:t>
      </w:r>
      <w:r w:rsidR="00B4126B">
        <w:t xml:space="preserve">However, </w:t>
      </w:r>
      <w:r w:rsidR="00B4126B" w:rsidRPr="00652C95">
        <w:t>Fasching (2022) included studies which had a much more variable definition of EFS, many of which differed substantially to the EFS definition in KN-522.</w:t>
      </w:r>
    </w:p>
    <w:p w14:paraId="12FEE107" w14:textId="179E39EA" w:rsidR="0051621C" w:rsidRDefault="00551636" w:rsidP="00815D6E">
      <w:pPr>
        <w:pStyle w:val="3-BodyText"/>
      </w:pPr>
      <w:r>
        <w:t>A</w:t>
      </w:r>
      <w:r w:rsidR="00473A7D" w:rsidRPr="006919A9">
        <w:t xml:space="preserve"> publication by </w:t>
      </w:r>
      <w:proofErr w:type="spellStart"/>
      <w:r w:rsidR="00473A7D" w:rsidRPr="006919A9">
        <w:t>Gyawali</w:t>
      </w:r>
      <w:proofErr w:type="spellEnd"/>
      <w:r w:rsidR="00473A7D" w:rsidRPr="006919A9">
        <w:t xml:space="preserve"> (2021</w:t>
      </w:r>
      <w:r w:rsidR="00473A7D" w:rsidRPr="00B4126B">
        <w:rPr>
          <w:i/>
          <w:iCs/>
        </w:rPr>
        <w:t>)</w:t>
      </w:r>
      <w:r w:rsidR="00473A7D" w:rsidRPr="006919A9">
        <w:rPr>
          <w:rStyle w:val="FootnoteReference"/>
          <w:i/>
          <w:iCs/>
        </w:rPr>
        <w:footnoteReference w:id="3"/>
      </w:r>
      <w:r w:rsidR="001C61AA">
        <w:t>, had a nearly identical methodology to the trial level analyses in Fasching (2022) but includ</w:t>
      </w:r>
      <w:r w:rsidR="00585325">
        <w:t>ed</w:t>
      </w:r>
      <w:r w:rsidR="001C61AA">
        <w:t xml:space="preserve"> all early breast cancer types</w:t>
      </w:r>
      <w:r w:rsidR="00B4126B">
        <w:t xml:space="preserve"> (including TNBC)</w:t>
      </w:r>
      <w:r w:rsidR="008F05E2">
        <w:t>.</w:t>
      </w:r>
      <w:r w:rsidR="00473A7D" w:rsidRPr="006919A9">
        <w:t xml:space="preserve"> </w:t>
      </w:r>
      <w:bookmarkStart w:id="27" w:name="_Ref124200404"/>
      <w:proofErr w:type="spellStart"/>
      <w:r w:rsidR="006135F9" w:rsidRPr="00652C95">
        <w:t>Gyawali</w:t>
      </w:r>
      <w:proofErr w:type="spellEnd"/>
      <w:r w:rsidR="006135F9" w:rsidRPr="00652C95">
        <w:t xml:space="preserve"> (2021) found that the estimated linear association between the log of the hazard ratio (HR) EFS and log HR OS indicated a positive slope (b = 0.58 [95% CI: -0.32-1.48]) and the coefficient of determination confirmed a moderate trial-level association between log HRs for OS and EFS (R</w:t>
      </w:r>
      <w:r w:rsidR="006135F9" w:rsidRPr="00B4126B">
        <w:rPr>
          <w:vertAlign w:val="superscript"/>
        </w:rPr>
        <w:t>2</w:t>
      </w:r>
      <w:r w:rsidR="006135F9" w:rsidRPr="00652C95">
        <w:t xml:space="preserve"> 0.76 [95% CI 0.34,1.00]. </w:t>
      </w:r>
      <w:proofErr w:type="spellStart"/>
      <w:r w:rsidR="006135F9" w:rsidRPr="00652C95">
        <w:t>Gyawali</w:t>
      </w:r>
      <w:proofErr w:type="spellEnd"/>
      <w:r w:rsidR="006135F9" w:rsidRPr="00652C95">
        <w:t xml:space="preserve"> (2021) conclude</w:t>
      </w:r>
      <w:r w:rsidR="001C61AA" w:rsidRPr="00652C95">
        <w:t>d</w:t>
      </w:r>
      <w:r w:rsidR="006135F9" w:rsidRPr="00652C95">
        <w:t xml:space="preserve"> that treatment effects in EFS are </w:t>
      </w:r>
      <w:r w:rsidR="005C5336" w:rsidRPr="00652C95">
        <w:t xml:space="preserve">only </w:t>
      </w:r>
      <w:r w:rsidR="006135F9" w:rsidRPr="00652C95">
        <w:t>moderately correlated with treatment effects in OS in early breast cancer in the neoadjuvant setting, but the association was not significant</w:t>
      </w:r>
      <w:r w:rsidR="001C61AA" w:rsidRPr="00652C95">
        <w:t xml:space="preserve"> and that there may</w:t>
      </w:r>
      <w:r w:rsidR="006135F9" w:rsidRPr="00652C95">
        <w:t xml:space="preserve"> be insufficient evidence to </w:t>
      </w:r>
      <w:r w:rsidR="00CC71C1" w:rsidRPr="00652C95">
        <w:t xml:space="preserve">unequivocally </w:t>
      </w:r>
      <w:r w:rsidR="006135F9" w:rsidRPr="00652C95">
        <w:t>support EFS for use as a surrogate endpoint</w:t>
      </w:r>
      <w:r w:rsidR="00342572" w:rsidRPr="00652C95">
        <w:t>.</w:t>
      </w:r>
      <w:r w:rsidR="006135F9" w:rsidRPr="00652C95">
        <w:t xml:space="preserve"> </w:t>
      </w:r>
      <w:r w:rsidR="00585325">
        <w:t>T</w:t>
      </w:r>
      <w:r w:rsidR="00585325" w:rsidRPr="00652C95">
        <w:t>he definition</w:t>
      </w:r>
      <w:r w:rsidR="001E2C4E">
        <w:t>s</w:t>
      </w:r>
      <w:r w:rsidR="00585325" w:rsidRPr="00652C95">
        <w:t xml:space="preserve"> of EFS in the TNBC studies included in </w:t>
      </w:r>
      <w:proofErr w:type="spellStart"/>
      <w:r w:rsidR="00585325" w:rsidRPr="00652C95">
        <w:t>Gyawali</w:t>
      </w:r>
      <w:proofErr w:type="spellEnd"/>
      <w:r w:rsidR="00585325" w:rsidRPr="00652C95">
        <w:t xml:space="preserve"> (2021) were generally more aligned with KN-522 and therefore may be more relevant to the submission</w:t>
      </w:r>
      <w:r w:rsidR="00585325">
        <w:t xml:space="preserve"> than Fasching (2022)</w:t>
      </w:r>
      <w:r w:rsidR="00585325" w:rsidRPr="00652C95">
        <w:t>.</w:t>
      </w:r>
      <w:r w:rsidR="00585325">
        <w:t xml:space="preserve"> </w:t>
      </w:r>
      <w:r w:rsidR="00342572" w:rsidRPr="00652C95">
        <w:t>Consequently</w:t>
      </w:r>
      <w:r w:rsidR="00AB6F6C" w:rsidRPr="00652C95">
        <w:t>,</w:t>
      </w:r>
      <w:r w:rsidR="00342572" w:rsidRPr="00652C95">
        <w:t xml:space="preserve"> it was unclear to what extent the EFS results supported a claim of improved overall survival and to what extent EFS results could be relied on for modelling overall survival. </w:t>
      </w:r>
      <w:bookmarkEnd w:id="27"/>
    </w:p>
    <w:p w14:paraId="320D03D2" w14:textId="710AA4A8" w:rsidR="00585325" w:rsidRPr="00F756C7" w:rsidRDefault="004B7582" w:rsidP="009F347C">
      <w:pPr>
        <w:pStyle w:val="3-BodyText"/>
      </w:pPr>
      <w:bookmarkStart w:id="28" w:name="_Ref127179109"/>
      <w:r w:rsidRPr="00F756C7">
        <w:t>The PSCR argued that EFS is a validated surrogate endpoint for efficacy in the neoadjuvant setting with the FDA accepting that pCR and EFS are valid and appropriate breast cancer surrogates for OS</w:t>
      </w:r>
      <w:r w:rsidRPr="00F756C7">
        <w:rPr>
          <w:rStyle w:val="FootnoteReference"/>
        </w:rPr>
        <w:footnoteReference w:id="4"/>
      </w:r>
      <w:r w:rsidRPr="00F756C7">
        <w:t xml:space="preserve">. The sponsor considered the conclusions from </w:t>
      </w:r>
      <w:proofErr w:type="spellStart"/>
      <w:r w:rsidRPr="00F756C7">
        <w:t>Gyawali</w:t>
      </w:r>
      <w:proofErr w:type="spellEnd"/>
      <w:r w:rsidRPr="00F756C7">
        <w:t xml:space="preserve"> (2021) and Fasching (2022) publications as being complementary. The moderate trial level association observed by </w:t>
      </w:r>
      <w:proofErr w:type="spellStart"/>
      <w:r w:rsidRPr="00F756C7">
        <w:t>Gyawali</w:t>
      </w:r>
      <w:proofErr w:type="spellEnd"/>
      <w:r w:rsidRPr="00F756C7">
        <w:t xml:space="preserve"> in the early (all) breast cancer setting, is further confirmed in TNBC for both the patient-level and more importantly, trial-level association between EFS and OS. </w:t>
      </w:r>
      <w:r w:rsidR="00585325" w:rsidRPr="00F756C7">
        <w:t xml:space="preserve">The ESC </w:t>
      </w:r>
      <w:r w:rsidRPr="00F756C7">
        <w:t>considered that regardless, the events in the trial included in the definition of EFS (</w:t>
      </w:r>
      <w:r w:rsidR="00AA43F3" w:rsidRPr="00F756C7">
        <w:t>i.e.</w:t>
      </w:r>
      <w:r w:rsidRPr="00F756C7">
        <w:t xml:space="preserve"> </w:t>
      </w:r>
      <w:r w:rsidR="009652CA">
        <w:t xml:space="preserve">progressive disease </w:t>
      </w:r>
      <w:r w:rsidRPr="00F756C7">
        <w:t xml:space="preserve">leading to </w:t>
      </w:r>
      <w:proofErr w:type="spellStart"/>
      <w:r w:rsidRPr="00F756C7">
        <w:lastRenderedPageBreak/>
        <w:t>unresectability</w:t>
      </w:r>
      <w:proofErr w:type="spellEnd"/>
      <w:r w:rsidRPr="00F756C7">
        <w:t>, recurrence, new primary disease or death) were clinically significant and as such, it would be appropriate to consider EFS as a measure of efficacy.</w:t>
      </w:r>
      <w:bookmarkEnd w:id="28"/>
      <w:r w:rsidR="00585325" w:rsidRPr="00F756C7">
        <w:t xml:space="preserve"> </w:t>
      </w:r>
    </w:p>
    <w:p w14:paraId="74111EEA" w14:textId="33F71EF9" w:rsidR="00140969" w:rsidRPr="006919A9" w:rsidRDefault="00140969" w:rsidP="00140969">
      <w:pPr>
        <w:pStyle w:val="3-BodyText"/>
      </w:pPr>
      <w:r w:rsidRPr="006919A9">
        <w:fldChar w:fldCharType="begin" w:fldLock="1"/>
      </w:r>
      <w:r w:rsidRPr="006919A9">
        <w:instrText xml:space="preserve"> REF _Ref123390728 \h  \* MERGEFORMAT </w:instrText>
      </w:r>
      <w:r w:rsidRPr="006919A9">
        <w:fldChar w:fldCharType="separate"/>
      </w:r>
      <w:r w:rsidR="0067416F" w:rsidRPr="0067416F">
        <w:t>Table 6</w:t>
      </w:r>
      <w:r w:rsidRPr="006919A9">
        <w:fldChar w:fldCharType="end"/>
      </w:r>
      <w:r w:rsidRPr="006919A9">
        <w:t xml:space="preserve"> presents the OS results from KN-522 at IA4. </w:t>
      </w:r>
    </w:p>
    <w:p w14:paraId="6A5331C3" w14:textId="1E00FA9D" w:rsidR="009178B1" w:rsidRPr="006919A9" w:rsidRDefault="00140969" w:rsidP="00094398">
      <w:pPr>
        <w:keepNext/>
        <w:keepLines/>
        <w:rPr>
          <w:rStyle w:val="CommentReference"/>
        </w:rPr>
      </w:pPr>
      <w:bookmarkStart w:id="29" w:name="_Ref123390728"/>
      <w:bookmarkStart w:id="30" w:name="_Ref123390723"/>
      <w:r w:rsidRPr="006919A9">
        <w:rPr>
          <w:rStyle w:val="CommentReference"/>
          <w:rFonts w:eastAsiaTheme="majorEastAsia" w:cstheme="majorBidi"/>
          <w:szCs w:val="24"/>
        </w:rPr>
        <w:t xml:space="preserve">Table </w:t>
      </w:r>
      <w:r w:rsidRPr="006919A9">
        <w:rPr>
          <w:rStyle w:val="CommentReference"/>
          <w:rFonts w:eastAsiaTheme="majorEastAsia" w:cstheme="majorBidi"/>
          <w:b w:val="0"/>
          <w:szCs w:val="24"/>
        </w:rPr>
        <w:fldChar w:fldCharType="begin" w:fldLock="1"/>
      </w:r>
      <w:r w:rsidRPr="006919A9">
        <w:rPr>
          <w:rStyle w:val="CommentReference"/>
          <w:rFonts w:eastAsiaTheme="majorEastAsia" w:cstheme="majorBidi"/>
          <w:szCs w:val="24"/>
        </w:rPr>
        <w:instrText xml:space="preserve"> SEQ Table \* ARABIC </w:instrText>
      </w:r>
      <w:r w:rsidRPr="006919A9">
        <w:rPr>
          <w:rStyle w:val="CommentReference"/>
          <w:rFonts w:eastAsiaTheme="majorEastAsia" w:cstheme="majorBidi"/>
          <w:b w:val="0"/>
          <w:szCs w:val="24"/>
        </w:rPr>
        <w:fldChar w:fldCharType="separate"/>
      </w:r>
      <w:r w:rsidR="0067416F">
        <w:rPr>
          <w:rStyle w:val="CommentReference"/>
          <w:rFonts w:eastAsiaTheme="majorEastAsia" w:cstheme="majorBidi"/>
          <w:noProof/>
          <w:szCs w:val="24"/>
        </w:rPr>
        <w:t>6</w:t>
      </w:r>
      <w:r w:rsidRPr="006919A9">
        <w:rPr>
          <w:rStyle w:val="CommentReference"/>
          <w:rFonts w:eastAsiaTheme="majorEastAsia" w:cstheme="majorBidi"/>
          <w:b w:val="0"/>
          <w:szCs w:val="24"/>
        </w:rPr>
        <w:fldChar w:fldCharType="end"/>
      </w:r>
      <w:bookmarkEnd w:id="29"/>
      <w:r w:rsidRPr="006919A9">
        <w:rPr>
          <w:rStyle w:val="CommentReference"/>
          <w:rFonts w:eastAsiaTheme="majorEastAsia" w:cstheme="majorBidi"/>
          <w:szCs w:val="24"/>
        </w:rPr>
        <w:t xml:space="preserve">: </w:t>
      </w:r>
      <w:r w:rsidRPr="006919A9">
        <w:rPr>
          <w:rStyle w:val="CommentReference"/>
        </w:rPr>
        <w:t>Overall survival in KN-522 (ITT)</w:t>
      </w:r>
      <w:bookmarkEnd w:id="3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0"/>
        <w:gridCol w:w="1654"/>
        <w:gridCol w:w="1760"/>
        <w:gridCol w:w="3203"/>
      </w:tblGrid>
      <w:tr w:rsidR="006919A9" w:rsidRPr="006919A9" w14:paraId="05C7F792" w14:textId="77777777" w:rsidTr="00CE1C72">
        <w:tc>
          <w:tcPr>
            <w:tcW w:w="1331" w:type="pct"/>
            <w:vAlign w:val="center"/>
          </w:tcPr>
          <w:p w14:paraId="14A8E633" w14:textId="77777777" w:rsidR="009178B1" w:rsidRPr="006919A9" w:rsidRDefault="009178B1" w:rsidP="00094398">
            <w:pPr>
              <w:pStyle w:val="In-tableHeading"/>
              <w:keepLines/>
              <w:rPr>
                <w:lang w:val="en-AU"/>
              </w:rPr>
            </w:pPr>
          </w:p>
        </w:tc>
        <w:tc>
          <w:tcPr>
            <w:tcW w:w="917" w:type="pct"/>
            <w:vAlign w:val="center"/>
          </w:tcPr>
          <w:p w14:paraId="2E93FCA2" w14:textId="77777777" w:rsidR="009178B1" w:rsidRPr="006919A9" w:rsidRDefault="009178B1" w:rsidP="00094398">
            <w:pPr>
              <w:pStyle w:val="In-tableHeading"/>
              <w:keepLines/>
              <w:jc w:val="center"/>
              <w:rPr>
                <w:lang w:val="en-AU"/>
              </w:rPr>
            </w:pPr>
            <w:r w:rsidRPr="006919A9">
              <w:rPr>
                <w:lang w:val="en-AU"/>
              </w:rPr>
              <w:t>Pembro + chemo</w:t>
            </w:r>
          </w:p>
          <w:p w14:paraId="7E4F9EFA" w14:textId="77777777" w:rsidR="009178B1" w:rsidRPr="006919A9" w:rsidRDefault="009178B1" w:rsidP="00094398">
            <w:pPr>
              <w:pStyle w:val="In-tableHeading"/>
              <w:keepLines/>
              <w:jc w:val="center"/>
              <w:rPr>
                <w:lang w:val="en-AU"/>
              </w:rPr>
            </w:pPr>
            <w:r w:rsidRPr="006919A9">
              <w:rPr>
                <w:lang w:val="en-AU"/>
              </w:rPr>
              <w:t>N=784</w:t>
            </w:r>
          </w:p>
        </w:tc>
        <w:tc>
          <w:tcPr>
            <w:tcW w:w="976" w:type="pct"/>
            <w:vAlign w:val="center"/>
          </w:tcPr>
          <w:p w14:paraId="4F92CBA3" w14:textId="77777777" w:rsidR="009178B1" w:rsidRPr="006919A9" w:rsidRDefault="009178B1" w:rsidP="00094398">
            <w:pPr>
              <w:pStyle w:val="In-tableHeading"/>
              <w:keepLines/>
              <w:jc w:val="center"/>
              <w:rPr>
                <w:lang w:val="en-AU"/>
              </w:rPr>
            </w:pPr>
            <w:r w:rsidRPr="006919A9">
              <w:rPr>
                <w:lang w:val="en-AU"/>
              </w:rPr>
              <w:t>Placebo + chemo</w:t>
            </w:r>
          </w:p>
          <w:p w14:paraId="4D9B1EEE" w14:textId="77777777" w:rsidR="009178B1" w:rsidRPr="006919A9" w:rsidRDefault="009178B1" w:rsidP="00094398">
            <w:pPr>
              <w:pStyle w:val="In-tableHeading"/>
              <w:keepLines/>
              <w:jc w:val="center"/>
              <w:rPr>
                <w:lang w:val="en-AU"/>
              </w:rPr>
            </w:pPr>
            <w:r w:rsidRPr="006919A9">
              <w:rPr>
                <w:lang w:val="en-AU"/>
              </w:rPr>
              <w:t>N=390</w:t>
            </w:r>
          </w:p>
        </w:tc>
        <w:tc>
          <w:tcPr>
            <w:tcW w:w="1776" w:type="pct"/>
            <w:vAlign w:val="center"/>
          </w:tcPr>
          <w:p w14:paraId="52FE6DD2" w14:textId="77777777" w:rsidR="009178B1" w:rsidRPr="006919A9" w:rsidRDefault="009178B1" w:rsidP="00094398">
            <w:pPr>
              <w:pStyle w:val="In-tableHeading"/>
              <w:keepLines/>
              <w:jc w:val="center"/>
              <w:rPr>
                <w:lang w:val="en-AU"/>
              </w:rPr>
            </w:pPr>
            <w:r w:rsidRPr="006919A9">
              <w:rPr>
                <w:lang w:val="en-AU"/>
              </w:rPr>
              <w:t>HR (95% CI)</w:t>
            </w:r>
          </w:p>
        </w:tc>
      </w:tr>
      <w:tr w:rsidR="006919A9" w:rsidRPr="006919A9" w14:paraId="2BDA4107" w14:textId="77777777" w:rsidTr="00CE1C72">
        <w:tc>
          <w:tcPr>
            <w:tcW w:w="1331" w:type="pct"/>
            <w:vAlign w:val="center"/>
          </w:tcPr>
          <w:p w14:paraId="63714D31" w14:textId="77777777" w:rsidR="009178B1" w:rsidRPr="006919A9" w:rsidRDefault="009178B1" w:rsidP="00094398">
            <w:pPr>
              <w:pStyle w:val="TableText0"/>
              <w:keepLines/>
            </w:pPr>
            <w:r w:rsidRPr="006919A9">
              <w:t>Patients with event n (%)</w:t>
            </w:r>
          </w:p>
        </w:tc>
        <w:tc>
          <w:tcPr>
            <w:tcW w:w="917" w:type="pct"/>
            <w:vAlign w:val="center"/>
          </w:tcPr>
          <w:p w14:paraId="0CAB30A3" w14:textId="77777777" w:rsidR="009178B1" w:rsidRPr="006919A9" w:rsidRDefault="009178B1" w:rsidP="00094398">
            <w:pPr>
              <w:pStyle w:val="TableText0"/>
              <w:keepLines/>
              <w:jc w:val="center"/>
            </w:pPr>
            <w:r w:rsidRPr="006919A9">
              <w:t>80 (10.2)</w:t>
            </w:r>
          </w:p>
        </w:tc>
        <w:tc>
          <w:tcPr>
            <w:tcW w:w="976" w:type="pct"/>
            <w:vAlign w:val="center"/>
          </w:tcPr>
          <w:p w14:paraId="1E759CE8" w14:textId="77777777" w:rsidR="009178B1" w:rsidRPr="006919A9" w:rsidRDefault="009178B1" w:rsidP="00094398">
            <w:pPr>
              <w:pStyle w:val="TableText0"/>
              <w:keepLines/>
              <w:jc w:val="center"/>
            </w:pPr>
            <w:r w:rsidRPr="006919A9">
              <w:t>55 (14.1)</w:t>
            </w:r>
          </w:p>
        </w:tc>
        <w:tc>
          <w:tcPr>
            <w:tcW w:w="1776" w:type="pct"/>
            <w:vAlign w:val="center"/>
          </w:tcPr>
          <w:p w14:paraId="211132E5" w14:textId="77777777" w:rsidR="009178B1" w:rsidRPr="006919A9" w:rsidRDefault="009178B1" w:rsidP="00094398">
            <w:pPr>
              <w:pStyle w:val="TableText0"/>
              <w:keepLines/>
              <w:jc w:val="center"/>
            </w:pPr>
            <w:r w:rsidRPr="006919A9">
              <w:t>-</w:t>
            </w:r>
          </w:p>
        </w:tc>
      </w:tr>
      <w:tr w:rsidR="006919A9" w:rsidRPr="006919A9" w14:paraId="7A43992B" w14:textId="77777777" w:rsidTr="00CE1C72">
        <w:tc>
          <w:tcPr>
            <w:tcW w:w="1331" w:type="pct"/>
            <w:vAlign w:val="center"/>
          </w:tcPr>
          <w:p w14:paraId="6EFD681B" w14:textId="77777777" w:rsidR="009178B1" w:rsidRPr="006919A9" w:rsidRDefault="009178B1" w:rsidP="00094398">
            <w:pPr>
              <w:pStyle w:val="TableText0"/>
              <w:keepLines/>
            </w:pPr>
            <w:r w:rsidRPr="006919A9">
              <w:t>Patients censored n(%)</w:t>
            </w:r>
          </w:p>
        </w:tc>
        <w:tc>
          <w:tcPr>
            <w:tcW w:w="917" w:type="pct"/>
            <w:vAlign w:val="center"/>
          </w:tcPr>
          <w:p w14:paraId="0A8FC75A" w14:textId="77777777" w:rsidR="009178B1" w:rsidRPr="006919A9" w:rsidRDefault="009178B1" w:rsidP="00094398">
            <w:pPr>
              <w:pStyle w:val="TableText0"/>
              <w:keepLines/>
              <w:jc w:val="center"/>
            </w:pPr>
            <w:r w:rsidRPr="006919A9">
              <w:t>704 (89.8)</w:t>
            </w:r>
          </w:p>
        </w:tc>
        <w:tc>
          <w:tcPr>
            <w:tcW w:w="976" w:type="pct"/>
            <w:vAlign w:val="center"/>
          </w:tcPr>
          <w:p w14:paraId="48DF7EC4" w14:textId="77777777" w:rsidR="009178B1" w:rsidRPr="006919A9" w:rsidRDefault="009178B1" w:rsidP="00094398">
            <w:pPr>
              <w:pStyle w:val="TableText0"/>
              <w:keepLines/>
              <w:jc w:val="center"/>
            </w:pPr>
            <w:r w:rsidRPr="006919A9">
              <w:t>335 (85.9)</w:t>
            </w:r>
          </w:p>
        </w:tc>
        <w:tc>
          <w:tcPr>
            <w:tcW w:w="1776" w:type="pct"/>
            <w:vAlign w:val="center"/>
          </w:tcPr>
          <w:p w14:paraId="410F1273" w14:textId="4B2D9123" w:rsidR="009178B1" w:rsidRPr="006919A9" w:rsidRDefault="00FB69DE" w:rsidP="00094398">
            <w:pPr>
              <w:pStyle w:val="TableText0"/>
              <w:keepLines/>
              <w:jc w:val="center"/>
            </w:pPr>
            <w:r>
              <w:t>-</w:t>
            </w:r>
          </w:p>
        </w:tc>
      </w:tr>
      <w:tr w:rsidR="006919A9" w:rsidRPr="006919A9" w14:paraId="0A3B7165" w14:textId="77777777" w:rsidTr="00CE1C72">
        <w:tc>
          <w:tcPr>
            <w:tcW w:w="1331" w:type="pct"/>
            <w:vAlign w:val="center"/>
          </w:tcPr>
          <w:p w14:paraId="0E580D32" w14:textId="4C28BB11" w:rsidR="009178B1" w:rsidRPr="006919A9" w:rsidRDefault="009178B1" w:rsidP="00094398">
            <w:pPr>
              <w:pStyle w:val="TableText0"/>
              <w:keepLines/>
            </w:pPr>
            <w:r w:rsidRPr="006919A9">
              <w:t xml:space="preserve">Median </w:t>
            </w:r>
            <w:r w:rsidR="00040B1F" w:rsidRPr="006919A9">
              <w:t>OS</w:t>
            </w:r>
            <w:r w:rsidRPr="006919A9">
              <w:t xml:space="preserve"> months (95% CI)</w:t>
            </w:r>
          </w:p>
        </w:tc>
        <w:tc>
          <w:tcPr>
            <w:tcW w:w="917" w:type="pct"/>
            <w:vAlign w:val="center"/>
          </w:tcPr>
          <w:p w14:paraId="62FEF354" w14:textId="77777777" w:rsidR="009178B1" w:rsidRPr="006919A9" w:rsidRDefault="009178B1" w:rsidP="00094398">
            <w:pPr>
              <w:pStyle w:val="TableText0"/>
              <w:keepLines/>
              <w:jc w:val="center"/>
            </w:pPr>
            <w:r w:rsidRPr="006919A9">
              <w:t>NR</w:t>
            </w:r>
          </w:p>
        </w:tc>
        <w:tc>
          <w:tcPr>
            <w:tcW w:w="976" w:type="pct"/>
            <w:vAlign w:val="center"/>
          </w:tcPr>
          <w:p w14:paraId="69C9D83F" w14:textId="77777777" w:rsidR="009178B1" w:rsidRPr="006919A9" w:rsidRDefault="009178B1" w:rsidP="00094398">
            <w:pPr>
              <w:pStyle w:val="TableText0"/>
              <w:keepLines/>
              <w:jc w:val="center"/>
            </w:pPr>
            <w:r w:rsidRPr="006919A9">
              <w:t>NR</w:t>
            </w:r>
          </w:p>
        </w:tc>
        <w:tc>
          <w:tcPr>
            <w:tcW w:w="1776" w:type="pct"/>
            <w:vAlign w:val="center"/>
          </w:tcPr>
          <w:p w14:paraId="00384854" w14:textId="1F2E143B" w:rsidR="009178B1" w:rsidRPr="006919A9" w:rsidRDefault="009178B1" w:rsidP="00E149F9">
            <w:pPr>
              <w:pStyle w:val="TableText0"/>
              <w:keepLines/>
              <w:jc w:val="center"/>
            </w:pPr>
            <w:r w:rsidRPr="006919A9">
              <w:t>0.72 (0.51, 1.02)</w:t>
            </w:r>
            <w:r w:rsidR="00E149F9">
              <w:t xml:space="preserve">, </w:t>
            </w:r>
            <w:r w:rsidRPr="006919A9">
              <w:t>p=0.032128</w:t>
            </w:r>
          </w:p>
        </w:tc>
      </w:tr>
      <w:tr w:rsidR="006919A9" w:rsidRPr="006919A9" w14:paraId="6A29C7FA" w14:textId="77777777" w:rsidTr="00CE1C72">
        <w:tc>
          <w:tcPr>
            <w:tcW w:w="1331" w:type="pct"/>
            <w:vAlign w:val="center"/>
          </w:tcPr>
          <w:p w14:paraId="2579EFFC" w14:textId="77777777" w:rsidR="009178B1" w:rsidRPr="006919A9" w:rsidRDefault="009178B1" w:rsidP="00094398">
            <w:pPr>
              <w:pStyle w:val="TableText0"/>
              <w:keepLines/>
            </w:pPr>
            <w:r w:rsidRPr="006919A9">
              <w:t>OS rate at</w:t>
            </w:r>
          </w:p>
        </w:tc>
        <w:tc>
          <w:tcPr>
            <w:tcW w:w="917" w:type="pct"/>
            <w:vAlign w:val="center"/>
          </w:tcPr>
          <w:p w14:paraId="51F8528E" w14:textId="77777777" w:rsidR="009178B1" w:rsidRPr="006919A9" w:rsidRDefault="009178B1" w:rsidP="00094398">
            <w:pPr>
              <w:pStyle w:val="TableText0"/>
              <w:keepLines/>
              <w:jc w:val="center"/>
            </w:pPr>
          </w:p>
        </w:tc>
        <w:tc>
          <w:tcPr>
            <w:tcW w:w="976" w:type="pct"/>
            <w:vAlign w:val="center"/>
          </w:tcPr>
          <w:p w14:paraId="3E83EF22" w14:textId="77777777" w:rsidR="009178B1" w:rsidRPr="006919A9" w:rsidRDefault="009178B1" w:rsidP="00094398">
            <w:pPr>
              <w:pStyle w:val="TableText0"/>
              <w:keepLines/>
              <w:jc w:val="center"/>
            </w:pPr>
          </w:p>
        </w:tc>
        <w:tc>
          <w:tcPr>
            <w:tcW w:w="1776" w:type="pct"/>
            <w:vAlign w:val="center"/>
          </w:tcPr>
          <w:p w14:paraId="6679CFE7" w14:textId="77777777" w:rsidR="009178B1" w:rsidRPr="006919A9" w:rsidRDefault="009178B1" w:rsidP="00094398">
            <w:pPr>
              <w:pStyle w:val="TableText0"/>
              <w:keepLines/>
              <w:jc w:val="center"/>
            </w:pPr>
          </w:p>
        </w:tc>
      </w:tr>
      <w:tr w:rsidR="006919A9" w:rsidRPr="006919A9" w14:paraId="5CFB701E" w14:textId="77777777" w:rsidTr="00CE1C72">
        <w:tc>
          <w:tcPr>
            <w:tcW w:w="1331" w:type="pct"/>
            <w:vAlign w:val="center"/>
          </w:tcPr>
          <w:p w14:paraId="5FE9B3B6" w14:textId="77777777" w:rsidR="009178B1" w:rsidRPr="006919A9" w:rsidRDefault="009178B1" w:rsidP="00094398">
            <w:pPr>
              <w:pStyle w:val="TableText0"/>
              <w:keepLines/>
            </w:pPr>
            <w:r w:rsidRPr="006919A9">
              <w:t>12 months (95% CI)</w:t>
            </w:r>
          </w:p>
        </w:tc>
        <w:tc>
          <w:tcPr>
            <w:tcW w:w="917" w:type="pct"/>
            <w:vAlign w:val="center"/>
          </w:tcPr>
          <w:p w14:paraId="23A02A8E" w14:textId="77777777" w:rsidR="009178B1" w:rsidRPr="006919A9" w:rsidRDefault="009178B1" w:rsidP="00094398">
            <w:pPr>
              <w:pStyle w:val="TableText0"/>
              <w:keepLines/>
              <w:jc w:val="center"/>
            </w:pPr>
            <w:r w:rsidRPr="006919A9">
              <w:t>97.2 (95.8, 98.1)</w:t>
            </w:r>
          </w:p>
        </w:tc>
        <w:tc>
          <w:tcPr>
            <w:tcW w:w="976" w:type="pct"/>
            <w:vAlign w:val="center"/>
          </w:tcPr>
          <w:p w14:paraId="528D5078" w14:textId="77777777" w:rsidR="009178B1" w:rsidRPr="006919A9" w:rsidRDefault="009178B1" w:rsidP="00094398">
            <w:pPr>
              <w:pStyle w:val="TableText0"/>
              <w:keepLines/>
              <w:jc w:val="center"/>
            </w:pPr>
            <w:r w:rsidRPr="006919A9">
              <w:t>97.2 (95.8, 98.1)</w:t>
            </w:r>
          </w:p>
        </w:tc>
        <w:tc>
          <w:tcPr>
            <w:tcW w:w="1776" w:type="pct"/>
            <w:vAlign w:val="center"/>
          </w:tcPr>
          <w:p w14:paraId="1254DEFE" w14:textId="57D4C793" w:rsidR="009178B1" w:rsidRPr="006919A9" w:rsidRDefault="00FB69DE" w:rsidP="00094398">
            <w:pPr>
              <w:pStyle w:val="TableText0"/>
              <w:keepLines/>
              <w:jc w:val="center"/>
            </w:pPr>
            <w:r>
              <w:t>-</w:t>
            </w:r>
          </w:p>
        </w:tc>
      </w:tr>
      <w:tr w:rsidR="006919A9" w:rsidRPr="006919A9" w14:paraId="3E3A12CD" w14:textId="77777777" w:rsidTr="00CE1C72">
        <w:tc>
          <w:tcPr>
            <w:tcW w:w="1331" w:type="pct"/>
            <w:vAlign w:val="center"/>
          </w:tcPr>
          <w:p w14:paraId="3509116E" w14:textId="77777777" w:rsidR="009178B1" w:rsidRPr="006919A9" w:rsidRDefault="009178B1" w:rsidP="00094398">
            <w:pPr>
              <w:pStyle w:val="TableText0"/>
              <w:keepLines/>
            </w:pPr>
            <w:r w:rsidRPr="006919A9">
              <w:t>18 months (95% CI)</w:t>
            </w:r>
          </w:p>
        </w:tc>
        <w:tc>
          <w:tcPr>
            <w:tcW w:w="917" w:type="pct"/>
            <w:vAlign w:val="center"/>
          </w:tcPr>
          <w:p w14:paraId="37EE7D55" w14:textId="77777777" w:rsidR="009178B1" w:rsidRPr="006919A9" w:rsidRDefault="009178B1" w:rsidP="00094398">
            <w:pPr>
              <w:pStyle w:val="TableText0"/>
              <w:keepLines/>
              <w:jc w:val="center"/>
            </w:pPr>
            <w:r w:rsidRPr="006919A9">
              <w:t>95.0 (93.2, 96.3)</w:t>
            </w:r>
          </w:p>
        </w:tc>
        <w:tc>
          <w:tcPr>
            <w:tcW w:w="976" w:type="pct"/>
            <w:vAlign w:val="center"/>
          </w:tcPr>
          <w:p w14:paraId="534AED96" w14:textId="77777777" w:rsidR="009178B1" w:rsidRPr="006919A9" w:rsidRDefault="009178B1" w:rsidP="00094398">
            <w:pPr>
              <w:pStyle w:val="TableText0"/>
              <w:keepLines/>
              <w:jc w:val="center"/>
            </w:pPr>
            <w:r w:rsidRPr="006919A9">
              <w:t>93.8 (91.0, 95.8)</w:t>
            </w:r>
          </w:p>
        </w:tc>
        <w:tc>
          <w:tcPr>
            <w:tcW w:w="1776" w:type="pct"/>
            <w:vAlign w:val="center"/>
          </w:tcPr>
          <w:p w14:paraId="7C8966CF" w14:textId="796E6DBC" w:rsidR="009178B1" w:rsidRPr="006919A9" w:rsidRDefault="00FB69DE" w:rsidP="00094398">
            <w:pPr>
              <w:pStyle w:val="TableText0"/>
              <w:keepLines/>
              <w:jc w:val="center"/>
            </w:pPr>
            <w:r>
              <w:t>-</w:t>
            </w:r>
          </w:p>
        </w:tc>
      </w:tr>
      <w:tr w:rsidR="006919A9" w:rsidRPr="006919A9" w14:paraId="39D04F7A" w14:textId="77777777" w:rsidTr="00CE1C72">
        <w:tc>
          <w:tcPr>
            <w:tcW w:w="1331" w:type="pct"/>
            <w:vAlign w:val="center"/>
          </w:tcPr>
          <w:p w14:paraId="54F02933" w14:textId="77777777" w:rsidR="009178B1" w:rsidRPr="006919A9" w:rsidRDefault="009178B1" w:rsidP="00094398">
            <w:pPr>
              <w:pStyle w:val="TableText0"/>
              <w:keepLines/>
            </w:pPr>
            <w:r w:rsidRPr="006919A9">
              <w:t>24 months (95% CI)</w:t>
            </w:r>
          </w:p>
        </w:tc>
        <w:tc>
          <w:tcPr>
            <w:tcW w:w="917" w:type="pct"/>
            <w:vAlign w:val="center"/>
          </w:tcPr>
          <w:p w14:paraId="1C69647E" w14:textId="77777777" w:rsidR="009178B1" w:rsidRPr="006919A9" w:rsidRDefault="009178B1" w:rsidP="00094398">
            <w:pPr>
              <w:pStyle w:val="TableText0"/>
              <w:keepLines/>
              <w:jc w:val="center"/>
            </w:pPr>
            <w:r w:rsidRPr="006919A9">
              <w:t>92.3 (90.2, 94.0)</w:t>
            </w:r>
          </w:p>
        </w:tc>
        <w:tc>
          <w:tcPr>
            <w:tcW w:w="976" w:type="pct"/>
            <w:vAlign w:val="center"/>
          </w:tcPr>
          <w:p w14:paraId="1240FCE2" w14:textId="77777777" w:rsidR="009178B1" w:rsidRPr="006919A9" w:rsidRDefault="009178B1" w:rsidP="00094398">
            <w:pPr>
              <w:pStyle w:val="TableText0"/>
              <w:keepLines/>
              <w:jc w:val="center"/>
            </w:pPr>
            <w:r w:rsidRPr="006919A9">
              <w:t>91.0 (87.7, 93.5)</w:t>
            </w:r>
          </w:p>
        </w:tc>
        <w:tc>
          <w:tcPr>
            <w:tcW w:w="1776" w:type="pct"/>
            <w:vAlign w:val="center"/>
          </w:tcPr>
          <w:p w14:paraId="62322C09" w14:textId="1C74B3D2" w:rsidR="009178B1" w:rsidRPr="006919A9" w:rsidRDefault="00FB69DE" w:rsidP="00094398">
            <w:pPr>
              <w:pStyle w:val="TableText0"/>
              <w:keepLines/>
              <w:jc w:val="center"/>
            </w:pPr>
            <w:r>
              <w:t>-</w:t>
            </w:r>
          </w:p>
        </w:tc>
      </w:tr>
      <w:tr w:rsidR="006919A9" w:rsidRPr="006919A9" w14:paraId="13490983" w14:textId="77777777" w:rsidTr="00CE1C72">
        <w:tc>
          <w:tcPr>
            <w:tcW w:w="1331" w:type="pct"/>
            <w:vAlign w:val="center"/>
          </w:tcPr>
          <w:p w14:paraId="0785DEFB" w14:textId="77777777" w:rsidR="009178B1" w:rsidRPr="006919A9" w:rsidRDefault="009178B1" w:rsidP="00094398">
            <w:pPr>
              <w:pStyle w:val="TableText0"/>
              <w:keepLines/>
            </w:pPr>
            <w:r w:rsidRPr="006919A9">
              <w:t>36 months (95% CI)</w:t>
            </w:r>
          </w:p>
        </w:tc>
        <w:tc>
          <w:tcPr>
            <w:tcW w:w="917" w:type="pct"/>
            <w:vAlign w:val="center"/>
          </w:tcPr>
          <w:p w14:paraId="35C7E6A0" w14:textId="77777777" w:rsidR="009178B1" w:rsidRPr="006919A9" w:rsidRDefault="009178B1" w:rsidP="00094398">
            <w:pPr>
              <w:pStyle w:val="TableText0"/>
              <w:keepLines/>
              <w:jc w:val="center"/>
            </w:pPr>
            <w:r w:rsidRPr="006919A9">
              <w:t>89.7 (87.3, 91.7)</w:t>
            </w:r>
          </w:p>
        </w:tc>
        <w:tc>
          <w:tcPr>
            <w:tcW w:w="976" w:type="pct"/>
            <w:vAlign w:val="center"/>
          </w:tcPr>
          <w:p w14:paraId="50E75EBE" w14:textId="77777777" w:rsidR="009178B1" w:rsidRPr="006919A9" w:rsidRDefault="009178B1" w:rsidP="00094398">
            <w:pPr>
              <w:pStyle w:val="TableText0"/>
              <w:keepLines/>
              <w:jc w:val="center"/>
            </w:pPr>
            <w:r w:rsidRPr="006919A9">
              <w:t>86.9 (83.0, 89.9)</w:t>
            </w:r>
          </w:p>
        </w:tc>
        <w:tc>
          <w:tcPr>
            <w:tcW w:w="1776" w:type="pct"/>
            <w:vAlign w:val="center"/>
          </w:tcPr>
          <w:p w14:paraId="572A77F6" w14:textId="44232FC5" w:rsidR="009178B1" w:rsidRPr="006919A9" w:rsidRDefault="00FB69DE" w:rsidP="00094398">
            <w:pPr>
              <w:pStyle w:val="TableText0"/>
              <w:keepLines/>
              <w:jc w:val="center"/>
            </w:pPr>
            <w:r>
              <w:t>-</w:t>
            </w:r>
          </w:p>
        </w:tc>
      </w:tr>
      <w:tr w:rsidR="006919A9" w:rsidRPr="006919A9" w14:paraId="530463F9" w14:textId="77777777" w:rsidTr="00CE1C72">
        <w:tc>
          <w:tcPr>
            <w:tcW w:w="1331" w:type="pct"/>
            <w:vAlign w:val="center"/>
          </w:tcPr>
          <w:p w14:paraId="73FEA4B4" w14:textId="77777777" w:rsidR="009178B1" w:rsidRPr="006919A9" w:rsidRDefault="009178B1" w:rsidP="00094398">
            <w:pPr>
              <w:pStyle w:val="TableText0"/>
              <w:keepLines/>
            </w:pPr>
            <w:r w:rsidRPr="006919A9">
              <w:t>42 months (95% CI)</w:t>
            </w:r>
          </w:p>
        </w:tc>
        <w:tc>
          <w:tcPr>
            <w:tcW w:w="917" w:type="pct"/>
            <w:vAlign w:val="center"/>
          </w:tcPr>
          <w:p w14:paraId="0B017D7D" w14:textId="77777777" w:rsidR="009178B1" w:rsidRPr="006919A9" w:rsidRDefault="009178B1" w:rsidP="00094398">
            <w:pPr>
              <w:pStyle w:val="TableText0"/>
              <w:keepLines/>
              <w:jc w:val="center"/>
            </w:pPr>
            <w:r w:rsidRPr="006919A9">
              <w:t>89.2 (86.7, 91.3)</w:t>
            </w:r>
          </w:p>
        </w:tc>
        <w:tc>
          <w:tcPr>
            <w:tcW w:w="976" w:type="pct"/>
            <w:vAlign w:val="center"/>
          </w:tcPr>
          <w:p w14:paraId="5337CDB2" w14:textId="77777777" w:rsidR="009178B1" w:rsidRPr="006919A9" w:rsidRDefault="009178B1" w:rsidP="00094398">
            <w:pPr>
              <w:pStyle w:val="TableText0"/>
              <w:keepLines/>
              <w:jc w:val="center"/>
            </w:pPr>
            <w:r w:rsidRPr="006919A9">
              <w:t>84.1 (79.5, 87.7)</w:t>
            </w:r>
          </w:p>
        </w:tc>
        <w:tc>
          <w:tcPr>
            <w:tcW w:w="1776" w:type="pct"/>
            <w:vAlign w:val="center"/>
          </w:tcPr>
          <w:p w14:paraId="1EDB02BA" w14:textId="14EC600D" w:rsidR="009178B1" w:rsidRPr="006919A9" w:rsidRDefault="00FB69DE" w:rsidP="00094398">
            <w:pPr>
              <w:pStyle w:val="TableText0"/>
              <w:keepLines/>
              <w:jc w:val="center"/>
            </w:pPr>
            <w:r>
              <w:t>-</w:t>
            </w:r>
          </w:p>
        </w:tc>
      </w:tr>
    </w:tbl>
    <w:p w14:paraId="6A7C2F75" w14:textId="77777777" w:rsidR="009178B1" w:rsidRPr="006919A9" w:rsidRDefault="009178B1" w:rsidP="00094398">
      <w:pPr>
        <w:pStyle w:val="FooterTableFigure"/>
        <w:keepNext/>
        <w:keepLines/>
      </w:pPr>
      <w:r w:rsidRPr="006919A9">
        <w:t>Source: Table 2.5-10, p47 of the submission and Table 11-4, p115 of the Kn-522 CSR</w:t>
      </w:r>
    </w:p>
    <w:p w14:paraId="393579D7" w14:textId="77777777" w:rsidR="009178B1" w:rsidRPr="006919A9" w:rsidRDefault="009178B1" w:rsidP="00094398">
      <w:pPr>
        <w:pStyle w:val="FooterTableFigure"/>
        <w:keepNext/>
        <w:keepLines/>
      </w:pPr>
      <w:r w:rsidRPr="006919A9">
        <w:t>CI = confidence interval; HR = hazard ratio; ITT = intention to treat; NR = not reported</w:t>
      </w:r>
    </w:p>
    <w:p w14:paraId="67534AAD" w14:textId="730889B7" w:rsidR="00140969" w:rsidRPr="006919A9" w:rsidRDefault="00140969" w:rsidP="00140969">
      <w:pPr>
        <w:pStyle w:val="3-BodyText"/>
      </w:pPr>
      <w:r w:rsidRPr="006919A9">
        <w:t>The submission considered that the analysis showed improvement in OS that favoured the pembrolizumab</w:t>
      </w:r>
      <w:r w:rsidR="00161719" w:rsidRPr="006919A9">
        <w:t xml:space="preserve"> </w:t>
      </w:r>
      <w:r w:rsidR="00D153C5">
        <w:t>+</w:t>
      </w:r>
      <w:r w:rsidR="00D153C5" w:rsidRPr="006919A9">
        <w:t xml:space="preserve"> </w:t>
      </w:r>
      <w:r w:rsidR="00161719" w:rsidRPr="006919A9">
        <w:t>chemotherapy</w:t>
      </w:r>
      <w:r w:rsidRPr="006919A9">
        <w:t xml:space="preserve"> arm over the placebo </w:t>
      </w:r>
      <w:r w:rsidR="00D153C5">
        <w:t>+</w:t>
      </w:r>
      <w:r w:rsidR="00D153C5" w:rsidRPr="006919A9">
        <w:t xml:space="preserve"> </w:t>
      </w:r>
      <w:r w:rsidR="00161719" w:rsidRPr="006919A9">
        <w:t xml:space="preserve">chemotherapy </w:t>
      </w:r>
      <w:r w:rsidRPr="006919A9">
        <w:t>arm at month 42. However, the submission acknowledged that due to the relative early time of the analysis with respect to the OS endpoint (approximately 45% [135 of the 297</w:t>
      </w:r>
      <w:r w:rsidR="009652CA">
        <w:t>]</w:t>
      </w:r>
      <w:r w:rsidRPr="006919A9">
        <w:t xml:space="preserve"> events needed for the final analysis), the observed one-sided p-value did not cross the multiplicity-adjusted, one-sided prespecified p-value boundary at IA4. Therefore, the success criterion for the secondary OS hypothesis was not met.</w:t>
      </w:r>
      <w:r w:rsidR="00CE22DC">
        <w:t xml:space="preserve"> </w:t>
      </w:r>
    </w:p>
    <w:p w14:paraId="47716A11" w14:textId="6CC589FE" w:rsidR="00140969" w:rsidRPr="00F756C7" w:rsidRDefault="00140969" w:rsidP="00140969">
      <w:pPr>
        <w:pStyle w:val="3-BodyText"/>
      </w:pPr>
      <w:r w:rsidRPr="00652C95">
        <w:t xml:space="preserve">The overall survival data is not mature enough for any clear conclusions to be drawn, except that at IA4 the difference in OS was not statistically significant between treatment arms. </w:t>
      </w:r>
      <w:r w:rsidR="00085EDE" w:rsidRPr="00F756C7">
        <w:t xml:space="preserve">The PSCR noted the final analysis is not expected until late 2025 and at that point OS will be confounded by treatment cross-over. </w:t>
      </w:r>
    </w:p>
    <w:p w14:paraId="234AB8D6" w14:textId="5E1D7359" w:rsidR="00140969" w:rsidRPr="006919A9" w:rsidRDefault="00140969" w:rsidP="00140969">
      <w:pPr>
        <w:pStyle w:val="3-BodyText"/>
      </w:pPr>
      <w:r w:rsidRPr="006919A9">
        <w:fldChar w:fldCharType="begin" w:fldLock="1"/>
      </w:r>
      <w:r w:rsidRPr="006919A9">
        <w:instrText xml:space="preserve"> REF _Ref123390995 \h  \* MERGEFORMAT </w:instrText>
      </w:r>
      <w:r w:rsidRPr="006919A9">
        <w:fldChar w:fldCharType="separate"/>
      </w:r>
      <w:r w:rsidR="0067416F" w:rsidRPr="0067416F">
        <w:t>Figure</w:t>
      </w:r>
      <w:r w:rsidR="0067416F" w:rsidRPr="0067416F">
        <w:rPr>
          <w:rFonts w:eastAsiaTheme="majorEastAsia"/>
        </w:rPr>
        <w:t xml:space="preserve"> </w:t>
      </w:r>
      <w:r w:rsidR="0067416F" w:rsidRPr="0067416F">
        <w:t>2</w:t>
      </w:r>
      <w:r w:rsidRPr="006919A9">
        <w:fldChar w:fldCharType="end"/>
      </w:r>
      <w:r w:rsidRPr="006919A9">
        <w:t xml:space="preserve"> presents the OS KM curves for KN-522.</w:t>
      </w:r>
    </w:p>
    <w:p w14:paraId="04A1B666" w14:textId="58F91699" w:rsidR="00140969" w:rsidRPr="006919A9" w:rsidRDefault="00140969" w:rsidP="00652C95">
      <w:pPr>
        <w:pStyle w:val="TableFigureHeading"/>
      </w:pPr>
      <w:bookmarkStart w:id="31" w:name="_Ref123390995"/>
      <w:r w:rsidRPr="006919A9">
        <w:rPr>
          <w:rStyle w:val="CommentReference"/>
          <w:b/>
          <w:szCs w:val="24"/>
        </w:rPr>
        <w:lastRenderedPageBreak/>
        <w:t xml:space="preserve">Figure </w:t>
      </w:r>
      <w:r w:rsidRPr="006919A9">
        <w:rPr>
          <w:rStyle w:val="CommentReference"/>
          <w:b/>
          <w:szCs w:val="24"/>
        </w:rPr>
        <w:fldChar w:fldCharType="begin" w:fldLock="1"/>
      </w:r>
      <w:r w:rsidRPr="006919A9">
        <w:rPr>
          <w:rStyle w:val="CommentReference"/>
          <w:b/>
          <w:szCs w:val="24"/>
        </w:rPr>
        <w:instrText xml:space="preserve"> SEQ Figure \* ARABIC </w:instrText>
      </w:r>
      <w:r w:rsidRPr="006919A9">
        <w:rPr>
          <w:rStyle w:val="CommentReference"/>
          <w:b/>
          <w:szCs w:val="24"/>
        </w:rPr>
        <w:fldChar w:fldCharType="separate"/>
      </w:r>
      <w:r w:rsidR="0067416F">
        <w:rPr>
          <w:rStyle w:val="CommentReference"/>
          <w:b/>
          <w:noProof/>
          <w:szCs w:val="24"/>
        </w:rPr>
        <w:t>2</w:t>
      </w:r>
      <w:r w:rsidRPr="006919A9">
        <w:rPr>
          <w:rStyle w:val="CommentReference"/>
          <w:b/>
          <w:szCs w:val="24"/>
        </w:rPr>
        <w:fldChar w:fldCharType="end"/>
      </w:r>
      <w:bookmarkEnd w:id="31"/>
      <w:r w:rsidRPr="006919A9">
        <w:rPr>
          <w:rStyle w:val="CommentReference"/>
          <w:b/>
          <w:szCs w:val="24"/>
        </w:rPr>
        <w:t>:</w:t>
      </w:r>
      <w:r w:rsidRPr="006919A9">
        <w:t xml:space="preserve"> KM estimates for OS, ITT</w:t>
      </w:r>
    </w:p>
    <w:p w14:paraId="4ADF1390" w14:textId="77777777" w:rsidR="00140969" w:rsidRPr="006919A9" w:rsidRDefault="00140969" w:rsidP="00652C95">
      <w:pPr>
        <w:jc w:val="left"/>
      </w:pPr>
      <w:r w:rsidRPr="006919A9">
        <w:rPr>
          <w:b/>
          <w:noProof/>
        </w:rPr>
        <w:drawing>
          <wp:inline distT="0" distB="0" distL="0" distR="0" wp14:anchorId="397A51D3" wp14:editId="6E2B4A4B">
            <wp:extent cx="5732145" cy="3411242"/>
            <wp:effectExtent l="19050" t="19050" r="20955" b="17780"/>
            <wp:docPr id="12" name="Picture 12" descr="Figure 2: KM estimates for OS, I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Figure 2: KM estimates for OS, ITT"/>
                    <pic:cNvPicPr/>
                  </pic:nvPicPr>
                  <pic:blipFill rotWithShape="1">
                    <a:blip r:embed="rId9" cstate="screen">
                      <a:extLst>
                        <a:ext uri="{28A0092B-C50C-407E-A947-70E740481C1C}">
                          <a14:useLocalDpi xmlns:a14="http://schemas.microsoft.com/office/drawing/2010/main"/>
                        </a:ext>
                      </a:extLst>
                    </a:blip>
                    <a:srcRect/>
                    <a:stretch/>
                  </pic:blipFill>
                  <pic:spPr bwMode="auto">
                    <a:xfrm>
                      <a:off x="0" y="0"/>
                      <a:ext cx="5732145" cy="3411242"/>
                    </a:xfrm>
                    <a:prstGeom prst="rect">
                      <a:avLst/>
                    </a:prstGeom>
                    <a:ln w="9525" cap="sq">
                      <a:solidFill>
                        <a:srgbClr val="000000"/>
                      </a:solidFill>
                      <a:prstDash val="solid"/>
                      <a:miter lim="800000"/>
                    </a:ln>
                    <a:effectLst/>
                    <a:extLst>
                      <a:ext uri="{53640926-AAD7-44D8-BBD7-CCE9431645EC}">
                        <a14:shadowObscured xmlns:a14="http://schemas.microsoft.com/office/drawing/2010/main"/>
                      </a:ext>
                    </a:extLst>
                  </pic:spPr>
                </pic:pic>
              </a:graphicData>
            </a:graphic>
          </wp:inline>
        </w:drawing>
      </w:r>
    </w:p>
    <w:p w14:paraId="4BCDA3A3" w14:textId="63C936A9" w:rsidR="00140969" w:rsidRPr="006919A9" w:rsidRDefault="00140969" w:rsidP="00652C95">
      <w:pPr>
        <w:pStyle w:val="FooterTableFigure"/>
        <w:jc w:val="left"/>
      </w:pPr>
      <w:r w:rsidRPr="006919A9">
        <w:t>Source: Figure 2.5-3, p48 of the submission.</w:t>
      </w:r>
    </w:p>
    <w:p w14:paraId="34481DDD" w14:textId="544C7AF0" w:rsidR="00140969" w:rsidRPr="006919A9" w:rsidRDefault="00140969" w:rsidP="00140969">
      <w:pPr>
        <w:pStyle w:val="3-BodyText"/>
        <w:rPr>
          <w:i/>
          <w:iCs/>
        </w:rPr>
      </w:pPr>
      <w:r w:rsidRPr="006919A9">
        <w:t xml:space="preserve">The KN-522 trial </w:t>
      </w:r>
      <w:r w:rsidR="001F3428" w:rsidRPr="006919A9">
        <w:t>reported health related quality of life (HRQoL) results measured with the EuroQoL 5 dimensions 5 levels (EQ-5D-5L) visual analogue scale (VAS), the European Organisation for the Research and Treatment of Cancer Quality of Life Questionnaire (EORTC QLQ-C30) and the European Organisation for the Research and Treatment of Cancer Breast Cancer questionnaire (EORTC QLQ-BR23). No statistically significant differences between treatment arms w</w:t>
      </w:r>
      <w:r w:rsidR="00C05A61" w:rsidRPr="006919A9">
        <w:t>ere</w:t>
      </w:r>
      <w:r w:rsidR="001F3428" w:rsidRPr="006919A9">
        <w:t xml:space="preserve"> reported in any of the measures at any time point.</w:t>
      </w:r>
      <w:r w:rsidRPr="006919A9">
        <w:t xml:space="preserve"> </w:t>
      </w:r>
    </w:p>
    <w:p w14:paraId="757B7901" w14:textId="1722B004" w:rsidR="00317929" w:rsidRDefault="00140969" w:rsidP="00140969">
      <w:pPr>
        <w:pStyle w:val="3-BodyText"/>
      </w:pPr>
      <w:r w:rsidRPr="006919A9">
        <w:t xml:space="preserve">With regards to the EQ-5D-5L VAS, in the neoadjuvant phase, both treatment arms reported a worsening in terms of QoL based on the VAS of about 5-10 points with pembrolizumab </w:t>
      </w:r>
      <w:r w:rsidR="00317929">
        <w:t>+</w:t>
      </w:r>
      <w:r w:rsidR="00317929" w:rsidRPr="006919A9">
        <w:t xml:space="preserve"> </w:t>
      </w:r>
      <w:r w:rsidRPr="006919A9">
        <w:t xml:space="preserve">chemotherapy being slightly worse than placebo </w:t>
      </w:r>
      <w:r w:rsidR="00317929">
        <w:t>+</w:t>
      </w:r>
      <w:r w:rsidR="00317929" w:rsidRPr="006919A9">
        <w:t xml:space="preserve"> </w:t>
      </w:r>
      <w:r w:rsidRPr="006919A9">
        <w:t>chemotherapy (between group difference of -1.61 (95% CI -3.87 to 0.64)) but the difference was not statistically significant. Comparatively, in the adjuvant phase, both treatment arms reported a small improvement in VAS score, with the placebo arm demonstrating a small, but non-statistically significant improvement compared to pembrolizumab monotherapy (between group difference -0.59 (95% CI -2.40 to 1.23)).</w:t>
      </w:r>
      <w:r w:rsidR="00317929" w:rsidRPr="00317929">
        <w:t xml:space="preserve"> </w:t>
      </w:r>
    </w:p>
    <w:p w14:paraId="5CDC5AAA" w14:textId="57085396" w:rsidR="00140969" w:rsidRPr="006919A9" w:rsidRDefault="00317929" w:rsidP="00140969">
      <w:pPr>
        <w:pStyle w:val="3-BodyText"/>
      </w:pPr>
      <w:r>
        <w:t>For t</w:t>
      </w:r>
      <w:r w:rsidRPr="00CE22DC">
        <w:t>he economic evaluation utilities were based on KN-522 EQ-5D results classified by whether the patient had disease progression.</w:t>
      </w:r>
    </w:p>
    <w:p w14:paraId="1452C351" w14:textId="0D19F1B0" w:rsidR="00B60939" w:rsidRPr="006919A9" w:rsidRDefault="00B60939" w:rsidP="00D86231">
      <w:pPr>
        <w:pStyle w:val="4-SubsectionHeading"/>
      </w:pPr>
      <w:bookmarkStart w:id="32" w:name="_Toc22897642"/>
      <w:bookmarkStart w:id="33" w:name="_Toc124710215"/>
      <w:r w:rsidRPr="006919A9">
        <w:t>Comparative harms</w:t>
      </w:r>
      <w:bookmarkEnd w:id="32"/>
      <w:bookmarkEnd w:id="33"/>
    </w:p>
    <w:p w14:paraId="0F268A88" w14:textId="08FF3A65" w:rsidR="00804612" w:rsidRPr="006919A9" w:rsidRDefault="00804612" w:rsidP="00804612">
      <w:pPr>
        <w:pStyle w:val="3-BodyText"/>
      </w:pPr>
      <w:r w:rsidRPr="006919A9">
        <w:fldChar w:fldCharType="begin" w:fldLock="1"/>
      </w:r>
      <w:r w:rsidRPr="006919A9">
        <w:instrText xml:space="preserve"> REF _Ref123391444 \h </w:instrText>
      </w:r>
      <w:r w:rsidRPr="006919A9">
        <w:fldChar w:fldCharType="separate"/>
      </w:r>
      <w:r w:rsidR="0067416F" w:rsidRPr="006919A9">
        <w:t xml:space="preserve">Table </w:t>
      </w:r>
      <w:r w:rsidR="0067416F">
        <w:rPr>
          <w:noProof/>
        </w:rPr>
        <w:t>7</w:t>
      </w:r>
      <w:r w:rsidRPr="006919A9">
        <w:fldChar w:fldCharType="end"/>
      </w:r>
      <w:r w:rsidRPr="006919A9">
        <w:t xml:space="preserve"> presents a summary of key adverse events (AEs) in KN-522 in the </w:t>
      </w:r>
      <w:r w:rsidR="00CE22DC">
        <w:t>“</w:t>
      </w:r>
      <w:r w:rsidRPr="006919A9">
        <w:t>all subjects as treated</w:t>
      </w:r>
      <w:r w:rsidR="00CE22DC">
        <w:t>”</w:t>
      </w:r>
      <w:r w:rsidRPr="006919A9">
        <w:t xml:space="preserve"> (ASaT) population</w:t>
      </w:r>
      <w:r w:rsidR="00012FAE" w:rsidRPr="006919A9">
        <w:t>,</w:t>
      </w:r>
      <w:r w:rsidRPr="006919A9">
        <w:t xml:space="preserve"> defined as all patients who had at least one dose of treatment.</w:t>
      </w:r>
    </w:p>
    <w:p w14:paraId="549D4006" w14:textId="045D299B" w:rsidR="00804612" w:rsidRPr="006919A9" w:rsidRDefault="00804612" w:rsidP="00804612">
      <w:pPr>
        <w:pStyle w:val="TableFigureHeading"/>
      </w:pPr>
      <w:bookmarkStart w:id="34" w:name="_Ref123391444"/>
      <w:r w:rsidRPr="006919A9">
        <w:lastRenderedPageBreak/>
        <w:t xml:space="preserve">Table </w:t>
      </w:r>
      <w:fldSimple w:instr=" SEQ Table \* ARABIC " w:fldLock="1">
        <w:r w:rsidR="0067416F">
          <w:rPr>
            <w:noProof/>
          </w:rPr>
          <w:t>7</w:t>
        </w:r>
      </w:fldSimple>
      <w:bookmarkEnd w:id="34"/>
      <w:r w:rsidRPr="006919A9">
        <w:t>: Summary of key adverse events in KN-522 in ASaT population</w:t>
      </w:r>
      <w:r w:rsidR="00A55EC6">
        <w:t xml:space="preserve"> (neoadjuvant and adjuvant phases)</w:t>
      </w:r>
    </w:p>
    <w:tbl>
      <w:tblPr>
        <w:tblStyle w:val="PlainTable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6"/>
        <w:gridCol w:w="851"/>
        <w:gridCol w:w="705"/>
        <w:gridCol w:w="566"/>
        <w:gridCol w:w="853"/>
        <w:gridCol w:w="1582"/>
        <w:gridCol w:w="1484"/>
      </w:tblGrid>
      <w:tr w:rsidR="006919A9" w:rsidRPr="00652C95" w14:paraId="6F129728" w14:textId="77777777" w:rsidTr="00317929">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50" w:type="pct"/>
            <w:vAlign w:val="center"/>
          </w:tcPr>
          <w:p w14:paraId="2FADFDFF" w14:textId="77777777" w:rsidR="00804612" w:rsidRPr="00652C95" w:rsidRDefault="00804612" w:rsidP="002234D3">
            <w:pPr>
              <w:pStyle w:val="Tabletext"/>
            </w:pPr>
          </w:p>
        </w:tc>
        <w:tc>
          <w:tcPr>
            <w:tcW w:w="863" w:type="pct"/>
            <w:gridSpan w:val="2"/>
            <w:vAlign w:val="center"/>
          </w:tcPr>
          <w:p w14:paraId="40F5F4FB" w14:textId="77777777" w:rsidR="00804612" w:rsidRPr="00652C95" w:rsidRDefault="00804612" w:rsidP="002234D3">
            <w:pPr>
              <w:pStyle w:val="Tabletext"/>
              <w:jc w:val="center"/>
              <w:cnfStyle w:val="100000000000" w:firstRow="1" w:lastRow="0" w:firstColumn="0" w:lastColumn="0" w:oddVBand="0" w:evenVBand="0" w:oddHBand="0" w:evenHBand="0" w:firstRowFirstColumn="0" w:firstRowLastColumn="0" w:lastRowFirstColumn="0" w:lastRowLastColumn="0"/>
            </w:pPr>
            <w:r w:rsidRPr="00652C95">
              <w:t>Pembrolizumab + chemo</w:t>
            </w:r>
          </w:p>
        </w:tc>
        <w:tc>
          <w:tcPr>
            <w:tcW w:w="787" w:type="pct"/>
            <w:gridSpan w:val="2"/>
            <w:vAlign w:val="center"/>
          </w:tcPr>
          <w:p w14:paraId="36C416C1" w14:textId="77777777" w:rsidR="00804612" w:rsidRPr="00652C95" w:rsidRDefault="00804612" w:rsidP="002234D3">
            <w:pPr>
              <w:pStyle w:val="Tabletext"/>
              <w:jc w:val="center"/>
              <w:cnfStyle w:val="100000000000" w:firstRow="1" w:lastRow="0" w:firstColumn="0" w:lastColumn="0" w:oddVBand="0" w:evenVBand="0" w:oddHBand="0" w:evenHBand="0" w:firstRowFirstColumn="0" w:firstRowLastColumn="0" w:lastRowFirstColumn="0" w:lastRowLastColumn="0"/>
            </w:pPr>
            <w:r w:rsidRPr="00652C95">
              <w:t>Placebo + chemo</w:t>
            </w:r>
          </w:p>
        </w:tc>
        <w:tc>
          <w:tcPr>
            <w:tcW w:w="877" w:type="pct"/>
            <w:vMerge w:val="restart"/>
          </w:tcPr>
          <w:p w14:paraId="1BA9AE3A" w14:textId="77777777" w:rsidR="00804612" w:rsidRPr="00652C95" w:rsidRDefault="00804612" w:rsidP="002234D3">
            <w:pPr>
              <w:pStyle w:val="Tabletext"/>
              <w:jc w:val="center"/>
              <w:cnfStyle w:val="100000000000" w:firstRow="1" w:lastRow="0" w:firstColumn="0" w:lastColumn="0" w:oddVBand="0" w:evenVBand="0" w:oddHBand="0" w:evenHBand="0" w:firstRowFirstColumn="0" w:firstRowLastColumn="0" w:lastRowFirstColumn="0" w:lastRowLastColumn="0"/>
            </w:pPr>
            <w:r w:rsidRPr="00652C95">
              <w:t>RR (95% CI)</w:t>
            </w:r>
          </w:p>
        </w:tc>
        <w:tc>
          <w:tcPr>
            <w:tcW w:w="823" w:type="pct"/>
            <w:vMerge w:val="restart"/>
          </w:tcPr>
          <w:p w14:paraId="578D9ED1" w14:textId="77777777" w:rsidR="00804612" w:rsidRPr="00652C95" w:rsidRDefault="00804612" w:rsidP="002234D3">
            <w:pPr>
              <w:pStyle w:val="Tabletext"/>
              <w:jc w:val="center"/>
              <w:cnfStyle w:val="100000000000" w:firstRow="1" w:lastRow="0" w:firstColumn="0" w:lastColumn="0" w:oddVBand="0" w:evenVBand="0" w:oddHBand="0" w:evenHBand="0" w:firstRowFirstColumn="0" w:firstRowLastColumn="0" w:lastRowFirstColumn="0" w:lastRowLastColumn="0"/>
            </w:pPr>
            <w:r w:rsidRPr="00652C95">
              <w:t>RD (95% CI)</w:t>
            </w:r>
          </w:p>
        </w:tc>
      </w:tr>
      <w:tr w:rsidR="006919A9" w:rsidRPr="00652C95" w14:paraId="2D23F272" w14:textId="77777777" w:rsidTr="0031792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50" w:type="pct"/>
            <w:vAlign w:val="center"/>
          </w:tcPr>
          <w:p w14:paraId="373DD490" w14:textId="77777777" w:rsidR="00804612" w:rsidRPr="00652C95" w:rsidRDefault="00804612" w:rsidP="002234D3">
            <w:pPr>
              <w:pStyle w:val="Tabletext"/>
            </w:pPr>
          </w:p>
        </w:tc>
        <w:tc>
          <w:tcPr>
            <w:tcW w:w="472" w:type="pct"/>
            <w:vAlign w:val="center"/>
          </w:tcPr>
          <w:p w14:paraId="5A107C0A" w14:textId="77777777" w:rsidR="00804612" w:rsidRPr="00652C95" w:rsidRDefault="00804612" w:rsidP="002234D3">
            <w:pPr>
              <w:pStyle w:val="Tabletext"/>
              <w:jc w:val="center"/>
              <w:cnfStyle w:val="000000100000" w:firstRow="0" w:lastRow="0" w:firstColumn="0" w:lastColumn="0" w:oddVBand="0" w:evenVBand="0" w:oddHBand="1" w:evenHBand="0" w:firstRowFirstColumn="0" w:firstRowLastColumn="0" w:lastRowFirstColumn="0" w:lastRowLastColumn="0"/>
              <w:rPr>
                <w:b/>
                <w:bCs/>
              </w:rPr>
            </w:pPr>
            <w:r w:rsidRPr="00652C95">
              <w:rPr>
                <w:b/>
                <w:bCs/>
              </w:rPr>
              <w:t>N</w:t>
            </w:r>
          </w:p>
        </w:tc>
        <w:tc>
          <w:tcPr>
            <w:tcW w:w="391" w:type="pct"/>
            <w:vAlign w:val="center"/>
          </w:tcPr>
          <w:p w14:paraId="457382C5" w14:textId="77777777" w:rsidR="00804612" w:rsidRPr="00652C95" w:rsidRDefault="00804612" w:rsidP="002234D3">
            <w:pPr>
              <w:pStyle w:val="Tabletext"/>
              <w:jc w:val="center"/>
              <w:cnfStyle w:val="000000100000" w:firstRow="0" w:lastRow="0" w:firstColumn="0" w:lastColumn="0" w:oddVBand="0" w:evenVBand="0" w:oddHBand="1" w:evenHBand="0" w:firstRowFirstColumn="0" w:firstRowLastColumn="0" w:lastRowFirstColumn="0" w:lastRowLastColumn="0"/>
              <w:rPr>
                <w:b/>
                <w:bCs/>
              </w:rPr>
            </w:pPr>
            <w:r w:rsidRPr="00652C95">
              <w:rPr>
                <w:b/>
                <w:bCs/>
              </w:rPr>
              <w:t>(%)</w:t>
            </w:r>
          </w:p>
        </w:tc>
        <w:tc>
          <w:tcPr>
            <w:tcW w:w="314" w:type="pct"/>
            <w:vAlign w:val="center"/>
          </w:tcPr>
          <w:p w14:paraId="7B6C920F" w14:textId="77777777" w:rsidR="00804612" w:rsidRPr="00652C95" w:rsidRDefault="00804612" w:rsidP="002234D3">
            <w:pPr>
              <w:pStyle w:val="Tabletext"/>
              <w:jc w:val="center"/>
              <w:cnfStyle w:val="000000100000" w:firstRow="0" w:lastRow="0" w:firstColumn="0" w:lastColumn="0" w:oddVBand="0" w:evenVBand="0" w:oddHBand="1" w:evenHBand="0" w:firstRowFirstColumn="0" w:firstRowLastColumn="0" w:lastRowFirstColumn="0" w:lastRowLastColumn="0"/>
              <w:rPr>
                <w:b/>
                <w:bCs/>
              </w:rPr>
            </w:pPr>
            <w:r w:rsidRPr="00652C95">
              <w:rPr>
                <w:b/>
                <w:bCs/>
              </w:rPr>
              <w:t>N</w:t>
            </w:r>
          </w:p>
        </w:tc>
        <w:tc>
          <w:tcPr>
            <w:tcW w:w="473" w:type="pct"/>
            <w:vAlign w:val="center"/>
          </w:tcPr>
          <w:p w14:paraId="0F2C4921" w14:textId="77777777" w:rsidR="00804612" w:rsidRPr="00652C95" w:rsidRDefault="00804612" w:rsidP="002234D3">
            <w:pPr>
              <w:pStyle w:val="Tabletext"/>
              <w:jc w:val="center"/>
              <w:cnfStyle w:val="000000100000" w:firstRow="0" w:lastRow="0" w:firstColumn="0" w:lastColumn="0" w:oddVBand="0" w:evenVBand="0" w:oddHBand="1" w:evenHBand="0" w:firstRowFirstColumn="0" w:firstRowLastColumn="0" w:lastRowFirstColumn="0" w:lastRowLastColumn="0"/>
              <w:rPr>
                <w:b/>
                <w:bCs/>
              </w:rPr>
            </w:pPr>
            <w:r w:rsidRPr="00652C95">
              <w:rPr>
                <w:b/>
                <w:bCs/>
              </w:rPr>
              <w:t>(%)</w:t>
            </w:r>
          </w:p>
        </w:tc>
        <w:tc>
          <w:tcPr>
            <w:tcW w:w="877" w:type="pct"/>
            <w:vMerge/>
          </w:tcPr>
          <w:p w14:paraId="30FE3E3F" w14:textId="77777777" w:rsidR="00804612" w:rsidRPr="00652C95" w:rsidRDefault="00804612" w:rsidP="002234D3">
            <w:pPr>
              <w:pStyle w:val="Tabletext"/>
              <w:jc w:val="center"/>
              <w:cnfStyle w:val="000000100000" w:firstRow="0" w:lastRow="0" w:firstColumn="0" w:lastColumn="0" w:oddVBand="0" w:evenVBand="0" w:oddHBand="1" w:evenHBand="0" w:firstRowFirstColumn="0" w:firstRowLastColumn="0" w:lastRowFirstColumn="0" w:lastRowLastColumn="0"/>
              <w:rPr>
                <w:b/>
                <w:bCs/>
              </w:rPr>
            </w:pPr>
          </w:p>
        </w:tc>
        <w:tc>
          <w:tcPr>
            <w:tcW w:w="823" w:type="pct"/>
            <w:vMerge/>
          </w:tcPr>
          <w:p w14:paraId="24A6C6C3" w14:textId="77777777" w:rsidR="00804612" w:rsidRPr="00652C95" w:rsidRDefault="00804612" w:rsidP="002234D3">
            <w:pPr>
              <w:pStyle w:val="Tabletext"/>
              <w:jc w:val="center"/>
              <w:cnfStyle w:val="000000100000" w:firstRow="0" w:lastRow="0" w:firstColumn="0" w:lastColumn="0" w:oddVBand="0" w:evenVBand="0" w:oddHBand="1" w:evenHBand="0" w:firstRowFirstColumn="0" w:firstRowLastColumn="0" w:lastRowFirstColumn="0" w:lastRowLastColumn="0"/>
              <w:rPr>
                <w:b/>
                <w:bCs/>
              </w:rPr>
            </w:pPr>
          </w:p>
        </w:tc>
      </w:tr>
      <w:tr w:rsidR="006919A9" w:rsidRPr="00652C95" w14:paraId="790F2E77" w14:textId="77777777" w:rsidTr="00317929">
        <w:trPr>
          <w:trHeight w:val="20"/>
        </w:trPr>
        <w:tc>
          <w:tcPr>
            <w:cnfStyle w:val="001000000000" w:firstRow="0" w:lastRow="0" w:firstColumn="1" w:lastColumn="0" w:oddVBand="0" w:evenVBand="0" w:oddHBand="0" w:evenHBand="0" w:firstRowFirstColumn="0" w:firstRowLastColumn="0" w:lastRowFirstColumn="0" w:lastRowLastColumn="0"/>
            <w:tcW w:w="1650" w:type="pct"/>
            <w:vAlign w:val="center"/>
          </w:tcPr>
          <w:p w14:paraId="5718BD74" w14:textId="77777777" w:rsidR="00804612" w:rsidRPr="00652C95" w:rsidRDefault="00804612" w:rsidP="002234D3">
            <w:pPr>
              <w:pStyle w:val="Tabletext"/>
            </w:pPr>
            <w:r w:rsidRPr="00652C95">
              <w:t xml:space="preserve">Subjects in Population </w:t>
            </w:r>
          </w:p>
        </w:tc>
        <w:tc>
          <w:tcPr>
            <w:tcW w:w="472" w:type="pct"/>
            <w:vAlign w:val="center"/>
          </w:tcPr>
          <w:p w14:paraId="6B28F443" w14:textId="77777777" w:rsidR="00804612" w:rsidRPr="00652C95" w:rsidRDefault="00804612" w:rsidP="002234D3">
            <w:pPr>
              <w:pStyle w:val="Tabletext"/>
              <w:jc w:val="center"/>
              <w:cnfStyle w:val="000000000000" w:firstRow="0" w:lastRow="0" w:firstColumn="0" w:lastColumn="0" w:oddVBand="0" w:evenVBand="0" w:oddHBand="0" w:evenHBand="0" w:firstRowFirstColumn="0" w:firstRowLastColumn="0" w:lastRowFirstColumn="0" w:lastRowLastColumn="0"/>
            </w:pPr>
            <w:r w:rsidRPr="00652C95">
              <w:t>783</w:t>
            </w:r>
          </w:p>
        </w:tc>
        <w:tc>
          <w:tcPr>
            <w:tcW w:w="391" w:type="pct"/>
            <w:vAlign w:val="center"/>
          </w:tcPr>
          <w:p w14:paraId="1D2FA87A" w14:textId="77777777" w:rsidR="00804612" w:rsidRPr="00652C95" w:rsidRDefault="00804612" w:rsidP="002234D3">
            <w:pPr>
              <w:pStyle w:val="Tabletext"/>
              <w:jc w:val="center"/>
              <w:cnfStyle w:val="000000000000" w:firstRow="0" w:lastRow="0" w:firstColumn="0" w:lastColumn="0" w:oddVBand="0" w:evenVBand="0" w:oddHBand="0" w:evenHBand="0" w:firstRowFirstColumn="0" w:firstRowLastColumn="0" w:lastRowFirstColumn="0" w:lastRowLastColumn="0"/>
            </w:pPr>
          </w:p>
        </w:tc>
        <w:tc>
          <w:tcPr>
            <w:tcW w:w="314" w:type="pct"/>
            <w:vAlign w:val="center"/>
          </w:tcPr>
          <w:p w14:paraId="485F06CB" w14:textId="77777777" w:rsidR="00804612" w:rsidRPr="00652C95" w:rsidRDefault="00804612" w:rsidP="002234D3">
            <w:pPr>
              <w:pStyle w:val="Tabletext"/>
              <w:jc w:val="center"/>
              <w:cnfStyle w:val="000000000000" w:firstRow="0" w:lastRow="0" w:firstColumn="0" w:lastColumn="0" w:oddVBand="0" w:evenVBand="0" w:oddHBand="0" w:evenHBand="0" w:firstRowFirstColumn="0" w:firstRowLastColumn="0" w:lastRowFirstColumn="0" w:lastRowLastColumn="0"/>
            </w:pPr>
            <w:r w:rsidRPr="00652C95">
              <w:t>389</w:t>
            </w:r>
          </w:p>
        </w:tc>
        <w:tc>
          <w:tcPr>
            <w:tcW w:w="473" w:type="pct"/>
            <w:vAlign w:val="center"/>
          </w:tcPr>
          <w:p w14:paraId="0094759D" w14:textId="77777777" w:rsidR="00804612" w:rsidRPr="00652C95" w:rsidRDefault="00804612" w:rsidP="002234D3">
            <w:pPr>
              <w:pStyle w:val="Tabletext"/>
              <w:jc w:val="center"/>
              <w:cnfStyle w:val="000000000000" w:firstRow="0" w:lastRow="0" w:firstColumn="0" w:lastColumn="0" w:oddVBand="0" w:evenVBand="0" w:oddHBand="0" w:evenHBand="0" w:firstRowFirstColumn="0" w:firstRowLastColumn="0" w:lastRowFirstColumn="0" w:lastRowLastColumn="0"/>
            </w:pPr>
          </w:p>
        </w:tc>
        <w:tc>
          <w:tcPr>
            <w:tcW w:w="877" w:type="pct"/>
            <w:vAlign w:val="center"/>
          </w:tcPr>
          <w:p w14:paraId="5A70AFAC" w14:textId="77777777" w:rsidR="00804612" w:rsidRPr="00652C95" w:rsidRDefault="00804612" w:rsidP="00CD24BA">
            <w:pPr>
              <w:pStyle w:val="Tabletext"/>
              <w:jc w:val="center"/>
              <w:cnfStyle w:val="000000000000" w:firstRow="0" w:lastRow="0" w:firstColumn="0" w:lastColumn="0" w:oddVBand="0" w:evenVBand="0" w:oddHBand="0" w:evenHBand="0" w:firstRowFirstColumn="0" w:firstRowLastColumn="0" w:lastRowFirstColumn="0" w:lastRowLastColumn="0"/>
            </w:pPr>
          </w:p>
        </w:tc>
        <w:tc>
          <w:tcPr>
            <w:tcW w:w="823" w:type="pct"/>
            <w:vAlign w:val="center"/>
          </w:tcPr>
          <w:p w14:paraId="301036B3" w14:textId="77777777" w:rsidR="00804612" w:rsidRPr="00652C95" w:rsidRDefault="00804612" w:rsidP="00CD24BA">
            <w:pPr>
              <w:pStyle w:val="Tabletext"/>
              <w:jc w:val="center"/>
              <w:cnfStyle w:val="000000000000" w:firstRow="0" w:lastRow="0" w:firstColumn="0" w:lastColumn="0" w:oddVBand="0" w:evenVBand="0" w:oddHBand="0" w:evenHBand="0" w:firstRowFirstColumn="0" w:firstRowLastColumn="0" w:lastRowFirstColumn="0" w:lastRowLastColumn="0"/>
            </w:pPr>
          </w:p>
        </w:tc>
      </w:tr>
      <w:tr w:rsidR="006919A9" w:rsidRPr="00652C95" w14:paraId="4A8EB4D2" w14:textId="77777777" w:rsidTr="0031792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50" w:type="pct"/>
            <w:vAlign w:val="center"/>
          </w:tcPr>
          <w:p w14:paraId="56768955" w14:textId="77777777" w:rsidR="00804612" w:rsidRPr="00652C95" w:rsidRDefault="00804612" w:rsidP="002234D3">
            <w:pPr>
              <w:pStyle w:val="Tabletext"/>
              <w:rPr>
                <w:b w:val="0"/>
              </w:rPr>
            </w:pPr>
            <w:r w:rsidRPr="00652C95">
              <w:rPr>
                <w:b w:val="0"/>
              </w:rPr>
              <w:t>with one or more adverse events</w:t>
            </w:r>
          </w:p>
        </w:tc>
        <w:tc>
          <w:tcPr>
            <w:tcW w:w="472" w:type="pct"/>
            <w:vAlign w:val="center"/>
          </w:tcPr>
          <w:p w14:paraId="1C7F76B2" w14:textId="77777777" w:rsidR="00804612" w:rsidRPr="00652C95" w:rsidRDefault="00804612" w:rsidP="002234D3">
            <w:pPr>
              <w:pStyle w:val="Tabletext"/>
              <w:jc w:val="center"/>
              <w:cnfStyle w:val="000000100000" w:firstRow="0" w:lastRow="0" w:firstColumn="0" w:lastColumn="0" w:oddVBand="0" w:evenVBand="0" w:oddHBand="1" w:evenHBand="0" w:firstRowFirstColumn="0" w:firstRowLastColumn="0" w:lastRowFirstColumn="0" w:lastRowLastColumn="0"/>
            </w:pPr>
            <w:r w:rsidRPr="00652C95">
              <w:t>777</w:t>
            </w:r>
          </w:p>
        </w:tc>
        <w:tc>
          <w:tcPr>
            <w:tcW w:w="391" w:type="pct"/>
            <w:vAlign w:val="center"/>
          </w:tcPr>
          <w:p w14:paraId="60F944F5" w14:textId="77777777" w:rsidR="00804612" w:rsidRPr="00652C95" w:rsidRDefault="00804612" w:rsidP="002234D3">
            <w:pPr>
              <w:pStyle w:val="Tabletext"/>
              <w:jc w:val="center"/>
              <w:cnfStyle w:val="000000100000" w:firstRow="0" w:lastRow="0" w:firstColumn="0" w:lastColumn="0" w:oddVBand="0" w:evenVBand="0" w:oddHBand="1" w:evenHBand="0" w:firstRowFirstColumn="0" w:firstRowLastColumn="0" w:lastRowFirstColumn="0" w:lastRowLastColumn="0"/>
            </w:pPr>
            <w:r w:rsidRPr="00652C95">
              <w:t>(99.2)</w:t>
            </w:r>
          </w:p>
        </w:tc>
        <w:tc>
          <w:tcPr>
            <w:tcW w:w="314" w:type="pct"/>
            <w:vAlign w:val="center"/>
          </w:tcPr>
          <w:p w14:paraId="55D750FB" w14:textId="77777777" w:rsidR="00804612" w:rsidRPr="00652C95" w:rsidRDefault="00804612" w:rsidP="002234D3">
            <w:pPr>
              <w:pStyle w:val="Tabletext"/>
              <w:jc w:val="center"/>
              <w:cnfStyle w:val="000000100000" w:firstRow="0" w:lastRow="0" w:firstColumn="0" w:lastColumn="0" w:oddVBand="0" w:evenVBand="0" w:oddHBand="1" w:evenHBand="0" w:firstRowFirstColumn="0" w:firstRowLastColumn="0" w:lastRowFirstColumn="0" w:lastRowLastColumn="0"/>
            </w:pPr>
            <w:r w:rsidRPr="00652C95">
              <w:t>389</w:t>
            </w:r>
          </w:p>
        </w:tc>
        <w:tc>
          <w:tcPr>
            <w:tcW w:w="473" w:type="pct"/>
            <w:vAlign w:val="center"/>
          </w:tcPr>
          <w:p w14:paraId="404A8F31" w14:textId="77777777" w:rsidR="00804612" w:rsidRPr="00652C95" w:rsidRDefault="00804612" w:rsidP="002234D3">
            <w:pPr>
              <w:pStyle w:val="Tabletext"/>
              <w:jc w:val="center"/>
              <w:cnfStyle w:val="000000100000" w:firstRow="0" w:lastRow="0" w:firstColumn="0" w:lastColumn="0" w:oddVBand="0" w:evenVBand="0" w:oddHBand="1" w:evenHBand="0" w:firstRowFirstColumn="0" w:firstRowLastColumn="0" w:lastRowFirstColumn="0" w:lastRowLastColumn="0"/>
            </w:pPr>
            <w:r w:rsidRPr="00652C95">
              <w:t>(100.0)</w:t>
            </w:r>
          </w:p>
        </w:tc>
        <w:tc>
          <w:tcPr>
            <w:tcW w:w="877" w:type="pct"/>
            <w:vAlign w:val="center"/>
          </w:tcPr>
          <w:p w14:paraId="076414C2" w14:textId="77777777" w:rsidR="00804612" w:rsidRPr="00652C95" w:rsidRDefault="00804612" w:rsidP="00CD24BA">
            <w:pPr>
              <w:pStyle w:val="Tabletext"/>
              <w:jc w:val="center"/>
              <w:cnfStyle w:val="000000100000" w:firstRow="0" w:lastRow="0" w:firstColumn="0" w:lastColumn="0" w:oddVBand="0" w:evenVBand="0" w:oddHBand="1" w:evenHBand="0" w:firstRowFirstColumn="0" w:firstRowLastColumn="0" w:lastRowFirstColumn="0" w:lastRowLastColumn="0"/>
            </w:pPr>
            <w:r w:rsidRPr="00652C95">
              <w:t>0.99 (0.99, 1)</w:t>
            </w:r>
          </w:p>
        </w:tc>
        <w:tc>
          <w:tcPr>
            <w:tcW w:w="823" w:type="pct"/>
            <w:vAlign w:val="center"/>
          </w:tcPr>
          <w:p w14:paraId="257D14AB" w14:textId="77777777" w:rsidR="00804612" w:rsidRPr="00652C95" w:rsidRDefault="00804612" w:rsidP="00CD24BA">
            <w:pPr>
              <w:pStyle w:val="Tabletext"/>
              <w:jc w:val="center"/>
              <w:cnfStyle w:val="000000100000" w:firstRow="0" w:lastRow="0" w:firstColumn="0" w:lastColumn="0" w:oddVBand="0" w:evenVBand="0" w:oddHBand="1" w:evenHBand="0" w:firstRowFirstColumn="0" w:firstRowLastColumn="0" w:lastRowFirstColumn="0" w:lastRowLastColumn="0"/>
            </w:pPr>
            <w:r w:rsidRPr="00652C95">
              <w:t>-0.01 (-0.01, 0)</w:t>
            </w:r>
          </w:p>
        </w:tc>
      </w:tr>
      <w:tr w:rsidR="006919A9" w:rsidRPr="00652C95" w14:paraId="7A5848F2" w14:textId="77777777" w:rsidTr="00317929">
        <w:trPr>
          <w:trHeight w:val="20"/>
        </w:trPr>
        <w:tc>
          <w:tcPr>
            <w:cnfStyle w:val="001000000000" w:firstRow="0" w:lastRow="0" w:firstColumn="1" w:lastColumn="0" w:oddVBand="0" w:evenVBand="0" w:oddHBand="0" w:evenHBand="0" w:firstRowFirstColumn="0" w:firstRowLastColumn="0" w:lastRowFirstColumn="0" w:lastRowLastColumn="0"/>
            <w:tcW w:w="1650" w:type="pct"/>
            <w:vAlign w:val="center"/>
          </w:tcPr>
          <w:p w14:paraId="5FBBA7D1" w14:textId="77777777" w:rsidR="00804612" w:rsidRPr="00652C95" w:rsidRDefault="00804612" w:rsidP="002234D3">
            <w:pPr>
              <w:pStyle w:val="Tabletext"/>
              <w:rPr>
                <w:b w:val="0"/>
              </w:rPr>
            </w:pPr>
            <w:r w:rsidRPr="00652C95">
              <w:rPr>
                <w:b w:val="0"/>
              </w:rPr>
              <w:t>With no adverse events</w:t>
            </w:r>
          </w:p>
        </w:tc>
        <w:tc>
          <w:tcPr>
            <w:tcW w:w="472" w:type="pct"/>
            <w:vAlign w:val="center"/>
          </w:tcPr>
          <w:p w14:paraId="3D21DA5D" w14:textId="77777777" w:rsidR="00804612" w:rsidRPr="00652C95" w:rsidRDefault="00804612" w:rsidP="002234D3">
            <w:pPr>
              <w:pStyle w:val="Tabletext"/>
              <w:jc w:val="center"/>
              <w:cnfStyle w:val="000000000000" w:firstRow="0" w:lastRow="0" w:firstColumn="0" w:lastColumn="0" w:oddVBand="0" w:evenVBand="0" w:oddHBand="0" w:evenHBand="0" w:firstRowFirstColumn="0" w:firstRowLastColumn="0" w:lastRowFirstColumn="0" w:lastRowLastColumn="0"/>
            </w:pPr>
            <w:r w:rsidRPr="00652C95">
              <w:t>6</w:t>
            </w:r>
          </w:p>
        </w:tc>
        <w:tc>
          <w:tcPr>
            <w:tcW w:w="391" w:type="pct"/>
            <w:vAlign w:val="center"/>
          </w:tcPr>
          <w:p w14:paraId="56C2E8AB" w14:textId="77777777" w:rsidR="00804612" w:rsidRPr="00652C95" w:rsidRDefault="00804612" w:rsidP="002234D3">
            <w:pPr>
              <w:pStyle w:val="Tabletext"/>
              <w:jc w:val="center"/>
              <w:cnfStyle w:val="000000000000" w:firstRow="0" w:lastRow="0" w:firstColumn="0" w:lastColumn="0" w:oddVBand="0" w:evenVBand="0" w:oddHBand="0" w:evenHBand="0" w:firstRowFirstColumn="0" w:firstRowLastColumn="0" w:lastRowFirstColumn="0" w:lastRowLastColumn="0"/>
            </w:pPr>
            <w:r w:rsidRPr="00652C95">
              <w:t>(0.8)</w:t>
            </w:r>
          </w:p>
        </w:tc>
        <w:tc>
          <w:tcPr>
            <w:tcW w:w="314" w:type="pct"/>
            <w:vAlign w:val="center"/>
          </w:tcPr>
          <w:p w14:paraId="0E64BB85" w14:textId="77777777" w:rsidR="00804612" w:rsidRPr="00652C95" w:rsidRDefault="00804612" w:rsidP="002234D3">
            <w:pPr>
              <w:pStyle w:val="Tabletext"/>
              <w:jc w:val="center"/>
              <w:cnfStyle w:val="000000000000" w:firstRow="0" w:lastRow="0" w:firstColumn="0" w:lastColumn="0" w:oddVBand="0" w:evenVBand="0" w:oddHBand="0" w:evenHBand="0" w:firstRowFirstColumn="0" w:firstRowLastColumn="0" w:lastRowFirstColumn="0" w:lastRowLastColumn="0"/>
            </w:pPr>
            <w:r w:rsidRPr="00652C95">
              <w:t>0</w:t>
            </w:r>
          </w:p>
        </w:tc>
        <w:tc>
          <w:tcPr>
            <w:tcW w:w="473" w:type="pct"/>
            <w:vAlign w:val="center"/>
          </w:tcPr>
          <w:p w14:paraId="497A9729" w14:textId="77777777" w:rsidR="00804612" w:rsidRPr="00652C95" w:rsidRDefault="00804612" w:rsidP="002234D3">
            <w:pPr>
              <w:pStyle w:val="Tabletext"/>
              <w:jc w:val="center"/>
              <w:cnfStyle w:val="000000000000" w:firstRow="0" w:lastRow="0" w:firstColumn="0" w:lastColumn="0" w:oddVBand="0" w:evenVBand="0" w:oddHBand="0" w:evenHBand="0" w:firstRowFirstColumn="0" w:firstRowLastColumn="0" w:lastRowFirstColumn="0" w:lastRowLastColumn="0"/>
            </w:pPr>
            <w:r w:rsidRPr="00652C95">
              <w:t>(0.0)</w:t>
            </w:r>
          </w:p>
        </w:tc>
        <w:tc>
          <w:tcPr>
            <w:tcW w:w="877" w:type="pct"/>
            <w:vAlign w:val="center"/>
          </w:tcPr>
          <w:p w14:paraId="7F05E26C" w14:textId="77777777" w:rsidR="00804612" w:rsidRPr="00652C95" w:rsidRDefault="00804612" w:rsidP="00CD24BA">
            <w:pPr>
              <w:pStyle w:val="Tabletext"/>
              <w:jc w:val="center"/>
              <w:cnfStyle w:val="000000000000" w:firstRow="0" w:lastRow="0" w:firstColumn="0" w:lastColumn="0" w:oddVBand="0" w:evenVBand="0" w:oddHBand="0" w:evenHBand="0" w:firstRowFirstColumn="0" w:firstRowLastColumn="0" w:lastRowFirstColumn="0" w:lastRowLastColumn="0"/>
            </w:pPr>
            <w:r w:rsidRPr="00652C95">
              <w:t>NA</w:t>
            </w:r>
          </w:p>
        </w:tc>
        <w:tc>
          <w:tcPr>
            <w:tcW w:w="823" w:type="pct"/>
            <w:vAlign w:val="center"/>
          </w:tcPr>
          <w:p w14:paraId="1FCC43F8" w14:textId="77777777" w:rsidR="00804612" w:rsidRPr="00652C95" w:rsidRDefault="00804612" w:rsidP="00CD24BA">
            <w:pPr>
              <w:pStyle w:val="Tabletext"/>
              <w:jc w:val="center"/>
              <w:cnfStyle w:val="000000000000" w:firstRow="0" w:lastRow="0" w:firstColumn="0" w:lastColumn="0" w:oddVBand="0" w:evenVBand="0" w:oddHBand="0" w:evenHBand="0" w:firstRowFirstColumn="0" w:firstRowLastColumn="0" w:lastRowFirstColumn="0" w:lastRowLastColumn="0"/>
            </w:pPr>
            <w:r w:rsidRPr="00652C95">
              <w:t>0.01 (0, 0.01)</w:t>
            </w:r>
          </w:p>
        </w:tc>
      </w:tr>
      <w:tr w:rsidR="006919A9" w:rsidRPr="00652C95" w14:paraId="197EAD91" w14:textId="77777777" w:rsidTr="0031792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50" w:type="pct"/>
            <w:vAlign w:val="center"/>
          </w:tcPr>
          <w:p w14:paraId="27F37389" w14:textId="77777777" w:rsidR="00804612" w:rsidRPr="00652C95" w:rsidRDefault="00804612" w:rsidP="002234D3">
            <w:pPr>
              <w:pStyle w:val="Tabletext"/>
              <w:rPr>
                <w:b w:val="0"/>
              </w:rPr>
            </w:pPr>
            <w:r w:rsidRPr="00652C95">
              <w:rPr>
                <w:b w:val="0"/>
              </w:rPr>
              <w:t>with drug-related</w:t>
            </w:r>
            <w:r w:rsidRPr="00652C95">
              <w:rPr>
                <w:b w:val="0"/>
                <w:position w:val="6"/>
              </w:rPr>
              <w:t xml:space="preserve"> </w:t>
            </w:r>
            <w:r w:rsidRPr="00652C95">
              <w:rPr>
                <w:b w:val="0"/>
              </w:rPr>
              <w:t xml:space="preserve">adverse events </w:t>
            </w:r>
          </w:p>
        </w:tc>
        <w:tc>
          <w:tcPr>
            <w:tcW w:w="472" w:type="pct"/>
            <w:vAlign w:val="center"/>
          </w:tcPr>
          <w:p w14:paraId="41A41FEB" w14:textId="77777777" w:rsidR="00804612" w:rsidRPr="00652C95" w:rsidRDefault="00804612" w:rsidP="002234D3">
            <w:pPr>
              <w:pStyle w:val="Tabletext"/>
              <w:jc w:val="center"/>
              <w:cnfStyle w:val="000000100000" w:firstRow="0" w:lastRow="0" w:firstColumn="0" w:lastColumn="0" w:oddVBand="0" w:evenVBand="0" w:oddHBand="1" w:evenHBand="0" w:firstRowFirstColumn="0" w:firstRowLastColumn="0" w:lastRowFirstColumn="0" w:lastRowLastColumn="0"/>
            </w:pPr>
            <w:r w:rsidRPr="00652C95">
              <w:t>774</w:t>
            </w:r>
          </w:p>
        </w:tc>
        <w:tc>
          <w:tcPr>
            <w:tcW w:w="391" w:type="pct"/>
            <w:vAlign w:val="center"/>
          </w:tcPr>
          <w:p w14:paraId="50694958" w14:textId="77777777" w:rsidR="00804612" w:rsidRPr="00652C95" w:rsidRDefault="00804612" w:rsidP="002234D3">
            <w:pPr>
              <w:pStyle w:val="Tabletext"/>
              <w:jc w:val="center"/>
              <w:cnfStyle w:val="000000100000" w:firstRow="0" w:lastRow="0" w:firstColumn="0" w:lastColumn="0" w:oddVBand="0" w:evenVBand="0" w:oddHBand="1" w:evenHBand="0" w:firstRowFirstColumn="0" w:firstRowLastColumn="0" w:lastRowFirstColumn="0" w:lastRowLastColumn="0"/>
            </w:pPr>
            <w:r w:rsidRPr="00652C95">
              <w:t>(98.9)</w:t>
            </w:r>
          </w:p>
        </w:tc>
        <w:tc>
          <w:tcPr>
            <w:tcW w:w="314" w:type="pct"/>
            <w:vAlign w:val="center"/>
          </w:tcPr>
          <w:p w14:paraId="722FA00A" w14:textId="77777777" w:rsidR="00804612" w:rsidRPr="00652C95" w:rsidRDefault="00804612" w:rsidP="002234D3">
            <w:pPr>
              <w:pStyle w:val="Tabletext"/>
              <w:jc w:val="center"/>
              <w:cnfStyle w:val="000000100000" w:firstRow="0" w:lastRow="0" w:firstColumn="0" w:lastColumn="0" w:oddVBand="0" w:evenVBand="0" w:oddHBand="1" w:evenHBand="0" w:firstRowFirstColumn="0" w:firstRowLastColumn="0" w:lastRowFirstColumn="0" w:lastRowLastColumn="0"/>
            </w:pPr>
            <w:r w:rsidRPr="00652C95">
              <w:t>388</w:t>
            </w:r>
          </w:p>
        </w:tc>
        <w:tc>
          <w:tcPr>
            <w:tcW w:w="473" w:type="pct"/>
            <w:vAlign w:val="center"/>
          </w:tcPr>
          <w:p w14:paraId="281B8F21" w14:textId="77777777" w:rsidR="00804612" w:rsidRPr="00652C95" w:rsidRDefault="00804612" w:rsidP="002234D3">
            <w:pPr>
              <w:pStyle w:val="Tabletext"/>
              <w:jc w:val="center"/>
              <w:cnfStyle w:val="000000100000" w:firstRow="0" w:lastRow="0" w:firstColumn="0" w:lastColumn="0" w:oddVBand="0" w:evenVBand="0" w:oddHBand="1" w:evenHBand="0" w:firstRowFirstColumn="0" w:firstRowLastColumn="0" w:lastRowFirstColumn="0" w:lastRowLastColumn="0"/>
            </w:pPr>
            <w:r w:rsidRPr="00652C95">
              <w:t>(99.7)</w:t>
            </w:r>
          </w:p>
        </w:tc>
        <w:tc>
          <w:tcPr>
            <w:tcW w:w="877" w:type="pct"/>
            <w:vAlign w:val="center"/>
          </w:tcPr>
          <w:p w14:paraId="444EA341" w14:textId="77777777" w:rsidR="00804612" w:rsidRPr="00652C95" w:rsidRDefault="00804612" w:rsidP="00CD24BA">
            <w:pPr>
              <w:pStyle w:val="Tabletext"/>
              <w:jc w:val="center"/>
              <w:cnfStyle w:val="000000100000" w:firstRow="0" w:lastRow="0" w:firstColumn="0" w:lastColumn="0" w:oddVBand="0" w:evenVBand="0" w:oddHBand="1" w:evenHBand="0" w:firstRowFirstColumn="0" w:firstRowLastColumn="0" w:lastRowFirstColumn="0" w:lastRowLastColumn="0"/>
            </w:pPr>
            <w:r w:rsidRPr="00652C95">
              <w:t>0.99 (0.98, 1)</w:t>
            </w:r>
          </w:p>
        </w:tc>
        <w:tc>
          <w:tcPr>
            <w:tcW w:w="823" w:type="pct"/>
            <w:vAlign w:val="center"/>
          </w:tcPr>
          <w:p w14:paraId="17D9CC48" w14:textId="77777777" w:rsidR="00804612" w:rsidRPr="00652C95" w:rsidRDefault="00804612" w:rsidP="00CD24BA">
            <w:pPr>
              <w:pStyle w:val="Tabletext"/>
              <w:jc w:val="center"/>
              <w:cnfStyle w:val="000000100000" w:firstRow="0" w:lastRow="0" w:firstColumn="0" w:lastColumn="0" w:oddVBand="0" w:evenVBand="0" w:oddHBand="1" w:evenHBand="0" w:firstRowFirstColumn="0" w:firstRowLastColumn="0" w:lastRowFirstColumn="0" w:lastRowLastColumn="0"/>
            </w:pPr>
            <w:r w:rsidRPr="00652C95">
              <w:t>-0.01 (-0.02, 0)</w:t>
            </w:r>
          </w:p>
        </w:tc>
      </w:tr>
      <w:tr w:rsidR="006919A9" w:rsidRPr="00652C95" w14:paraId="2022D988" w14:textId="77777777" w:rsidTr="00317929">
        <w:trPr>
          <w:trHeight w:val="20"/>
        </w:trPr>
        <w:tc>
          <w:tcPr>
            <w:cnfStyle w:val="001000000000" w:firstRow="0" w:lastRow="0" w:firstColumn="1" w:lastColumn="0" w:oddVBand="0" w:evenVBand="0" w:oddHBand="0" w:evenHBand="0" w:firstRowFirstColumn="0" w:firstRowLastColumn="0" w:lastRowFirstColumn="0" w:lastRowLastColumn="0"/>
            <w:tcW w:w="1650" w:type="pct"/>
            <w:vAlign w:val="center"/>
          </w:tcPr>
          <w:p w14:paraId="2BD54B20" w14:textId="77777777" w:rsidR="00804612" w:rsidRPr="00652C95" w:rsidRDefault="00804612" w:rsidP="002234D3">
            <w:pPr>
              <w:pStyle w:val="Tabletext"/>
              <w:rPr>
                <w:b w:val="0"/>
              </w:rPr>
            </w:pPr>
            <w:r w:rsidRPr="00652C95">
              <w:rPr>
                <w:b w:val="0"/>
              </w:rPr>
              <w:t>with toxicity grade 3 to 5 adverse events</w:t>
            </w:r>
          </w:p>
        </w:tc>
        <w:tc>
          <w:tcPr>
            <w:tcW w:w="472" w:type="pct"/>
            <w:vAlign w:val="center"/>
          </w:tcPr>
          <w:p w14:paraId="30AFCDFD" w14:textId="77777777" w:rsidR="00804612" w:rsidRPr="00652C95" w:rsidRDefault="00804612" w:rsidP="002234D3">
            <w:pPr>
              <w:pStyle w:val="Tabletext"/>
              <w:jc w:val="center"/>
              <w:cnfStyle w:val="000000000000" w:firstRow="0" w:lastRow="0" w:firstColumn="0" w:lastColumn="0" w:oddVBand="0" w:evenVBand="0" w:oddHBand="0" w:evenHBand="0" w:firstRowFirstColumn="0" w:firstRowLastColumn="0" w:lastRowFirstColumn="0" w:lastRowLastColumn="0"/>
            </w:pPr>
            <w:r w:rsidRPr="00652C95">
              <w:t>645</w:t>
            </w:r>
          </w:p>
        </w:tc>
        <w:tc>
          <w:tcPr>
            <w:tcW w:w="391" w:type="pct"/>
            <w:vAlign w:val="center"/>
          </w:tcPr>
          <w:p w14:paraId="637E21B3" w14:textId="77777777" w:rsidR="00804612" w:rsidRPr="00652C95" w:rsidRDefault="00804612" w:rsidP="002234D3">
            <w:pPr>
              <w:pStyle w:val="Tabletext"/>
              <w:jc w:val="center"/>
              <w:cnfStyle w:val="000000000000" w:firstRow="0" w:lastRow="0" w:firstColumn="0" w:lastColumn="0" w:oddVBand="0" w:evenVBand="0" w:oddHBand="0" w:evenHBand="0" w:firstRowFirstColumn="0" w:firstRowLastColumn="0" w:lastRowFirstColumn="0" w:lastRowLastColumn="0"/>
            </w:pPr>
            <w:r w:rsidRPr="00652C95">
              <w:t>(82.4)</w:t>
            </w:r>
          </w:p>
        </w:tc>
        <w:tc>
          <w:tcPr>
            <w:tcW w:w="314" w:type="pct"/>
            <w:vAlign w:val="center"/>
          </w:tcPr>
          <w:p w14:paraId="78DFB21B" w14:textId="77777777" w:rsidR="00804612" w:rsidRPr="00652C95" w:rsidRDefault="00804612" w:rsidP="002234D3">
            <w:pPr>
              <w:pStyle w:val="Tabletext"/>
              <w:jc w:val="center"/>
              <w:cnfStyle w:val="000000000000" w:firstRow="0" w:lastRow="0" w:firstColumn="0" w:lastColumn="0" w:oddVBand="0" w:evenVBand="0" w:oddHBand="0" w:evenHBand="0" w:firstRowFirstColumn="0" w:firstRowLastColumn="0" w:lastRowFirstColumn="0" w:lastRowLastColumn="0"/>
            </w:pPr>
            <w:r w:rsidRPr="00652C95">
              <w:t>306</w:t>
            </w:r>
          </w:p>
        </w:tc>
        <w:tc>
          <w:tcPr>
            <w:tcW w:w="473" w:type="pct"/>
            <w:vAlign w:val="center"/>
          </w:tcPr>
          <w:p w14:paraId="38C0AD18" w14:textId="77777777" w:rsidR="00804612" w:rsidRPr="00652C95" w:rsidRDefault="00804612" w:rsidP="002234D3">
            <w:pPr>
              <w:pStyle w:val="Tabletext"/>
              <w:jc w:val="center"/>
              <w:cnfStyle w:val="000000000000" w:firstRow="0" w:lastRow="0" w:firstColumn="0" w:lastColumn="0" w:oddVBand="0" w:evenVBand="0" w:oddHBand="0" w:evenHBand="0" w:firstRowFirstColumn="0" w:firstRowLastColumn="0" w:lastRowFirstColumn="0" w:lastRowLastColumn="0"/>
            </w:pPr>
            <w:r w:rsidRPr="00652C95">
              <w:t>(78.7)</w:t>
            </w:r>
          </w:p>
        </w:tc>
        <w:tc>
          <w:tcPr>
            <w:tcW w:w="877" w:type="pct"/>
            <w:vAlign w:val="center"/>
          </w:tcPr>
          <w:p w14:paraId="52BD5227" w14:textId="77777777" w:rsidR="00804612" w:rsidRPr="00652C95" w:rsidRDefault="00804612" w:rsidP="00CD24BA">
            <w:pPr>
              <w:pStyle w:val="Tabletext"/>
              <w:jc w:val="center"/>
              <w:cnfStyle w:val="000000000000" w:firstRow="0" w:lastRow="0" w:firstColumn="0" w:lastColumn="0" w:oddVBand="0" w:evenVBand="0" w:oddHBand="0" w:evenHBand="0" w:firstRowFirstColumn="0" w:firstRowLastColumn="0" w:lastRowFirstColumn="0" w:lastRowLastColumn="0"/>
            </w:pPr>
            <w:r w:rsidRPr="00652C95">
              <w:t>1.05 (0.99, 1.11)</w:t>
            </w:r>
          </w:p>
        </w:tc>
        <w:tc>
          <w:tcPr>
            <w:tcW w:w="823" w:type="pct"/>
            <w:vAlign w:val="center"/>
          </w:tcPr>
          <w:p w14:paraId="4405733E" w14:textId="77777777" w:rsidR="00804612" w:rsidRPr="00652C95" w:rsidRDefault="00804612" w:rsidP="00CD24BA">
            <w:pPr>
              <w:pStyle w:val="Tabletext"/>
              <w:jc w:val="center"/>
              <w:cnfStyle w:val="000000000000" w:firstRow="0" w:lastRow="0" w:firstColumn="0" w:lastColumn="0" w:oddVBand="0" w:evenVBand="0" w:oddHBand="0" w:evenHBand="0" w:firstRowFirstColumn="0" w:firstRowLastColumn="0" w:lastRowFirstColumn="0" w:lastRowLastColumn="0"/>
            </w:pPr>
            <w:r w:rsidRPr="00652C95">
              <w:t>0.04 (-0.01, 0.09)</w:t>
            </w:r>
          </w:p>
        </w:tc>
      </w:tr>
      <w:tr w:rsidR="006919A9" w:rsidRPr="00652C95" w14:paraId="52F4E0EF" w14:textId="77777777" w:rsidTr="0031792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50" w:type="pct"/>
            <w:vAlign w:val="center"/>
          </w:tcPr>
          <w:p w14:paraId="73FFFF3C" w14:textId="77777777" w:rsidR="00804612" w:rsidRPr="00652C95" w:rsidRDefault="00804612" w:rsidP="002234D3">
            <w:pPr>
              <w:pStyle w:val="Tabletext"/>
              <w:rPr>
                <w:b w:val="0"/>
              </w:rPr>
            </w:pPr>
            <w:r w:rsidRPr="00652C95">
              <w:rPr>
                <w:b w:val="0"/>
              </w:rPr>
              <w:t xml:space="preserve">with toxicity grade 3 to 5 drug-related adverse events </w:t>
            </w:r>
          </w:p>
        </w:tc>
        <w:tc>
          <w:tcPr>
            <w:tcW w:w="472" w:type="pct"/>
            <w:vAlign w:val="center"/>
          </w:tcPr>
          <w:p w14:paraId="3EEF8FEA" w14:textId="77777777" w:rsidR="00804612" w:rsidRPr="00652C95" w:rsidRDefault="00804612" w:rsidP="002234D3">
            <w:pPr>
              <w:pStyle w:val="Tabletext"/>
              <w:jc w:val="center"/>
              <w:cnfStyle w:val="000000100000" w:firstRow="0" w:lastRow="0" w:firstColumn="0" w:lastColumn="0" w:oddVBand="0" w:evenVBand="0" w:oddHBand="1" w:evenHBand="0" w:firstRowFirstColumn="0" w:firstRowLastColumn="0" w:lastRowFirstColumn="0" w:lastRowLastColumn="0"/>
            </w:pPr>
            <w:r w:rsidRPr="00652C95">
              <w:t>604</w:t>
            </w:r>
          </w:p>
        </w:tc>
        <w:tc>
          <w:tcPr>
            <w:tcW w:w="391" w:type="pct"/>
            <w:vAlign w:val="center"/>
          </w:tcPr>
          <w:p w14:paraId="0770EC3D" w14:textId="77777777" w:rsidR="00804612" w:rsidRPr="00652C95" w:rsidRDefault="00804612" w:rsidP="002234D3">
            <w:pPr>
              <w:pStyle w:val="Tabletext"/>
              <w:jc w:val="center"/>
              <w:cnfStyle w:val="000000100000" w:firstRow="0" w:lastRow="0" w:firstColumn="0" w:lastColumn="0" w:oddVBand="0" w:evenVBand="0" w:oddHBand="1" w:evenHBand="0" w:firstRowFirstColumn="0" w:firstRowLastColumn="0" w:lastRowFirstColumn="0" w:lastRowLastColumn="0"/>
            </w:pPr>
            <w:r w:rsidRPr="00652C95">
              <w:t>(77.1)</w:t>
            </w:r>
          </w:p>
        </w:tc>
        <w:tc>
          <w:tcPr>
            <w:tcW w:w="314" w:type="pct"/>
            <w:vAlign w:val="center"/>
          </w:tcPr>
          <w:p w14:paraId="122386AD" w14:textId="77777777" w:rsidR="00804612" w:rsidRPr="00652C95" w:rsidRDefault="00804612" w:rsidP="002234D3">
            <w:pPr>
              <w:pStyle w:val="Tabletext"/>
              <w:jc w:val="center"/>
              <w:cnfStyle w:val="000000100000" w:firstRow="0" w:lastRow="0" w:firstColumn="0" w:lastColumn="0" w:oddVBand="0" w:evenVBand="0" w:oddHBand="1" w:evenHBand="0" w:firstRowFirstColumn="0" w:firstRowLastColumn="0" w:lastRowFirstColumn="0" w:lastRowLastColumn="0"/>
            </w:pPr>
            <w:r w:rsidRPr="00652C95">
              <w:t>285</w:t>
            </w:r>
          </w:p>
        </w:tc>
        <w:tc>
          <w:tcPr>
            <w:tcW w:w="473" w:type="pct"/>
            <w:vAlign w:val="center"/>
          </w:tcPr>
          <w:p w14:paraId="77F25C42" w14:textId="77777777" w:rsidR="00804612" w:rsidRPr="00652C95" w:rsidRDefault="00804612" w:rsidP="002234D3">
            <w:pPr>
              <w:pStyle w:val="Tabletext"/>
              <w:jc w:val="center"/>
              <w:cnfStyle w:val="000000100000" w:firstRow="0" w:lastRow="0" w:firstColumn="0" w:lastColumn="0" w:oddVBand="0" w:evenVBand="0" w:oddHBand="1" w:evenHBand="0" w:firstRowFirstColumn="0" w:firstRowLastColumn="0" w:lastRowFirstColumn="0" w:lastRowLastColumn="0"/>
            </w:pPr>
            <w:r w:rsidRPr="00652C95">
              <w:t>(73.3)</w:t>
            </w:r>
          </w:p>
        </w:tc>
        <w:tc>
          <w:tcPr>
            <w:tcW w:w="877" w:type="pct"/>
            <w:vAlign w:val="center"/>
          </w:tcPr>
          <w:p w14:paraId="27CA3FC5" w14:textId="77777777" w:rsidR="00804612" w:rsidRPr="00652C95" w:rsidRDefault="00804612" w:rsidP="00CD24BA">
            <w:pPr>
              <w:pStyle w:val="Tabletext"/>
              <w:jc w:val="center"/>
              <w:cnfStyle w:val="000000100000" w:firstRow="0" w:lastRow="0" w:firstColumn="0" w:lastColumn="0" w:oddVBand="0" w:evenVBand="0" w:oddHBand="1" w:evenHBand="0" w:firstRowFirstColumn="0" w:firstRowLastColumn="0" w:lastRowFirstColumn="0" w:lastRowLastColumn="0"/>
            </w:pPr>
            <w:r w:rsidRPr="00652C95">
              <w:t>1.05 (0.98, 1.13)</w:t>
            </w:r>
          </w:p>
        </w:tc>
        <w:tc>
          <w:tcPr>
            <w:tcW w:w="823" w:type="pct"/>
            <w:vAlign w:val="center"/>
          </w:tcPr>
          <w:p w14:paraId="14FD42B5" w14:textId="77777777" w:rsidR="00804612" w:rsidRPr="00652C95" w:rsidRDefault="00804612" w:rsidP="00CD24BA">
            <w:pPr>
              <w:pStyle w:val="Tabletext"/>
              <w:jc w:val="center"/>
              <w:cnfStyle w:val="000000100000" w:firstRow="0" w:lastRow="0" w:firstColumn="0" w:lastColumn="0" w:oddVBand="0" w:evenVBand="0" w:oddHBand="1" w:evenHBand="0" w:firstRowFirstColumn="0" w:firstRowLastColumn="0" w:lastRowFirstColumn="0" w:lastRowLastColumn="0"/>
            </w:pPr>
            <w:r w:rsidRPr="00652C95">
              <w:t>0.04 (-0.01, 0.09)</w:t>
            </w:r>
          </w:p>
        </w:tc>
      </w:tr>
      <w:tr w:rsidR="006919A9" w:rsidRPr="00652C95" w14:paraId="1B631D40" w14:textId="77777777" w:rsidTr="00317929">
        <w:trPr>
          <w:trHeight w:val="20"/>
        </w:trPr>
        <w:tc>
          <w:tcPr>
            <w:cnfStyle w:val="001000000000" w:firstRow="0" w:lastRow="0" w:firstColumn="1" w:lastColumn="0" w:oddVBand="0" w:evenVBand="0" w:oddHBand="0" w:evenHBand="0" w:firstRowFirstColumn="0" w:firstRowLastColumn="0" w:lastRowFirstColumn="0" w:lastRowLastColumn="0"/>
            <w:tcW w:w="1650" w:type="pct"/>
            <w:vAlign w:val="center"/>
          </w:tcPr>
          <w:p w14:paraId="17662018" w14:textId="77777777" w:rsidR="00804612" w:rsidRPr="00652C95" w:rsidRDefault="00804612" w:rsidP="002234D3">
            <w:pPr>
              <w:pStyle w:val="Tabletext"/>
              <w:rPr>
                <w:b w:val="0"/>
              </w:rPr>
            </w:pPr>
            <w:r w:rsidRPr="00652C95">
              <w:rPr>
                <w:b w:val="0"/>
              </w:rPr>
              <w:t>with serious drug-related adverse events</w:t>
            </w:r>
          </w:p>
        </w:tc>
        <w:tc>
          <w:tcPr>
            <w:tcW w:w="472" w:type="pct"/>
            <w:vAlign w:val="center"/>
          </w:tcPr>
          <w:p w14:paraId="43EA0871" w14:textId="77777777" w:rsidR="00804612" w:rsidRPr="00652C95" w:rsidRDefault="00804612" w:rsidP="002234D3">
            <w:pPr>
              <w:pStyle w:val="Tabletext"/>
              <w:jc w:val="center"/>
              <w:cnfStyle w:val="000000000000" w:firstRow="0" w:lastRow="0" w:firstColumn="0" w:lastColumn="0" w:oddVBand="0" w:evenVBand="0" w:oddHBand="0" w:evenHBand="0" w:firstRowFirstColumn="0" w:firstRowLastColumn="0" w:lastRowFirstColumn="0" w:lastRowLastColumn="0"/>
            </w:pPr>
            <w:r w:rsidRPr="00652C95">
              <w:t>267</w:t>
            </w:r>
          </w:p>
        </w:tc>
        <w:tc>
          <w:tcPr>
            <w:tcW w:w="391" w:type="pct"/>
            <w:vAlign w:val="center"/>
          </w:tcPr>
          <w:p w14:paraId="0452BB16" w14:textId="77777777" w:rsidR="00804612" w:rsidRPr="00652C95" w:rsidRDefault="00804612" w:rsidP="002234D3">
            <w:pPr>
              <w:pStyle w:val="Tabletext"/>
              <w:jc w:val="center"/>
              <w:cnfStyle w:val="000000000000" w:firstRow="0" w:lastRow="0" w:firstColumn="0" w:lastColumn="0" w:oddVBand="0" w:evenVBand="0" w:oddHBand="0" w:evenHBand="0" w:firstRowFirstColumn="0" w:firstRowLastColumn="0" w:lastRowFirstColumn="0" w:lastRowLastColumn="0"/>
            </w:pPr>
            <w:r w:rsidRPr="00652C95">
              <w:t>(34.1)</w:t>
            </w:r>
          </w:p>
        </w:tc>
        <w:tc>
          <w:tcPr>
            <w:tcW w:w="314" w:type="pct"/>
            <w:vAlign w:val="center"/>
          </w:tcPr>
          <w:p w14:paraId="74DFDAE9" w14:textId="77777777" w:rsidR="00804612" w:rsidRPr="00652C95" w:rsidRDefault="00804612" w:rsidP="002234D3">
            <w:pPr>
              <w:pStyle w:val="Tabletext"/>
              <w:jc w:val="center"/>
              <w:cnfStyle w:val="000000000000" w:firstRow="0" w:lastRow="0" w:firstColumn="0" w:lastColumn="0" w:oddVBand="0" w:evenVBand="0" w:oddHBand="0" w:evenHBand="0" w:firstRowFirstColumn="0" w:firstRowLastColumn="0" w:lastRowFirstColumn="0" w:lastRowLastColumn="0"/>
            </w:pPr>
            <w:r w:rsidRPr="00652C95">
              <w:t>78</w:t>
            </w:r>
          </w:p>
        </w:tc>
        <w:tc>
          <w:tcPr>
            <w:tcW w:w="473" w:type="pct"/>
            <w:vAlign w:val="center"/>
          </w:tcPr>
          <w:p w14:paraId="4ADE0505" w14:textId="77777777" w:rsidR="00804612" w:rsidRPr="00652C95" w:rsidRDefault="00804612" w:rsidP="002234D3">
            <w:pPr>
              <w:pStyle w:val="Tabletext"/>
              <w:jc w:val="center"/>
              <w:cnfStyle w:val="000000000000" w:firstRow="0" w:lastRow="0" w:firstColumn="0" w:lastColumn="0" w:oddVBand="0" w:evenVBand="0" w:oddHBand="0" w:evenHBand="0" w:firstRowFirstColumn="0" w:firstRowLastColumn="0" w:lastRowFirstColumn="0" w:lastRowLastColumn="0"/>
            </w:pPr>
            <w:r w:rsidRPr="00652C95">
              <w:t>(20.1)</w:t>
            </w:r>
          </w:p>
        </w:tc>
        <w:tc>
          <w:tcPr>
            <w:tcW w:w="877" w:type="pct"/>
            <w:vAlign w:val="center"/>
          </w:tcPr>
          <w:p w14:paraId="42736BB4" w14:textId="77777777" w:rsidR="00804612" w:rsidRPr="00652C95" w:rsidRDefault="00804612" w:rsidP="00CD24BA">
            <w:pPr>
              <w:pStyle w:val="Tabletext"/>
              <w:jc w:val="center"/>
              <w:cnfStyle w:val="000000000000" w:firstRow="0" w:lastRow="0" w:firstColumn="0" w:lastColumn="0" w:oddVBand="0" w:evenVBand="0" w:oddHBand="0" w:evenHBand="0" w:firstRowFirstColumn="0" w:firstRowLastColumn="0" w:lastRowFirstColumn="0" w:lastRowLastColumn="0"/>
            </w:pPr>
            <w:r w:rsidRPr="00652C95">
              <w:t>1.7 (1.36, 2.12)</w:t>
            </w:r>
          </w:p>
        </w:tc>
        <w:tc>
          <w:tcPr>
            <w:tcW w:w="823" w:type="pct"/>
            <w:vAlign w:val="center"/>
          </w:tcPr>
          <w:p w14:paraId="60F7BEE4" w14:textId="77777777" w:rsidR="00804612" w:rsidRPr="00652C95" w:rsidRDefault="00804612" w:rsidP="00CD24BA">
            <w:pPr>
              <w:pStyle w:val="Tabletext"/>
              <w:jc w:val="center"/>
              <w:cnfStyle w:val="000000000000" w:firstRow="0" w:lastRow="0" w:firstColumn="0" w:lastColumn="0" w:oddVBand="0" w:evenVBand="0" w:oddHBand="0" w:evenHBand="0" w:firstRowFirstColumn="0" w:firstRowLastColumn="0" w:lastRowFirstColumn="0" w:lastRowLastColumn="0"/>
            </w:pPr>
            <w:r w:rsidRPr="00652C95">
              <w:t>0.14 (0.09, 0.19)</w:t>
            </w:r>
          </w:p>
        </w:tc>
      </w:tr>
      <w:tr w:rsidR="006919A9" w:rsidRPr="00652C95" w14:paraId="1953339D" w14:textId="77777777" w:rsidTr="0031792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50" w:type="pct"/>
            <w:vAlign w:val="center"/>
          </w:tcPr>
          <w:p w14:paraId="4465F3B8" w14:textId="77777777" w:rsidR="00804612" w:rsidRPr="00652C95" w:rsidRDefault="00804612" w:rsidP="002234D3">
            <w:pPr>
              <w:pStyle w:val="Tabletext"/>
              <w:rPr>
                <w:b w:val="0"/>
              </w:rPr>
            </w:pPr>
            <w:r w:rsidRPr="00652C95">
              <w:rPr>
                <w:b w:val="0"/>
              </w:rPr>
              <w:t xml:space="preserve">who died due to a drug-related adverse event </w:t>
            </w:r>
          </w:p>
        </w:tc>
        <w:tc>
          <w:tcPr>
            <w:tcW w:w="472" w:type="pct"/>
            <w:vAlign w:val="center"/>
          </w:tcPr>
          <w:p w14:paraId="1643C106" w14:textId="77777777" w:rsidR="00804612" w:rsidRPr="00652C95" w:rsidRDefault="00804612" w:rsidP="002234D3">
            <w:pPr>
              <w:pStyle w:val="Tabletext"/>
              <w:jc w:val="center"/>
              <w:cnfStyle w:val="000000100000" w:firstRow="0" w:lastRow="0" w:firstColumn="0" w:lastColumn="0" w:oddVBand="0" w:evenVBand="0" w:oddHBand="1" w:evenHBand="0" w:firstRowFirstColumn="0" w:firstRowLastColumn="0" w:lastRowFirstColumn="0" w:lastRowLastColumn="0"/>
            </w:pPr>
            <w:r w:rsidRPr="00652C95">
              <w:t>4</w:t>
            </w:r>
          </w:p>
        </w:tc>
        <w:tc>
          <w:tcPr>
            <w:tcW w:w="391" w:type="pct"/>
            <w:vAlign w:val="center"/>
          </w:tcPr>
          <w:p w14:paraId="4050BB3A" w14:textId="77777777" w:rsidR="00804612" w:rsidRPr="00652C95" w:rsidRDefault="00804612" w:rsidP="002234D3">
            <w:pPr>
              <w:pStyle w:val="Tabletext"/>
              <w:jc w:val="center"/>
              <w:cnfStyle w:val="000000100000" w:firstRow="0" w:lastRow="0" w:firstColumn="0" w:lastColumn="0" w:oddVBand="0" w:evenVBand="0" w:oddHBand="1" w:evenHBand="0" w:firstRowFirstColumn="0" w:firstRowLastColumn="0" w:lastRowFirstColumn="0" w:lastRowLastColumn="0"/>
            </w:pPr>
            <w:r w:rsidRPr="00652C95">
              <w:t>(0.5)</w:t>
            </w:r>
          </w:p>
        </w:tc>
        <w:tc>
          <w:tcPr>
            <w:tcW w:w="314" w:type="pct"/>
            <w:vAlign w:val="center"/>
          </w:tcPr>
          <w:p w14:paraId="742B74D0" w14:textId="77777777" w:rsidR="00804612" w:rsidRPr="00652C95" w:rsidRDefault="00804612" w:rsidP="002234D3">
            <w:pPr>
              <w:pStyle w:val="Tabletext"/>
              <w:jc w:val="center"/>
              <w:cnfStyle w:val="000000100000" w:firstRow="0" w:lastRow="0" w:firstColumn="0" w:lastColumn="0" w:oddVBand="0" w:evenVBand="0" w:oddHBand="1" w:evenHBand="0" w:firstRowFirstColumn="0" w:firstRowLastColumn="0" w:lastRowFirstColumn="0" w:lastRowLastColumn="0"/>
            </w:pPr>
            <w:r w:rsidRPr="00652C95">
              <w:t>1</w:t>
            </w:r>
          </w:p>
        </w:tc>
        <w:tc>
          <w:tcPr>
            <w:tcW w:w="473" w:type="pct"/>
            <w:vAlign w:val="center"/>
          </w:tcPr>
          <w:p w14:paraId="422D3A1C" w14:textId="77777777" w:rsidR="00804612" w:rsidRPr="00652C95" w:rsidRDefault="00804612" w:rsidP="002234D3">
            <w:pPr>
              <w:pStyle w:val="Tabletext"/>
              <w:jc w:val="center"/>
              <w:cnfStyle w:val="000000100000" w:firstRow="0" w:lastRow="0" w:firstColumn="0" w:lastColumn="0" w:oddVBand="0" w:evenVBand="0" w:oddHBand="1" w:evenHBand="0" w:firstRowFirstColumn="0" w:firstRowLastColumn="0" w:lastRowFirstColumn="0" w:lastRowLastColumn="0"/>
            </w:pPr>
            <w:r w:rsidRPr="00652C95">
              <w:t>(0.3)</w:t>
            </w:r>
          </w:p>
        </w:tc>
        <w:tc>
          <w:tcPr>
            <w:tcW w:w="877" w:type="pct"/>
            <w:vAlign w:val="center"/>
          </w:tcPr>
          <w:p w14:paraId="5C1B2966" w14:textId="77777777" w:rsidR="00804612" w:rsidRPr="00652C95" w:rsidRDefault="00804612" w:rsidP="00CD24BA">
            <w:pPr>
              <w:pStyle w:val="Tabletext"/>
              <w:jc w:val="center"/>
              <w:cnfStyle w:val="000000100000" w:firstRow="0" w:lastRow="0" w:firstColumn="0" w:lastColumn="0" w:oddVBand="0" w:evenVBand="0" w:oddHBand="1" w:evenHBand="0" w:firstRowFirstColumn="0" w:firstRowLastColumn="0" w:lastRowFirstColumn="0" w:lastRowLastColumn="0"/>
            </w:pPr>
            <w:r w:rsidRPr="00652C95">
              <w:t>1.99 (0.22, 17.72)</w:t>
            </w:r>
          </w:p>
        </w:tc>
        <w:tc>
          <w:tcPr>
            <w:tcW w:w="823" w:type="pct"/>
            <w:vAlign w:val="center"/>
          </w:tcPr>
          <w:p w14:paraId="1910171B" w14:textId="77777777" w:rsidR="00804612" w:rsidRPr="00652C95" w:rsidRDefault="00804612" w:rsidP="00CD24BA">
            <w:pPr>
              <w:pStyle w:val="Tabletext"/>
              <w:jc w:val="center"/>
              <w:cnfStyle w:val="000000100000" w:firstRow="0" w:lastRow="0" w:firstColumn="0" w:lastColumn="0" w:oddVBand="0" w:evenVBand="0" w:oddHBand="1" w:evenHBand="0" w:firstRowFirstColumn="0" w:firstRowLastColumn="0" w:lastRowFirstColumn="0" w:lastRowLastColumn="0"/>
            </w:pPr>
            <w:r w:rsidRPr="00652C95">
              <w:t>0 (0, 0.01)</w:t>
            </w:r>
          </w:p>
        </w:tc>
      </w:tr>
      <w:tr w:rsidR="006919A9" w:rsidRPr="00652C95" w14:paraId="1E844C27" w14:textId="77777777" w:rsidTr="00317929">
        <w:trPr>
          <w:trHeight w:val="20"/>
        </w:trPr>
        <w:tc>
          <w:tcPr>
            <w:cnfStyle w:val="001000000000" w:firstRow="0" w:lastRow="0" w:firstColumn="1" w:lastColumn="0" w:oddVBand="0" w:evenVBand="0" w:oddHBand="0" w:evenHBand="0" w:firstRowFirstColumn="0" w:firstRowLastColumn="0" w:lastRowFirstColumn="0" w:lastRowLastColumn="0"/>
            <w:tcW w:w="1650" w:type="pct"/>
            <w:vAlign w:val="center"/>
          </w:tcPr>
          <w:p w14:paraId="27EFC87B" w14:textId="77777777" w:rsidR="00804612" w:rsidRPr="00652C95" w:rsidRDefault="00804612" w:rsidP="002234D3">
            <w:pPr>
              <w:pStyle w:val="Tabletext"/>
              <w:rPr>
                <w:b w:val="0"/>
              </w:rPr>
            </w:pPr>
            <w:r w:rsidRPr="00652C95">
              <w:rPr>
                <w:b w:val="0"/>
              </w:rPr>
              <w:t>discontinued any drug due to a drug-related adverse event</w:t>
            </w:r>
          </w:p>
        </w:tc>
        <w:tc>
          <w:tcPr>
            <w:tcW w:w="472" w:type="pct"/>
            <w:vAlign w:val="center"/>
          </w:tcPr>
          <w:p w14:paraId="34EAE43C" w14:textId="77777777" w:rsidR="00804612" w:rsidRPr="00652C95" w:rsidRDefault="00804612" w:rsidP="002234D3">
            <w:pPr>
              <w:pStyle w:val="Tabletext"/>
              <w:jc w:val="center"/>
              <w:cnfStyle w:val="000000000000" w:firstRow="0" w:lastRow="0" w:firstColumn="0" w:lastColumn="0" w:oddVBand="0" w:evenVBand="0" w:oddHBand="0" w:evenHBand="0" w:firstRowFirstColumn="0" w:firstRowLastColumn="0" w:lastRowFirstColumn="0" w:lastRowLastColumn="0"/>
            </w:pPr>
            <w:r w:rsidRPr="00652C95">
              <w:t>217</w:t>
            </w:r>
          </w:p>
        </w:tc>
        <w:tc>
          <w:tcPr>
            <w:tcW w:w="391" w:type="pct"/>
            <w:vAlign w:val="center"/>
          </w:tcPr>
          <w:p w14:paraId="3242AB90" w14:textId="77777777" w:rsidR="00804612" w:rsidRPr="00652C95" w:rsidRDefault="00804612" w:rsidP="002234D3">
            <w:pPr>
              <w:pStyle w:val="Tabletext"/>
              <w:jc w:val="center"/>
              <w:cnfStyle w:val="000000000000" w:firstRow="0" w:lastRow="0" w:firstColumn="0" w:lastColumn="0" w:oddVBand="0" w:evenVBand="0" w:oddHBand="0" w:evenHBand="0" w:firstRowFirstColumn="0" w:firstRowLastColumn="0" w:lastRowFirstColumn="0" w:lastRowLastColumn="0"/>
            </w:pPr>
            <w:r w:rsidRPr="00652C95">
              <w:t>(27.7)</w:t>
            </w:r>
          </w:p>
        </w:tc>
        <w:tc>
          <w:tcPr>
            <w:tcW w:w="314" w:type="pct"/>
            <w:vAlign w:val="center"/>
          </w:tcPr>
          <w:p w14:paraId="42BC7E04" w14:textId="77777777" w:rsidR="00804612" w:rsidRPr="00652C95" w:rsidRDefault="00804612" w:rsidP="002234D3">
            <w:pPr>
              <w:pStyle w:val="Tabletext"/>
              <w:jc w:val="center"/>
              <w:cnfStyle w:val="000000000000" w:firstRow="0" w:lastRow="0" w:firstColumn="0" w:lastColumn="0" w:oddVBand="0" w:evenVBand="0" w:oddHBand="0" w:evenHBand="0" w:firstRowFirstColumn="0" w:firstRowLastColumn="0" w:lastRowFirstColumn="0" w:lastRowLastColumn="0"/>
            </w:pPr>
            <w:r w:rsidRPr="00652C95">
              <w:t>55</w:t>
            </w:r>
          </w:p>
        </w:tc>
        <w:tc>
          <w:tcPr>
            <w:tcW w:w="473" w:type="pct"/>
            <w:vAlign w:val="center"/>
          </w:tcPr>
          <w:p w14:paraId="543B3CF6" w14:textId="77777777" w:rsidR="00804612" w:rsidRPr="00652C95" w:rsidRDefault="00804612" w:rsidP="002234D3">
            <w:pPr>
              <w:pStyle w:val="Tabletext"/>
              <w:jc w:val="center"/>
              <w:cnfStyle w:val="000000000000" w:firstRow="0" w:lastRow="0" w:firstColumn="0" w:lastColumn="0" w:oddVBand="0" w:evenVBand="0" w:oddHBand="0" w:evenHBand="0" w:firstRowFirstColumn="0" w:firstRowLastColumn="0" w:lastRowFirstColumn="0" w:lastRowLastColumn="0"/>
            </w:pPr>
            <w:r w:rsidRPr="00652C95">
              <w:t>(14.1)</w:t>
            </w:r>
          </w:p>
        </w:tc>
        <w:tc>
          <w:tcPr>
            <w:tcW w:w="877" w:type="pct"/>
            <w:vAlign w:val="center"/>
          </w:tcPr>
          <w:p w14:paraId="7F9E9D94" w14:textId="77777777" w:rsidR="00804612" w:rsidRPr="00652C95" w:rsidRDefault="00804612" w:rsidP="00CD24BA">
            <w:pPr>
              <w:pStyle w:val="Tabletext"/>
              <w:jc w:val="center"/>
              <w:cnfStyle w:val="000000000000" w:firstRow="0" w:lastRow="0" w:firstColumn="0" w:lastColumn="0" w:oddVBand="0" w:evenVBand="0" w:oddHBand="0" w:evenHBand="0" w:firstRowFirstColumn="0" w:firstRowLastColumn="0" w:lastRowFirstColumn="0" w:lastRowLastColumn="0"/>
            </w:pPr>
            <w:r w:rsidRPr="00652C95">
              <w:t>1.96 (1.5, 2.57)</w:t>
            </w:r>
          </w:p>
        </w:tc>
        <w:tc>
          <w:tcPr>
            <w:tcW w:w="823" w:type="pct"/>
            <w:vAlign w:val="center"/>
          </w:tcPr>
          <w:p w14:paraId="03102C68" w14:textId="77777777" w:rsidR="00804612" w:rsidRPr="00652C95" w:rsidRDefault="00804612" w:rsidP="00CD24BA">
            <w:pPr>
              <w:pStyle w:val="Tabletext"/>
              <w:jc w:val="center"/>
              <w:cnfStyle w:val="000000000000" w:firstRow="0" w:lastRow="0" w:firstColumn="0" w:lastColumn="0" w:oddVBand="0" w:evenVBand="0" w:oddHBand="0" w:evenHBand="0" w:firstRowFirstColumn="0" w:firstRowLastColumn="0" w:lastRowFirstColumn="0" w:lastRowLastColumn="0"/>
            </w:pPr>
            <w:r w:rsidRPr="00652C95">
              <w:t>0.14 (0.09, 0.18)</w:t>
            </w:r>
          </w:p>
        </w:tc>
      </w:tr>
      <w:tr w:rsidR="006919A9" w:rsidRPr="00652C95" w14:paraId="26E107C1" w14:textId="77777777" w:rsidTr="0031792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50" w:type="pct"/>
            <w:vAlign w:val="center"/>
          </w:tcPr>
          <w:p w14:paraId="546A3AC0" w14:textId="77777777" w:rsidR="00804612" w:rsidRPr="00652C95" w:rsidRDefault="00804612" w:rsidP="002234D3">
            <w:pPr>
              <w:pStyle w:val="Tabletext"/>
              <w:rPr>
                <w:b w:val="0"/>
              </w:rPr>
            </w:pPr>
            <w:r w:rsidRPr="00652C95">
              <w:rPr>
                <w:b w:val="0"/>
              </w:rPr>
              <w:t>discontinued pembrolizumab/ placebo</w:t>
            </w:r>
          </w:p>
        </w:tc>
        <w:tc>
          <w:tcPr>
            <w:tcW w:w="472" w:type="pct"/>
            <w:vAlign w:val="center"/>
          </w:tcPr>
          <w:p w14:paraId="0A5CCCA4" w14:textId="77777777" w:rsidR="00804612" w:rsidRPr="00652C95" w:rsidRDefault="00804612" w:rsidP="002234D3">
            <w:pPr>
              <w:pStyle w:val="Tabletext"/>
              <w:jc w:val="center"/>
              <w:cnfStyle w:val="000000100000" w:firstRow="0" w:lastRow="0" w:firstColumn="0" w:lastColumn="0" w:oddVBand="0" w:evenVBand="0" w:oddHBand="1" w:evenHBand="0" w:firstRowFirstColumn="0" w:firstRowLastColumn="0" w:lastRowFirstColumn="0" w:lastRowLastColumn="0"/>
            </w:pPr>
            <w:r w:rsidRPr="00652C95">
              <w:t>140</w:t>
            </w:r>
          </w:p>
        </w:tc>
        <w:tc>
          <w:tcPr>
            <w:tcW w:w="391" w:type="pct"/>
            <w:vAlign w:val="center"/>
          </w:tcPr>
          <w:p w14:paraId="252370D8" w14:textId="77777777" w:rsidR="00804612" w:rsidRPr="00652C95" w:rsidRDefault="00804612" w:rsidP="002234D3">
            <w:pPr>
              <w:pStyle w:val="Tabletext"/>
              <w:jc w:val="center"/>
              <w:cnfStyle w:val="000000100000" w:firstRow="0" w:lastRow="0" w:firstColumn="0" w:lastColumn="0" w:oddVBand="0" w:evenVBand="0" w:oddHBand="1" w:evenHBand="0" w:firstRowFirstColumn="0" w:firstRowLastColumn="0" w:lastRowFirstColumn="0" w:lastRowLastColumn="0"/>
            </w:pPr>
            <w:r w:rsidRPr="00652C95">
              <w:t>(17.9)</w:t>
            </w:r>
          </w:p>
        </w:tc>
        <w:tc>
          <w:tcPr>
            <w:tcW w:w="314" w:type="pct"/>
            <w:vAlign w:val="center"/>
          </w:tcPr>
          <w:p w14:paraId="5BACC9F6" w14:textId="77777777" w:rsidR="00804612" w:rsidRPr="00652C95" w:rsidRDefault="00804612" w:rsidP="002234D3">
            <w:pPr>
              <w:pStyle w:val="Tabletext"/>
              <w:jc w:val="center"/>
              <w:cnfStyle w:val="000000100000" w:firstRow="0" w:lastRow="0" w:firstColumn="0" w:lastColumn="0" w:oddVBand="0" w:evenVBand="0" w:oddHBand="1" w:evenHBand="0" w:firstRowFirstColumn="0" w:firstRowLastColumn="0" w:lastRowFirstColumn="0" w:lastRowLastColumn="0"/>
            </w:pPr>
            <w:r w:rsidRPr="00652C95">
              <w:t>26</w:t>
            </w:r>
          </w:p>
        </w:tc>
        <w:tc>
          <w:tcPr>
            <w:tcW w:w="473" w:type="pct"/>
            <w:vAlign w:val="center"/>
          </w:tcPr>
          <w:p w14:paraId="0ECCC4C0" w14:textId="77777777" w:rsidR="00804612" w:rsidRPr="00652C95" w:rsidRDefault="00804612" w:rsidP="002234D3">
            <w:pPr>
              <w:pStyle w:val="Tabletext"/>
              <w:jc w:val="center"/>
              <w:cnfStyle w:val="000000100000" w:firstRow="0" w:lastRow="0" w:firstColumn="0" w:lastColumn="0" w:oddVBand="0" w:evenVBand="0" w:oddHBand="1" w:evenHBand="0" w:firstRowFirstColumn="0" w:firstRowLastColumn="0" w:lastRowFirstColumn="0" w:lastRowLastColumn="0"/>
            </w:pPr>
            <w:r w:rsidRPr="00652C95">
              <w:t>(6.7)</w:t>
            </w:r>
          </w:p>
        </w:tc>
        <w:tc>
          <w:tcPr>
            <w:tcW w:w="877" w:type="pct"/>
            <w:vAlign w:val="center"/>
          </w:tcPr>
          <w:p w14:paraId="60A4C02E" w14:textId="77777777" w:rsidR="00804612" w:rsidRPr="00652C95" w:rsidRDefault="00804612" w:rsidP="00CD24BA">
            <w:pPr>
              <w:pStyle w:val="Tabletext"/>
              <w:jc w:val="center"/>
              <w:cnfStyle w:val="000000100000" w:firstRow="0" w:lastRow="0" w:firstColumn="0" w:lastColumn="0" w:oddVBand="0" w:evenVBand="0" w:oddHBand="1" w:evenHBand="0" w:firstRowFirstColumn="0" w:firstRowLastColumn="0" w:lastRowFirstColumn="0" w:lastRowLastColumn="0"/>
            </w:pPr>
            <w:r w:rsidRPr="00652C95">
              <w:t>2.68 (1.79, 3.99)</w:t>
            </w:r>
          </w:p>
        </w:tc>
        <w:tc>
          <w:tcPr>
            <w:tcW w:w="823" w:type="pct"/>
            <w:vAlign w:val="center"/>
          </w:tcPr>
          <w:p w14:paraId="2B6D9B06" w14:textId="77777777" w:rsidR="00804612" w:rsidRPr="00652C95" w:rsidRDefault="00804612" w:rsidP="00CD24BA">
            <w:pPr>
              <w:pStyle w:val="Tabletext"/>
              <w:jc w:val="center"/>
              <w:cnfStyle w:val="000000100000" w:firstRow="0" w:lastRow="0" w:firstColumn="0" w:lastColumn="0" w:oddVBand="0" w:evenVBand="0" w:oddHBand="1" w:evenHBand="0" w:firstRowFirstColumn="0" w:firstRowLastColumn="0" w:lastRowFirstColumn="0" w:lastRowLastColumn="0"/>
            </w:pPr>
            <w:r w:rsidRPr="00652C95">
              <w:t>0.11 (0.08, 0.15)</w:t>
            </w:r>
          </w:p>
        </w:tc>
      </w:tr>
      <w:tr w:rsidR="006919A9" w:rsidRPr="00652C95" w14:paraId="5ECB5C41" w14:textId="77777777" w:rsidTr="00317929">
        <w:trPr>
          <w:trHeight w:val="20"/>
        </w:trPr>
        <w:tc>
          <w:tcPr>
            <w:cnfStyle w:val="001000000000" w:firstRow="0" w:lastRow="0" w:firstColumn="1" w:lastColumn="0" w:oddVBand="0" w:evenVBand="0" w:oddHBand="0" w:evenHBand="0" w:firstRowFirstColumn="0" w:firstRowLastColumn="0" w:lastRowFirstColumn="0" w:lastRowLastColumn="0"/>
            <w:tcW w:w="1650" w:type="pct"/>
            <w:vAlign w:val="center"/>
          </w:tcPr>
          <w:p w14:paraId="21F33109" w14:textId="77777777" w:rsidR="00804612" w:rsidRPr="00652C95" w:rsidRDefault="00804612" w:rsidP="002234D3">
            <w:pPr>
              <w:pStyle w:val="Tabletext"/>
              <w:rPr>
                <w:b w:val="0"/>
              </w:rPr>
            </w:pPr>
            <w:r w:rsidRPr="00652C95">
              <w:rPr>
                <w:b w:val="0"/>
              </w:rPr>
              <w:t xml:space="preserve">discontinued any chemotherapy </w:t>
            </w:r>
          </w:p>
        </w:tc>
        <w:tc>
          <w:tcPr>
            <w:tcW w:w="472" w:type="pct"/>
            <w:vAlign w:val="center"/>
          </w:tcPr>
          <w:p w14:paraId="09ACE969" w14:textId="77777777" w:rsidR="00804612" w:rsidRPr="00652C95" w:rsidRDefault="00804612" w:rsidP="002234D3">
            <w:pPr>
              <w:pStyle w:val="Tabletext"/>
              <w:jc w:val="center"/>
              <w:cnfStyle w:val="000000000000" w:firstRow="0" w:lastRow="0" w:firstColumn="0" w:lastColumn="0" w:oddVBand="0" w:evenVBand="0" w:oddHBand="0" w:evenHBand="0" w:firstRowFirstColumn="0" w:firstRowLastColumn="0" w:lastRowFirstColumn="0" w:lastRowLastColumn="0"/>
            </w:pPr>
            <w:r w:rsidRPr="00652C95">
              <w:t>227</w:t>
            </w:r>
          </w:p>
        </w:tc>
        <w:tc>
          <w:tcPr>
            <w:tcW w:w="391" w:type="pct"/>
            <w:vAlign w:val="center"/>
          </w:tcPr>
          <w:p w14:paraId="49830B07" w14:textId="77777777" w:rsidR="00804612" w:rsidRPr="00652C95" w:rsidRDefault="00804612" w:rsidP="002234D3">
            <w:pPr>
              <w:pStyle w:val="Tabletext"/>
              <w:jc w:val="center"/>
              <w:cnfStyle w:val="000000000000" w:firstRow="0" w:lastRow="0" w:firstColumn="0" w:lastColumn="0" w:oddVBand="0" w:evenVBand="0" w:oddHBand="0" w:evenHBand="0" w:firstRowFirstColumn="0" w:firstRowLastColumn="0" w:lastRowFirstColumn="0" w:lastRowLastColumn="0"/>
            </w:pPr>
            <w:r w:rsidRPr="00652C95">
              <w:t>(29.0)</w:t>
            </w:r>
          </w:p>
        </w:tc>
        <w:tc>
          <w:tcPr>
            <w:tcW w:w="314" w:type="pct"/>
            <w:vAlign w:val="center"/>
          </w:tcPr>
          <w:p w14:paraId="434AF9FD" w14:textId="77777777" w:rsidR="00804612" w:rsidRPr="00652C95" w:rsidRDefault="00804612" w:rsidP="002234D3">
            <w:pPr>
              <w:pStyle w:val="Tabletext"/>
              <w:jc w:val="center"/>
              <w:cnfStyle w:val="000000000000" w:firstRow="0" w:lastRow="0" w:firstColumn="0" w:lastColumn="0" w:oddVBand="0" w:evenVBand="0" w:oddHBand="0" w:evenHBand="0" w:firstRowFirstColumn="0" w:firstRowLastColumn="0" w:lastRowFirstColumn="0" w:lastRowLastColumn="0"/>
            </w:pPr>
            <w:r w:rsidRPr="00652C95">
              <w:t>58</w:t>
            </w:r>
          </w:p>
        </w:tc>
        <w:tc>
          <w:tcPr>
            <w:tcW w:w="473" w:type="pct"/>
            <w:vAlign w:val="center"/>
          </w:tcPr>
          <w:p w14:paraId="2E652EB6" w14:textId="77777777" w:rsidR="00804612" w:rsidRPr="00652C95" w:rsidRDefault="00804612" w:rsidP="002234D3">
            <w:pPr>
              <w:pStyle w:val="Tabletext"/>
              <w:jc w:val="center"/>
              <w:cnfStyle w:val="000000000000" w:firstRow="0" w:lastRow="0" w:firstColumn="0" w:lastColumn="0" w:oddVBand="0" w:evenVBand="0" w:oddHBand="0" w:evenHBand="0" w:firstRowFirstColumn="0" w:firstRowLastColumn="0" w:lastRowFirstColumn="0" w:lastRowLastColumn="0"/>
            </w:pPr>
            <w:r w:rsidRPr="00652C95">
              <w:t>(14.9)</w:t>
            </w:r>
          </w:p>
        </w:tc>
        <w:tc>
          <w:tcPr>
            <w:tcW w:w="877" w:type="pct"/>
            <w:vAlign w:val="center"/>
          </w:tcPr>
          <w:p w14:paraId="7ABDC0C0" w14:textId="77777777" w:rsidR="00804612" w:rsidRPr="00652C95" w:rsidRDefault="00804612" w:rsidP="00CD24BA">
            <w:pPr>
              <w:pStyle w:val="Tabletext"/>
              <w:jc w:val="center"/>
              <w:cnfStyle w:val="000000000000" w:firstRow="0" w:lastRow="0" w:firstColumn="0" w:lastColumn="0" w:oddVBand="0" w:evenVBand="0" w:oddHBand="0" w:evenHBand="0" w:firstRowFirstColumn="0" w:firstRowLastColumn="0" w:lastRowFirstColumn="0" w:lastRowLastColumn="0"/>
            </w:pPr>
            <w:r w:rsidRPr="00652C95">
              <w:t>1.94 (1.5, 2.53)</w:t>
            </w:r>
          </w:p>
        </w:tc>
        <w:tc>
          <w:tcPr>
            <w:tcW w:w="823" w:type="pct"/>
            <w:vAlign w:val="center"/>
          </w:tcPr>
          <w:p w14:paraId="5C986E46" w14:textId="77777777" w:rsidR="00804612" w:rsidRPr="00652C95" w:rsidRDefault="00804612" w:rsidP="00CD24BA">
            <w:pPr>
              <w:pStyle w:val="Tabletext"/>
              <w:jc w:val="center"/>
              <w:cnfStyle w:val="000000000000" w:firstRow="0" w:lastRow="0" w:firstColumn="0" w:lastColumn="0" w:oddVBand="0" w:evenVBand="0" w:oddHBand="0" w:evenHBand="0" w:firstRowFirstColumn="0" w:firstRowLastColumn="0" w:lastRowFirstColumn="0" w:lastRowLastColumn="0"/>
            </w:pPr>
            <w:r w:rsidRPr="00652C95">
              <w:t>0.14 (0.09, 0.19)</w:t>
            </w:r>
          </w:p>
        </w:tc>
      </w:tr>
      <w:tr w:rsidR="006919A9" w:rsidRPr="00652C95" w14:paraId="506958E6" w14:textId="77777777" w:rsidTr="0031792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50" w:type="pct"/>
            <w:vAlign w:val="center"/>
          </w:tcPr>
          <w:p w14:paraId="3A9F07E0" w14:textId="77777777" w:rsidR="00804612" w:rsidRPr="00652C95" w:rsidRDefault="00804612" w:rsidP="002234D3">
            <w:pPr>
              <w:pStyle w:val="Tabletext"/>
              <w:rPr>
                <w:b w:val="0"/>
              </w:rPr>
            </w:pPr>
            <w:r w:rsidRPr="00652C95">
              <w:rPr>
                <w:b w:val="0"/>
              </w:rPr>
              <w:t>discontinued any drug due to a serious drug-related adverse event</w:t>
            </w:r>
          </w:p>
        </w:tc>
        <w:tc>
          <w:tcPr>
            <w:tcW w:w="472" w:type="pct"/>
            <w:vAlign w:val="center"/>
          </w:tcPr>
          <w:p w14:paraId="01FDE330" w14:textId="77777777" w:rsidR="00804612" w:rsidRPr="00652C95" w:rsidRDefault="00804612" w:rsidP="002234D3">
            <w:pPr>
              <w:pStyle w:val="Tabletext"/>
              <w:jc w:val="center"/>
              <w:cnfStyle w:val="000000100000" w:firstRow="0" w:lastRow="0" w:firstColumn="0" w:lastColumn="0" w:oddVBand="0" w:evenVBand="0" w:oddHBand="1" w:evenHBand="0" w:firstRowFirstColumn="0" w:firstRowLastColumn="0" w:lastRowFirstColumn="0" w:lastRowLastColumn="0"/>
            </w:pPr>
            <w:r w:rsidRPr="00652C95">
              <w:t>84</w:t>
            </w:r>
          </w:p>
        </w:tc>
        <w:tc>
          <w:tcPr>
            <w:tcW w:w="391" w:type="pct"/>
            <w:vAlign w:val="center"/>
          </w:tcPr>
          <w:p w14:paraId="04014E81" w14:textId="77777777" w:rsidR="00804612" w:rsidRPr="00652C95" w:rsidRDefault="00804612" w:rsidP="002234D3">
            <w:pPr>
              <w:pStyle w:val="Tabletext"/>
              <w:jc w:val="center"/>
              <w:cnfStyle w:val="000000100000" w:firstRow="0" w:lastRow="0" w:firstColumn="0" w:lastColumn="0" w:oddVBand="0" w:evenVBand="0" w:oddHBand="1" w:evenHBand="0" w:firstRowFirstColumn="0" w:firstRowLastColumn="0" w:lastRowFirstColumn="0" w:lastRowLastColumn="0"/>
            </w:pPr>
            <w:r w:rsidRPr="00652C95">
              <w:t>(10.7)</w:t>
            </w:r>
          </w:p>
        </w:tc>
        <w:tc>
          <w:tcPr>
            <w:tcW w:w="314" w:type="pct"/>
            <w:vAlign w:val="center"/>
          </w:tcPr>
          <w:p w14:paraId="412D68D5" w14:textId="77777777" w:rsidR="00804612" w:rsidRPr="00652C95" w:rsidRDefault="00804612" w:rsidP="002234D3">
            <w:pPr>
              <w:pStyle w:val="Tabletext"/>
              <w:jc w:val="center"/>
              <w:cnfStyle w:val="000000100000" w:firstRow="0" w:lastRow="0" w:firstColumn="0" w:lastColumn="0" w:oddVBand="0" w:evenVBand="0" w:oddHBand="1" w:evenHBand="0" w:firstRowFirstColumn="0" w:firstRowLastColumn="0" w:lastRowFirstColumn="0" w:lastRowLastColumn="0"/>
            </w:pPr>
            <w:r w:rsidRPr="00652C95">
              <w:t>11</w:t>
            </w:r>
          </w:p>
        </w:tc>
        <w:tc>
          <w:tcPr>
            <w:tcW w:w="473" w:type="pct"/>
            <w:vAlign w:val="center"/>
          </w:tcPr>
          <w:p w14:paraId="061B862B" w14:textId="77777777" w:rsidR="00804612" w:rsidRPr="00652C95" w:rsidRDefault="00804612" w:rsidP="002234D3">
            <w:pPr>
              <w:pStyle w:val="Tabletext"/>
              <w:jc w:val="center"/>
              <w:cnfStyle w:val="000000100000" w:firstRow="0" w:lastRow="0" w:firstColumn="0" w:lastColumn="0" w:oddVBand="0" w:evenVBand="0" w:oddHBand="1" w:evenHBand="0" w:firstRowFirstColumn="0" w:firstRowLastColumn="0" w:lastRowFirstColumn="0" w:lastRowLastColumn="0"/>
            </w:pPr>
            <w:r w:rsidRPr="00652C95">
              <w:t>(2.8)</w:t>
            </w:r>
          </w:p>
        </w:tc>
        <w:tc>
          <w:tcPr>
            <w:tcW w:w="877" w:type="pct"/>
            <w:vAlign w:val="center"/>
          </w:tcPr>
          <w:p w14:paraId="68F6DF28" w14:textId="77777777" w:rsidR="00804612" w:rsidRPr="00652C95" w:rsidRDefault="00804612" w:rsidP="00CD24BA">
            <w:pPr>
              <w:pStyle w:val="Tabletext"/>
              <w:jc w:val="center"/>
              <w:cnfStyle w:val="000000100000" w:firstRow="0" w:lastRow="0" w:firstColumn="0" w:lastColumn="0" w:oddVBand="0" w:evenVBand="0" w:oddHBand="1" w:evenHBand="0" w:firstRowFirstColumn="0" w:firstRowLastColumn="0" w:lastRowFirstColumn="0" w:lastRowLastColumn="0"/>
            </w:pPr>
            <w:r w:rsidRPr="00652C95">
              <w:t>3.79 (2.05, 7.03)</w:t>
            </w:r>
          </w:p>
        </w:tc>
        <w:tc>
          <w:tcPr>
            <w:tcW w:w="823" w:type="pct"/>
            <w:vAlign w:val="center"/>
          </w:tcPr>
          <w:p w14:paraId="61DC02EE" w14:textId="77777777" w:rsidR="00804612" w:rsidRPr="00652C95" w:rsidRDefault="00804612" w:rsidP="00CD24BA">
            <w:pPr>
              <w:pStyle w:val="Tabletext"/>
              <w:jc w:val="center"/>
              <w:cnfStyle w:val="000000100000" w:firstRow="0" w:lastRow="0" w:firstColumn="0" w:lastColumn="0" w:oddVBand="0" w:evenVBand="0" w:oddHBand="1" w:evenHBand="0" w:firstRowFirstColumn="0" w:firstRowLastColumn="0" w:lastRowFirstColumn="0" w:lastRowLastColumn="0"/>
            </w:pPr>
            <w:r w:rsidRPr="00652C95">
              <w:t>0.08 (0.05, 0.11)</w:t>
            </w:r>
          </w:p>
        </w:tc>
      </w:tr>
      <w:tr w:rsidR="006919A9" w:rsidRPr="00652C95" w14:paraId="7FA9FEF7" w14:textId="77777777" w:rsidTr="00317929">
        <w:trPr>
          <w:trHeight w:val="20"/>
        </w:trPr>
        <w:tc>
          <w:tcPr>
            <w:cnfStyle w:val="001000000000" w:firstRow="0" w:lastRow="0" w:firstColumn="1" w:lastColumn="0" w:oddVBand="0" w:evenVBand="0" w:oddHBand="0" w:evenHBand="0" w:firstRowFirstColumn="0" w:firstRowLastColumn="0" w:lastRowFirstColumn="0" w:lastRowLastColumn="0"/>
            <w:tcW w:w="1650" w:type="pct"/>
            <w:vAlign w:val="center"/>
          </w:tcPr>
          <w:p w14:paraId="748453BB" w14:textId="77777777" w:rsidR="00804612" w:rsidRPr="00652C95" w:rsidRDefault="00804612" w:rsidP="002234D3">
            <w:pPr>
              <w:pStyle w:val="Tabletext"/>
              <w:rPr>
                <w:b w:val="0"/>
              </w:rPr>
            </w:pPr>
            <w:r w:rsidRPr="00652C95">
              <w:rPr>
                <w:b w:val="0"/>
              </w:rPr>
              <w:t>discontinued pembrolizumab/ placebo</w:t>
            </w:r>
          </w:p>
        </w:tc>
        <w:tc>
          <w:tcPr>
            <w:tcW w:w="472" w:type="pct"/>
            <w:vAlign w:val="center"/>
          </w:tcPr>
          <w:p w14:paraId="138D2785" w14:textId="77777777" w:rsidR="00804612" w:rsidRPr="00652C95" w:rsidRDefault="00804612" w:rsidP="002234D3">
            <w:pPr>
              <w:pStyle w:val="Tabletext"/>
              <w:jc w:val="center"/>
              <w:cnfStyle w:val="000000000000" w:firstRow="0" w:lastRow="0" w:firstColumn="0" w:lastColumn="0" w:oddVBand="0" w:evenVBand="0" w:oddHBand="0" w:evenHBand="0" w:firstRowFirstColumn="0" w:firstRowLastColumn="0" w:lastRowFirstColumn="0" w:lastRowLastColumn="0"/>
            </w:pPr>
            <w:r w:rsidRPr="00652C95">
              <w:t>72</w:t>
            </w:r>
          </w:p>
        </w:tc>
        <w:tc>
          <w:tcPr>
            <w:tcW w:w="391" w:type="pct"/>
            <w:vAlign w:val="center"/>
          </w:tcPr>
          <w:p w14:paraId="2931D316" w14:textId="77777777" w:rsidR="00804612" w:rsidRPr="00652C95" w:rsidRDefault="00804612" w:rsidP="002234D3">
            <w:pPr>
              <w:pStyle w:val="Tabletext"/>
              <w:jc w:val="center"/>
              <w:cnfStyle w:val="000000000000" w:firstRow="0" w:lastRow="0" w:firstColumn="0" w:lastColumn="0" w:oddVBand="0" w:evenVBand="0" w:oddHBand="0" w:evenHBand="0" w:firstRowFirstColumn="0" w:firstRowLastColumn="0" w:lastRowFirstColumn="0" w:lastRowLastColumn="0"/>
            </w:pPr>
            <w:r w:rsidRPr="00652C95">
              <w:t>(9.2)</w:t>
            </w:r>
          </w:p>
        </w:tc>
        <w:tc>
          <w:tcPr>
            <w:tcW w:w="314" w:type="pct"/>
            <w:vAlign w:val="center"/>
          </w:tcPr>
          <w:p w14:paraId="777BCE8D" w14:textId="77777777" w:rsidR="00804612" w:rsidRPr="00652C95" w:rsidRDefault="00804612" w:rsidP="002234D3">
            <w:pPr>
              <w:pStyle w:val="Tabletext"/>
              <w:jc w:val="center"/>
              <w:cnfStyle w:val="000000000000" w:firstRow="0" w:lastRow="0" w:firstColumn="0" w:lastColumn="0" w:oddVBand="0" w:evenVBand="0" w:oddHBand="0" w:evenHBand="0" w:firstRowFirstColumn="0" w:firstRowLastColumn="0" w:lastRowFirstColumn="0" w:lastRowLastColumn="0"/>
            </w:pPr>
            <w:r w:rsidRPr="00652C95">
              <w:t>10</w:t>
            </w:r>
          </w:p>
        </w:tc>
        <w:tc>
          <w:tcPr>
            <w:tcW w:w="473" w:type="pct"/>
            <w:vAlign w:val="center"/>
          </w:tcPr>
          <w:p w14:paraId="63AFF613" w14:textId="77777777" w:rsidR="00804612" w:rsidRPr="00652C95" w:rsidRDefault="00804612" w:rsidP="002234D3">
            <w:pPr>
              <w:pStyle w:val="Tabletext"/>
              <w:jc w:val="center"/>
              <w:cnfStyle w:val="000000000000" w:firstRow="0" w:lastRow="0" w:firstColumn="0" w:lastColumn="0" w:oddVBand="0" w:evenVBand="0" w:oddHBand="0" w:evenHBand="0" w:firstRowFirstColumn="0" w:firstRowLastColumn="0" w:lastRowFirstColumn="0" w:lastRowLastColumn="0"/>
            </w:pPr>
            <w:r w:rsidRPr="00652C95">
              <w:t>(2.6)</w:t>
            </w:r>
          </w:p>
        </w:tc>
        <w:tc>
          <w:tcPr>
            <w:tcW w:w="877" w:type="pct"/>
            <w:vAlign w:val="center"/>
          </w:tcPr>
          <w:p w14:paraId="708024AB" w14:textId="77777777" w:rsidR="00804612" w:rsidRPr="00652C95" w:rsidRDefault="00804612" w:rsidP="00CD24BA">
            <w:pPr>
              <w:pStyle w:val="Tabletext"/>
              <w:jc w:val="center"/>
              <w:cnfStyle w:val="000000000000" w:firstRow="0" w:lastRow="0" w:firstColumn="0" w:lastColumn="0" w:oddVBand="0" w:evenVBand="0" w:oddHBand="0" w:evenHBand="0" w:firstRowFirstColumn="0" w:firstRowLastColumn="0" w:lastRowFirstColumn="0" w:lastRowLastColumn="0"/>
            </w:pPr>
            <w:r w:rsidRPr="00652C95">
              <w:t>3.58 (1.87, 6.85)</w:t>
            </w:r>
          </w:p>
        </w:tc>
        <w:tc>
          <w:tcPr>
            <w:tcW w:w="823" w:type="pct"/>
            <w:vAlign w:val="center"/>
          </w:tcPr>
          <w:p w14:paraId="7F0BB84B" w14:textId="77777777" w:rsidR="00804612" w:rsidRPr="00652C95" w:rsidRDefault="00804612" w:rsidP="00CD24BA">
            <w:pPr>
              <w:pStyle w:val="Tabletext"/>
              <w:jc w:val="center"/>
              <w:cnfStyle w:val="000000000000" w:firstRow="0" w:lastRow="0" w:firstColumn="0" w:lastColumn="0" w:oddVBand="0" w:evenVBand="0" w:oddHBand="0" w:evenHBand="0" w:firstRowFirstColumn="0" w:firstRowLastColumn="0" w:lastRowFirstColumn="0" w:lastRowLastColumn="0"/>
            </w:pPr>
            <w:r w:rsidRPr="00652C95">
              <w:t>0.07 (0.04, 0.09)</w:t>
            </w:r>
          </w:p>
        </w:tc>
      </w:tr>
      <w:tr w:rsidR="006919A9" w:rsidRPr="00652C95" w14:paraId="55604B59" w14:textId="77777777" w:rsidTr="0031792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50" w:type="pct"/>
            <w:vAlign w:val="center"/>
          </w:tcPr>
          <w:p w14:paraId="37A75553" w14:textId="77777777" w:rsidR="00804612" w:rsidRPr="00652C95" w:rsidRDefault="00804612" w:rsidP="002234D3">
            <w:pPr>
              <w:pStyle w:val="Tabletext"/>
              <w:rPr>
                <w:b w:val="0"/>
              </w:rPr>
            </w:pPr>
            <w:r w:rsidRPr="00652C95">
              <w:rPr>
                <w:b w:val="0"/>
              </w:rPr>
              <w:t xml:space="preserve">discontinued any chemotherapy </w:t>
            </w:r>
          </w:p>
        </w:tc>
        <w:tc>
          <w:tcPr>
            <w:tcW w:w="472" w:type="pct"/>
            <w:vAlign w:val="center"/>
          </w:tcPr>
          <w:p w14:paraId="298113EA" w14:textId="77777777" w:rsidR="00804612" w:rsidRPr="00652C95" w:rsidRDefault="00804612" w:rsidP="002234D3">
            <w:pPr>
              <w:pStyle w:val="Tabletext"/>
              <w:jc w:val="center"/>
              <w:cnfStyle w:val="000000100000" w:firstRow="0" w:lastRow="0" w:firstColumn="0" w:lastColumn="0" w:oddVBand="0" w:evenVBand="0" w:oddHBand="1" w:evenHBand="0" w:firstRowFirstColumn="0" w:firstRowLastColumn="0" w:lastRowFirstColumn="0" w:lastRowLastColumn="0"/>
            </w:pPr>
            <w:r w:rsidRPr="00652C95">
              <w:t>82</w:t>
            </w:r>
          </w:p>
        </w:tc>
        <w:tc>
          <w:tcPr>
            <w:tcW w:w="391" w:type="pct"/>
            <w:vAlign w:val="center"/>
          </w:tcPr>
          <w:p w14:paraId="57E5CBC7" w14:textId="77777777" w:rsidR="00804612" w:rsidRPr="00652C95" w:rsidRDefault="00804612" w:rsidP="002234D3">
            <w:pPr>
              <w:pStyle w:val="Tabletext"/>
              <w:jc w:val="center"/>
              <w:cnfStyle w:val="000000100000" w:firstRow="0" w:lastRow="0" w:firstColumn="0" w:lastColumn="0" w:oddVBand="0" w:evenVBand="0" w:oddHBand="1" w:evenHBand="0" w:firstRowFirstColumn="0" w:firstRowLastColumn="0" w:lastRowFirstColumn="0" w:lastRowLastColumn="0"/>
            </w:pPr>
            <w:r w:rsidRPr="00652C95">
              <w:t>(10.5)</w:t>
            </w:r>
          </w:p>
        </w:tc>
        <w:tc>
          <w:tcPr>
            <w:tcW w:w="314" w:type="pct"/>
            <w:vAlign w:val="center"/>
          </w:tcPr>
          <w:p w14:paraId="25C76DFB" w14:textId="77777777" w:rsidR="00804612" w:rsidRPr="00652C95" w:rsidRDefault="00804612" w:rsidP="002234D3">
            <w:pPr>
              <w:pStyle w:val="Tabletext"/>
              <w:jc w:val="center"/>
              <w:cnfStyle w:val="000000100000" w:firstRow="0" w:lastRow="0" w:firstColumn="0" w:lastColumn="0" w:oddVBand="0" w:evenVBand="0" w:oddHBand="1" w:evenHBand="0" w:firstRowFirstColumn="0" w:firstRowLastColumn="0" w:lastRowFirstColumn="0" w:lastRowLastColumn="0"/>
            </w:pPr>
            <w:r w:rsidRPr="00652C95">
              <w:t>11</w:t>
            </w:r>
          </w:p>
        </w:tc>
        <w:tc>
          <w:tcPr>
            <w:tcW w:w="473" w:type="pct"/>
            <w:vAlign w:val="center"/>
          </w:tcPr>
          <w:p w14:paraId="6ED3041B" w14:textId="77777777" w:rsidR="00804612" w:rsidRPr="00652C95" w:rsidRDefault="00804612" w:rsidP="002234D3">
            <w:pPr>
              <w:pStyle w:val="Tabletext"/>
              <w:jc w:val="center"/>
              <w:cnfStyle w:val="000000100000" w:firstRow="0" w:lastRow="0" w:firstColumn="0" w:lastColumn="0" w:oddVBand="0" w:evenVBand="0" w:oddHBand="1" w:evenHBand="0" w:firstRowFirstColumn="0" w:firstRowLastColumn="0" w:lastRowFirstColumn="0" w:lastRowLastColumn="0"/>
            </w:pPr>
            <w:r w:rsidRPr="00652C95">
              <w:t>(2.8)</w:t>
            </w:r>
          </w:p>
        </w:tc>
        <w:tc>
          <w:tcPr>
            <w:tcW w:w="877" w:type="pct"/>
            <w:vAlign w:val="center"/>
          </w:tcPr>
          <w:p w14:paraId="30517C6A" w14:textId="77777777" w:rsidR="00804612" w:rsidRPr="00652C95" w:rsidRDefault="00804612" w:rsidP="00CD24BA">
            <w:pPr>
              <w:pStyle w:val="Tabletext"/>
              <w:jc w:val="center"/>
              <w:cnfStyle w:val="000000100000" w:firstRow="0" w:lastRow="0" w:firstColumn="0" w:lastColumn="0" w:oddVBand="0" w:evenVBand="0" w:oddHBand="1" w:evenHBand="0" w:firstRowFirstColumn="0" w:firstRowLastColumn="0" w:lastRowFirstColumn="0" w:lastRowLastColumn="0"/>
            </w:pPr>
            <w:r w:rsidRPr="00652C95">
              <w:t>3.7 (2, 6.87)</w:t>
            </w:r>
          </w:p>
        </w:tc>
        <w:tc>
          <w:tcPr>
            <w:tcW w:w="823" w:type="pct"/>
            <w:vAlign w:val="center"/>
          </w:tcPr>
          <w:p w14:paraId="411ECB0B" w14:textId="77777777" w:rsidR="00804612" w:rsidRPr="00652C95" w:rsidRDefault="00804612" w:rsidP="00CD24BA">
            <w:pPr>
              <w:pStyle w:val="Tabletext"/>
              <w:jc w:val="center"/>
              <w:cnfStyle w:val="000000100000" w:firstRow="0" w:lastRow="0" w:firstColumn="0" w:lastColumn="0" w:oddVBand="0" w:evenVBand="0" w:oddHBand="1" w:evenHBand="0" w:firstRowFirstColumn="0" w:firstRowLastColumn="0" w:lastRowFirstColumn="0" w:lastRowLastColumn="0"/>
            </w:pPr>
            <w:r w:rsidRPr="00652C95">
              <w:t>0.08 (0.05, 0.1)</w:t>
            </w:r>
          </w:p>
        </w:tc>
      </w:tr>
    </w:tbl>
    <w:p w14:paraId="704B68E7" w14:textId="77777777" w:rsidR="00317929" w:rsidRPr="006919A9" w:rsidRDefault="00317929" w:rsidP="00317929">
      <w:pPr>
        <w:pStyle w:val="FooterTableFigure"/>
      </w:pPr>
      <w:r w:rsidRPr="006919A9">
        <w:t>Source: Table 2.5-13, p59 of the submission.</w:t>
      </w:r>
    </w:p>
    <w:p w14:paraId="6A3773D0" w14:textId="54167BEF" w:rsidR="00804612" w:rsidRPr="006919A9" w:rsidRDefault="00804612" w:rsidP="00804612">
      <w:pPr>
        <w:pStyle w:val="FooterTableFigure"/>
      </w:pPr>
      <w:r w:rsidRPr="006919A9">
        <w:t>ASaT = all subject as treated, defined as all patients who had at least one dose of treatment</w:t>
      </w:r>
      <w:r w:rsidR="00161719" w:rsidRPr="006919A9">
        <w:t>; Chemo = chemotherapy</w:t>
      </w:r>
    </w:p>
    <w:p w14:paraId="23AC2395" w14:textId="596E0152" w:rsidR="00804612" w:rsidRPr="00652C95" w:rsidRDefault="00804612" w:rsidP="00804612">
      <w:pPr>
        <w:pStyle w:val="3-BodyText"/>
      </w:pPr>
      <w:r w:rsidRPr="00652C95">
        <w:t xml:space="preserve">There was a higher rate of toxicity grade 3 to 5 adverse events in the pembrolizumab </w:t>
      </w:r>
      <w:r w:rsidR="00317929">
        <w:t>+</w:t>
      </w:r>
      <w:r w:rsidR="00317929" w:rsidRPr="00652C95">
        <w:t xml:space="preserve"> </w:t>
      </w:r>
      <w:r w:rsidR="00161719" w:rsidRPr="00652C95">
        <w:t>chemotherapy</w:t>
      </w:r>
      <w:r w:rsidR="00421AF8" w:rsidRPr="00652C95">
        <w:t xml:space="preserve"> </w:t>
      </w:r>
      <w:r w:rsidRPr="00652C95">
        <w:t>arm (82.4% versus 78.7%) as well as a higher rate of serious drug related adverse events (34.1% versus 20.1%), and a higher proportion of patients discontinued pembrolizumab</w:t>
      </w:r>
      <w:r w:rsidR="00161719" w:rsidRPr="00652C95">
        <w:t xml:space="preserve"> </w:t>
      </w:r>
      <w:r w:rsidRPr="00652C95">
        <w:t xml:space="preserve">than placebo (17.9% versus 6.7%) indicating a generally inferior safety profile compared to </w:t>
      </w:r>
      <w:r w:rsidR="00161719" w:rsidRPr="00652C95">
        <w:t>placebo</w:t>
      </w:r>
      <w:r w:rsidRPr="00652C95">
        <w:t>.</w:t>
      </w:r>
    </w:p>
    <w:p w14:paraId="0482E1E7" w14:textId="02C951E6" w:rsidR="00804612" w:rsidRPr="006919A9" w:rsidRDefault="009652CA" w:rsidP="00804612">
      <w:pPr>
        <w:pStyle w:val="3-BodyText"/>
      </w:pPr>
      <w:r>
        <w:t>D</w:t>
      </w:r>
      <w:r w:rsidR="00804612" w:rsidRPr="006919A9">
        <w:t xml:space="preserve">eaths due to AEs during the combined phases occurred in seven patients (0.9%) in the pembrolizumab </w:t>
      </w:r>
      <w:r w:rsidR="00317929">
        <w:t>+</w:t>
      </w:r>
      <w:r w:rsidR="00317929" w:rsidRPr="006919A9">
        <w:t xml:space="preserve"> </w:t>
      </w:r>
      <w:r w:rsidR="00161719" w:rsidRPr="006919A9">
        <w:t xml:space="preserve">chemotherapy </w:t>
      </w:r>
      <w:r w:rsidR="00804612" w:rsidRPr="006919A9">
        <w:t>arm and one patient (0.3%) in the placebo</w:t>
      </w:r>
      <w:r w:rsidR="00161719" w:rsidRPr="006919A9">
        <w:t xml:space="preserve"> </w:t>
      </w:r>
      <w:r w:rsidR="00317929">
        <w:t>+</w:t>
      </w:r>
      <w:r w:rsidR="00317929" w:rsidRPr="006919A9">
        <w:t xml:space="preserve"> </w:t>
      </w:r>
      <w:r w:rsidR="00161719" w:rsidRPr="006919A9">
        <w:t>chemotherapy</w:t>
      </w:r>
      <w:r w:rsidR="00804612" w:rsidRPr="006919A9">
        <w:t xml:space="preserve"> arm. There were four deaths in the pembrolizumab</w:t>
      </w:r>
      <w:r w:rsidR="00161719" w:rsidRPr="006919A9">
        <w:t xml:space="preserve"> </w:t>
      </w:r>
      <w:r w:rsidR="00317929">
        <w:t>+</w:t>
      </w:r>
      <w:r w:rsidR="00317929" w:rsidRPr="006919A9">
        <w:t xml:space="preserve"> </w:t>
      </w:r>
      <w:r w:rsidR="00161719" w:rsidRPr="006919A9">
        <w:t>chemotherapy</w:t>
      </w:r>
      <w:r w:rsidR="00804612" w:rsidRPr="006919A9">
        <w:t xml:space="preserve"> arm which were considered drug related. Deaths due to AE in three patients were considered related to pembrolizumab (pneumonitis in one patient in the neoadjuvant phase, pulmonary embolism in one patient in the adjuvant phase, and autoimmune encephalitis in one patient in the adjuvant phase).</w:t>
      </w:r>
    </w:p>
    <w:p w14:paraId="407A1BCE" w14:textId="58F6F921" w:rsidR="00012FAE" w:rsidRPr="006919A9" w:rsidRDefault="00BC3802" w:rsidP="00804612">
      <w:pPr>
        <w:pStyle w:val="3-BodyText"/>
      </w:pPr>
      <w:r w:rsidRPr="006919A9">
        <w:fldChar w:fldCharType="begin" w:fldLock="1"/>
      </w:r>
      <w:r w:rsidRPr="006919A9">
        <w:instrText xml:space="preserve"> REF _Ref124193743 \h </w:instrText>
      </w:r>
      <w:r w:rsidRPr="006919A9">
        <w:fldChar w:fldCharType="separate"/>
      </w:r>
      <w:r w:rsidR="0067416F" w:rsidRPr="006919A9">
        <w:t xml:space="preserve">Table </w:t>
      </w:r>
      <w:r w:rsidR="0067416F">
        <w:rPr>
          <w:noProof/>
        </w:rPr>
        <w:t>8</w:t>
      </w:r>
      <w:r w:rsidRPr="006919A9">
        <w:fldChar w:fldCharType="end"/>
      </w:r>
      <w:r w:rsidR="00012FAE" w:rsidRPr="006919A9">
        <w:t xml:space="preserve"> presents the </w:t>
      </w:r>
      <w:r w:rsidRPr="006919A9">
        <w:t xml:space="preserve">incidence of selected </w:t>
      </w:r>
      <w:r w:rsidR="00012FAE" w:rsidRPr="006919A9">
        <w:t>adverse events of special interest in KN</w:t>
      </w:r>
      <w:r w:rsidR="00CE22DC">
        <w:noBreakHyphen/>
      </w:r>
      <w:r w:rsidR="00012FAE" w:rsidRPr="006919A9">
        <w:t>522.</w:t>
      </w:r>
    </w:p>
    <w:p w14:paraId="1F882248" w14:textId="680EA81C" w:rsidR="00012FAE" w:rsidRPr="006919A9" w:rsidRDefault="00BC3802" w:rsidP="00652C95">
      <w:pPr>
        <w:pStyle w:val="Caption"/>
        <w:rPr>
          <w:b w:val="0"/>
          <w:bCs w:val="0"/>
          <w:szCs w:val="20"/>
        </w:rPr>
      </w:pPr>
      <w:bookmarkStart w:id="35" w:name="_Ref124193743"/>
      <w:r w:rsidRPr="006919A9">
        <w:lastRenderedPageBreak/>
        <w:t xml:space="preserve">Table </w:t>
      </w:r>
      <w:fldSimple w:instr=" SEQ Table \* ARABIC " w:fldLock="1">
        <w:r w:rsidR="0067416F">
          <w:rPr>
            <w:noProof/>
          </w:rPr>
          <w:t>8</w:t>
        </w:r>
      </w:fldSimple>
      <w:bookmarkEnd w:id="35"/>
      <w:r w:rsidRPr="006919A9">
        <w:t xml:space="preserve">: </w:t>
      </w:r>
      <w:r w:rsidR="00012FAE" w:rsidRPr="006919A9">
        <w:rPr>
          <w:szCs w:val="20"/>
        </w:rPr>
        <w:t xml:space="preserve">Selected adverse events of special interest in KN-522 </w:t>
      </w:r>
    </w:p>
    <w:tbl>
      <w:tblPr>
        <w:tblStyle w:val="PlainTable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5"/>
        <w:gridCol w:w="849"/>
        <w:gridCol w:w="709"/>
        <w:gridCol w:w="709"/>
        <w:gridCol w:w="711"/>
        <w:gridCol w:w="1843"/>
        <w:gridCol w:w="1791"/>
      </w:tblGrid>
      <w:tr w:rsidR="00AA43F3" w:rsidRPr="00652C95" w14:paraId="0EAC075F" w14:textId="77777777" w:rsidTr="00945C93">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34" w:type="pct"/>
            <w:vMerge w:val="restart"/>
            <w:vAlign w:val="center"/>
          </w:tcPr>
          <w:p w14:paraId="4497EA70" w14:textId="77777777" w:rsidR="00AA43F3" w:rsidRPr="00652C95" w:rsidRDefault="00AA43F3" w:rsidP="00652C95">
            <w:pPr>
              <w:pStyle w:val="Tabletext"/>
              <w:keepNext/>
              <w:keepLines/>
            </w:pPr>
          </w:p>
        </w:tc>
        <w:tc>
          <w:tcPr>
            <w:tcW w:w="864" w:type="pct"/>
            <w:gridSpan w:val="2"/>
            <w:vAlign w:val="center"/>
          </w:tcPr>
          <w:p w14:paraId="1309B311" w14:textId="77777777" w:rsidR="00AA43F3" w:rsidRPr="00652C95" w:rsidRDefault="00AA43F3" w:rsidP="00652C95">
            <w:pPr>
              <w:pStyle w:val="Tabletext"/>
              <w:keepNext/>
              <w:keepLines/>
              <w:jc w:val="center"/>
              <w:cnfStyle w:val="100000000000" w:firstRow="1" w:lastRow="0" w:firstColumn="0" w:lastColumn="0" w:oddVBand="0" w:evenVBand="0" w:oddHBand="0" w:evenHBand="0" w:firstRowFirstColumn="0" w:firstRowLastColumn="0" w:lastRowFirstColumn="0" w:lastRowLastColumn="0"/>
            </w:pPr>
            <w:r w:rsidRPr="00652C95">
              <w:t>Pembrolizumab + chemo</w:t>
            </w:r>
          </w:p>
        </w:tc>
        <w:tc>
          <w:tcPr>
            <w:tcW w:w="787" w:type="pct"/>
            <w:gridSpan w:val="2"/>
            <w:vAlign w:val="center"/>
          </w:tcPr>
          <w:p w14:paraId="7627479F" w14:textId="77777777" w:rsidR="00AA43F3" w:rsidRPr="00652C95" w:rsidRDefault="00AA43F3" w:rsidP="00652C95">
            <w:pPr>
              <w:pStyle w:val="Tabletext"/>
              <w:keepNext/>
              <w:keepLines/>
              <w:jc w:val="center"/>
              <w:cnfStyle w:val="100000000000" w:firstRow="1" w:lastRow="0" w:firstColumn="0" w:lastColumn="0" w:oddVBand="0" w:evenVBand="0" w:oddHBand="0" w:evenHBand="0" w:firstRowFirstColumn="0" w:firstRowLastColumn="0" w:lastRowFirstColumn="0" w:lastRowLastColumn="0"/>
            </w:pPr>
            <w:r w:rsidRPr="00652C95">
              <w:t>Placebo + chemo</w:t>
            </w:r>
          </w:p>
        </w:tc>
        <w:tc>
          <w:tcPr>
            <w:tcW w:w="1022" w:type="pct"/>
            <w:vMerge w:val="restart"/>
          </w:tcPr>
          <w:p w14:paraId="5BF3A4A8" w14:textId="77777777" w:rsidR="00AA43F3" w:rsidRPr="00652C95" w:rsidRDefault="00AA43F3" w:rsidP="00652C95">
            <w:pPr>
              <w:pStyle w:val="Tabletext"/>
              <w:keepNext/>
              <w:keepLines/>
              <w:jc w:val="center"/>
              <w:cnfStyle w:val="100000000000" w:firstRow="1" w:lastRow="0" w:firstColumn="0" w:lastColumn="0" w:oddVBand="0" w:evenVBand="0" w:oddHBand="0" w:evenHBand="0" w:firstRowFirstColumn="0" w:firstRowLastColumn="0" w:lastRowFirstColumn="0" w:lastRowLastColumn="0"/>
            </w:pPr>
            <w:r w:rsidRPr="00652C95">
              <w:t>RR (95% CI)</w:t>
            </w:r>
          </w:p>
        </w:tc>
        <w:tc>
          <w:tcPr>
            <w:tcW w:w="993" w:type="pct"/>
            <w:vMerge w:val="restart"/>
          </w:tcPr>
          <w:p w14:paraId="2D00B1A6" w14:textId="77777777" w:rsidR="00AA43F3" w:rsidRPr="00652C95" w:rsidRDefault="00AA43F3" w:rsidP="00652C95">
            <w:pPr>
              <w:pStyle w:val="Tabletext"/>
              <w:keepNext/>
              <w:keepLines/>
              <w:jc w:val="center"/>
              <w:cnfStyle w:val="100000000000" w:firstRow="1" w:lastRow="0" w:firstColumn="0" w:lastColumn="0" w:oddVBand="0" w:evenVBand="0" w:oddHBand="0" w:evenHBand="0" w:firstRowFirstColumn="0" w:firstRowLastColumn="0" w:lastRowFirstColumn="0" w:lastRowLastColumn="0"/>
            </w:pPr>
            <w:r w:rsidRPr="00652C95">
              <w:t>RD (95% CI)</w:t>
            </w:r>
          </w:p>
        </w:tc>
      </w:tr>
      <w:tr w:rsidR="00AA43F3" w:rsidRPr="00652C95" w14:paraId="0E362C17" w14:textId="77777777" w:rsidTr="00945C9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34" w:type="pct"/>
            <w:vMerge/>
            <w:vAlign w:val="center"/>
          </w:tcPr>
          <w:p w14:paraId="78A387B9" w14:textId="77777777" w:rsidR="00AA43F3" w:rsidRPr="00652C95" w:rsidRDefault="00AA43F3" w:rsidP="00652C95">
            <w:pPr>
              <w:pStyle w:val="Tabletext"/>
              <w:keepNext/>
              <w:keepLines/>
            </w:pPr>
          </w:p>
        </w:tc>
        <w:tc>
          <w:tcPr>
            <w:tcW w:w="471" w:type="pct"/>
            <w:vAlign w:val="center"/>
          </w:tcPr>
          <w:p w14:paraId="349AB799" w14:textId="77777777" w:rsidR="00AA43F3" w:rsidRPr="00652C95" w:rsidRDefault="00AA43F3" w:rsidP="00652C95">
            <w:pPr>
              <w:pStyle w:val="Tabletext"/>
              <w:keepNext/>
              <w:keepLines/>
              <w:jc w:val="center"/>
              <w:cnfStyle w:val="000000100000" w:firstRow="0" w:lastRow="0" w:firstColumn="0" w:lastColumn="0" w:oddVBand="0" w:evenVBand="0" w:oddHBand="1" w:evenHBand="0" w:firstRowFirstColumn="0" w:firstRowLastColumn="0" w:lastRowFirstColumn="0" w:lastRowLastColumn="0"/>
              <w:rPr>
                <w:b/>
                <w:bCs/>
              </w:rPr>
            </w:pPr>
            <w:r w:rsidRPr="00652C95">
              <w:rPr>
                <w:b/>
                <w:bCs/>
              </w:rPr>
              <w:t>N</w:t>
            </w:r>
          </w:p>
        </w:tc>
        <w:tc>
          <w:tcPr>
            <w:tcW w:w="393" w:type="pct"/>
            <w:vAlign w:val="center"/>
          </w:tcPr>
          <w:p w14:paraId="2E8237EF" w14:textId="77777777" w:rsidR="00AA43F3" w:rsidRPr="00652C95" w:rsidRDefault="00AA43F3" w:rsidP="00652C95">
            <w:pPr>
              <w:pStyle w:val="Tabletext"/>
              <w:keepNext/>
              <w:keepLines/>
              <w:jc w:val="center"/>
              <w:cnfStyle w:val="000000100000" w:firstRow="0" w:lastRow="0" w:firstColumn="0" w:lastColumn="0" w:oddVBand="0" w:evenVBand="0" w:oddHBand="1" w:evenHBand="0" w:firstRowFirstColumn="0" w:firstRowLastColumn="0" w:lastRowFirstColumn="0" w:lastRowLastColumn="0"/>
              <w:rPr>
                <w:b/>
                <w:bCs/>
              </w:rPr>
            </w:pPr>
            <w:r w:rsidRPr="00652C95">
              <w:rPr>
                <w:b/>
                <w:bCs/>
              </w:rPr>
              <w:t>(%)</w:t>
            </w:r>
          </w:p>
        </w:tc>
        <w:tc>
          <w:tcPr>
            <w:tcW w:w="393" w:type="pct"/>
            <w:vAlign w:val="center"/>
          </w:tcPr>
          <w:p w14:paraId="54A88D03" w14:textId="77777777" w:rsidR="00AA43F3" w:rsidRPr="00652C95" w:rsidRDefault="00AA43F3" w:rsidP="00652C95">
            <w:pPr>
              <w:pStyle w:val="Tabletext"/>
              <w:keepNext/>
              <w:keepLines/>
              <w:jc w:val="center"/>
              <w:cnfStyle w:val="000000100000" w:firstRow="0" w:lastRow="0" w:firstColumn="0" w:lastColumn="0" w:oddVBand="0" w:evenVBand="0" w:oddHBand="1" w:evenHBand="0" w:firstRowFirstColumn="0" w:firstRowLastColumn="0" w:lastRowFirstColumn="0" w:lastRowLastColumn="0"/>
              <w:rPr>
                <w:b/>
                <w:bCs/>
              </w:rPr>
            </w:pPr>
            <w:r w:rsidRPr="00652C95">
              <w:rPr>
                <w:b/>
                <w:bCs/>
              </w:rPr>
              <w:t>N</w:t>
            </w:r>
          </w:p>
        </w:tc>
        <w:tc>
          <w:tcPr>
            <w:tcW w:w="394" w:type="pct"/>
            <w:vAlign w:val="center"/>
          </w:tcPr>
          <w:p w14:paraId="613686FA" w14:textId="77777777" w:rsidR="00AA43F3" w:rsidRPr="00652C95" w:rsidRDefault="00AA43F3" w:rsidP="00652C95">
            <w:pPr>
              <w:pStyle w:val="Tabletext"/>
              <w:keepNext/>
              <w:keepLines/>
              <w:jc w:val="center"/>
              <w:cnfStyle w:val="000000100000" w:firstRow="0" w:lastRow="0" w:firstColumn="0" w:lastColumn="0" w:oddVBand="0" w:evenVBand="0" w:oddHBand="1" w:evenHBand="0" w:firstRowFirstColumn="0" w:firstRowLastColumn="0" w:lastRowFirstColumn="0" w:lastRowLastColumn="0"/>
              <w:rPr>
                <w:b/>
                <w:bCs/>
              </w:rPr>
            </w:pPr>
            <w:r w:rsidRPr="00652C95">
              <w:rPr>
                <w:b/>
                <w:bCs/>
              </w:rPr>
              <w:t>(%)</w:t>
            </w:r>
          </w:p>
        </w:tc>
        <w:tc>
          <w:tcPr>
            <w:tcW w:w="1022" w:type="pct"/>
            <w:vMerge/>
          </w:tcPr>
          <w:p w14:paraId="03E50B54" w14:textId="77777777" w:rsidR="00AA43F3" w:rsidRPr="00652C95" w:rsidRDefault="00AA43F3" w:rsidP="00652C95">
            <w:pPr>
              <w:pStyle w:val="Tabletext"/>
              <w:keepNext/>
              <w:keepLines/>
              <w:jc w:val="center"/>
              <w:cnfStyle w:val="000000100000" w:firstRow="0" w:lastRow="0" w:firstColumn="0" w:lastColumn="0" w:oddVBand="0" w:evenVBand="0" w:oddHBand="1" w:evenHBand="0" w:firstRowFirstColumn="0" w:firstRowLastColumn="0" w:lastRowFirstColumn="0" w:lastRowLastColumn="0"/>
              <w:rPr>
                <w:b/>
                <w:bCs/>
              </w:rPr>
            </w:pPr>
          </w:p>
        </w:tc>
        <w:tc>
          <w:tcPr>
            <w:tcW w:w="993" w:type="pct"/>
            <w:vMerge/>
          </w:tcPr>
          <w:p w14:paraId="04F03537" w14:textId="77777777" w:rsidR="00AA43F3" w:rsidRPr="00652C95" w:rsidRDefault="00AA43F3" w:rsidP="00652C95">
            <w:pPr>
              <w:pStyle w:val="Tabletext"/>
              <w:keepNext/>
              <w:keepLines/>
              <w:jc w:val="center"/>
              <w:cnfStyle w:val="000000100000" w:firstRow="0" w:lastRow="0" w:firstColumn="0" w:lastColumn="0" w:oddVBand="0" w:evenVBand="0" w:oddHBand="1" w:evenHBand="0" w:firstRowFirstColumn="0" w:firstRowLastColumn="0" w:lastRowFirstColumn="0" w:lastRowLastColumn="0"/>
              <w:rPr>
                <w:b/>
                <w:bCs/>
              </w:rPr>
            </w:pPr>
          </w:p>
        </w:tc>
      </w:tr>
      <w:tr w:rsidR="006919A9" w:rsidRPr="00652C95" w14:paraId="3E208B99" w14:textId="77777777" w:rsidTr="00945C93">
        <w:trPr>
          <w:trHeight w:val="20"/>
        </w:trPr>
        <w:tc>
          <w:tcPr>
            <w:cnfStyle w:val="001000000000" w:firstRow="0" w:lastRow="0" w:firstColumn="1" w:lastColumn="0" w:oddVBand="0" w:evenVBand="0" w:oddHBand="0" w:evenHBand="0" w:firstRowFirstColumn="0" w:firstRowLastColumn="0" w:lastRowFirstColumn="0" w:lastRowLastColumn="0"/>
            <w:tcW w:w="1334" w:type="pct"/>
            <w:vAlign w:val="center"/>
          </w:tcPr>
          <w:p w14:paraId="4F462F2B" w14:textId="77777777" w:rsidR="00012FAE" w:rsidRPr="00652C95" w:rsidRDefault="00012FAE" w:rsidP="00652C95">
            <w:pPr>
              <w:pStyle w:val="Tabletext"/>
              <w:keepNext/>
              <w:keepLines/>
            </w:pPr>
            <w:r w:rsidRPr="00652C95">
              <w:t xml:space="preserve">Subjects in Population </w:t>
            </w:r>
          </w:p>
        </w:tc>
        <w:tc>
          <w:tcPr>
            <w:tcW w:w="471" w:type="pct"/>
            <w:vAlign w:val="center"/>
          </w:tcPr>
          <w:p w14:paraId="528C6308" w14:textId="77777777" w:rsidR="00012FAE" w:rsidRPr="00652C95" w:rsidRDefault="00012FAE" w:rsidP="00652C95">
            <w:pPr>
              <w:pStyle w:val="Tabletext"/>
              <w:keepNext/>
              <w:keepLines/>
              <w:jc w:val="center"/>
              <w:cnfStyle w:val="000000000000" w:firstRow="0" w:lastRow="0" w:firstColumn="0" w:lastColumn="0" w:oddVBand="0" w:evenVBand="0" w:oddHBand="0" w:evenHBand="0" w:firstRowFirstColumn="0" w:firstRowLastColumn="0" w:lastRowFirstColumn="0" w:lastRowLastColumn="0"/>
              <w:rPr>
                <w:b/>
                <w:bCs/>
              </w:rPr>
            </w:pPr>
            <w:r w:rsidRPr="00652C95">
              <w:rPr>
                <w:b/>
                <w:bCs/>
              </w:rPr>
              <w:t>783</w:t>
            </w:r>
          </w:p>
        </w:tc>
        <w:tc>
          <w:tcPr>
            <w:tcW w:w="393" w:type="pct"/>
            <w:vAlign w:val="center"/>
          </w:tcPr>
          <w:p w14:paraId="6EBFFEA6" w14:textId="77777777" w:rsidR="00012FAE" w:rsidRPr="00652C95" w:rsidRDefault="00012FAE" w:rsidP="00652C95">
            <w:pPr>
              <w:pStyle w:val="Tabletext"/>
              <w:keepNext/>
              <w:keepLines/>
              <w:jc w:val="center"/>
              <w:cnfStyle w:val="000000000000" w:firstRow="0" w:lastRow="0" w:firstColumn="0" w:lastColumn="0" w:oddVBand="0" w:evenVBand="0" w:oddHBand="0" w:evenHBand="0" w:firstRowFirstColumn="0" w:firstRowLastColumn="0" w:lastRowFirstColumn="0" w:lastRowLastColumn="0"/>
              <w:rPr>
                <w:b/>
                <w:bCs/>
              </w:rPr>
            </w:pPr>
          </w:p>
        </w:tc>
        <w:tc>
          <w:tcPr>
            <w:tcW w:w="393" w:type="pct"/>
            <w:vAlign w:val="center"/>
          </w:tcPr>
          <w:p w14:paraId="569910DA" w14:textId="77777777" w:rsidR="00012FAE" w:rsidRPr="00652C95" w:rsidRDefault="00012FAE" w:rsidP="00652C95">
            <w:pPr>
              <w:pStyle w:val="Tabletext"/>
              <w:keepNext/>
              <w:keepLines/>
              <w:jc w:val="center"/>
              <w:cnfStyle w:val="000000000000" w:firstRow="0" w:lastRow="0" w:firstColumn="0" w:lastColumn="0" w:oddVBand="0" w:evenVBand="0" w:oddHBand="0" w:evenHBand="0" w:firstRowFirstColumn="0" w:firstRowLastColumn="0" w:lastRowFirstColumn="0" w:lastRowLastColumn="0"/>
              <w:rPr>
                <w:b/>
                <w:bCs/>
              </w:rPr>
            </w:pPr>
            <w:r w:rsidRPr="00652C95">
              <w:rPr>
                <w:b/>
                <w:bCs/>
              </w:rPr>
              <w:t>389</w:t>
            </w:r>
          </w:p>
        </w:tc>
        <w:tc>
          <w:tcPr>
            <w:tcW w:w="394" w:type="pct"/>
            <w:vAlign w:val="center"/>
          </w:tcPr>
          <w:p w14:paraId="4928606C" w14:textId="77777777" w:rsidR="00012FAE" w:rsidRPr="00652C95" w:rsidRDefault="00012FAE" w:rsidP="00652C95">
            <w:pPr>
              <w:pStyle w:val="Tabletext"/>
              <w:keepNext/>
              <w:keepLines/>
              <w:jc w:val="center"/>
              <w:cnfStyle w:val="000000000000" w:firstRow="0" w:lastRow="0" w:firstColumn="0" w:lastColumn="0" w:oddVBand="0" w:evenVBand="0" w:oddHBand="0" w:evenHBand="0" w:firstRowFirstColumn="0" w:firstRowLastColumn="0" w:lastRowFirstColumn="0" w:lastRowLastColumn="0"/>
            </w:pPr>
          </w:p>
        </w:tc>
        <w:tc>
          <w:tcPr>
            <w:tcW w:w="1022" w:type="pct"/>
          </w:tcPr>
          <w:p w14:paraId="2D07F849" w14:textId="77777777" w:rsidR="00012FAE" w:rsidRPr="00652C95" w:rsidRDefault="00012FAE" w:rsidP="00652C95">
            <w:pPr>
              <w:pStyle w:val="Tabletext"/>
              <w:keepNext/>
              <w:keepLines/>
              <w:jc w:val="center"/>
              <w:cnfStyle w:val="000000000000" w:firstRow="0" w:lastRow="0" w:firstColumn="0" w:lastColumn="0" w:oddVBand="0" w:evenVBand="0" w:oddHBand="0" w:evenHBand="0" w:firstRowFirstColumn="0" w:firstRowLastColumn="0" w:lastRowFirstColumn="0" w:lastRowLastColumn="0"/>
            </w:pPr>
          </w:p>
        </w:tc>
        <w:tc>
          <w:tcPr>
            <w:tcW w:w="993" w:type="pct"/>
          </w:tcPr>
          <w:p w14:paraId="25CCD553" w14:textId="77777777" w:rsidR="00012FAE" w:rsidRPr="00652C95" w:rsidRDefault="00012FAE" w:rsidP="00652C95">
            <w:pPr>
              <w:pStyle w:val="Tabletext"/>
              <w:keepNext/>
              <w:keepLines/>
              <w:jc w:val="center"/>
              <w:cnfStyle w:val="000000000000" w:firstRow="0" w:lastRow="0" w:firstColumn="0" w:lastColumn="0" w:oddVBand="0" w:evenVBand="0" w:oddHBand="0" w:evenHBand="0" w:firstRowFirstColumn="0" w:firstRowLastColumn="0" w:lastRowFirstColumn="0" w:lastRowLastColumn="0"/>
            </w:pPr>
          </w:p>
        </w:tc>
      </w:tr>
      <w:tr w:rsidR="006919A9" w:rsidRPr="00652C95" w14:paraId="5B3F387B" w14:textId="77777777" w:rsidTr="00945C9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34" w:type="pct"/>
            <w:vAlign w:val="center"/>
          </w:tcPr>
          <w:p w14:paraId="01983A23" w14:textId="77777777" w:rsidR="00012FAE" w:rsidRPr="00652C95" w:rsidRDefault="00012FAE" w:rsidP="00652C95">
            <w:pPr>
              <w:pStyle w:val="Tabletext"/>
              <w:keepNext/>
              <w:keepLines/>
              <w:rPr>
                <w:b w:val="0"/>
                <w:bCs w:val="0"/>
              </w:rPr>
            </w:pPr>
            <w:r w:rsidRPr="00652C95">
              <w:rPr>
                <w:b w:val="0"/>
                <w:bCs w:val="0"/>
              </w:rPr>
              <w:t>Any grade AEOSI</w:t>
            </w:r>
          </w:p>
        </w:tc>
        <w:tc>
          <w:tcPr>
            <w:tcW w:w="471" w:type="pct"/>
            <w:vAlign w:val="center"/>
          </w:tcPr>
          <w:p w14:paraId="47FB041E" w14:textId="77777777" w:rsidR="00012FAE" w:rsidRPr="00652C95" w:rsidRDefault="00012FAE" w:rsidP="00652C95">
            <w:pPr>
              <w:pStyle w:val="Tabletext"/>
              <w:keepNext/>
              <w:keepLines/>
              <w:jc w:val="center"/>
              <w:cnfStyle w:val="000000100000" w:firstRow="0" w:lastRow="0" w:firstColumn="0" w:lastColumn="0" w:oddVBand="0" w:evenVBand="0" w:oddHBand="1" w:evenHBand="0" w:firstRowFirstColumn="0" w:firstRowLastColumn="0" w:lastRowFirstColumn="0" w:lastRowLastColumn="0"/>
            </w:pPr>
            <w:r w:rsidRPr="00652C95">
              <w:t>341</w:t>
            </w:r>
          </w:p>
        </w:tc>
        <w:tc>
          <w:tcPr>
            <w:tcW w:w="393" w:type="pct"/>
            <w:vAlign w:val="center"/>
          </w:tcPr>
          <w:p w14:paraId="03D9BD9B" w14:textId="26B85708" w:rsidR="00012FAE" w:rsidRPr="00652C95" w:rsidRDefault="002B3038" w:rsidP="00652C95">
            <w:pPr>
              <w:pStyle w:val="Tabletext"/>
              <w:keepNext/>
              <w:keepLines/>
              <w:jc w:val="center"/>
              <w:cnfStyle w:val="000000100000" w:firstRow="0" w:lastRow="0" w:firstColumn="0" w:lastColumn="0" w:oddVBand="0" w:evenVBand="0" w:oddHBand="1" w:evenHBand="0" w:firstRowFirstColumn="0" w:firstRowLastColumn="0" w:lastRowFirstColumn="0" w:lastRowLastColumn="0"/>
            </w:pPr>
            <w:r w:rsidRPr="00652C95">
              <w:t>(</w:t>
            </w:r>
            <w:r w:rsidR="00012FAE" w:rsidRPr="00652C95">
              <w:t>43.6</w:t>
            </w:r>
            <w:r w:rsidRPr="00652C95">
              <w:t>)</w:t>
            </w:r>
          </w:p>
        </w:tc>
        <w:tc>
          <w:tcPr>
            <w:tcW w:w="393" w:type="pct"/>
            <w:vAlign w:val="center"/>
          </w:tcPr>
          <w:p w14:paraId="534BA5EB" w14:textId="77777777" w:rsidR="00012FAE" w:rsidRPr="00652C95" w:rsidRDefault="00012FAE" w:rsidP="00652C95">
            <w:pPr>
              <w:pStyle w:val="Tabletext"/>
              <w:keepNext/>
              <w:keepLines/>
              <w:jc w:val="center"/>
              <w:cnfStyle w:val="000000100000" w:firstRow="0" w:lastRow="0" w:firstColumn="0" w:lastColumn="0" w:oddVBand="0" w:evenVBand="0" w:oddHBand="1" w:evenHBand="0" w:firstRowFirstColumn="0" w:firstRowLastColumn="0" w:lastRowFirstColumn="0" w:lastRowLastColumn="0"/>
            </w:pPr>
            <w:r w:rsidRPr="00652C95">
              <w:t>85</w:t>
            </w:r>
          </w:p>
        </w:tc>
        <w:tc>
          <w:tcPr>
            <w:tcW w:w="394" w:type="pct"/>
            <w:vAlign w:val="center"/>
          </w:tcPr>
          <w:p w14:paraId="18291492" w14:textId="2AE3630A" w:rsidR="00012FAE" w:rsidRPr="00652C95" w:rsidRDefault="008E0618" w:rsidP="00652C95">
            <w:pPr>
              <w:pStyle w:val="Tabletext"/>
              <w:keepNext/>
              <w:keepLines/>
              <w:jc w:val="center"/>
              <w:cnfStyle w:val="000000100000" w:firstRow="0" w:lastRow="0" w:firstColumn="0" w:lastColumn="0" w:oddVBand="0" w:evenVBand="0" w:oddHBand="1" w:evenHBand="0" w:firstRowFirstColumn="0" w:firstRowLastColumn="0" w:lastRowFirstColumn="0" w:lastRowLastColumn="0"/>
            </w:pPr>
            <w:r w:rsidRPr="00652C95">
              <w:t>(</w:t>
            </w:r>
            <w:r w:rsidR="00012FAE" w:rsidRPr="00652C95">
              <w:t>21.9</w:t>
            </w:r>
            <w:r w:rsidRPr="00652C95">
              <w:t>)</w:t>
            </w:r>
          </w:p>
        </w:tc>
        <w:tc>
          <w:tcPr>
            <w:tcW w:w="1022" w:type="pct"/>
          </w:tcPr>
          <w:p w14:paraId="7B06E39A" w14:textId="77777777" w:rsidR="00012FAE" w:rsidRPr="00652C95" w:rsidRDefault="00012FAE" w:rsidP="00652C95">
            <w:pPr>
              <w:pStyle w:val="Tabletext"/>
              <w:keepNext/>
              <w:keepLines/>
              <w:jc w:val="center"/>
              <w:cnfStyle w:val="000000100000" w:firstRow="0" w:lastRow="0" w:firstColumn="0" w:lastColumn="0" w:oddVBand="0" w:evenVBand="0" w:oddHBand="1" w:evenHBand="0" w:firstRowFirstColumn="0" w:firstRowLastColumn="0" w:lastRowFirstColumn="0" w:lastRowLastColumn="0"/>
            </w:pPr>
            <w:r w:rsidRPr="00652C95">
              <w:t>1.99 (1.63, 2.45)</w:t>
            </w:r>
          </w:p>
        </w:tc>
        <w:tc>
          <w:tcPr>
            <w:tcW w:w="993" w:type="pct"/>
          </w:tcPr>
          <w:p w14:paraId="52567E7C" w14:textId="77777777" w:rsidR="00012FAE" w:rsidRPr="00652C95" w:rsidRDefault="00012FAE" w:rsidP="00652C95">
            <w:pPr>
              <w:pStyle w:val="Tabletext"/>
              <w:keepNext/>
              <w:keepLines/>
              <w:jc w:val="center"/>
              <w:cnfStyle w:val="000000100000" w:firstRow="0" w:lastRow="0" w:firstColumn="0" w:lastColumn="0" w:oddVBand="0" w:evenVBand="0" w:oddHBand="1" w:evenHBand="0" w:firstRowFirstColumn="0" w:firstRowLastColumn="0" w:lastRowFirstColumn="0" w:lastRowLastColumn="0"/>
            </w:pPr>
            <w:r w:rsidRPr="00652C95">
              <w:t>0.217 (0.162, 0.269)</w:t>
            </w:r>
          </w:p>
        </w:tc>
      </w:tr>
      <w:tr w:rsidR="006919A9" w:rsidRPr="00652C95" w14:paraId="16C0A57C" w14:textId="77777777" w:rsidTr="00945C93">
        <w:trPr>
          <w:trHeight w:val="20"/>
        </w:trPr>
        <w:tc>
          <w:tcPr>
            <w:cnfStyle w:val="001000000000" w:firstRow="0" w:lastRow="0" w:firstColumn="1" w:lastColumn="0" w:oddVBand="0" w:evenVBand="0" w:oddHBand="0" w:evenHBand="0" w:firstRowFirstColumn="0" w:firstRowLastColumn="0" w:lastRowFirstColumn="0" w:lastRowLastColumn="0"/>
            <w:tcW w:w="1334" w:type="pct"/>
            <w:vAlign w:val="center"/>
          </w:tcPr>
          <w:p w14:paraId="2366B3EE" w14:textId="77777777" w:rsidR="00012FAE" w:rsidRPr="00652C95" w:rsidRDefault="00012FAE" w:rsidP="00652C95">
            <w:pPr>
              <w:pStyle w:val="Tabletext"/>
              <w:keepNext/>
              <w:keepLines/>
              <w:rPr>
                <w:b w:val="0"/>
                <w:bCs w:val="0"/>
              </w:rPr>
            </w:pPr>
            <w:r w:rsidRPr="00652C95">
              <w:rPr>
                <w:b w:val="0"/>
                <w:bCs w:val="0"/>
              </w:rPr>
              <w:t>Grade 3-5 AEOSI</w:t>
            </w:r>
          </w:p>
        </w:tc>
        <w:tc>
          <w:tcPr>
            <w:tcW w:w="471" w:type="pct"/>
            <w:vAlign w:val="center"/>
          </w:tcPr>
          <w:p w14:paraId="361184DB" w14:textId="77777777" w:rsidR="00012FAE" w:rsidRPr="00652C95" w:rsidRDefault="00012FAE" w:rsidP="00652C95">
            <w:pPr>
              <w:pStyle w:val="Tabletext"/>
              <w:keepNext/>
              <w:keepLines/>
              <w:jc w:val="center"/>
              <w:cnfStyle w:val="000000000000" w:firstRow="0" w:lastRow="0" w:firstColumn="0" w:lastColumn="0" w:oddVBand="0" w:evenVBand="0" w:oddHBand="0" w:evenHBand="0" w:firstRowFirstColumn="0" w:firstRowLastColumn="0" w:lastRowFirstColumn="0" w:lastRowLastColumn="0"/>
            </w:pPr>
            <w:r w:rsidRPr="00652C95">
              <w:t>117</w:t>
            </w:r>
          </w:p>
        </w:tc>
        <w:tc>
          <w:tcPr>
            <w:tcW w:w="393" w:type="pct"/>
            <w:vAlign w:val="center"/>
          </w:tcPr>
          <w:p w14:paraId="5922A5C4" w14:textId="0449DB8A" w:rsidR="00012FAE" w:rsidRPr="00652C95" w:rsidRDefault="006F60F1" w:rsidP="00652C95">
            <w:pPr>
              <w:pStyle w:val="Tabletext"/>
              <w:keepNext/>
              <w:keepLines/>
              <w:jc w:val="center"/>
              <w:cnfStyle w:val="000000000000" w:firstRow="0" w:lastRow="0" w:firstColumn="0" w:lastColumn="0" w:oddVBand="0" w:evenVBand="0" w:oddHBand="0" w:evenHBand="0" w:firstRowFirstColumn="0" w:firstRowLastColumn="0" w:lastRowFirstColumn="0" w:lastRowLastColumn="0"/>
            </w:pPr>
            <w:r w:rsidRPr="00652C95">
              <w:t>(</w:t>
            </w:r>
            <w:r w:rsidR="00012FAE" w:rsidRPr="00652C95">
              <w:t>14.9</w:t>
            </w:r>
            <w:r w:rsidR="00BB1392" w:rsidRPr="00652C95">
              <w:t>)</w:t>
            </w:r>
          </w:p>
        </w:tc>
        <w:tc>
          <w:tcPr>
            <w:tcW w:w="393" w:type="pct"/>
            <w:vAlign w:val="center"/>
          </w:tcPr>
          <w:p w14:paraId="213E32BC" w14:textId="77777777" w:rsidR="00012FAE" w:rsidRPr="00652C95" w:rsidRDefault="00012FAE" w:rsidP="00652C95">
            <w:pPr>
              <w:pStyle w:val="Tabletext"/>
              <w:keepNext/>
              <w:keepLines/>
              <w:jc w:val="center"/>
              <w:cnfStyle w:val="000000000000" w:firstRow="0" w:lastRow="0" w:firstColumn="0" w:lastColumn="0" w:oddVBand="0" w:evenVBand="0" w:oddHBand="0" w:evenHBand="0" w:firstRowFirstColumn="0" w:firstRowLastColumn="0" w:lastRowFirstColumn="0" w:lastRowLastColumn="0"/>
            </w:pPr>
            <w:r w:rsidRPr="00652C95">
              <w:t>8</w:t>
            </w:r>
          </w:p>
        </w:tc>
        <w:tc>
          <w:tcPr>
            <w:tcW w:w="394" w:type="pct"/>
            <w:vAlign w:val="center"/>
          </w:tcPr>
          <w:p w14:paraId="6A2D2AAA" w14:textId="7A75C043" w:rsidR="00012FAE" w:rsidRPr="00652C95" w:rsidRDefault="008E0618" w:rsidP="00652C95">
            <w:pPr>
              <w:pStyle w:val="Tabletext"/>
              <w:keepNext/>
              <w:keepLines/>
              <w:jc w:val="center"/>
              <w:cnfStyle w:val="000000000000" w:firstRow="0" w:lastRow="0" w:firstColumn="0" w:lastColumn="0" w:oddVBand="0" w:evenVBand="0" w:oddHBand="0" w:evenHBand="0" w:firstRowFirstColumn="0" w:firstRowLastColumn="0" w:lastRowFirstColumn="0" w:lastRowLastColumn="0"/>
            </w:pPr>
            <w:r w:rsidRPr="00652C95">
              <w:t>(</w:t>
            </w:r>
            <w:r w:rsidR="00012FAE" w:rsidRPr="00652C95">
              <w:t>2.1</w:t>
            </w:r>
            <w:r w:rsidRPr="00652C95">
              <w:t>)</w:t>
            </w:r>
          </w:p>
        </w:tc>
        <w:tc>
          <w:tcPr>
            <w:tcW w:w="1022" w:type="pct"/>
          </w:tcPr>
          <w:p w14:paraId="61CAA9D3" w14:textId="77777777" w:rsidR="00012FAE" w:rsidRPr="00652C95" w:rsidRDefault="00012FAE" w:rsidP="00652C95">
            <w:pPr>
              <w:pStyle w:val="Tabletext"/>
              <w:keepNext/>
              <w:keepLines/>
              <w:jc w:val="center"/>
              <w:cnfStyle w:val="000000000000" w:firstRow="0" w:lastRow="0" w:firstColumn="0" w:lastColumn="0" w:oddVBand="0" w:evenVBand="0" w:oddHBand="0" w:evenHBand="0" w:firstRowFirstColumn="0" w:firstRowLastColumn="0" w:lastRowFirstColumn="0" w:lastRowLastColumn="0"/>
            </w:pPr>
            <w:r w:rsidRPr="00652C95">
              <w:t>7.27 (3.66, 14.56)</w:t>
            </w:r>
          </w:p>
        </w:tc>
        <w:tc>
          <w:tcPr>
            <w:tcW w:w="993" w:type="pct"/>
          </w:tcPr>
          <w:p w14:paraId="36E1FD56" w14:textId="77777777" w:rsidR="00012FAE" w:rsidRPr="00652C95" w:rsidRDefault="00012FAE" w:rsidP="00652C95">
            <w:pPr>
              <w:pStyle w:val="Tabletext"/>
              <w:keepNext/>
              <w:keepLines/>
              <w:jc w:val="center"/>
              <w:cnfStyle w:val="000000000000" w:firstRow="0" w:lastRow="0" w:firstColumn="0" w:lastColumn="0" w:oddVBand="0" w:evenVBand="0" w:oddHBand="0" w:evenHBand="0" w:firstRowFirstColumn="0" w:firstRowLastColumn="0" w:lastRowFirstColumn="0" w:lastRowLastColumn="0"/>
            </w:pPr>
            <w:r w:rsidRPr="00652C95">
              <w:t>0.129 (0.100, 0.158)</w:t>
            </w:r>
          </w:p>
        </w:tc>
      </w:tr>
      <w:tr w:rsidR="006919A9" w:rsidRPr="00652C95" w14:paraId="17210428" w14:textId="77777777" w:rsidTr="00945C9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34" w:type="pct"/>
            <w:vAlign w:val="center"/>
          </w:tcPr>
          <w:p w14:paraId="77994655" w14:textId="77777777" w:rsidR="00012FAE" w:rsidRPr="00652C95" w:rsidRDefault="00012FAE" w:rsidP="00652C95">
            <w:pPr>
              <w:pStyle w:val="Tabletext"/>
              <w:keepNext/>
              <w:keepLines/>
              <w:rPr>
                <w:b w:val="0"/>
                <w:bCs w:val="0"/>
              </w:rPr>
            </w:pPr>
            <w:r w:rsidRPr="00652C95">
              <w:rPr>
                <w:b w:val="0"/>
                <w:bCs w:val="0"/>
              </w:rPr>
              <w:t>Serious AEOSI</w:t>
            </w:r>
          </w:p>
        </w:tc>
        <w:tc>
          <w:tcPr>
            <w:tcW w:w="471" w:type="pct"/>
            <w:vAlign w:val="center"/>
          </w:tcPr>
          <w:p w14:paraId="4E2C253C" w14:textId="77777777" w:rsidR="00012FAE" w:rsidRPr="00652C95" w:rsidRDefault="00012FAE" w:rsidP="00652C95">
            <w:pPr>
              <w:pStyle w:val="Tabletext"/>
              <w:keepNext/>
              <w:keepLines/>
              <w:jc w:val="center"/>
              <w:cnfStyle w:val="000000100000" w:firstRow="0" w:lastRow="0" w:firstColumn="0" w:lastColumn="0" w:oddVBand="0" w:evenVBand="0" w:oddHBand="1" w:evenHBand="0" w:firstRowFirstColumn="0" w:firstRowLastColumn="0" w:lastRowFirstColumn="0" w:lastRowLastColumn="0"/>
            </w:pPr>
            <w:r w:rsidRPr="00652C95">
              <w:t>83</w:t>
            </w:r>
          </w:p>
        </w:tc>
        <w:tc>
          <w:tcPr>
            <w:tcW w:w="393" w:type="pct"/>
            <w:vAlign w:val="center"/>
          </w:tcPr>
          <w:p w14:paraId="0E9D6077" w14:textId="2DD31BBD" w:rsidR="00012FAE" w:rsidRPr="00652C95" w:rsidRDefault="00BB1392" w:rsidP="00652C95">
            <w:pPr>
              <w:pStyle w:val="Tabletext"/>
              <w:keepNext/>
              <w:keepLines/>
              <w:jc w:val="center"/>
              <w:cnfStyle w:val="000000100000" w:firstRow="0" w:lastRow="0" w:firstColumn="0" w:lastColumn="0" w:oddVBand="0" w:evenVBand="0" w:oddHBand="1" w:evenHBand="0" w:firstRowFirstColumn="0" w:firstRowLastColumn="0" w:lastRowFirstColumn="0" w:lastRowLastColumn="0"/>
            </w:pPr>
            <w:r w:rsidRPr="00652C95">
              <w:t>(</w:t>
            </w:r>
            <w:r w:rsidR="00012FAE" w:rsidRPr="00652C95">
              <w:t>10.6</w:t>
            </w:r>
            <w:r w:rsidRPr="00652C95">
              <w:t>)</w:t>
            </w:r>
          </w:p>
        </w:tc>
        <w:tc>
          <w:tcPr>
            <w:tcW w:w="393" w:type="pct"/>
            <w:vAlign w:val="center"/>
          </w:tcPr>
          <w:p w14:paraId="468A7DC3" w14:textId="77777777" w:rsidR="00012FAE" w:rsidRPr="00652C95" w:rsidRDefault="00012FAE" w:rsidP="00652C95">
            <w:pPr>
              <w:pStyle w:val="Tabletext"/>
              <w:keepNext/>
              <w:keepLines/>
              <w:jc w:val="center"/>
              <w:cnfStyle w:val="000000100000" w:firstRow="0" w:lastRow="0" w:firstColumn="0" w:lastColumn="0" w:oddVBand="0" w:evenVBand="0" w:oddHBand="1" w:evenHBand="0" w:firstRowFirstColumn="0" w:firstRowLastColumn="0" w:lastRowFirstColumn="0" w:lastRowLastColumn="0"/>
            </w:pPr>
            <w:r w:rsidRPr="00652C95">
              <w:t>5</w:t>
            </w:r>
          </w:p>
        </w:tc>
        <w:tc>
          <w:tcPr>
            <w:tcW w:w="394" w:type="pct"/>
            <w:vAlign w:val="center"/>
          </w:tcPr>
          <w:p w14:paraId="4A077516" w14:textId="344F7B50" w:rsidR="00012FAE" w:rsidRPr="00652C95" w:rsidRDefault="008E0618" w:rsidP="00652C95">
            <w:pPr>
              <w:pStyle w:val="Tabletext"/>
              <w:keepNext/>
              <w:keepLines/>
              <w:jc w:val="center"/>
              <w:cnfStyle w:val="000000100000" w:firstRow="0" w:lastRow="0" w:firstColumn="0" w:lastColumn="0" w:oddVBand="0" w:evenVBand="0" w:oddHBand="1" w:evenHBand="0" w:firstRowFirstColumn="0" w:firstRowLastColumn="0" w:lastRowFirstColumn="0" w:lastRowLastColumn="0"/>
            </w:pPr>
            <w:r w:rsidRPr="00652C95">
              <w:t>(</w:t>
            </w:r>
            <w:r w:rsidR="00012FAE" w:rsidRPr="00652C95">
              <w:t>1.3</w:t>
            </w:r>
            <w:r w:rsidRPr="00652C95">
              <w:t>)</w:t>
            </w:r>
          </w:p>
        </w:tc>
        <w:tc>
          <w:tcPr>
            <w:tcW w:w="1022" w:type="pct"/>
          </w:tcPr>
          <w:p w14:paraId="1B239F44" w14:textId="77777777" w:rsidR="00012FAE" w:rsidRPr="00652C95" w:rsidRDefault="00012FAE" w:rsidP="00652C95">
            <w:pPr>
              <w:pStyle w:val="Tabletext"/>
              <w:keepNext/>
              <w:keepLines/>
              <w:jc w:val="center"/>
              <w:cnfStyle w:val="000000100000" w:firstRow="0" w:lastRow="0" w:firstColumn="0" w:lastColumn="0" w:oddVBand="0" w:evenVBand="0" w:oddHBand="1" w:evenHBand="0" w:firstRowFirstColumn="0" w:firstRowLastColumn="0" w:lastRowFirstColumn="0" w:lastRowLastColumn="0"/>
            </w:pPr>
            <w:r w:rsidRPr="00652C95">
              <w:t>8.25 (3.49, 19.68)</w:t>
            </w:r>
          </w:p>
        </w:tc>
        <w:tc>
          <w:tcPr>
            <w:tcW w:w="993" w:type="pct"/>
          </w:tcPr>
          <w:p w14:paraId="40A1B81D" w14:textId="77777777" w:rsidR="00012FAE" w:rsidRPr="00652C95" w:rsidRDefault="00012FAE" w:rsidP="00652C95">
            <w:pPr>
              <w:pStyle w:val="Tabletext"/>
              <w:keepNext/>
              <w:keepLines/>
              <w:jc w:val="center"/>
              <w:cnfStyle w:val="000000100000" w:firstRow="0" w:lastRow="0" w:firstColumn="0" w:lastColumn="0" w:oddVBand="0" w:evenVBand="0" w:oddHBand="1" w:evenHBand="0" w:firstRowFirstColumn="0" w:firstRowLastColumn="0" w:lastRowFirstColumn="0" w:lastRowLastColumn="0"/>
            </w:pPr>
            <w:r w:rsidRPr="00652C95">
              <w:t>0.093 (0.069, 0.118)</w:t>
            </w:r>
          </w:p>
        </w:tc>
      </w:tr>
      <w:tr w:rsidR="006919A9" w:rsidRPr="00652C95" w14:paraId="2FDA8952" w14:textId="77777777" w:rsidTr="00945C93">
        <w:trPr>
          <w:trHeight w:val="20"/>
        </w:trPr>
        <w:tc>
          <w:tcPr>
            <w:cnfStyle w:val="001000000000" w:firstRow="0" w:lastRow="0" w:firstColumn="1" w:lastColumn="0" w:oddVBand="0" w:evenVBand="0" w:oddHBand="0" w:evenHBand="0" w:firstRowFirstColumn="0" w:firstRowLastColumn="0" w:lastRowFirstColumn="0" w:lastRowLastColumn="0"/>
            <w:tcW w:w="1334" w:type="pct"/>
            <w:vAlign w:val="center"/>
          </w:tcPr>
          <w:p w14:paraId="68A94147" w14:textId="77777777" w:rsidR="00012FAE" w:rsidRPr="00652C95" w:rsidRDefault="00012FAE" w:rsidP="00652C95">
            <w:pPr>
              <w:pStyle w:val="Tabletext"/>
              <w:keepNext/>
              <w:keepLines/>
              <w:rPr>
                <w:b w:val="0"/>
                <w:bCs w:val="0"/>
              </w:rPr>
            </w:pPr>
            <w:r w:rsidRPr="00652C95">
              <w:rPr>
                <w:b w:val="0"/>
                <w:bCs w:val="0"/>
              </w:rPr>
              <w:t>AEOSI led to death</w:t>
            </w:r>
          </w:p>
        </w:tc>
        <w:tc>
          <w:tcPr>
            <w:tcW w:w="471" w:type="pct"/>
            <w:vAlign w:val="center"/>
          </w:tcPr>
          <w:p w14:paraId="403A3D53" w14:textId="77777777" w:rsidR="00012FAE" w:rsidRPr="00652C95" w:rsidRDefault="00012FAE" w:rsidP="00652C95">
            <w:pPr>
              <w:pStyle w:val="Tabletext"/>
              <w:keepNext/>
              <w:keepLines/>
              <w:jc w:val="center"/>
              <w:cnfStyle w:val="000000000000" w:firstRow="0" w:lastRow="0" w:firstColumn="0" w:lastColumn="0" w:oddVBand="0" w:evenVBand="0" w:oddHBand="0" w:evenHBand="0" w:firstRowFirstColumn="0" w:firstRowLastColumn="0" w:lastRowFirstColumn="0" w:lastRowLastColumn="0"/>
            </w:pPr>
            <w:r w:rsidRPr="00652C95">
              <w:t>2</w:t>
            </w:r>
          </w:p>
        </w:tc>
        <w:tc>
          <w:tcPr>
            <w:tcW w:w="393" w:type="pct"/>
            <w:vAlign w:val="center"/>
          </w:tcPr>
          <w:p w14:paraId="154F6EA6" w14:textId="52102EA7" w:rsidR="00012FAE" w:rsidRPr="00652C95" w:rsidRDefault="00BB1392" w:rsidP="00652C95">
            <w:pPr>
              <w:pStyle w:val="Tabletext"/>
              <w:keepNext/>
              <w:keepLines/>
              <w:jc w:val="center"/>
              <w:cnfStyle w:val="000000000000" w:firstRow="0" w:lastRow="0" w:firstColumn="0" w:lastColumn="0" w:oddVBand="0" w:evenVBand="0" w:oddHBand="0" w:evenHBand="0" w:firstRowFirstColumn="0" w:firstRowLastColumn="0" w:lastRowFirstColumn="0" w:lastRowLastColumn="0"/>
            </w:pPr>
            <w:r w:rsidRPr="00652C95">
              <w:t>(</w:t>
            </w:r>
            <w:r w:rsidR="00012FAE" w:rsidRPr="00652C95">
              <w:t>0.3</w:t>
            </w:r>
            <w:r w:rsidRPr="00652C95">
              <w:t>)</w:t>
            </w:r>
          </w:p>
        </w:tc>
        <w:tc>
          <w:tcPr>
            <w:tcW w:w="393" w:type="pct"/>
            <w:vAlign w:val="center"/>
          </w:tcPr>
          <w:p w14:paraId="23549373" w14:textId="77777777" w:rsidR="00012FAE" w:rsidRPr="00652C95" w:rsidRDefault="00012FAE" w:rsidP="00652C95">
            <w:pPr>
              <w:pStyle w:val="Tabletext"/>
              <w:keepNext/>
              <w:keepLines/>
              <w:jc w:val="center"/>
              <w:cnfStyle w:val="000000000000" w:firstRow="0" w:lastRow="0" w:firstColumn="0" w:lastColumn="0" w:oddVBand="0" w:evenVBand="0" w:oddHBand="0" w:evenHBand="0" w:firstRowFirstColumn="0" w:firstRowLastColumn="0" w:lastRowFirstColumn="0" w:lastRowLastColumn="0"/>
            </w:pPr>
            <w:r w:rsidRPr="00652C95">
              <w:t>0</w:t>
            </w:r>
          </w:p>
        </w:tc>
        <w:tc>
          <w:tcPr>
            <w:tcW w:w="394" w:type="pct"/>
            <w:vAlign w:val="center"/>
          </w:tcPr>
          <w:p w14:paraId="7EA95EA4" w14:textId="24E5867C" w:rsidR="00012FAE" w:rsidRPr="00652C95" w:rsidRDefault="008E0618" w:rsidP="00652C95">
            <w:pPr>
              <w:pStyle w:val="Tabletext"/>
              <w:keepNext/>
              <w:keepLines/>
              <w:jc w:val="center"/>
              <w:cnfStyle w:val="000000000000" w:firstRow="0" w:lastRow="0" w:firstColumn="0" w:lastColumn="0" w:oddVBand="0" w:evenVBand="0" w:oddHBand="0" w:evenHBand="0" w:firstRowFirstColumn="0" w:firstRowLastColumn="0" w:lastRowFirstColumn="0" w:lastRowLastColumn="0"/>
            </w:pPr>
            <w:r w:rsidRPr="00652C95">
              <w:t>(</w:t>
            </w:r>
            <w:r w:rsidR="00012FAE" w:rsidRPr="00652C95">
              <w:t>0</w:t>
            </w:r>
            <w:r w:rsidRPr="00652C95">
              <w:t>)</w:t>
            </w:r>
          </w:p>
        </w:tc>
        <w:tc>
          <w:tcPr>
            <w:tcW w:w="1022" w:type="pct"/>
          </w:tcPr>
          <w:p w14:paraId="42A0BECD" w14:textId="77777777" w:rsidR="00012FAE" w:rsidRPr="00652C95" w:rsidRDefault="00012FAE" w:rsidP="00652C95">
            <w:pPr>
              <w:pStyle w:val="Tabletext"/>
              <w:keepNext/>
              <w:keepLines/>
              <w:jc w:val="center"/>
              <w:cnfStyle w:val="000000000000" w:firstRow="0" w:lastRow="0" w:firstColumn="0" w:lastColumn="0" w:oddVBand="0" w:evenVBand="0" w:oddHBand="0" w:evenHBand="0" w:firstRowFirstColumn="0" w:firstRowLastColumn="0" w:lastRowFirstColumn="0" w:lastRowLastColumn="0"/>
            </w:pPr>
            <w:r w:rsidRPr="00652C95">
              <w:t>2.49 (0.26, NE)</w:t>
            </w:r>
          </w:p>
        </w:tc>
        <w:tc>
          <w:tcPr>
            <w:tcW w:w="993" w:type="pct"/>
          </w:tcPr>
          <w:p w14:paraId="2BC496D1" w14:textId="77777777" w:rsidR="00012FAE" w:rsidRPr="00652C95" w:rsidRDefault="00012FAE" w:rsidP="00652C95">
            <w:pPr>
              <w:pStyle w:val="Tabletext"/>
              <w:keepNext/>
              <w:keepLines/>
              <w:jc w:val="center"/>
              <w:cnfStyle w:val="000000000000" w:firstRow="0" w:lastRow="0" w:firstColumn="0" w:lastColumn="0" w:oddVBand="0" w:evenVBand="0" w:oddHBand="0" w:evenHBand="0" w:firstRowFirstColumn="0" w:firstRowLastColumn="0" w:lastRowFirstColumn="0" w:lastRowLastColumn="0"/>
            </w:pPr>
            <w:r w:rsidRPr="00652C95">
              <w:t>0.003 (-0.007, 0.009)</w:t>
            </w:r>
          </w:p>
        </w:tc>
      </w:tr>
      <w:tr w:rsidR="006919A9" w:rsidRPr="00652C95" w14:paraId="001983FF" w14:textId="77777777" w:rsidTr="00945C9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34" w:type="pct"/>
            <w:vAlign w:val="center"/>
          </w:tcPr>
          <w:p w14:paraId="6DD2EDDF" w14:textId="77777777" w:rsidR="00012FAE" w:rsidRPr="00652C95" w:rsidRDefault="00012FAE" w:rsidP="00652C95">
            <w:pPr>
              <w:pStyle w:val="Tabletext"/>
              <w:keepNext/>
              <w:keepLines/>
              <w:rPr>
                <w:b w:val="0"/>
                <w:bCs w:val="0"/>
              </w:rPr>
            </w:pPr>
            <w:r w:rsidRPr="00652C95">
              <w:rPr>
                <w:b w:val="0"/>
                <w:bCs w:val="0"/>
              </w:rPr>
              <w:t>AEOSI led to discontinuation</w:t>
            </w:r>
          </w:p>
        </w:tc>
        <w:tc>
          <w:tcPr>
            <w:tcW w:w="471" w:type="pct"/>
            <w:vAlign w:val="center"/>
          </w:tcPr>
          <w:p w14:paraId="4FFC711B" w14:textId="77777777" w:rsidR="00012FAE" w:rsidRPr="00652C95" w:rsidRDefault="00012FAE" w:rsidP="00652C95">
            <w:pPr>
              <w:pStyle w:val="Tabletext"/>
              <w:keepNext/>
              <w:keepLines/>
              <w:jc w:val="center"/>
              <w:cnfStyle w:val="000000100000" w:firstRow="0" w:lastRow="0" w:firstColumn="0" w:lastColumn="0" w:oddVBand="0" w:evenVBand="0" w:oddHBand="1" w:evenHBand="0" w:firstRowFirstColumn="0" w:firstRowLastColumn="0" w:lastRowFirstColumn="0" w:lastRowLastColumn="0"/>
            </w:pPr>
            <w:r w:rsidRPr="00652C95">
              <w:t>85</w:t>
            </w:r>
          </w:p>
        </w:tc>
        <w:tc>
          <w:tcPr>
            <w:tcW w:w="393" w:type="pct"/>
            <w:vAlign w:val="center"/>
          </w:tcPr>
          <w:p w14:paraId="228C04A2" w14:textId="1D783A19" w:rsidR="00012FAE" w:rsidRPr="00652C95" w:rsidRDefault="00BB1392" w:rsidP="00652C95">
            <w:pPr>
              <w:pStyle w:val="Tabletext"/>
              <w:keepNext/>
              <w:keepLines/>
              <w:jc w:val="center"/>
              <w:cnfStyle w:val="000000100000" w:firstRow="0" w:lastRow="0" w:firstColumn="0" w:lastColumn="0" w:oddVBand="0" w:evenVBand="0" w:oddHBand="1" w:evenHBand="0" w:firstRowFirstColumn="0" w:firstRowLastColumn="0" w:lastRowFirstColumn="0" w:lastRowLastColumn="0"/>
            </w:pPr>
            <w:r w:rsidRPr="00652C95">
              <w:t>(</w:t>
            </w:r>
            <w:r w:rsidR="00012FAE" w:rsidRPr="00652C95">
              <w:t>10.9</w:t>
            </w:r>
            <w:r w:rsidRPr="00652C95">
              <w:t>)</w:t>
            </w:r>
          </w:p>
        </w:tc>
        <w:tc>
          <w:tcPr>
            <w:tcW w:w="393" w:type="pct"/>
            <w:vAlign w:val="center"/>
          </w:tcPr>
          <w:p w14:paraId="709A7CF0" w14:textId="77777777" w:rsidR="00012FAE" w:rsidRPr="00652C95" w:rsidRDefault="00012FAE" w:rsidP="00652C95">
            <w:pPr>
              <w:pStyle w:val="Tabletext"/>
              <w:keepNext/>
              <w:keepLines/>
              <w:jc w:val="center"/>
              <w:cnfStyle w:val="000000100000" w:firstRow="0" w:lastRow="0" w:firstColumn="0" w:lastColumn="0" w:oddVBand="0" w:evenVBand="0" w:oddHBand="1" w:evenHBand="0" w:firstRowFirstColumn="0" w:firstRowLastColumn="0" w:lastRowFirstColumn="0" w:lastRowLastColumn="0"/>
            </w:pPr>
            <w:r w:rsidRPr="00652C95">
              <w:t>10</w:t>
            </w:r>
          </w:p>
        </w:tc>
        <w:tc>
          <w:tcPr>
            <w:tcW w:w="394" w:type="pct"/>
            <w:vAlign w:val="center"/>
          </w:tcPr>
          <w:p w14:paraId="71B7E4F7" w14:textId="02FB85B5" w:rsidR="00012FAE" w:rsidRPr="00652C95" w:rsidRDefault="008E0618" w:rsidP="00652C95">
            <w:pPr>
              <w:pStyle w:val="Tabletext"/>
              <w:keepNext/>
              <w:keepLines/>
              <w:jc w:val="center"/>
              <w:cnfStyle w:val="000000100000" w:firstRow="0" w:lastRow="0" w:firstColumn="0" w:lastColumn="0" w:oddVBand="0" w:evenVBand="0" w:oddHBand="1" w:evenHBand="0" w:firstRowFirstColumn="0" w:firstRowLastColumn="0" w:lastRowFirstColumn="0" w:lastRowLastColumn="0"/>
            </w:pPr>
            <w:r w:rsidRPr="00652C95">
              <w:t>(</w:t>
            </w:r>
            <w:r w:rsidR="00012FAE" w:rsidRPr="00652C95">
              <w:t>2.6</w:t>
            </w:r>
            <w:r w:rsidRPr="00652C95">
              <w:t>)</w:t>
            </w:r>
          </w:p>
        </w:tc>
        <w:tc>
          <w:tcPr>
            <w:tcW w:w="1022" w:type="pct"/>
          </w:tcPr>
          <w:p w14:paraId="36D7D995" w14:textId="77777777" w:rsidR="00012FAE" w:rsidRPr="00652C95" w:rsidRDefault="00012FAE" w:rsidP="00652C95">
            <w:pPr>
              <w:pStyle w:val="Tabletext"/>
              <w:keepNext/>
              <w:keepLines/>
              <w:jc w:val="center"/>
              <w:cnfStyle w:val="000000100000" w:firstRow="0" w:lastRow="0" w:firstColumn="0" w:lastColumn="0" w:oddVBand="0" w:evenVBand="0" w:oddHBand="1" w:evenHBand="0" w:firstRowFirstColumn="0" w:firstRowLastColumn="0" w:lastRowFirstColumn="0" w:lastRowLastColumn="0"/>
            </w:pPr>
            <w:r w:rsidRPr="00652C95">
              <w:t>4.22 (2.25, 7.98)</w:t>
            </w:r>
          </w:p>
        </w:tc>
        <w:tc>
          <w:tcPr>
            <w:tcW w:w="993" w:type="pct"/>
          </w:tcPr>
          <w:p w14:paraId="11C2FABB" w14:textId="77777777" w:rsidR="00012FAE" w:rsidRPr="00652C95" w:rsidRDefault="00012FAE" w:rsidP="00652C95">
            <w:pPr>
              <w:pStyle w:val="Tabletext"/>
              <w:keepNext/>
              <w:keepLines/>
              <w:jc w:val="center"/>
              <w:cnfStyle w:val="000000100000" w:firstRow="0" w:lastRow="0" w:firstColumn="0" w:lastColumn="0" w:oddVBand="0" w:evenVBand="0" w:oddHBand="1" w:evenHBand="0" w:firstRowFirstColumn="0" w:firstRowLastColumn="0" w:lastRowFirstColumn="0" w:lastRowLastColumn="0"/>
            </w:pPr>
            <w:r w:rsidRPr="00652C95">
              <w:t>0.083 (0.055, 0.110)</w:t>
            </w:r>
          </w:p>
        </w:tc>
      </w:tr>
      <w:tr w:rsidR="00AA43F3" w:rsidRPr="00652C95" w14:paraId="57D04242" w14:textId="77777777" w:rsidTr="00AA43F3">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0018F088" w14:textId="331D992F" w:rsidR="00AA43F3" w:rsidRPr="00652C95" w:rsidRDefault="00AA43F3" w:rsidP="00AA43F3">
            <w:pPr>
              <w:pStyle w:val="Tabletext"/>
              <w:keepNext/>
              <w:keepLines/>
            </w:pPr>
            <w:r w:rsidRPr="00652C95">
              <w:t>Types of adverse events</w:t>
            </w:r>
          </w:p>
        </w:tc>
      </w:tr>
      <w:tr w:rsidR="006919A9" w:rsidRPr="00652C95" w14:paraId="5EC3F7BE" w14:textId="77777777" w:rsidTr="00945C9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34" w:type="pct"/>
            <w:vAlign w:val="center"/>
          </w:tcPr>
          <w:p w14:paraId="6B8AC84D" w14:textId="77777777" w:rsidR="00012FAE" w:rsidRPr="00652C95" w:rsidRDefault="00012FAE" w:rsidP="00652C95">
            <w:pPr>
              <w:pStyle w:val="Tabletext"/>
              <w:keepNext/>
              <w:keepLines/>
              <w:rPr>
                <w:b w:val="0"/>
              </w:rPr>
            </w:pPr>
            <w:r w:rsidRPr="00652C95">
              <w:rPr>
                <w:b w:val="0"/>
              </w:rPr>
              <w:t>Infusion reactions</w:t>
            </w:r>
          </w:p>
        </w:tc>
        <w:tc>
          <w:tcPr>
            <w:tcW w:w="471" w:type="pct"/>
            <w:vAlign w:val="center"/>
          </w:tcPr>
          <w:p w14:paraId="46330FC8" w14:textId="77777777" w:rsidR="00012FAE" w:rsidRPr="00652C95" w:rsidRDefault="00012FAE" w:rsidP="00652C95">
            <w:pPr>
              <w:pStyle w:val="Tabletext"/>
              <w:keepNext/>
              <w:keepLines/>
              <w:jc w:val="center"/>
              <w:cnfStyle w:val="000000100000" w:firstRow="0" w:lastRow="0" w:firstColumn="0" w:lastColumn="0" w:oddVBand="0" w:evenVBand="0" w:oddHBand="1" w:evenHBand="0" w:firstRowFirstColumn="0" w:firstRowLastColumn="0" w:lastRowFirstColumn="0" w:lastRowLastColumn="0"/>
            </w:pPr>
            <w:r w:rsidRPr="00652C95">
              <w:t>141</w:t>
            </w:r>
          </w:p>
        </w:tc>
        <w:tc>
          <w:tcPr>
            <w:tcW w:w="393" w:type="pct"/>
            <w:vAlign w:val="center"/>
          </w:tcPr>
          <w:p w14:paraId="2FF15562" w14:textId="59B97674" w:rsidR="00012FAE" w:rsidRPr="00652C95" w:rsidRDefault="00BB1392" w:rsidP="00652C95">
            <w:pPr>
              <w:pStyle w:val="Tabletext"/>
              <w:keepNext/>
              <w:keepLines/>
              <w:jc w:val="center"/>
              <w:cnfStyle w:val="000000100000" w:firstRow="0" w:lastRow="0" w:firstColumn="0" w:lastColumn="0" w:oddVBand="0" w:evenVBand="0" w:oddHBand="1" w:evenHBand="0" w:firstRowFirstColumn="0" w:firstRowLastColumn="0" w:lastRowFirstColumn="0" w:lastRowLastColumn="0"/>
            </w:pPr>
            <w:r w:rsidRPr="00652C95">
              <w:t>(</w:t>
            </w:r>
            <w:r w:rsidR="00012FAE" w:rsidRPr="00652C95">
              <w:t>18.0</w:t>
            </w:r>
            <w:r w:rsidRPr="00652C95">
              <w:t>)</w:t>
            </w:r>
          </w:p>
        </w:tc>
        <w:tc>
          <w:tcPr>
            <w:tcW w:w="393" w:type="pct"/>
            <w:vAlign w:val="center"/>
          </w:tcPr>
          <w:p w14:paraId="58654F64" w14:textId="77777777" w:rsidR="00012FAE" w:rsidRPr="00652C95" w:rsidRDefault="00012FAE" w:rsidP="00652C95">
            <w:pPr>
              <w:pStyle w:val="Tabletext"/>
              <w:keepNext/>
              <w:keepLines/>
              <w:jc w:val="center"/>
              <w:cnfStyle w:val="000000100000" w:firstRow="0" w:lastRow="0" w:firstColumn="0" w:lastColumn="0" w:oddVBand="0" w:evenVBand="0" w:oddHBand="1" w:evenHBand="0" w:firstRowFirstColumn="0" w:firstRowLastColumn="0" w:lastRowFirstColumn="0" w:lastRowLastColumn="0"/>
            </w:pPr>
            <w:r w:rsidRPr="00652C95">
              <w:t>45</w:t>
            </w:r>
          </w:p>
        </w:tc>
        <w:tc>
          <w:tcPr>
            <w:tcW w:w="394" w:type="pct"/>
            <w:vAlign w:val="center"/>
          </w:tcPr>
          <w:p w14:paraId="41A39169" w14:textId="22D6FC47" w:rsidR="00012FAE" w:rsidRPr="00652C95" w:rsidRDefault="008E0618" w:rsidP="00652C95">
            <w:pPr>
              <w:pStyle w:val="Tabletext"/>
              <w:keepNext/>
              <w:keepLines/>
              <w:jc w:val="center"/>
              <w:cnfStyle w:val="000000100000" w:firstRow="0" w:lastRow="0" w:firstColumn="0" w:lastColumn="0" w:oddVBand="0" w:evenVBand="0" w:oddHBand="1" w:evenHBand="0" w:firstRowFirstColumn="0" w:firstRowLastColumn="0" w:lastRowFirstColumn="0" w:lastRowLastColumn="0"/>
            </w:pPr>
            <w:r w:rsidRPr="00652C95">
              <w:t>(</w:t>
            </w:r>
            <w:r w:rsidR="00012FAE" w:rsidRPr="00652C95">
              <w:t>11.6</w:t>
            </w:r>
            <w:r w:rsidRPr="00652C95">
              <w:t>)</w:t>
            </w:r>
          </w:p>
        </w:tc>
        <w:tc>
          <w:tcPr>
            <w:tcW w:w="1022" w:type="pct"/>
          </w:tcPr>
          <w:p w14:paraId="3B0E3A11" w14:textId="77777777" w:rsidR="00012FAE" w:rsidRPr="00652C95" w:rsidRDefault="00012FAE" w:rsidP="00652C95">
            <w:pPr>
              <w:pStyle w:val="Tabletext"/>
              <w:keepNext/>
              <w:keepLines/>
              <w:jc w:val="center"/>
              <w:cnfStyle w:val="000000100000" w:firstRow="0" w:lastRow="0" w:firstColumn="0" w:lastColumn="0" w:oddVBand="0" w:evenVBand="0" w:oddHBand="1" w:evenHBand="0" w:firstRowFirstColumn="0" w:firstRowLastColumn="0" w:lastRowFirstColumn="0" w:lastRowLastColumn="0"/>
            </w:pPr>
            <w:r w:rsidRPr="00652C95">
              <w:t>1.56 (1.14, 2.13)</w:t>
            </w:r>
          </w:p>
        </w:tc>
        <w:tc>
          <w:tcPr>
            <w:tcW w:w="993" w:type="pct"/>
            <w:vAlign w:val="bottom"/>
          </w:tcPr>
          <w:p w14:paraId="2BD67E9C" w14:textId="77777777" w:rsidR="00012FAE" w:rsidRPr="00652C95" w:rsidRDefault="00012FAE" w:rsidP="00652C95">
            <w:pPr>
              <w:pStyle w:val="Tabletext"/>
              <w:keepNext/>
              <w:keepLines/>
              <w:jc w:val="center"/>
              <w:cnfStyle w:val="000000100000" w:firstRow="0" w:lastRow="0" w:firstColumn="0" w:lastColumn="0" w:oddVBand="0" w:evenVBand="0" w:oddHBand="1" w:evenHBand="0" w:firstRowFirstColumn="0" w:firstRowLastColumn="0" w:lastRowFirstColumn="0" w:lastRowLastColumn="0"/>
            </w:pPr>
            <w:r w:rsidRPr="00652C95">
              <w:t>0.064 (0.021, 0.105)</w:t>
            </w:r>
          </w:p>
        </w:tc>
      </w:tr>
      <w:tr w:rsidR="006919A9" w:rsidRPr="00652C95" w14:paraId="3301439E" w14:textId="77777777" w:rsidTr="00945C93">
        <w:trPr>
          <w:trHeight w:val="20"/>
        </w:trPr>
        <w:tc>
          <w:tcPr>
            <w:cnfStyle w:val="001000000000" w:firstRow="0" w:lastRow="0" w:firstColumn="1" w:lastColumn="0" w:oddVBand="0" w:evenVBand="0" w:oddHBand="0" w:evenHBand="0" w:firstRowFirstColumn="0" w:firstRowLastColumn="0" w:lastRowFirstColumn="0" w:lastRowLastColumn="0"/>
            <w:tcW w:w="1334" w:type="pct"/>
            <w:vAlign w:val="center"/>
          </w:tcPr>
          <w:p w14:paraId="1F042265" w14:textId="77777777" w:rsidR="00012FAE" w:rsidRPr="00652C95" w:rsidRDefault="00012FAE" w:rsidP="00652C95">
            <w:pPr>
              <w:pStyle w:val="Tabletext"/>
              <w:keepNext/>
              <w:keepLines/>
              <w:rPr>
                <w:b w:val="0"/>
              </w:rPr>
            </w:pPr>
            <w:r w:rsidRPr="00652C95">
              <w:rPr>
                <w:b w:val="0"/>
              </w:rPr>
              <w:t>Hypothyroidism</w:t>
            </w:r>
          </w:p>
        </w:tc>
        <w:tc>
          <w:tcPr>
            <w:tcW w:w="471" w:type="pct"/>
            <w:vAlign w:val="center"/>
          </w:tcPr>
          <w:p w14:paraId="7CA84585" w14:textId="77777777" w:rsidR="00012FAE" w:rsidRPr="00652C95" w:rsidRDefault="00012FAE" w:rsidP="00652C95">
            <w:pPr>
              <w:pStyle w:val="Tabletext"/>
              <w:keepNext/>
              <w:keepLines/>
              <w:jc w:val="center"/>
              <w:cnfStyle w:val="000000000000" w:firstRow="0" w:lastRow="0" w:firstColumn="0" w:lastColumn="0" w:oddVBand="0" w:evenVBand="0" w:oddHBand="0" w:evenHBand="0" w:firstRowFirstColumn="0" w:firstRowLastColumn="0" w:lastRowFirstColumn="0" w:lastRowLastColumn="0"/>
            </w:pPr>
            <w:r w:rsidRPr="00652C95">
              <w:t>118</w:t>
            </w:r>
          </w:p>
        </w:tc>
        <w:tc>
          <w:tcPr>
            <w:tcW w:w="393" w:type="pct"/>
            <w:vAlign w:val="center"/>
          </w:tcPr>
          <w:p w14:paraId="5E7FEE6F" w14:textId="0BB90B5E" w:rsidR="00012FAE" w:rsidRPr="00652C95" w:rsidRDefault="00BB1392" w:rsidP="00652C95">
            <w:pPr>
              <w:pStyle w:val="Tabletext"/>
              <w:keepNext/>
              <w:keepLines/>
              <w:jc w:val="center"/>
              <w:cnfStyle w:val="000000000000" w:firstRow="0" w:lastRow="0" w:firstColumn="0" w:lastColumn="0" w:oddVBand="0" w:evenVBand="0" w:oddHBand="0" w:evenHBand="0" w:firstRowFirstColumn="0" w:firstRowLastColumn="0" w:lastRowFirstColumn="0" w:lastRowLastColumn="0"/>
            </w:pPr>
            <w:r w:rsidRPr="00652C95">
              <w:t>(</w:t>
            </w:r>
            <w:r w:rsidR="00012FAE" w:rsidRPr="00652C95">
              <w:t>15.1</w:t>
            </w:r>
            <w:r w:rsidRPr="00652C95">
              <w:t>)</w:t>
            </w:r>
          </w:p>
        </w:tc>
        <w:tc>
          <w:tcPr>
            <w:tcW w:w="393" w:type="pct"/>
            <w:vAlign w:val="center"/>
          </w:tcPr>
          <w:p w14:paraId="6CEB008C" w14:textId="77777777" w:rsidR="00012FAE" w:rsidRPr="00652C95" w:rsidRDefault="00012FAE" w:rsidP="00652C95">
            <w:pPr>
              <w:pStyle w:val="Tabletext"/>
              <w:keepNext/>
              <w:keepLines/>
              <w:jc w:val="center"/>
              <w:cnfStyle w:val="000000000000" w:firstRow="0" w:lastRow="0" w:firstColumn="0" w:lastColumn="0" w:oddVBand="0" w:evenVBand="0" w:oddHBand="0" w:evenHBand="0" w:firstRowFirstColumn="0" w:firstRowLastColumn="0" w:lastRowFirstColumn="0" w:lastRowLastColumn="0"/>
            </w:pPr>
            <w:r w:rsidRPr="00652C95">
              <w:t>22</w:t>
            </w:r>
          </w:p>
        </w:tc>
        <w:tc>
          <w:tcPr>
            <w:tcW w:w="394" w:type="pct"/>
            <w:vAlign w:val="center"/>
          </w:tcPr>
          <w:p w14:paraId="0E80EE1A" w14:textId="0310A436" w:rsidR="00012FAE" w:rsidRPr="00652C95" w:rsidRDefault="008E0618" w:rsidP="00652C95">
            <w:pPr>
              <w:pStyle w:val="Tabletext"/>
              <w:keepNext/>
              <w:keepLines/>
              <w:jc w:val="center"/>
              <w:cnfStyle w:val="000000000000" w:firstRow="0" w:lastRow="0" w:firstColumn="0" w:lastColumn="0" w:oddVBand="0" w:evenVBand="0" w:oddHBand="0" w:evenHBand="0" w:firstRowFirstColumn="0" w:firstRowLastColumn="0" w:lastRowFirstColumn="0" w:lastRowLastColumn="0"/>
            </w:pPr>
            <w:r w:rsidRPr="00652C95">
              <w:t>(</w:t>
            </w:r>
            <w:r w:rsidR="00012FAE" w:rsidRPr="00652C95">
              <w:t>5.7</w:t>
            </w:r>
            <w:r w:rsidRPr="00652C95">
              <w:t>)</w:t>
            </w:r>
          </w:p>
        </w:tc>
        <w:tc>
          <w:tcPr>
            <w:tcW w:w="1022" w:type="pct"/>
          </w:tcPr>
          <w:p w14:paraId="033B1D03" w14:textId="77777777" w:rsidR="00012FAE" w:rsidRPr="00652C95" w:rsidRDefault="00012FAE" w:rsidP="00652C95">
            <w:pPr>
              <w:pStyle w:val="Tabletext"/>
              <w:keepNext/>
              <w:keepLines/>
              <w:jc w:val="center"/>
              <w:cnfStyle w:val="000000000000" w:firstRow="0" w:lastRow="0" w:firstColumn="0" w:lastColumn="0" w:oddVBand="0" w:evenVBand="0" w:oddHBand="0" w:evenHBand="0" w:firstRowFirstColumn="0" w:firstRowLastColumn="0" w:lastRowFirstColumn="0" w:lastRowLastColumn="0"/>
            </w:pPr>
            <w:r w:rsidRPr="00652C95">
              <w:t>2.66 (1.73, 4.13)</w:t>
            </w:r>
          </w:p>
        </w:tc>
        <w:tc>
          <w:tcPr>
            <w:tcW w:w="993" w:type="pct"/>
            <w:vAlign w:val="bottom"/>
          </w:tcPr>
          <w:p w14:paraId="0DD4AD19" w14:textId="77777777" w:rsidR="00012FAE" w:rsidRPr="00652C95" w:rsidRDefault="00012FAE" w:rsidP="00652C95">
            <w:pPr>
              <w:pStyle w:val="Tabletext"/>
              <w:keepNext/>
              <w:keepLines/>
              <w:jc w:val="center"/>
              <w:cnfStyle w:val="000000000000" w:firstRow="0" w:lastRow="0" w:firstColumn="0" w:lastColumn="0" w:oddVBand="0" w:evenVBand="0" w:oddHBand="0" w:evenHBand="0" w:firstRowFirstColumn="0" w:firstRowLastColumn="0" w:lastRowFirstColumn="0" w:lastRowLastColumn="0"/>
            </w:pPr>
            <w:r w:rsidRPr="00652C95">
              <w:t>0.094 (0.059, 0.128)</w:t>
            </w:r>
          </w:p>
        </w:tc>
      </w:tr>
      <w:tr w:rsidR="006919A9" w:rsidRPr="00652C95" w14:paraId="1CA82A2F" w14:textId="77777777" w:rsidTr="00945C9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34" w:type="pct"/>
            <w:vAlign w:val="center"/>
          </w:tcPr>
          <w:p w14:paraId="528BE355" w14:textId="77777777" w:rsidR="00012FAE" w:rsidRPr="00652C95" w:rsidRDefault="00012FAE" w:rsidP="00652C95">
            <w:pPr>
              <w:pStyle w:val="Tabletext"/>
              <w:keepNext/>
              <w:keepLines/>
              <w:rPr>
                <w:b w:val="0"/>
              </w:rPr>
            </w:pPr>
            <w:r w:rsidRPr="00652C95">
              <w:rPr>
                <w:b w:val="0"/>
              </w:rPr>
              <w:t>Severe skin reaction</w:t>
            </w:r>
          </w:p>
        </w:tc>
        <w:tc>
          <w:tcPr>
            <w:tcW w:w="471" w:type="pct"/>
            <w:vAlign w:val="center"/>
          </w:tcPr>
          <w:p w14:paraId="5B9D1309" w14:textId="77777777" w:rsidR="00012FAE" w:rsidRPr="00652C95" w:rsidRDefault="00012FAE" w:rsidP="00652C95">
            <w:pPr>
              <w:pStyle w:val="Tabletext"/>
              <w:keepNext/>
              <w:keepLines/>
              <w:jc w:val="center"/>
              <w:cnfStyle w:val="000000100000" w:firstRow="0" w:lastRow="0" w:firstColumn="0" w:lastColumn="0" w:oddVBand="0" w:evenVBand="0" w:oddHBand="1" w:evenHBand="0" w:firstRowFirstColumn="0" w:firstRowLastColumn="0" w:lastRowFirstColumn="0" w:lastRowLastColumn="0"/>
            </w:pPr>
            <w:r w:rsidRPr="00652C95">
              <w:t>45</w:t>
            </w:r>
          </w:p>
        </w:tc>
        <w:tc>
          <w:tcPr>
            <w:tcW w:w="393" w:type="pct"/>
            <w:vAlign w:val="center"/>
          </w:tcPr>
          <w:p w14:paraId="33F03456" w14:textId="397C5ADB" w:rsidR="00012FAE" w:rsidRPr="00652C95" w:rsidRDefault="00BB1392" w:rsidP="00652C95">
            <w:pPr>
              <w:pStyle w:val="Tabletext"/>
              <w:keepNext/>
              <w:keepLines/>
              <w:jc w:val="center"/>
              <w:cnfStyle w:val="000000100000" w:firstRow="0" w:lastRow="0" w:firstColumn="0" w:lastColumn="0" w:oddVBand="0" w:evenVBand="0" w:oddHBand="1" w:evenHBand="0" w:firstRowFirstColumn="0" w:firstRowLastColumn="0" w:lastRowFirstColumn="0" w:lastRowLastColumn="0"/>
            </w:pPr>
            <w:r w:rsidRPr="00652C95">
              <w:t>(</w:t>
            </w:r>
            <w:r w:rsidR="00012FAE" w:rsidRPr="00652C95">
              <w:t>5.7</w:t>
            </w:r>
            <w:r w:rsidRPr="00652C95">
              <w:t>)</w:t>
            </w:r>
          </w:p>
        </w:tc>
        <w:tc>
          <w:tcPr>
            <w:tcW w:w="393" w:type="pct"/>
            <w:vAlign w:val="center"/>
          </w:tcPr>
          <w:p w14:paraId="21148895" w14:textId="77777777" w:rsidR="00012FAE" w:rsidRPr="00652C95" w:rsidRDefault="00012FAE" w:rsidP="00652C95">
            <w:pPr>
              <w:pStyle w:val="Tabletext"/>
              <w:keepNext/>
              <w:keepLines/>
              <w:jc w:val="center"/>
              <w:cnfStyle w:val="000000100000" w:firstRow="0" w:lastRow="0" w:firstColumn="0" w:lastColumn="0" w:oddVBand="0" w:evenVBand="0" w:oddHBand="1" w:evenHBand="0" w:firstRowFirstColumn="0" w:firstRowLastColumn="0" w:lastRowFirstColumn="0" w:lastRowLastColumn="0"/>
            </w:pPr>
            <w:r w:rsidRPr="00652C95">
              <w:t>4</w:t>
            </w:r>
          </w:p>
        </w:tc>
        <w:tc>
          <w:tcPr>
            <w:tcW w:w="394" w:type="pct"/>
            <w:vAlign w:val="center"/>
          </w:tcPr>
          <w:p w14:paraId="2BC87E98" w14:textId="16B248A4" w:rsidR="00012FAE" w:rsidRPr="00652C95" w:rsidRDefault="008E0618" w:rsidP="00652C95">
            <w:pPr>
              <w:pStyle w:val="Tabletext"/>
              <w:keepNext/>
              <w:keepLines/>
              <w:jc w:val="center"/>
              <w:cnfStyle w:val="000000100000" w:firstRow="0" w:lastRow="0" w:firstColumn="0" w:lastColumn="0" w:oddVBand="0" w:evenVBand="0" w:oddHBand="1" w:evenHBand="0" w:firstRowFirstColumn="0" w:firstRowLastColumn="0" w:lastRowFirstColumn="0" w:lastRowLastColumn="0"/>
            </w:pPr>
            <w:r w:rsidRPr="00652C95">
              <w:t>(</w:t>
            </w:r>
            <w:r w:rsidR="00012FAE" w:rsidRPr="00652C95">
              <w:t>1.0</w:t>
            </w:r>
            <w:r w:rsidRPr="00652C95">
              <w:t>)</w:t>
            </w:r>
          </w:p>
        </w:tc>
        <w:tc>
          <w:tcPr>
            <w:tcW w:w="1022" w:type="pct"/>
            <w:vAlign w:val="bottom"/>
          </w:tcPr>
          <w:p w14:paraId="45AD451E" w14:textId="77777777" w:rsidR="00012FAE" w:rsidRPr="00652C95" w:rsidRDefault="00012FAE" w:rsidP="00652C95">
            <w:pPr>
              <w:pStyle w:val="Tabletext"/>
              <w:keepNext/>
              <w:keepLines/>
              <w:jc w:val="center"/>
              <w:cnfStyle w:val="000000100000" w:firstRow="0" w:lastRow="0" w:firstColumn="0" w:lastColumn="0" w:oddVBand="0" w:evenVBand="0" w:oddHBand="1" w:evenHBand="0" w:firstRowFirstColumn="0" w:firstRowLastColumn="0" w:lastRowFirstColumn="0" w:lastRowLastColumn="0"/>
            </w:pPr>
            <w:r w:rsidRPr="00652C95">
              <w:t>5.59 (2.12, 14.87)</w:t>
            </w:r>
          </w:p>
        </w:tc>
        <w:tc>
          <w:tcPr>
            <w:tcW w:w="993" w:type="pct"/>
            <w:vAlign w:val="bottom"/>
          </w:tcPr>
          <w:p w14:paraId="234156B5" w14:textId="77777777" w:rsidR="00012FAE" w:rsidRPr="00652C95" w:rsidRDefault="00012FAE" w:rsidP="00652C95">
            <w:pPr>
              <w:pStyle w:val="Tabletext"/>
              <w:keepNext/>
              <w:keepLines/>
              <w:jc w:val="center"/>
              <w:cnfStyle w:val="000000100000" w:firstRow="0" w:lastRow="0" w:firstColumn="0" w:lastColumn="0" w:oddVBand="0" w:evenVBand="0" w:oddHBand="1" w:evenHBand="0" w:firstRowFirstColumn="0" w:firstRowLastColumn="0" w:lastRowFirstColumn="0" w:lastRowLastColumn="0"/>
            </w:pPr>
            <w:r w:rsidRPr="00652C95">
              <w:t>0.047 (0.027, 0.067)</w:t>
            </w:r>
          </w:p>
        </w:tc>
      </w:tr>
      <w:tr w:rsidR="006919A9" w:rsidRPr="00652C95" w14:paraId="2D06736D" w14:textId="77777777" w:rsidTr="00945C93">
        <w:trPr>
          <w:trHeight w:val="20"/>
        </w:trPr>
        <w:tc>
          <w:tcPr>
            <w:cnfStyle w:val="001000000000" w:firstRow="0" w:lastRow="0" w:firstColumn="1" w:lastColumn="0" w:oddVBand="0" w:evenVBand="0" w:oddHBand="0" w:evenHBand="0" w:firstRowFirstColumn="0" w:firstRowLastColumn="0" w:lastRowFirstColumn="0" w:lastRowLastColumn="0"/>
            <w:tcW w:w="1334" w:type="pct"/>
            <w:vAlign w:val="center"/>
          </w:tcPr>
          <w:p w14:paraId="7A670B09" w14:textId="77777777" w:rsidR="00012FAE" w:rsidRPr="00652C95" w:rsidRDefault="00012FAE" w:rsidP="00652C95">
            <w:pPr>
              <w:pStyle w:val="Tabletext"/>
              <w:keepNext/>
              <w:keepLines/>
              <w:rPr>
                <w:b w:val="0"/>
              </w:rPr>
            </w:pPr>
            <w:r w:rsidRPr="00652C95">
              <w:rPr>
                <w:b w:val="0"/>
              </w:rPr>
              <w:t>Hyperthyroidism</w:t>
            </w:r>
          </w:p>
        </w:tc>
        <w:tc>
          <w:tcPr>
            <w:tcW w:w="471" w:type="pct"/>
            <w:vAlign w:val="center"/>
          </w:tcPr>
          <w:p w14:paraId="5E1F60CA" w14:textId="77777777" w:rsidR="00012FAE" w:rsidRPr="00652C95" w:rsidRDefault="00012FAE" w:rsidP="00652C95">
            <w:pPr>
              <w:pStyle w:val="Tabletext"/>
              <w:keepNext/>
              <w:keepLines/>
              <w:jc w:val="center"/>
              <w:cnfStyle w:val="000000000000" w:firstRow="0" w:lastRow="0" w:firstColumn="0" w:lastColumn="0" w:oddVBand="0" w:evenVBand="0" w:oddHBand="0" w:evenHBand="0" w:firstRowFirstColumn="0" w:firstRowLastColumn="0" w:lastRowFirstColumn="0" w:lastRowLastColumn="0"/>
            </w:pPr>
            <w:r w:rsidRPr="00652C95">
              <w:t>41</w:t>
            </w:r>
          </w:p>
        </w:tc>
        <w:tc>
          <w:tcPr>
            <w:tcW w:w="393" w:type="pct"/>
            <w:vAlign w:val="center"/>
          </w:tcPr>
          <w:p w14:paraId="74D0FD6C" w14:textId="78A45E71" w:rsidR="00012FAE" w:rsidRPr="00652C95" w:rsidRDefault="00BB1392" w:rsidP="00652C95">
            <w:pPr>
              <w:pStyle w:val="Tabletext"/>
              <w:keepNext/>
              <w:keepLines/>
              <w:jc w:val="center"/>
              <w:cnfStyle w:val="000000000000" w:firstRow="0" w:lastRow="0" w:firstColumn="0" w:lastColumn="0" w:oddVBand="0" w:evenVBand="0" w:oddHBand="0" w:evenHBand="0" w:firstRowFirstColumn="0" w:firstRowLastColumn="0" w:lastRowFirstColumn="0" w:lastRowLastColumn="0"/>
            </w:pPr>
            <w:r w:rsidRPr="00652C95">
              <w:t>(</w:t>
            </w:r>
            <w:r w:rsidR="00012FAE" w:rsidRPr="00652C95">
              <w:t>5.2</w:t>
            </w:r>
            <w:r w:rsidRPr="00652C95">
              <w:t>)</w:t>
            </w:r>
          </w:p>
        </w:tc>
        <w:tc>
          <w:tcPr>
            <w:tcW w:w="393" w:type="pct"/>
            <w:vAlign w:val="center"/>
          </w:tcPr>
          <w:p w14:paraId="1097027C" w14:textId="77777777" w:rsidR="00012FAE" w:rsidRPr="00652C95" w:rsidRDefault="00012FAE" w:rsidP="00652C95">
            <w:pPr>
              <w:pStyle w:val="Tabletext"/>
              <w:keepNext/>
              <w:keepLines/>
              <w:jc w:val="center"/>
              <w:cnfStyle w:val="000000000000" w:firstRow="0" w:lastRow="0" w:firstColumn="0" w:lastColumn="0" w:oddVBand="0" w:evenVBand="0" w:oddHBand="0" w:evenHBand="0" w:firstRowFirstColumn="0" w:firstRowLastColumn="0" w:lastRowFirstColumn="0" w:lastRowLastColumn="0"/>
            </w:pPr>
            <w:r w:rsidRPr="00652C95">
              <w:t>7</w:t>
            </w:r>
          </w:p>
        </w:tc>
        <w:tc>
          <w:tcPr>
            <w:tcW w:w="394" w:type="pct"/>
            <w:vAlign w:val="center"/>
          </w:tcPr>
          <w:p w14:paraId="0C471868" w14:textId="286497E9" w:rsidR="00012FAE" w:rsidRPr="00652C95" w:rsidRDefault="008E0618" w:rsidP="00652C95">
            <w:pPr>
              <w:pStyle w:val="Tabletext"/>
              <w:keepNext/>
              <w:keepLines/>
              <w:jc w:val="center"/>
              <w:cnfStyle w:val="000000000000" w:firstRow="0" w:lastRow="0" w:firstColumn="0" w:lastColumn="0" w:oddVBand="0" w:evenVBand="0" w:oddHBand="0" w:evenHBand="0" w:firstRowFirstColumn="0" w:firstRowLastColumn="0" w:lastRowFirstColumn="0" w:lastRowLastColumn="0"/>
            </w:pPr>
            <w:r w:rsidRPr="00652C95">
              <w:t>(</w:t>
            </w:r>
            <w:r w:rsidR="00012FAE" w:rsidRPr="00652C95">
              <w:t>1.8</w:t>
            </w:r>
            <w:r w:rsidRPr="00652C95">
              <w:t>)</w:t>
            </w:r>
          </w:p>
        </w:tc>
        <w:tc>
          <w:tcPr>
            <w:tcW w:w="1022" w:type="pct"/>
            <w:vAlign w:val="bottom"/>
          </w:tcPr>
          <w:p w14:paraId="1E7FFA97" w14:textId="77777777" w:rsidR="00012FAE" w:rsidRPr="00652C95" w:rsidRDefault="00012FAE" w:rsidP="00652C95">
            <w:pPr>
              <w:pStyle w:val="Tabletext"/>
              <w:keepNext/>
              <w:keepLines/>
              <w:jc w:val="center"/>
              <w:cnfStyle w:val="000000000000" w:firstRow="0" w:lastRow="0" w:firstColumn="0" w:lastColumn="0" w:oddVBand="0" w:evenVBand="0" w:oddHBand="0" w:evenHBand="0" w:firstRowFirstColumn="0" w:firstRowLastColumn="0" w:lastRowFirstColumn="0" w:lastRowLastColumn="0"/>
            </w:pPr>
            <w:r w:rsidRPr="00652C95">
              <w:t>2.91 (1.35, 6.32)</w:t>
            </w:r>
          </w:p>
        </w:tc>
        <w:tc>
          <w:tcPr>
            <w:tcW w:w="993" w:type="pct"/>
            <w:vAlign w:val="bottom"/>
          </w:tcPr>
          <w:p w14:paraId="2EBD3E29" w14:textId="77777777" w:rsidR="00012FAE" w:rsidRPr="00652C95" w:rsidRDefault="00012FAE" w:rsidP="00652C95">
            <w:pPr>
              <w:pStyle w:val="Tabletext"/>
              <w:keepNext/>
              <w:keepLines/>
              <w:jc w:val="center"/>
              <w:cnfStyle w:val="000000000000" w:firstRow="0" w:lastRow="0" w:firstColumn="0" w:lastColumn="0" w:oddVBand="0" w:evenVBand="0" w:oddHBand="0" w:evenHBand="0" w:firstRowFirstColumn="0" w:firstRowLastColumn="0" w:lastRowFirstColumn="0" w:lastRowLastColumn="0"/>
            </w:pPr>
            <w:r w:rsidRPr="00652C95">
              <w:t>0.034 (0.012, 0.055)</w:t>
            </w:r>
          </w:p>
        </w:tc>
      </w:tr>
      <w:tr w:rsidR="006919A9" w:rsidRPr="00652C95" w14:paraId="3D78092C" w14:textId="77777777" w:rsidTr="00945C9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34" w:type="pct"/>
            <w:vAlign w:val="center"/>
          </w:tcPr>
          <w:p w14:paraId="6B86EFD7" w14:textId="77777777" w:rsidR="00012FAE" w:rsidRPr="00652C95" w:rsidRDefault="00012FAE" w:rsidP="00652C95">
            <w:pPr>
              <w:pStyle w:val="Tabletext"/>
              <w:keepNext/>
              <w:keepLines/>
              <w:rPr>
                <w:b w:val="0"/>
              </w:rPr>
            </w:pPr>
            <w:r w:rsidRPr="00652C95">
              <w:rPr>
                <w:b w:val="0"/>
              </w:rPr>
              <w:t>Adrenal insufficiency</w:t>
            </w:r>
          </w:p>
        </w:tc>
        <w:tc>
          <w:tcPr>
            <w:tcW w:w="471" w:type="pct"/>
            <w:vAlign w:val="center"/>
          </w:tcPr>
          <w:p w14:paraId="32AC03BE" w14:textId="77777777" w:rsidR="00012FAE" w:rsidRPr="00652C95" w:rsidRDefault="00012FAE" w:rsidP="00652C95">
            <w:pPr>
              <w:pStyle w:val="Tabletext"/>
              <w:keepNext/>
              <w:keepLines/>
              <w:jc w:val="center"/>
              <w:cnfStyle w:val="000000100000" w:firstRow="0" w:lastRow="0" w:firstColumn="0" w:lastColumn="0" w:oddVBand="0" w:evenVBand="0" w:oddHBand="1" w:evenHBand="0" w:firstRowFirstColumn="0" w:firstRowLastColumn="0" w:lastRowFirstColumn="0" w:lastRowLastColumn="0"/>
            </w:pPr>
            <w:r w:rsidRPr="00652C95">
              <w:t>20</w:t>
            </w:r>
          </w:p>
        </w:tc>
        <w:tc>
          <w:tcPr>
            <w:tcW w:w="393" w:type="pct"/>
            <w:vAlign w:val="center"/>
          </w:tcPr>
          <w:p w14:paraId="0C185496" w14:textId="614C0352" w:rsidR="00012FAE" w:rsidRPr="00652C95" w:rsidRDefault="00BB1392" w:rsidP="00652C95">
            <w:pPr>
              <w:pStyle w:val="Tabletext"/>
              <w:keepNext/>
              <w:keepLines/>
              <w:jc w:val="center"/>
              <w:cnfStyle w:val="000000100000" w:firstRow="0" w:lastRow="0" w:firstColumn="0" w:lastColumn="0" w:oddVBand="0" w:evenVBand="0" w:oddHBand="1" w:evenHBand="0" w:firstRowFirstColumn="0" w:firstRowLastColumn="0" w:lastRowFirstColumn="0" w:lastRowLastColumn="0"/>
            </w:pPr>
            <w:r w:rsidRPr="00652C95">
              <w:t>(</w:t>
            </w:r>
            <w:r w:rsidR="00012FAE" w:rsidRPr="00652C95">
              <w:t>2.6</w:t>
            </w:r>
            <w:r w:rsidRPr="00652C95">
              <w:t>)</w:t>
            </w:r>
          </w:p>
        </w:tc>
        <w:tc>
          <w:tcPr>
            <w:tcW w:w="393" w:type="pct"/>
            <w:vAlign w:val="center"/>
          </w:tcPr>
          <w:p w14:paraId="1C71B9B0" w14:textId="77777777" w:rsidR="00012FAE" w:rsidRPr="00652C95" w:rsidRDefault="00012FAE" w:rsidP="00652C95">
            <w:pPr>
              <w:pStyle w:val="Tabletext"/>
              <w:keepNext/>
              <w:keepLines/>
              <w:jc w:val="center"/>
              <w:cnfStyle w:val="000000100000" w:firstRow="0" w:lastRow="0" w:firstColumn="0" w:lastColumn="0" w:oddVBand="0" w:evenVBand="0" w:oddHBand="1" w:evenHBand="0" w:firstRowFirstColumn="0" w:firstRowLastColumn="0" w:lastRowFirstColumn="0" w:lastRowLastColumn="0"/>
            </w:pPr>
            <w:r w:rsidRPr="00652C95">
              <w:t>0</w:t>
            </w:r>
          </w:p>
        </w:tc>
        <w:tc>
          <w:tcPr>
            <w:tcW w:w="394" w:type="pct"/>
            <w:vAlign w:val="center"/>
          </w:tcPr>
          <w:p w14:paraId="51ED5B72" w14:textId="35914F06" w:rsidR="00012FAE" w:rsidRPr="00652C95" w:rsidRDefault="008E0618" w:rsidP="00652C95">
            <w:pPr>
              <w:pStyle w:val="Tabletext"/>
              <w:keepNext/>
              <w:keepLines/>
              <w:jc w:val="center"/>
              <w:cnfStyle w:val="000000100000" w:firstRow="0" w:lastRow="0" w:firstColumn="0" w:lastColumn="0" w:oddVBand="0" w:evenVBand="0" w:oddHBand="1" w:evenHBand="0" w:firstRowFirstColumn="0" w:firstRowLastColumn="0" w:lastRowFirstColumn="0" w:lastRowLastColumn="0"/>
            </w:pPr>
            <w:r w:rsidRPr="00652C95">
              <w:t>(</w:t>
            </w:r>
            <w:r w:rsidR="00012FAE" w:rsidRPr="00652C95">
              <w:t>0</w:t>
            </w:r>
            <w:r w:rsidRPr="00652C95">
              <w:t>)</w:t>
            </w:r>
          </w:p>
        </w:tc>
        <w:tc>
          <w:tcPr>
            <w:tcW w:w="1022" w:type="pct"/>
            <w:vAlign w:val="bottom"/>
          </w:tcPr>
          <w:p w14:paraId="19D9FB55" w14:textId="77777777" w:rsidR="00012FAE" w:rsidRPr="00652C95" w:rsidRDefault="00012FAE" w:rsidP="00652C95">
            <w:pPr>
              <w:pStyle w:val="Tabletext"/>
              <w:keepNext/>
              <w:keepLines/>
              <w:jc w:val="center"/>
              <w:cnfStyle w:val="000000100000" w:firstRow="0" w:lastRow="0" w:firstColumn="0" w:lastColumn="0" w:oddVBand="0" w:evenVBand="0" w:oddHBand="1" w:evenHBand="0" w:firstRowFirstColumn="0" w:firstRowLastColumn="0" w:lastRowFirstColumn="0" w:lastRowLastColumn="0"/>
            </w:pPr>
            <w:r w:rsidRPr="00652C95">
              <w:t>20.4 (2.61, NE)</w:t>
            </w:r>
          </w:p>
        </w:tc>
        <w:tc>
          <w:tcPr>
            <w:tcW w:w="993" w:type="pct"/>
            <w:vAlign w:val="bottom"/>
          </w:tcPr>
          <w:p w14:paraId="5A8BBA54" w14:textId="55930617" w:rsidR="00012FAE" w:rsidRPr="00652C95" w:rsidRDefault="00012FAE" w:rsidP="00652C95">
            <w:pPr>
              <w:pStyle w:val="Tabletext"/>
              <w:keepNext/>
              <w:keepLines/>
              <w:jc w:val="center"/>
              <w:cnfStyle w:val="000000100000" w:firstRow="0" w:lastRow="0" w:firstColumn="0" w:lastColumn="0" w:oddVBand="0" w:evenVBand="0" w:oddHBand="1" w:evenHBand="0" w:firstRowFirstColumn="0" w:firstRowLastColumn="0" w:lastRowFirstColumn="0" w:lastRowLastColumn="0"/>
            </w:pPr>
            <w:r w:rsidRPr="00652C95">
              <w:t>0.026 (0.016, 0.039)</w:t>
            </w:r>
          </w:p>
        </w:tc>
      </w:tr>
      <w:tr w:rsidR="006919A9" w:rsidRPr="00652C95" w14:paraId="2D7C7444" w14:textId="77777777" w:rsidTr="00945C93">
        <w:trPr>
          <w:trHeight w:val="20"/>
        </w:trPr>
        <w:tc>
          <w:tcPr>
            <w:cnfStyle w:val="001000000000" w:firstRow="0" w:lastRow="0" w:firstColumn="1" w:lastColumn="0" w:oddVBand="0" w:evenVBand="0" w:oddHBand="0" w:evenHBand="0" w:firstRowFirstColumn="0" w:firstRowLastColumn="0" w:lastRowFirstColumn="0" w:lastRowLastColumn="0"/>
            <w:tcW w:w="1334" w:type="pct"/>
            <w:vAlign w:val="center"/>
          </w:tcPr>
          <w:p w14:paraId="6CA97EDE" w14:textId="77777777" w:rsidR="00012FAE" w:rsidRPr="00652C95" w:rsidRDefault="00012FAE" w:rsidP="00652C95">
            <w:pPr>
              <w:pStyle w:val="Tabletext"/>
              <w:keepNext/>
              <w:keepLines/>
              <w:rPr>
                <w:b w:val="0"/>
              </w:rPr>
            </w:pPr>
            <w:proofErr w:type="spellStart"/>
            <w:r w:rsidRPr="00652C95">
              <w:rPr>
                <w:b w:val="0"/>
              </w:rPr>
              <w:t>Hypophysitis</w:t>
            </w:r>
            <w:proofErr w:type="spellEnd"/>
          </w:p>
        </w:tc>
        <w:tc>
          <w:tcPr>
            <w:tcW w:w="471" w:type="pct"/>
            <w:vAlign w:val="center"/>
          </w:tcPr>
          <w:p w14:paraId="3D7507DB" w14:textId="77777777" w:rsidR="00012FAE" w:rsidRPr="00652C95" w:rsidRDefault="00012FAE" w:rsidP="00652C95">
            <w:pPr>
              <w:pStyle w:val="Tabletext"/>
              <w:keepNext/>
              <w:keepLines/>
              <w:jc w:val="center"/>
              <w:cnfStyle w:val="000000000000" w:firstRow="0" w:lastRow="0" w:firstColumn="0" w:lastColumn="0" w:oddVBand="0" w:evenVBand="0" w:oddHBand="0" w:evenHBand="0" w:firstRowFirstColumn="0" w:firstRowLastColumn="0" w:lastRowFirstColumn="0" w:lastRowLastColumn="0"/>
            </w:pPr>
            <w:r w:rsidRPr="00652C95">
              <w:t>15</w:t>
            </w:r>
          </w:p>
        </w:tc>
        <w:tc>
          <w:tcPr>
            <w:tcW w:w="393" w:type="pct"/>
            <w:vAlign w:val="center"/>
          </w:tcPr>
          <w:p w14:paraId="4DBB241D" w14:textId="47C16C9B" w:rsidR="00012FAE" w:rsidRPr="00652C95" w:rsidRDefault="00BB1392" w:rsidP="00652C95">
            <w:pPr>
              <w:pStyle w:val="Tabletext"/>
              <w:keepNext/>
              <w:keepLines/>
              <w:jc w:val="center"/>
              <w:cnfStyle w:val="000000000000" w:firstRow="0" w:lastRow="0" w:firstColumn="0" w:lastColumn="0" w:oddVBand="0" w:evenVBand="0" w:oddHBand="0" w:evenHBand="0" w:firstRowFirstColumn="0" w:firstRowLastColumn="0" w:lastRowFirstColumn="0" w:lastRowLastColumn="0"/>
            </w:pPr>
            <w:r w:rsidRPr="00652C95">
              <w:t>(</w:t>
            </w:r>
            <w:r w:rsidR="00012FAE" w:rsidRPr="00652C95">
              <w:t>1.9</w:t>
            </w:r>
            <w:r w:rsidRPr="00652C95">
              <w:t>)</w:t>
            </w:r>
          </w:p>
        </w:tc>
        <w:tc>
          <w:tcPr>
            <w:tcW w:w="393" w:type="pct"/>
            <w:vAlign w:val="center"/>
          </w:tcPr>
          <w:p w14:paraId="1F655849" w14:textId="77777777" w:rsidR="00012FAE" w:rsidRPr="00652C95" w:rsidRDefault="00012FAE" w:rsidP="00652C95">
            <w:pPr>
              <w:pStyle w:val="Tabletext"/>
              <w:keepNext/>
              <w:keepLines/>
              <w:jc w:val="center"/>
              <w:cnfStyle w:val="000000000000" w:firstRow="0" w:lastRow="0" w:firstColumn="0" w:lastColumn="0" w:oddVBand="0" w:evenVBand="0" w:oddHBand="0" w:evenHBand="0" w:firstRowFirstColumn="0" w:firstRowLastColumn="0" w:lastRowFirstColumn="0" w:lastRowLastColumn="0"/>
            </w:pPr>
            <w:r w:rsidRPr="00652C95">
              <w:t>1</w:t>
            </w:r>
          </w:p>
        </w:tc>
        <w:tc>
          <w:tcPr>
            <w:tcW w:w="394" w:type="pct"/>
            <w:vAlign w:val="center"/>
          </w:tcPr>
          <w:p w14:paraId="0DF8A3A4" w14:textId="3D7860B6" w:rsidR="00012FAE" w:rsidRPr="00652C95" w:rsidRDefault="008E0618" w:rsidP="00652C95">
            <w:pPr>
              <w:pStyle w:val="Tabletext"/>
              <w:keepNext/>
              <w:keepLines/>
              <w:jc w:val="center"/>
              <w:cnfStyle w:val="000000000000" w:firstRow="0" w:lastRow="0" w:firstColumn="0" w:lastColumn="0" w:oddVBand="0" w:evenVBand="0" w:oddHBand="0" w:evenHBand="0" w:firstRowFirstColumn="0" w:firstRowLastColumn="0" w:lastRowFirstColumn="0" w:lastRowLastColumn="0"/>
            </w:pPr>
            <w:r w:rsidRPr="00652C95">
              <w:t>(</w:t>
            </w:r>
            <w:r w:rsidR="00012FAE" w:rsidRPr="00652C95">
              <w:t>0.3</w:t>
            </w:r>
            <w:r w:rsidRPr="00652C95">
              <w:t>)</w:t>
            </w:r>
          </w:p>
        </w:tc>
        <w:tc>
          <w:tcPr>
            <w:tcW w:w="1022" w:type="pct"/>
            <w:vAlign w:val="bottom"/>
          </w:tcPr>
          <w:p w14:paraId="16AA8A1F" w14:textId="77777777" w:rsidR="00012FAE" w:rsidRPr="00652C95" w:rsidRDefault="00012FAE" w:rsidP="00652C95">
            <w:pPr>
              <w:pStyle w:val="Tabletext"/>
              <w:keepNext/>
              <w:keepLines/>
              <w:jc w:val="center"/>
              <w:cnfStyle w:val="000000000000" w:firstRow="0" w:lastRow="0" w:firstColumn="0" w:lastColumn="0" w:oddVBand="0" w:evenVBand="0" w:oddHBand="0" w:evenHBand="0" w:firstRowFirstColumn="0" w:firstRowLastColumn="0" w:lastRowFirstColumn="0" w:lastRowLastColumn="0"/>
            </w:pPr>
            <w:r w:rsidRPr="00652C95">
              <w:t>7.45 (1.27, 44.13)</w:t>
            </w:r>
          </w:p>
        </w:tc>
        <w:tc>
          <w:tcPr>
            <w:tcW w:w="993" w:type="pct"/>
            <w:vAlign w:val="bottom"/>
          </w:tcPr>
          <w:p w14:paraId="27817BF0" w14:textId="77777777" w:rsidR="00012FAE" w:rsidRPr="00652C95" w:rsidRDefault="00012FAE" w:rsidP="00652C95">
            <w:pPr>
              <w:pStyle w:val="Tabletext"/>
              <w:keepNext/>
              <w:keepLines/>
              <w:jc w:val="center"/>
              <w:cnfStyle w:val="000000000000" w:firstRow="0" w:lastRow="0" w:firstColumn="0" w:lastColumn="0" w:oddVBand="0" w:evenVBand="0" w:oddHBand="0" w:evenHBand="0" w:firstRowFirstColumn="0" w:firstRowLastColumn="0" w:lastRowFirstColumn="0" w:lastRowLastColumn="0"/>
            </w:pPr>
            <w:r w:rsidRPr="00652C95">
              <w:t>0.017 (0.004, 0.029)</w:t>
            </w:r>
          </w:p>
        </w:tc>
      </w:tr>
    </w:tbl>
    <w:p w14:paraId="7F6F8018" w14:textId="77777777" w:rsidR="00317929" w:rsidRPr="006919A9" w:rsidRDefault="00317929" w:rsidP="00317929">
      <w:pPr>
        <w:rPr>
          <w:rFonts w:ascii="Arial Narrow" w:hAnsi="Arial Narrow"/>
          <w:sz w:val="18"/>
          <w:szCs w:val="18"/>
        </w:rPr>
      </w:pPr>
      <w:r w:rsidRPr="006919A9">
        <w:rPr>
          <w:rFonts w:ascii="Arial Narrow" w:hAnsi="Arial Narrow"/>
          <w:sz w:val="18"/>
          <w:szCs w:val="18"/>
        </w:rPr>
        <w:t>Source: Table 12-14, p183 and Table 12-15, pp186-189, IA4 CSR</w:t>
      </w:r>
    </w:p>
    <w:p w14:paraId="17FEAD8B" w14:textId="77777777" w:rsidR="00012FAE" w:rsidRPr="006919A9" w:rsidRDefault="00012FAE" w:rsidP="00012FAE">
      <w:pPr>
        <w:rPr>
          <w:rFonts w:ascii="Arial Narrow" w:hAnsi="Arial Narrow"/>
          <w:sz w:val="18"/>
          <w:szCs w:val="18"/>
        </w:rPr>
      </w:pPr>
      <w:r w:rsidRPr="006919A9">
        <w:rPr>
          <w:rFonts w:ascii="Arial Narrow" w:hAnsi="Arial Narrow"/>
          <w:sz w:val="18"/>
          <w:szCs w:val="18"/>
        </w:rPr>
        <w:t>AEOSI = adverse events of special interest; chemo = chemotherapy; NE = not estimable RD = risk difference, RR = relative risk</w:t>
      </w:r>
    </w:p>
    <w:p w14:paraId="3E7E9064" w14:textId="118A75A5" w:rsidR="00012FAE" w:rsidRPr="00AA43F3" w:rsidRDefault="00012FAE" w:rsidP="00AA43F3">
      <w:pPr>
        <w:rPr>
          <w:rFonts w:ascii="Arial Narrow" w:hAnsi="Arial Narrow"/>
          <w:sz w:val="18"/>
          <w:szCs w:val="18"/>
        </w:rPr>
      </w:pPr>
      <w:r w:rsidRPr="006919A9">
        <w:rPr>
          <w:rFonts w:ascii="Arial Narrow" w:hAnsi="Arial Narrow"/>
          <w:sz w:val="18"/>
          <w:szCs w:val="18"/>
        </w:rPr>
        <w:t xml:space="preserve">RD and RR calculated using </w:t>
      </w:r>
      <w:proofErr w:type="spellStart"/>
      <w:r w:rsidRPr="006919A9">
        <w:rPr>
          <w:rFonts w:ascii="Arial Narrow" w:hAnsi="Arial Narrow"/>
          <w:sz w:val="18"/>
          <w:szCs w:val="18"/>
        </w:rPr>
        <w:t>statsdirect</w:t>
      </w:r>
      <w:proofErr w:type="spellEnd"/>
      <w:r w:rsidRPr="006919A9">
        <w:rPr>
          <w:rFonts w:ascii="Arial Narrow" w:hAnsi="Arial Narrow"/>
          <w:sz w:val="18"/>
          <w:szCs w:val="18"/>
        </w:rPr>
        <w:t xml:space="preserve"> during evaluation</w:t>
      </w:r>
    </w:p>
    <w:p w14:paraId="04908C7F" w14:textId="415B9B7D" w:rsidR="007F1017" w:rsidRPr="006919A9" w:rsidRDefault="007F1017" w:rsidP="000B0CFE">
      <w:pPr>
        <w:pStyle w:val="4-SubsectionHeading"/>
        <w:spacing w:before="240"/>
      </w:pPr>
      <w:bookmarkStart w:id="36" w:name="_Toc22897643"/>
      <w:bookmarkStart w:id="37" w:name="_Toc124710216"/>
      <w:r w:rsidRPr="006919A9">
        <w:t>Benefits/harms</w:t>
      </w:r>
      <w:bookmarkEnd w:id="36"/>
      <w:bookmarkEnd w:id="37"/>
    </w:p>
    <w:p w14:paraId="1CB772FF" w14:textId="0E49D6BF" w:rsidR="00E723BA" w:rsidRPr="006919A9" w:rsidRDefault="00EC00C9" w:rsidP="006C49F1">
      <w:pPr>
        <w:pStyle w:val="3-BodyText"/>
        <w:rPr>
          <w:rStyle w:val="CommentReference"/>
          <w:rFonts w:asciiTheme="minorHAnsi" w:hAnsiTheme="minorHAnsi"/>
          <w:b w:val="0"/>
          <w:sz w:val="24"/>
          <w:szCs w:val="24"/>
        </w:rPr>
      </w:pPr>
      <w:r w:rsidRPr="006919A9">
        <w:t xml:space="preserve">A summary of the comparative benefits and harms </w:t>
      </w:r>
      <w:r w:rsidR="006C49F1" w:rsidRPr="006919A9">
        <w:t xml:space="preserve">for pembrolizumab </w:t>
      </w:r>
      <w:r w:rsidR="00317929">
        <w:t>+</w:t>
      </w:r>
      <w:r w:rsidR="00317929" w:rsidRPr="006919A9">
        <w:t xml:space="preserve"> </w:t>
      </w:r>
      <w:r w:rsidR="006C49F1" w:rsidRPr="006919A9">
        <w:t>chemotherapy</w:t>
      </w:r>
      <w:r w:rsidRPr="006919A9">
        <w:t xml:space="preserve"> versus </w:t>
      </w:r>
      <w:r w:rsidR="006C49F1" w:rsidRPr="006919A9">
        <w:t xml:space="preserve">placebo </w:t>
      </w:r>
      <w:r w:rsidR="00317929">
        <w:t>+</w:t>
      </w:r>
      <w:r w:rsidR="00317929" w:rsidRPr="006919A9">
        <w:t xml:space="preserve"> </w:t>
      </w:r>
      <w:r w:rsidR="006C49F1" w:rsidRPr="006919A9">
        <w:t xml:space="preserve">chemotherapy </w:t>
      </w:r>
      <w:r w:rsidRPr="006919A9">
        <w:t>is presented in</w:t>
      </w:r>
      <w:r w:rsidR="00E16AD8" w:rsidRPr="006919A9">
        <w:t xml:space="preserve"> </w:t>
      </w:r>
      <w:r w:rsidR="00E16AD8" w:rsidRPr="006919A9">
        <w:fldChar w:fldCharType="begin" w:fldLock="1"/>
      </w:r>
      <w:r w:rsidR="00E16AD8" w:rsidRPr="006919A9">
        <w:instrText xml:space="preserve"> REF _Ref104805037 \h </w:instrText>
      </w:r>
      <w:r w:rsidR="00E16AD8" w:rsidRPr="006919A9">
        <w:fldChar w:fldCharType="separate"/>
      </w:r>
      <w:r w:rsidR="0067416F" w:rsidRPr="006919A9">
        <w:t xml:space="preserve">Table </w:t>
      </w:r>
      <w:r w:rsidR="0067416F">
        <w:rPr>
          <w:noProof/>
        </w:rPr>
        <w:t>9</w:t>
      </w:r>
      <w:r w:rsidR="00E16AD8" w:rsidRPr="006919A9">
        <w:fldChar w:fldCharType="end"/>
      </w:r>
      <w:r w:rsidRPr="006919A9">
        <w:t>.</w:t>
      </w:r>
    </w:p>
    <w:p w14:paraId="04AC1B54" w14:textId="5B4DFA52" w:rsidR="00B62715" w:rsidRPr="006919A9" w:rsidRDefault="00D6076E" w:rsidP="00D6076E">
      <w:pPr>
        <w:pStyle w:val="Caption"/>
        <w:rPr>
          <w:rStyle w:val="CommentReference"/>
          <w:b/>
          <w:szCs w:val="24"/>
        </w:rPr>
      </w:pPr>
      <w:bookmarkStart w:id="38" w:name="_Ref104805037"/>
      <w:r w:rsidRPr="006919A9">
        <w:lastRenderedPageBreak/>
        <w:t xml:space="preserve">Table </w:t>
      </w:r>
      <w:fldSimple w:instr=" SEQ Table \* ARABIC " w:fldLock="1">
        <w:r w:rsidR="0067416F">
          <w:rPr>
            <w:noProof/>
          </w:rPr>
          <w:t>9</w:t>
        </w:r>
      </w:fldSimple>
      <w:bookmarkEnd w:id="38"/>
      <w:r w:rsidRPr="006919A9">
        <w:t xml:space="preserve">: </w:t>
      </w:r>
      <w:r w:rsidR="00B62715" w:rsidRPr="006919A9">
        <w:rPr>
          <w:rStyle w:val="CommentReference"/>
          <w:b/>
          <w:szCs w:val="24"/>
        </w:rPr>
        <w:t xml:space="preserve">Summary of comparative benefits and harms </w:t>
      </w:r>
      <w:r w:rsidR="009178B1" w:rsidRPr="006919A9">
        <w:rPr>
          <w:rStyle w:val="CommentReference"/>
          <w:b/>
          <w:szCs w:val="24"/>
        </w:rPr>
        <w:t xml:space="preserve">for pembrolizumab plus chemotherapy </w:t>
      </w:r>
      <w:r w:rsidR="00B62715" w:rsidRPr="006919A9">
        <w:rPr>
          <w:rStyle w:val="CommentReference"/>
          <w:b/>
          <w:szCs w:val="24"/>
        </w:rPr>
        <w:t xml:space="preserve">and </w:t>
      </w:r>
      <w:r w:rsidR="009178B1" w:rsidRPr="006919A9">
        <w:rPr>
          <w:rStyle w:val="CommentReference"/>
          <w:b/>
          <w:szCs w:val="24"/>
        </w:rPr>
        <w:t>placebo plus chemotherapy</w:t>
      </w:r>
    </w:p>
    <w:tbl>
      <w:tblPr>
        <w:tblW w:w="5000" w:type="pct"/>
        <w:tblLayout w:type="fixed"/>
        <w:tblCellMar>
          <w:left w:w="28" w:type="dxa"/>
          <w:right w:w="28" w:type="dxa"/>
        </w:tblCellMar>
        <w:tblLook w:val="04A0" w:firstRow="1" w:lastRow="0" w:firstColumn="1" w:lastColumn="0" w:noHBand="0" w:noVBand="1"/>
      </w:tblPr>
      <w:tblGrid>
        <w:gridCol w:w="570"/>
        <w:gridCol w:w="1495"/>
        <w:gridCol w:w="1529"/>
        <w:gridCol w:w="1892"/>
        <w:gridCol w:w="988"/>
        <w:gridCol w:w="999"/>
        <w:gridCol w:w="1544"/>
      </w:tblGrid>
      <w:tr w:rsidR="006919A9" w:rsidRPr="006919A9" w14:paraId="0AEC7DE3" w14:textId="77777777" w:rsidTr="00FE7ED6">
        <w:trPr>
          <w:cantSplit/>
          <w:trHeight w:val="150"/>
          <w:tblHeader/>
        </w:trPr>
        <w:tc>
          <w:tcPr>
            <w:tcW w:w="1145"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9A122BB" w14:textId="77777777" w:rsidR="00DB6946" w:rsidRPr="006919A9" w:rsidRDefault="00DB6946" w:rsidP="006C49F1">
            <w:pPr>
              <w:pStyle w:val="In-tableHeading"/>
              <w:rPr>
                <w:lang w:val="en-AU"/>
              </w:rPr>
            </w:pPr>
            <w:r w:rsidRPr="006919A9">
              <w:rPr>
                <w:lang w:val="en-AU"/>
              </w:rPr>
              <w:t>Trial</w:t>
            </w:r>
          </w:p>
        </w:tc>
        <w:tc>
          <w:tcPr>
            <w:tcW w:w="848" w:type="pct"/>
            <w:vMerge w:val="restart"/>
            <w:tcBorders>
              <w:top w:val="single" w:sz="4" w:space="0" w:color="auto"/>
              <w:left w:val="single" w:sz="4" w:space="0" w:color="auto"/>
              <w:bottom w:val="single" w:sz="4" w:space="0" w:color="auto"/>
              <w:right w:val="single" w:sz="4" w:space="0" w:color="auto"/>
            </w:tcBorders>
            <w:vAlign w:val="center"/>
          </w:tcPr>
          <w:p w14:paraId="15BE4923" w14:textId="39B08D9A" w:rsidR="00DB6946" w:rsidRPr="006919A9" w:rsidRDefault="00DB6946" w:rsidP="006C49F1">
            <w:pPr>
              <w:pStyle w:val="In-tableHeading"/>
              <w:jc w:val="center"/>
              <w:rPr>
                <w:lang w:val="en-AU"/>
              </w:rPr>
            </w:pPr>
            <w:r w:rsidRPr="006919A9">
              <w:rPr>
                <w:lang w:val="en-AU"/>
              </w:rPr>
              <w:t>Pembro + chemo</w:t>
            </w:r>
          </w:p>
        </w:tc>
        <w:tc>
          <w:tcPr>
            <w:tcW w:w="1049" w:type="pct"/>
            <w:vMerge w:val="restart"/>
            <w:tcBorders>
              <w:top w:val="single" w:sz="4" w:space="0" w:color="auto"/>
              <w:left w:val="single" w:sz="4" w:space="0" w:color="auto"/>
              <w:right w:val="single" w:sz="4" w:space="0" w:color="auto"/>
            </w:tcBorders>
            <w:vAlign w:val="center"/>
          </w:tcPr>
          <w:p w14:paraId="6A554608" w14:textId="2D195111" w:rsidR="00DB6946" w:rsidRPr="006919A9" w:rsidRDefault="00DB6946" w:rsidP="006C49F1">
            <w:pPr>
              <w:pStyle w:val="In-tableHeading"/>
              <w:jc w:val="center"/>
              <w:rPr>
                <w:lang w:val="en-AU"/>
              </w:rPr>
            </w:pPr>
            <w:r w:rsidRPr="006919A9">
              <w:rPr>
                <w:lang w:val="en-AU"/>
              </w:rPr>
              <w:t>Placebo + chemo</w:t>
            </w:r>
          </w:p>
        </w:tc>
        <w:tc>
          <w:tcPr>
            <w:tcW w:w="1102" w:type="pct"/>
            <w:gridSpan w:val="2"/>
            <w:tcBorders>
              <w:top w:val="single" w:sz="4" w:space="0" w:color="auto"/>
              <w:left w:val="single" w:sz="4" w:space="0" w:color="auto"/>
              <w:bottom w:val="single" w:sz="4" w:space="0" w:color="auto"/>
              <w:right w:val="single" w:sz="4" w:space="0" w:color="auto"/>
            </w:tcBorders>
            <w:vAlign w:val="center"/>
          </w:tcPr>
          <w:p w14:paraId="646C99FD" w14:textId="018E429D" w:rsidR="00DB6946" w:rsidRPr="006919A9" w:rsidRDefault="00DB6946" w:rsidP="006C49F1">
            <w:pPr>
              <w:pStyle w:val="In-tableHeading"/>
              <w:jc w:val="center"/>
              <w:rPr>
                <w:lang w:val="en-AU"/>
              </w:rPr>
            </w:pPr>
            <w:r w:rsidRPr="006919A9">
              <w:rPr>
                <w:lang w:val="en-AU"/>
              </w:rPr>
              <w:t>Event rate/100 patients*</w:t>
            </w:r>
          </w:p>
        </w:tc>
        <w:tc>
          <w:tcPr>
            <w:tcW w:w="856" w:type="pct"/>
            <w:vMerge w:val="restart"/>
            <w:tcBorders>
              <w:top w:val="single" w:sz="4" w:space="0" w:color="auto"/>
              <w:left w:val="single" w:sz="4" w:space="0" w:color="auto"/>
              <w:bottom w:val="single" w:sz="4" w:space="0" w:color="auto"/>
              <w:right w:val="single" w:sz="4" w:space="0" w:color="auto"/>
            </w:tcBorders>
            <w:vAlign w:val="center"/>
          </w:tcPr>
          <w:p w14:paraId="355C6D21" w14:textId="5401D2B5" w:rsidR="00DB6946" w:rsidRPr="006919A9" w:rsidRDefault="00DB6946" w:rsidP="006C49F1">
            <w:pPr>
              <w:pStyle w:val="In-tableHeading"/>
              <w:jc w:val="center"/>
              <w:rPr>
                <w:lang w:val="en-AU"/>
              </w:rPr>
            </w:pPr>
            <w:r w:rsidRPr="006919A9">
              <w:rPr>
                <w:lang w:val="en-AU"/>
              </w:rPr>
              <w:t>Difference in %</w:t>
            </w:r>
          </w:p>
          <w:p w14:paraId="35D36C3F" w14:textId="77777777" w:rsidR="00DB6946" w:rsidRPr="006919A9" w:rsidRDefault="00DB6946" w:rsidP="006C49F1">
            <w:pPr>
              <w:pStyle w:val="In-tableHeading"/>
              <w:jc w:val="center"/>
              <w:rPr>
                <w:lang w:val="en-AU"/>
              </w:rPr>
            </w:pPr>
            <w:r w:rsidRPr="006919A9">
              <w:rPr>
                <w:lang w:val="en-AU"/>
              </w:rPr>
              <w:t>(95% CI)</w:t>
            </w:r>
          </w:p>
        </w:tc>
      </w:tr>
      <w:tr w:rsidR="006919A9" w:rsidRPr="006919A9" w14:paraId="2BC84D66" w14:textId="77777777" w:rsidTr="00AA43F3">
        <w:trPr>
          <w:cantSplit/>
          <w:trHeight w:val="315"/>
        </w:trPr>
        <w:tc>
          <w:tcPr>
            <w:tcW w:w="1145"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2DA62E81" w14:textId="77777777" w:rsidR="00DB6946" w:rsidRPr="006919A9" w:rsidRDefault="00DB6946" w:rsidP="006C49F1">
            <w:pPr>
              <w:pStyle w:val="In-tableHeading"/>
              <w:jc w:val="center"/>
              <w:rPr>
                <w:lang w:val="en-AU"/>
              </w:rPr>
            </w:pPr>
          </w:p>
        </w:tc>
        <w:tc>
          <w:tcPr>
            <w:tcW w:w="848" w:type="pct"/>
            <w:vMerge/>
            <w:tcBorders>
              <w:top w:val="single" w:sz="4" w:space="0" w:color="auto"/>
              <w:left w:val="single" w:sz="4" w:space="0" w:color="auto"/>
              <w:bottom w:val="single" w:sz="4" w:space="0" w:color="auto"/>
              <w:right w:val="single" w:sz="4" w:space="0" w:color="auto"/>
            </w:tcBorders>
            <w:vAlign w:val="center"/>
          </w:tcPr>
          <w:p w14:paraId="5B52D7D0" w14:textId="77777777" w:rsidR="00DB6946" w:rsidRPr="006919A9" w:rsidRDefault="00DB6946" w:rsidP="006C49F1">
            <w:pPr>
              <w:pStyle w:val="In-tableHeading"/>
              <w:jc w:val="center"/>
              <w:rPr>
                <w:lang w:val="en-AU"/>
              </w:rPr>
            </w:pPr>
          </w:p>
        </w:tc>
        <w:tc>
          <w:tcPr>
            <w:tcW w:w="1049" w:type="pct"/>
            <w:vMerge/>
            <w:tcBorders>
              <w:left w:val="single" w:sz="4" w:space="0" w:color="auto"/>
              <w:bottom w:val="single" w:sz="4" w:space="0" w:color="auto"/>
              <w:right w:val="single" w:sz="4" w:space="0" w:color="auto"/>
            </w:tcBorders>
            <w:vAlign w:val="center"/>
          </w:tcPr>
          <w:p w14:paraId="4BBFDD02" w14:textId="77777777" w:rsidR="00DB6946" w:rsidRPr="006919A9" w:rsidRDefault="00DB6946" w:rsidP="006C49F1">
            <w:pPr>
              <w:pStyle w:val="In-tableHeading"/>
              <w:jc w:val="center"/>
              <w:rPr>
                <w:lang w:val="en-AU"/>
              </w:rPr>
            </w:pPr>
          </w:p>
        </w:tc>
        <w:tc>
          <w:tcPr>
            <w:tcW w:w="548" w:type="pct"/>
            <w:tcBorders>
              <w:top w:val="single" w:sz="4" w:space="0" w:color="auto"/>
              <w:left w:val="single" w:sz="4" w:space="0" w:color="auto"/>
              <w:bottom w:val="single" w:sz="4" w:space="0" w:color="auto"/>
              <w:right w:val="single" w:sz="4" w:space="0" w:color="auto"/>
            </w:tcBorders>
            <w:vAlign w:val="center"/>
          </w:tcPr>
          <w:p w14:paraId="1A8E703E" w14:textId="2618A32E" w:rsidR="00DB6946" w:rsidRPr="006919A9" w:rsidRDefault="00DB6946" w:rsidP="006C49F1">
            <w:pPr>
              <w:pStyle w:val="In-tableHeading"/>
              <w:jc w:val="center"/>
              <w:rPr>
                <w:lang w:val="en-AU"/>
              </w:rPr>
            </w:pPr>
            <w:r w:rsidRPr="006919A9">
              <w:rPr>
                <w:lang w:val="en-AU"/>
              </w:rPr>
              <w:t>Pembro + chemo</w:t>
            </w:r>
          </w:p>
        </w:tc>
        <w:tc>
          <w:tcPr>
            <w:tcW w:w="553" w:type="pct"/>
            <w:tcBorders>
              <w:top w:val="single" w:sz="4" w:space="0" w:color="auto"/>
              <w:left w:val="single" w:sz="4" w:space="0" w:color="auto"/>
              <w:bottom w:val="single" w:sz="4" w:space="0" w:color="auto"/>
              <w:right w:val="single" w:sz="4" w:space="0" w:color="auto"/>
            </w:tcBorders>
            <w:vAlign w:val="center"/>
          </w:tcPr>
          <w:p w14:paraId="4AB0EBBD" w14:textId="107F9577" w:rsidR="00DB6946" w:rsidRPr="006919A9" w:rsidRDefault="00DB6946" w:rsidP="006C49F1">
            <w:pPr>
              <w:pStyle w:val="In-tableHeading"/>
              <w:jc w:val="center"/>
              <w:rPr>
                <w:lang w:val="en-AU"/>
              </w:rPr>
            </w:pPr>
            <w:r w:rsidRPr="006919A9">
              <w:rPr>
                <w:lang w:val="en-AU"/>
              </w:rPr>
              <w:t>Placebo + chemo</w:t>
            </w:r>
          </w:p>
        </w:tc>
        <w:tc>
          <w:tcPr>
            <w:tcW w:w="856" w:type="pct"/>
            <w:vMerge/>
            <w:tcBorders>
              <w:top w:val="single" w:sz="4" w:space="0" w:color="auto"/>
              <w:left w:val="single" w:sz="4" w:space="0" w:color="auto"/>
              <w:bottom w:val="single" w:sz="4" w:space="0" w:color="auto"/>
              <w:right w:val="single" w:sz="4" w:space="0" w:color="auto"/>
            </w:tcBorders>
            <w:vAlign w:val="center"/>
          </w:tcPr>
          <w:p w14:paraId="00508343" w14:textId="77777777" w:rsidR="00DB6946" w:rsidRPr="006919A9" w:rsidRDefault="00DB6946" w:rsidP="006C49F1">
            <w:pPr>
              <w:pStyle w:val="In-tableHeading"/>
              <w:jc w:val="center"/>
              <w:rPr>
                <w:lang w:val="en-AU"/>
              </w:rPr>
            </w:pPr>
          </w:p>
        </w:tc>
      </w:tr>
      <w:tr w:rsidR="006919A9" w:rsidRPr="006919A9" w14:paraId="54718D2E" w14:textId="77777777" w:rsidTr="006B35E6">
        <w:trPr>
          <w:cantSplit/>
        </w:trPr>
        <w:tc>
          <w:tcPr>
            <w:tcW w:w="5000" w:type="pct"/>
            <w:gridSpan w:val="7"/>
            <w:tcBorders>
              <w:top w:val="single" w:sz="4" w:space="0" w:color="auto"/>
              <w:left w:val="single" w:sz="4" w:space="0" w:color="auto"/>
              <w:bottom w:val="double" w:sz="4" w:space="0" w:color="auto"/>
              <w:right w:val="single" w:sz="4" w:space="0" w:color="auto"/>
            </w:tcBorders>
            <w:shd w:val="clear" w:color="auto" w:fill="auto"/>
            <w:vAlign w:val="center"/>
          </w:tcPr>
          <w:p w14:paraId="3E4E1467" w14:textId="77777777" w:rsidR="00B62715" w:rsidRPr="006919A9" w:rsidRDefault="00B62715" w:rsidP="00D2155B">
            <w:pPr>
              <w:pStyle w:val="In-tableHeading"/>
              <w:rPr>
                <w:lang w:val="en-AU"/>
              </w:rPr>
            </w:pPr>
            <w:r w:rsidRPr="006919A9">
              <w:rPr>
                <w:lang w:val="en-AU"/>
              </w:rPr>
              <w:t>Benefits</w:t>
            </w:r>
          </w:p>
        </w:tc>
      </w:tr>
      <w:tr w:rsidR="006919A9" w:rsidRPr="006919A9" w14:paraId="383DC5CE" w14:textId="77777777" w:rsidTr="006B35E6">
        <w:trPr>
          <w:cantSplit/>
        </w:trPr>
        <w:tc>
          <w:tcPr>
            <w:tcW w:w="5000" w:type="pct"/>
            <w:gridSpan w:val="7"/>
            <w:tcBorders>
              <w:top w:val="double" w:sz="4" w:space="0" w:color="auto"/>
              <w:left w:val="single" w:sz="4" w:space="0" w:color="auto"/>
              <w:bottom w:val="single" w:sz="4" w:space="0" w:color="auto"/>
              <w:right w:val="single" w:sz="4" w:space="0" w:color="auto"/>
            </w:tcBorders>
            <w:shd w:val="clear" w:color="auto" w:fill="auto"/>
            <w:vAlign w:val="center"/>
          </w:tcPr>
          <w:p w14:paraId="23420EC8" w14:textId="37F29C6E" w:rsidR="00B62715" w:rsidRPr="006919A9" w:rsidRDefault="006C49F1" w:rsidP="00D2155B">
            <w:pPr>
              <w:pStyle w:val="In-tableHeading"/>
              <w:rPr>
                <w:lang w:val="en-AU"/>
              </w:rPr>
            </w:pPr>
            <w:r w:rsidRPr="006919A9">
              <w:rPr>
                <w:lang w:val="en-AU"/>
              </w:rPr>
              <w:t xml:space="preserve">pCR rate </w:t>
            </w:r>
          </w:p>
        </w:tc>
      </w:tr>
      <w:tr w:rsidR="006919A9" w:rsidRPr="006919A9" w14:paraId="20423A16" w14:textId="77777777" w:rsidTr="00AA43F3">
        <w:trPr>
          <w:cantSplit/>
        </w:trPr>
        <w:tc>
          <w:tcPr>
            <w:tcW w:w="316" w:type="pct"/>
            <w:vMerge w:val="restart"/>
            <w:tcBorders>
              <w:top w:val="single" w:sz="4" w:space="0" w:color="auto"/>
              <w:left w:val="single" w:sz="4" w:space="0" w:color="auto"/>
              <w:right w:val="single" w:sz="4" w:space="0" w:color="auto"/>
            </w:tcBorders>
            <w:shd w:val="clear" w:color="auto" w:fill="auto"/>
            <w:vAlign w:val="center"/>
          </w:tcPr>
          <w:p w14:paraId="3C57F98E" w14:textId="77777777" w:rsidR="00FE7ED6" w:rsidRPr="006919A9" w:rsidRDefault="00FE7ED6" w:rsidP="006C49F1">
            <w:pPr>
              <w:pStyle w:val="TableText0"/>
            </w:pPr>
            <w:r w:rsidRPr="006919A9">
              <w:t>IA4</w:t>
            </w:r>
          </w:p>
        </w:tc>
        <w:tc>
          <w:tcPr>
            <w:tcW w:w="829" w:type="pct"/>
            <w:tcBorders>
              <w:top w:val="single" w:sz="4" w:space="0" w:color="auto"/>
              <w:left w:val="single" w:sz="4" w:space="0" w:color="auto"/>
              <w:bottom w:val="single" w:sz="4" w:space="0" w:color="auto"/>
              <w:right w:val="single" w:sz="4" w:space="0" w:color="auto"/>
            </w:tcBorders>
            <w:shd w:val="clear" w:color="auto" w:fill="auto"/>
            <w:vAlign w:val="center"/>
          </w:tcPr>
          <w:p w14:paraId="34DA3DB0" w14:textId="7F399FCD" w:rsidR="00FE7ED6" w:rsidRPr="006919A9" w:rsidRDefault="00FE7ED6" w:rsidP="006C49F1">
            <w:pPr>
              <w:pStyle w:val="TableText0"/>
            </w:pPr>
            <w:r w:rsidRPr="006919A9">
              <w:t>n/N</w:t>
            </w:r>
          </w:p>
        </w:tc>
        <w:tc>
          <w:tcPr>
            <w:tcW w:w="848" w:type="pct"/>
            <w:tcBorders>
              <w:top w:val="single" w:sz="4" w:space="0" w:color="auto"/>
              <w:left w:val="single" w:sz="4" w:space="0" w:color="auto"/>
              <w:bottom w:val="single" w:sz="4" w:space="0" w:color="auto"/>
              <w:right w:val="single" w:sz="4" w:space="0" w:color="auto"/>
            </w:tcBorders>
            <w:vAlign w:val="center"/>
          </w:tcPr>
          <w:p w14:paraId="337D5836" w14:textId="0F5735A9" w:rsidR="00FE7ED6" w:rsidRPr="006919A9" w:rsidRDefault="00FE7ED6" w:rsidP="006C49F1">
            <w:pPr>
              <w:pStyle w:val="TableText0"/>
              <w:jc w:val="center"/>
            </w:pPr>
            <w:r w:rsidRPr="006919A9">
              <w:t>494/784</w:t>
            </w:r>
          </w:p>
        </w:tc>
        <w:tc>
          <w:tcPr>
            <w:tcW w:w="1049" w:type="pct"/>
            <w:tcBorders>
              <w:top w:val="single" w:sz="4" w:space="0" w:color="auto"/>
              <w:left w:val="single" w:sz="4" w:space="0" w:color="auto"/>
              <w:bottom w:val="single" w:sz="4" w:space="0" w:color="auto"/>
              <w:right w:val="single" w:sz="4" w:space="0" w:color="auto"/>
            </w:tcBorders>
            <w:vAlign w:val="center"/>
          </w:tcPr>
          <w:p w14:paraId="39C874E6" w14:textId="15ED40A5" w:rsidR="00FE7ED6" w:rsidRPr="006919A9" w:rsidRDefault="00FE7ED6" w:rsidP="006C49F1">
            <w:pPr>
              <w:pStyle w:val="TableText0"/>
              <w:jc w:val="center"/>
            </w:pPr>
            <w:r w:rsidRPr="006919A9">
              <w:t>217/390</w:t>
            </w:r>
          </w:p>
        </w:tc>
        <w:tc>
          <w:tcPr>
            <w:tcW w:w="548" w:type="pct"/>
            <w:vMerge w:val="restart"/>
            <w:tcBorders>
              <w:top w:val="single" w:sz="4" w:space="0" w:color="auto"/>
              <w:left w:val="single" w:sz="4" w:space="0" w:color="auto"/>
              <w:right w:val="single" w:sz="4" w:space="0" w:color="auto"/>
            </w:tcBorders>
            <w:vAlign w:val="center"/>
          </w:tcPr>
          <w:p w14:paraId="5A396522" w14:textId="48AC711C" w:rsidR="00FE7ED6" w:rsidRPr="006919A9" w:rsidRDefault="00FE7ED6" w:rsidP="006C49F1">
            <w:pPr>
              <w:pStyle w:val="TableText0"/>
              <w:jc w:val="center"/>
            </w:pPr>
            <w:r w:rsidRPr="006919A9">
              <w:t>63.0</w:t>
            </w:r>
          </w:p>
        </w:tc>
        <w:tc>
          <w:tcPr>
            <w:tcW w:w="553" w:type="pct"/>
            <w:vMerge w:val="restart"/>
            <w:tcBorders>
              <w:top w:val="single" w:sz="4" w:space="0" w:color="auto"/>
              <w:left w:val="single" w:sz="4" w:space="0" w:color="auto"/>
              <w:right w:val="single" w:sz="4" w:space="0" w:color="auto"/>
            </w:tcBorders>
            <w:vAlign w:val="center"/>
          </w:tcPr>
          <w:p w14:paraId="66E9B16D" w14:textId="06F0DA38" w:rsidR="00FE7ED6" w:rsidRPr="006919A9" w:rsidRDefault="00FE7ED6" w:rsidP="006C49F1">
            <w:pPr>
              <w:pStyle w:val="TableText0"/>
              <w:jc w:val="center"/>
            </w:pPr>
            <w:r w:rsidRPr="006919A9">
              <w:t>55.6</w:t>
            </w:r>
          </w:p>
        </w:tc>
        <w:tc>
          <w:tcPr>
            <w:tcW w:w="856" w:type="pct"/>
            <w:vMerge w:val="restart"/>
            <w:tcBorders>
              <w:top w:val="single" w:sz="4" w:space="0" w:color="auto"/>
              <w:left w:val="single" w:sz="4" w:space="0" w:color="auto"/>
              <w:right w:val="single" w:sz="4" w:space="0" w:color="auto"/>
            </w:tcBorders>
            <w:vAlign w:val="center"/>
          </w:tcPr>
          <w:p w14:paraId="2F927293" w14:textId="386308D6" w:rsidR="00FE7ED6" w:rsidRPr="006919A9" w:rsidRDefault="00FE7ED6" w:rsidP="006C49F1">
            <w:pPr>
              <w:pStyle w:val="TableText0"/>
              <w:jc w:val="center"/>
              <w:rPr>
                <w:b/>
                <w:bCs w:val="0"/>
              </w:rPr>
            </w:pPr>
            <w:r w:rsidRPr="006919A9">
              <w:rPr>
                <w:b/>
                <w:bCs w:val="0"/>
              </w:rPr>
              <w:t>7.5 (1.6, 13.4)</w:t>
            </w:r>
          </w:p>
        </w:tc>
      </w:tr>
      <w:tr w:rsidR="006919A9" w:rsidRPr="006919A9" w14:paraId="3669210B" w14:textId="77777777" w:rsidTr="00AA43F3">
        <w:trPr>
          <w:cantSplit/>
        </w:trPr>
        <w:tc>
          <w:tcPr>
            <w:tcW w:w="316" w:type="pct"/>
            <w:vMerge/>
            <w:tcBorders>
              <w:left w:val="single" w:sz="4" w:space="0" w:color="auto"/>
              <w:bottom w:val="single" w:sz="4" w:space="0" w:color="auto"/>
              <w:right w:val="single" w:sz="4" w:space="0" w:color="auto"/>
            </w:tcBorders>
            <w:shd w:val="clear" w:color="auto" w:fill="auto"/>
            <w:vAlign w:val="center"/>
          </w:tcPr>
          <w:p w14:paraId="729F208B" w14:textId="77777777" w:rsidR="00FE7ED6" w:rsidRPr="006919A9" w:rsidRDefault="00FE7ED6" w:rsidP="00FE7ED6">
            <w:pPr>
              <w:pStyle w:val="TableText0"/>
            </w:pPr>
          </w:p>
        </w:tc>
        <w:tc>
          <w:tcPr>
            <w:tcW w:w="829" w:type="pct"/>
            <w:tcBorders>
              <w:top w:val="single" w:sz="4" w:space="0" w:color="auto"/>
              <w:left w:val="single" w:sz="4" w:space="0" w:color="auto"/>
              <w:bottom w:val="single" w:sz="4" w:space="0" w:color="auto"/>
              <w:right w:val="single" w:sz="4" w:space="0" w:color="auto"/>
            </w:tcBorders>
            <w:shd w:val="clear" w:color="auto" w:fill="auto"/>
            <w:vAlign w:val="center"/>
          </w:tcPr>
          <w:p w14:paraId="7FE6E377" w14:textId="5A4C599A" w:rsidR="00FE7ED6" w:rsidRPr="006919A9" w:rsidRDefault="00FE7ED6" w:rsidP="00FE7ED6">
            <w:pPr>
              <w:pStyle w:val="TableText0"/>
            </w:pPr>
            <w:r w:rsidRPr="006919A9">
              <w:t>pCR rate (95% CI)</w:t>
            </w:r>
          </w:p>
        </w:tc>
        <w:tc>
          <w:tcPr>
            <w:tcW w:w="848" w:type="pct"/>
            <w:tcBorders>
              <w:top w:val="single" w:sz="4" w:space="0" w:color="auto"/>
              <w:left w:val="single" w:sz="4" w:space="0" w:color="auto"/>
              <w:bottom w:val="single" w:sz="4" w:space="0" w:color="auto"/>
              <w:right w:val="single" w:sz="4" w:space="0" w:color="auto"/>
            </w:tcBorders>
            <w:vAlign w:val="center"/>
          </w:tcPr>
          <w:p w14:paraId="57B15AD1" w14:textId="293651D1" w:rsidR="00FE7ED6" w:rsidRPr="006919A9" w:rsidRDefault="00FE7ED6" w:rsidP="00FE7ED6">
            <w:pPr>
              <w:pStyle w:val="TableText0"/>
              <w:jc w:val="center"/>
            </w:pPr>
            <w:r w:rsidRPr="006919A9">
              <w:t>63.0 (59.5, 66.4)</w:t>
            </w:r>
          </w:p>
        </w:tc>
        <w:tc>
          <w:tcPr>
            <w:tcW w:w="1049" w:type="pct"/>
            <w:tcBorders>
              <w:top w:val="single" w:sz="4" w:space="0" w:color="auto"/>
              <w:left w:val="single" w:sz="4" w:space="0" w:color="auto"/>
              <w:bottom w:val="single" w:sz="4" w:space="0" w:color="auto"/>
              <w:right w:val="single" w:sz="4" w:space="0" w:color="auto"/>
            </w:tcBorders>
            <w:vAlign w:val="center"/>
          </w:tcPr>
          <w:p w14:paraId="49F5F73D" w14:textId="23ED83F0" w:rsidR="00FE7ED6" w:rsidRPr="006919A9" w:rsidRDefault="00FE7ED6" w:rsidP="00FE7ED6">
            <w:pPr>
              <w:pStyle w:val="TableText0"/>
              <w:jc w:val="center"/>
            </w:pPr>
            <w:r w:rsidRPr="006919A9">
              <w:t>55.6 (50.6, 60.6)</w:t>
            </w:r>
          </w:p>
        </w:tc>
        <w:tc>
          <w:tcPr>
            <w:tcW w:w="548" w:type="pct"/>
            <w:vMerge/>
            <w:tcBorders>
              <w:left w:val="single" w:sz="4" w:space="0" w:color="auto"/>
              <w:bottom w:val="single" w:sz="4" w:space="0" w:color="auto"/>
              <w:right w:val="single" w:sz="4" w:space="0" w:color="auto"/>
            </w:tcBorders>
            <w:vAlign w:val="center"/>
          </w:tcPr>
          <w:p w14:paraId="7C1ACDE7" w14:textId="77777777" w:rsidR="00FE7ED6" w:rsidRPr="006919A9" w:rsidRDefault="00FE7ED6" w:rsidP="00FE7ED6">
            <w:pPr>
              <w:pStyle w:val="TableText0"/>
              <w:jc w:val="center"/>
            </w:pPr>
          </w:p>
        </w:tc>
        <w:tc>
          <w:tcPr>
            <w:tcW w:w="553" w:type="pct"/>
            <w:vMerge/>
            <w:tcBorders>
              <w:left w:val="single" w:sz="4" w:space="0" w:color="auto"/>
              <w:bottom w:val="single" w:sz="4" w:space="0" w:color="auto"/>
              <w:right w:val="single" w:sz="4" w:space="0" w:color="auto"/>
            </w:tcBorders>
            <w:vAlign w:val="center"/>
          </w:tcPr>
          <w:p w14:paraId="2B5A0297" w14:textId="77777777" w:rsidR="00FE7ED6" w:rsidRPr="006919A9" w:rsidRDefault="00FE7ED6" w:rsidP="00FE7ED6">
            <w:pPr>
              <w:pStyle w:val="TableText0"/>
              <w:jc w:val="center"/>
            </w:pPr>
          </w:p>
        </w:tc>
        <w:tc>
          <w:tcPr>
            <w:tcW w:w="856" w:type="pct"/>
            <w:vMerge/>
            <w:tcBorders>
              <w:left w:val="single" w:sz="4" w:space="0" w:color="auto"/>
              <w:bottom w:val="single" w:sz="4" w:space="0" w:color="auto"/>
              <w:right w:val="single" w:sz="4" w:space="0" w:color="auto"/>
            </w:tcBorders>
            <w:vAlign w:val="center"/>
          </w:tcPr>
          <w:p w14:paraId="37223572" w14:textId="77777777" w:rsidR="00FE7ED6" w:rsidRPr="006919A9" w:rsidRDefault="00FE7ED6" w:rsidP="00FE7ED6">
            <w:pPr>
              <w:pStyle w:val="TableText0"/>
              <w:jc w:val="center"/>
              <w:rPr>
                <w:b/>
                <w:bCs w:val="0"/>
              </w:rPr>
            </w:pPr>
          </w:p>
        </w:tc>
      </w:tr>
    </w:tbl>
    <w:tbl>
      <w:tblPr>
        <w:tblStyle w:val="TableGrid"/>
        <w:tblW w:w="5000" w:type="pct"/>
        <w:tblLayout w:type="fixed"/>
        <w:tblCellMar>
          <w:left w:w="28" w:type="dxa"/>
          <w:right w:w="28" w:type="dxa"/>
        </w:tblCellMar>
        <w:tblLook w:val="04A0" w:firstRow="1" w:lastRow="0" w:firstColumn="1" w:lastColumn="0" w:noHBand="0" w:noVBand="1"/>
      </w:tblPr>
      <w:tblGrid>
        <w:gridCol w:w="2464"/>
        <w:gridCol w:w="1446"/>
        <w:gridCol w:w="1515"/>
        <w:gridCol w:w="2007"/>
        <w:gridCol w:w="1585"/>
      </w:tblGrid>
      <w:tr w:rsidR="006919A9" w:rsidRPr="006919A9" w14:paraId="4E7107CF" w14:textId="77777777" w:rsidTr="006B35E6">
        <w:trPr>
          <w:trHeight w:val="20"/>
        </w:trPr>
        <w:tc>
          <w:tcPr>
            <w:tcW w:w="5000" w:type="pct"/>
            <w:gridSpan w:val="5"/>
            <w:shd w:val="clear" w:color="auto" w:fill="auto"/>
          </w:tcPr>
          <w:p w14:paraId="20C2061B" w14:textId="66F06810" w:rsidR="00330DAA" w:rsidRPr="006919A9" w:rsidRDefault="00BB1392" w:rsidP="00D2155B">
            <w:pPr>
              <w:pStyle w:val="In-tableHeading"/>
              <w:rPr>
                <w:lang w:val="en-AU"/>
              </w:rPr>
            </w:pPr>
            <w:r>
              <w:rPr>
                <w:lang w:val="en-AU"/>
              </w:rPr>
              <w:t>Event</w:t>
            </w:r>
            <w:r w:rsidRPr="006919A9">
              <w:rPr>
                <w:lang w:val="en-AU"/>
              </w:rPr>
              <w:t xml:space="preserve"> </w:t>
            </w:r>
            <w:r w:rsidR="00330DAA" w:rsidRPr="006919A9">
              <w:rPr>
                <w:lang w:val="en-AU"/>
              </w:rPr>
              <w:t>free survival (</w:t>
            </w:r>
            <w:r w:rsidR="009178B1" w:rsidRPr="006919A9">
              <w:rPr>
                <w:lang w:val="en-AU"/>
              </w:rPr>
              <w:t>median follow-up o</w:t>
            </w:r>
            <w:r w:rsidR="009178B1" w:rsidRPr="006919A9">
              <w:t>f</w:t>
            </w:r>
            <w:r w:rsidR="009178B1" w:rsidRPr="006919A9">
              <w:rPr>
                <w:lang w:val="en-AU"/>
              </w:rPr>
              <w:t xml:space="preserve"> 37.8 months)</w:t>
            </w:r>
          </w:p>
        </w:tc>
      </w:tr>
      <w:tr w:rsidR="006919A9" w:rsidRPr="006919A9" w14:paraId="3B443B0E" w14:textId="77777777" w:rsidTr="00A859A6">
        <w:trPr>
          <w:trHeight w:val="20"/>
        </w:trPr>
        <w:tc>
          <w:tcPr>
            <w:tcW w:w="1366" w:type="pct"/>
            <w:tcBorders>
              <w:bottom w:val="single" w:sz="4" w:space="0" w:color="auto"/>
            </w:tcBorders>
            <w:shd w:val="clear" w:color="auto" w:fill="auto"/>
          </w:tcPr>
          <w:p w14:paraId="61456D69" w14:textId="77777777" w:rsidR="006C49F1" w:rsidRPr="006919A9" w:rsidRDefault="006C49F1" w:rsidP="006C49F1">
            <w:pPr>
              <w:pStyle w:val="In-tableHeading"/>
              <w:rPr>
                <w:lang w:val="en-AU"/>
              </w:rPr>
            </w:pPr>
            <w:r w:rsidRPr="006919A9">
              <w:rPr>
                <w:lang w:val="en-AU"/>
              </w:rPr>
              <w:t>Event</w:t>
            </w:r>
          </w:p>
        </w:tc>
        <w:tc>
          <w:tcPr>
            <w:tcW w:w="802" w:type="pct"/>
            <w:tcBorders>
              <w:bottom w:val="single" w:sz="4" w:space="0" w:color="auto"/>
            </w:tcBorders>
            <w:shd w:val="clear" w:color="auto" w:fill="auto"/>
            <w:vAlign w:val="center"/>
          </w:tcPr>
          <w:p w14:paraId="3F832D7C" w14:textId="377AC54D" w:rsidR="006C49F1" w:rsidRPr="006919A9" w:rsidRDefault="006C49F1" w:rsidP="006C49F1">
            <w:pPr>
              <w:pStyle w:val="In-tableHeading"/>
              <w:jc w:val="center"/>
              <w:rPr>
                <w:lang w:val="en-AU"/>
              </w:rPr>
            </w:pPr>
            <w:r w:rsidRPr="006919A9">
              <w:rPr>
                <w:lang w:val="en-AU"/>
              </w:rPr>
              <w:t>Pembro + chemo</w:t>
            </w:r>
          </w:p>
        </w:tc>
        <w:tc>
          <w:tcPr>
            <w:tcW w:w="840" w:type="pct"/>
            <w:tcBorders>
              <w:bottom w:val="single" w:sz="4" w:space="0" w:color="auto"/>
            </w:tcBorders>
            <w:shd w:val="clear" w:color="auto" w:fill="auto"/>
            <w:vAlign w:val="center"/>
          </w:tcPr>
          <w:p w14:paraId="2674CDCF" w14:textId="3DD4F527" w:rsidR="006C49F1" w:rsidRPr="006919A9" w:rsidRDefault="006C49F1" w:rsidP="006C49F1">
            <w:pPr>
              <w:pStyle w:val="In-tableHeading"/>
              <w:jc w:val="center"/>
              <w:rPr>
                <w:lang w:val="en-AU"/>
              </w:rPr>
            </w:pPr>
            <w:r w:rsidRPr="006919A9">
              <w:rPr>
                <w:lang w:val="en-AU"/>
              </w:rPr>
              <w:t>Placebo + chemo</w:t>
            </w:r>
          </w:p>
        </w:tc>
        <w:tc>
          <w:tcPr>
            <w:tcW w:w="1113" w:type="pct"/>
            <w:tcBorders>
              <w:bottom w:val="single" w:sz="4" w:space="0" w:color="auto"/>
            </w:tcBorders>
            <w:shd w:val="clear" w:color="auto" w:fill="auto"/>
          </w:tcPr>
          <w:p w14:paraId="6A0836EB" w14:textId="77777777" w:rsidR="006C49F1" w:rsidRPr="006919A9" w:rsidRDefault="006C49F1" w:rsidP="006C49F1">
            <w:pPr>
              <w:pStyle w:val="In-tableHeading"/>
              <w:jc w:val="center"/>
              <w:rPr>
                <w:rFonts w:asciiTheme="minorHAnsi" w:hAnsiTheme="minorHAnsi"/>
                <w:lang w:val="en-AU"/>
              </w:rPr>
            </w:pPr>
            <w:r w:rsidRPr="006919A9">
              <w:rPr>
                <w:lang w:val="en-AU"/>
              </w:rPr>
              <w:t>Absolute Difference</w:t>
            </w:r>
          </w:p>
        </w:tc>
        <w:tc>
          <w:tcPr>
            <w:tcW w:w="879" w:type="pct"/>
            <w:tcBorders>
              <w:bottom w:val="single" w:sz="4" w:space="0" w:color="auto"/>
            </w:tcBorders>
            <w:shd w:val="clear" w:color="auto" w:fill="auto"/>
          </w:tcPr>
          <w:p w14:paraId="582FC277" w14:textId="77777777" w:rsidR="006C49F1" w:rsidRPr="006919A9" w:rsidRDefault="006C49F1" w:rsidP="006C49F1">
            <w:pPr>
              <w:pStyle w:val="In-tableHeading"/>
              <w:jc w:val="center"/>
              <w:rPr>
                <w:lang w:val="en-AU"/>
              </w:rPr>
            </w:pPr>
            <w:r w:rsidRPr="006919A9">
              <w:rPr>
                <w:lang w:val="en-AU"/>
              </w:rPr>
              <w:t>HR (95% CI)</w:t>
            </w:r>
          </w:p>
        </w:tc>
      </w:tr>
      <w:tr w:rsidR="006919A9" w:rsidRPr="006919A9" w14:paraId="08E642EF" w14:textId="77777777" w:rsidTr="00523DD0">
        <w:trPr>
          <w:trHeight w:val="20"/>
        </w:trPr>
        <w:tc>
          <w:tcPr>
            <w:tcW w:w="1366" w:type="pct"/>
            <w:tcBorders>
              <w:bottom w:val="single" w:sz="4" w:space="0" w:color="auto"/>
              <w:right w:val="single" w:sz="4" w:space="0" w:color="auto"/>
            </w:tcBorders>
            <w:shd w:val="clear" w:color="auto" w:fill="auto"/>
            <w:vAlign w:val="center"/>
          </w:tcPr>
          <w:p w14:paraId="439A4A2C" w14:textId="1EE6118D" w:rsidR="009178B1" w:rsidRPr="006919A9" w:rsidRDefault="00BB1392" w:rsidP="00523DD0">
            <w:pPr>
              <w:pStyle w:val="TableText0"/>
              <w:keepLines/>
              <w:widowControl w:val="0"/>
            </w:pPr>
            <w:r>
              <w:t>Event</w:t>
            </w:r>
            <w:r w:rsidR="009178B1" w:rsidRPr="006919A9">
              <w:t>, n (%)</w:t>
            </w:r>
          </w:p>
        </w:tc>
        <w:tc>
          <w:tcPr>
            <w:tcW w:w="802" w:type="pct"/>
            <w:tcBorders>
              <w:left w:val="single" w:sz="4" w:space="0" w:color="auto"/>
              <w:bottom w:val="single" w:sz="4" w:space="0" w:color="auto"/>
              <w:right w:val="single" w:sz="4" w:space="0" w:color="auto"/>
            </w:tcBorders>
            <w:shd w:val="clear" w:color="auto" w:fill="auto"/>
            <w:vAlign w:val="center"/>
          </w:tcPr>
          <w:p w14:paraId="111C5BC5" w14:textId="75A556B9" w:rsidR="009178B1" w:rsidRPr="006919A9" w:rsidRDefault="009178B1" w:rsidP="009178B1">
            <w:pPr>
              <w:pStyle w:val="TableText0"/>
              <w:keepLines/>
              <w:widowControl w:val="0"/>
              <w:jc w:val="center"/>
            </w:pPr>
            <w:r w:rsidRPr="006919A9">
              <w:t>123 (15.7)</w:t>
            </w:r>
          </w:p>
        </w:tc>
        <w:tc>
          <w:tcPr>
            <w:tcW w:w="840" w:type="pct"/>
            <w:tcBorders>
              <w:left w:val="single" w:sz="4" w:space="0" w:color="auto"/>
              <w:bottom w:val="single" w:sz="4" w:space="0" w:color="auto"/>
              <w:right w:val="single" w:sz="4" w:space="0" w:color="auto"/>
            </w:tcBorders>
            <w:shd w:val="clear" w:color="auto" w:fill="auto"/>
            <w:vAlign w:val="center"/>
          </w:tcPr>
          <w:p w14:paraId="07F9499F" w14:textId="1CEE916E" w:rsidR="009178B1" w:rsidRPr="006919A9" w:rsidRDefault="009178B1" w:rsidP="009178B1">
            <w:pPr>
              <w:pStyle w:val="TableText0"/>
              <w:keepLines/>
              <w:widowControl w:val="0"/>
              <w:jc w:val="center"/>
            </w:pPr>
            <w:r w:rsidRPr="006919A9">
              <w:t>93 (23.8)</w:t>
            </w:r>
          </w:p>
        </w:tc>
        <w:tc>
          <w:tcPr>
            <w:tcW w:w="1113" w:type="pct"/>
            <w:tcBorders>
              <w:left w:val="single" w:sz="4" w:space="0" w:color="auto"/>
              <w:bottom w:val="single" w:sz="4" w:space="0" w:color="auto"/>
              <w:right w:val="single" w:sz="4" w:space="0" w:color="auto"/>
            </w:tcBorders>
            <w:shd w:val="clear" w:color="auto" w:fill="auto"/>
          </w:tcPr>
          <w:p w14:paraId="0189FCF5" w14:textId="61A92723" w:rsidR="009178B1" w:rsidRPr="006919A9" w:rsidRDefault="009178B1" w:rsidP="009178B1">
            <w:pPr>
              <w:pStyle w:val="TableText0"/>
              <w:keepLines/>
              <w:widowControl w:val="0"/>
              <w:jc w:val="center"/>
            </w:pPr>
            <w:r w:rsidRPr="006919A9">
              <w:t>-</w:t>
            </w:r>
          </w:p>
        </w:tc>
        <w:tc>
          <w:tcPr>
            <w:tcW w:w="879" w:type="pct"/>
            <w:tcBorders>
              <w:left w:val="single" w:sz="4" w:space="0" w:color="auto"/>
              <w:bottom w:val="nil"/>
            </w:tcBorders>
            <w:shd w:val="clear" w:color="auto" w:fill="auto"/>
          </w:tcPr>
          <w:p w14:paraId="16A7727F" w14:textId="77777777" w:rsidR="009178B1" w:rsidRPr="006919A9" w:rsidRDefault="009178B1" w:rsidP="009178B1">
            <w:pPr>
              <w:pStyle w:val="TableText0"/>
              <w:keepLines/>
              <w:jc w:val="center"/>
              <w:rPr>
                <w:b/>
                <w:bCs w:val="0"/>
              </w:rPr>
            </w:pPr>
            <w:r w:rsidRPr="006919A9">
              <w:rPr>
                <w:b/>
                <w:bCs w:val="0"/>
              </w:rPr>
              <w:t>0.63 (0.48, 0.82)</w:t>
            </w:r>
          </w:p>
          <w:p w14:paraId="68A7D012" w14:textId="30E023F7" w:rsidR="009178B1" w:rsidRPr="006919A9" w:rsidRDefault="009178B1" w:rsidP="009178B1">
            <w:pPr>
              <w:pStyle w:val="TableText0"/>
              <w:keepLines/>
              <w:widowControl w:val="0"/>
              <w:jc w:val="center"/>
            </w:pPr>
            <w:r w:rsidRPr="006919A9">
              <w:rPr>
                <w:b/>
                <w:bCs w:val="0"/>
              </w:rPr>
              <w:t>p=0.0003093</w:t>
            </w:r>
          </w:p>
        </w:tc>
      </w:tr>
      <w:tr w:rsidR="006919A9" w:rsidRPr="006919A9" w14:paraId="44C0ABBC" w14:textId="77777777" w:rsidTr="00523DD0">
        <w:trPr>
          <w:trHeight w:val="20"/>
        </w:trPr>
        <w:tc>
          <w:tcPr>
            <w:tcW w:w="1366" w:type="pct"/>
            <w:tcBorders>
              <w:bottom w:val="single" w:sz="4" w:space="0" w:color="auto"/>
              <w:right w:val="single" w:sz="4" w:space="0" w:color="auto"/>
            </w:tcBorders>
            <w:shd w:val="clear" w:color="auto" w:fill="auto"/>
            <w:vAlign w:val="center"/>
          </w:tcPr>
          <w:p w14:paraId="04A27457" w14:textId="0CAAC803" w:rsidR="006C47D8" w:rsidRPr="006919A9" w:rsidRDefault="006C47D8" w:rsidP="00523DD0">
            <w:pPr>
              <w:pStyle w:val="TableText0"/>
              <w:keepLines/>
              <w:widowControl w:val="0"/>
            </w:pPr>
            <w:r w:rsidRPr="006919A9">
              <w:t>Median PFS, months (95% CI)</w:t>
            </w:r>
          </w:p>
        </w:tc>
        <w:tc>
          <w:tcPr>
            <w:tcW w:w="802" w:type="pct"/>
            <w:tcBorders>
              <w:left w:val="single" w:sz="4" w:space="0" w:color="auto"/>
              <w:bottom w:val="single" w:sz="4" w:space="0" w:color="auto"/>
              <w:right w:val="single" w:sz="4" w:space="0" w:color="auto"/>
            </w:tcBorders>
            <w:shd w:val="clear" w:color="auto" w:fill="auto"/>
            <w:vAlign w:val="center"/>
          </w:tcPr>
          <w:p w14:paraId="6755D2D8" w14:textId="314F4607" w:rsidR="006C47D8" w:rsidRPr="006919A9" w:rsidRDefault="006C47D8" w:rsidP="006C47D8">
            <w:pPr>
              <w:pStyle w:val="TableText0"/>
              <w:keepLines/>
              <w:widowControl w:val="0"/>
              <w:jc w:val="center"/>
              <w:rPr>
                <w:rFonts w:cs="Times New Roman"/>
                <w:szCs w:val="20"/>
              </w:rPr>
            </w:pPr>
            <w:r w:rsidRPr="006919A9">
              <w:t>NR</w:t>
            </w:r>
          </w:p>
        </w:tc>
        <w:tc>
          <w:tcPr>
            <w:tcW w:w="840" w:type="pct"/>
            <w:tcBorders>
              <w:left w:val="single" w:sz="4" w:space="0" w:color="auto"/>
              <w:bottom w:val="single" w:sz="4" w:space="0" w:color="auto"/>
              <w:right w:val="single" w:sz="4" w:space="0" w:color="auto"/>
            </w:tcBorders>
            <w:shd w:val="clear" w:color="auto" w:fill="auto"/>
            <w:vAlign w:val="center"/>
          </w:tcPr>
          <w:p w14:paraId="62868CDF" w14:textId="493E4BFD" w:rsidR="006C47D8" w:rsidRPr="006919A9" w:rsidRDefault="006C47D8" w:rsidP="006C47D8">
            <w:pPr>
              <w:pStyle w:val="TableText0"/>
              <w:keepLines/>
              <w:widowControl w:val="0"/>
              <w:jc w:val="center"/>
              <w:rPr>
                <w:rFonts w:cs="Times New Roman"/>
                <w:szCs w:val="20"/>
              </w:rPr>
            </w:pPr>
            <w:r w:rsidRPr="006919A9">
              <w:t>NR</w:t>
            </w:r>
          </w:p>
        </w:tc>
        <w:tc>
          <w:tcPr>
            <w:tcW w:w="1113" w:type="pct"/>
            <w:tcBorders>
              <w:left w:val="single" w:sz="4" w:space="0" w:color="auto"/>
              <w:bottom w:val="single" w:sz="4" w:space="0" w:color="auto"/>
              <w:right w:val="single" w:sz="4" w:space="0" w:color="auto"/>
            </w:tcBorders>
            <w:shd w:val="clear" w:color="auto" w:fill="auto"/>
            <w:vAlign w:val="center"/>
          </w:tcPr>
          <w:p w14:paraId="5ED73022" w14:textId="56897383" w:rsidR="006C47D8" w:rsidRPr="006919A9" w:rsidRDefault="006C47D8" w:rsidP="006C47D8">
            <w:pPr>
              <w:pStyle w:val="TableText0"/>
              <w:keepLines/>
              <w:widowControl w:val="0"/>
              <w:jc w:val="center"/>
            </w:pPr>
          </w:p>
        </w:tc>
        <w:tc>
          <w:tcPr>
            <w:tcW w:w="879" w:type="pct"/>
            <w:tcBorders>
              <w:top w:val="nil"/>
              <w:left w:val="single" w:sz="4" w:space="0" w:color="auto"/>
              <w:bottom w:val="nil"/>
            </w:tcBorders>
            <w:shd w:val="clear" w:color="auto" w:fill="auto"/>
          </w:tcPr>
          <w:p w14:paraId="005E827D" w14:textId="77777777" w:rsidR="006C47D8" w:rsidRPr="006919A9" w:rsidRDefault="006C47D8" w:rsidP="006C47D8">
            <w:pPr>
              <w:pStyle w:val="TableText0"/>
              <w:keepLines/>
              <w:widowControl w:val="0"/>
              <w:jc w:val="center"/>
              <w:rPr>
                <w:szCs w:val="20"/>
              </w:rPr>
            </w:pPr>
          </w:p>
        </w:tc>
      </w:tr>
      <w:tr w:rsidR="00AA43F3" w:rsidRPr="006919A9" w14:paraId="4B810321" w14:textId="77777777" w:rsidTr="00AA43F3">
        <w:trPr>
          <w:trHeight w:val="20"/>
        </w:trPr>
        <w:tc>
          <w:tcPr>
            <w:tcW w:w="4121" w:type="pct"/>
            <w:gridSpan w:val="4"/>
            <w:tcBorders>
              <w:top w:val="single" w:sz="4" w:space="0" w:color="auto"/>
              <w:bottom w:val="single" w:sz="4" w:space="0" w:color="auto"/>
              <w:right w:val="single" w:sz="4" w:space="0" w:color="auto"/>
            </w:tcBorders>
            <w:shd w:val="clear" w:color="auto" w:fill="auto"/>
            <w:vAlign w:val="center"/>
          </w:tcPr>
          <w:p w14:paraId="4C20E80D" w14:textId="745DC4F8" w:rsidR="00AA43F3" w:rsidRPr="00AA43F3" w:rsidRDefault="00AA43F3" w:rsidP="00AA43F3">
            <w:pPr>
              <w:pStyle w:val="TableText0"/>
              <w:keepLines/>
              <w:widowControl w:val="0"/>
              <w:rPr>
                <w:b/>
                <w:bCs w:val="0"/>
              </w:rPr>
            </w:pPr>
            <w:r w:rsidRPr="00AA43F3">
              <w:rPr>
                <w:b/>
                <w:bCs w:val="0"/>
              </w:rPr>
              <w:t>EFS rate at:</w:t>
            </w:r>
          </w:p>
        </w:tc>
        <w:tc>
          <w:tcPr>
            <w:tcW w:w="879" w:type="pct"/>
            <w:tcBorders>
              <w:top w:val="nil"/>
              <w:left w:val="single" w:sz="4" w:space="0" w:color="auto"/>
              <w:bottom w:val="nil"/>
            </w:tcBorders>
            <w:shd w:val="clear" w:color="auto" w:fill="auto"/>
          </w:tcPr>
          <w:p w14:paraId="25731889" w14:textId="77777777" w:rsidR="00AA43F3" w:rsidRPr="006919A9" w:rsidRDefault="00AA43F3" w:rsidP="009178B1">
            <w:pPr>
              <w:pStyle w:val="TableText0"/>
              <w:keepLines/>
              <w:widowControl w:val="0"/>
              <w:jc w:val="center"/>
            </w:pPr>
          </w:p>
        </w:tc>
      </w:tr>
      <w:tr w:rsidR="006919A9" w:rsidRPr="006919A9" w14:paraId="51F81A24" w14:textId="77777777" w:rsidTr="00523DD0">
        <w:trPr>
          <w:trHeight w:val="20"/>
        </w:trPr>
        <w:tc>
          <w:tcPr>
            <w:tcW w:w="1366" w:type="pct"/>
            <w:tcBorders>
              <w:top w:val="single" w:sz="4" w:space="0" w:color="auto"/>
              <w:bottom w:val="single" w:sz="4" w:space="0" w:color="auto"/>
              <w:right w:val="single" w:sz="4" w:space="0" w:color="auto"/>
            </w:tcBorders>
            <w:shd w:val="clear" w:color="auto" w:fill="auto"/>
            <w:vAlign w:val="center"/>
          </w:tcPr>
          <w:p w14:paraId="2F61EE25" w14:textId="2253224D" w:rsidR="009178B1" w:rsidRPr="006919A9" w:rsidRDefault="009178B1" w:rsidP="00523DD0">
            <w:pPr>
              <w:pStyle w:val="TableText0"/>
              <w:keepLines/>
              <w:widowControl w:val="0"/>
            </w:pPr>
            <w:r w:rsidRPr="006919A9">
              <w:t>12 Months (%) (95% CI)</w:t>
            </w:r>
          </w:p>
        </w:tc>
        <w:tc>
          <w:tcPr>
            <w:tcW w:w="802" w:type="pct"/>
            <w:tcBorders>
              <w:top w:val="single" w:sz="4" w:space="0" w:color="auto"/>
              <w:left w:val="single" w:sz="4" w:space="0" w:color="auto"/>
              <w:bottom w:val="single" w:sz="4" w:space="0" w:color="auto"/>
              <w:right w:val="single" w:sz="4" w:space="0" w:color="auto"/>
            </w:tcBorders>
            <w:shd w:val="clear" w:color="auto" w:fill="auto"/>
          </w:tcPr>
          <w:p w14:paraId="5AF9BD28" w14:textId="09EBE179" w:rsidR="009178B1" w:rsidRPr="006919A9" w:rsidRDefault="009178B1" w:rsidP="009178B1">
            <w:pPr>
              <w:pStyle w:val="TableText0"/>
              <w:keepLines/>
              <w:widowControl w:val="0"/>
              <w:jc w:val="center"/>
              <w:rPr>
                <w:szCs w:val="20"/>
              </w:rPr>
            </w:pPr>
            <w:r w:rsidRPr="006919A9">
              <w:t>93.3 (91.4, 94.9)</w:t>
            </w:r>
          </w:p>
        </w:tc>
        <w:tc>
          <w:tcPr>
            <w:tcW w:w="840" w:type="pct"/>
            <w:tcBorders>
              <w:top w:val="single" w:sz="4" w:space="0" w:color="auto"/>
              <w:left w:val="single" w:sz="4" w:space="0" w:color="auto"/>
              <w:bottom w:val="single" w:sz="4" w:space="0" w:color="auto"/>
              <w:right w:val="single" w:sz="4" w:space="0" w:color="auto"/>
            </w:tcBorders>
            <w:shd w:val="clear" w:color="auto" w:fill="auto"/>
          </w:tcPr>
          <w:p w14:paraId="39DA9ED1" w14:textId="58E60AFC" w:rsidR="009178B1" w:rsidRPr="006919A9" w:rsidRDefault="009178B1" w:rsidP="009178B1">
            <w:pPr>
              <w:pStyle w:val="TableText0"/>
              <w:keepLines/>
              <w:widowControl w:val="0"/>
              <w:jc w:val="center"/>
              <w:rPr>
                <w:szCs w:val="20"/>
              </w:rPr>
            </w:pPr>
            <w:r w:rsidRPr="006919A9">
              <w:t>92.5 (89.4, 94.7)</w:t>
            </w:r>
          </w:p>
        </w:tc>
        <w:tc>
          <w:tcPr>
            <w:tcW w:w="1113" w:type="pct"/>
            <w:tcBorders>
              <w:top w:val="single" w:sz="4" w:space="0" w:color="auto"/>
              <w:left w:val="single" w:sz="4" w:space="0" w:color="auto"/>
              <w:bottom w:val="single" w:sz="4" w:space="0" w:color="auto"/>
              <w:right w:val="single" w:sz="4" w:space="0" w:color="auto"/>
            </w:tcBorders>
            <w:shd w:val="clear" w:color="auto" w:fill="auto"/>
          </w:tcPr>
          <w:p w14:paraId="130B985D" w14:textId="7025258B" w:rsidR="009178B1" w:rsidRPr="006919A9" w:rsidRDefault="009178B1" w:rsidP="009178B1">
            <w:pPr>
              <w:pStyle w:val="TableText0"/>
              <w:keepLines/>
              <w:widowControl w:val="0"/>
              <w:jc w:val="center"/>
              <w:rPr>
                <w:rFonts w:cs="Times New Roman"/>
                <w:szCs w:val="20"/>
              </w:rPr>
            </w:pPr>
            <w:r w:rsidRPr="006919A9">
              <w:rPr>
                <w:rFonts w:cs="Times New Roman"/>
                <w:szCs w:val="20"/>
              </w:rPr>
              <w:t>0.8%</w:t>
            </w:r>
          </w:p>
        </w:tc>
        <w:tc>
          <w:tcPr>
            <w:tcW w:w="879" w:type="pct"/>
            <w:tcBorders>
              <w:top w:val="nil"/>
              <w:left w:val="single" w:sz="4" w:space="0" w:color="auto"/>
              <w:bottom w:val="single" w:sz="4" w:space="0" w:color="auto"/>
            </w:tcBorders>
            <w:shd w:val="clear" w:color="auto" w:fill="auto"/>
          </w:tcPr>
          <w:p w14:paraId="3EE0D27F" w14:textId="77777777" w:rsidR="009178B1" w:rsidRPr="006919A9" w:rsidRDefault="009178B1" w:rsidP="009178B1">
            <w:pPr>
              <w:pStyle w:val="TableText0"/>
              <w:keepLines/>
              <w:widowControl w:val="0"/>
              <w:jc w:val="center"/>
            </w:pPr>
          </w:p>
        </w:tc>
      </w:tr>
      <w:tr w:rsidR="006919A9" w:rsidRPr="006919A9" w14:paraId="39D24A58" w14:textId="77777777" w:rsidTr="00523DD0">
        <w:trPr>
          <w:trHeight w:val="20"/>
        </w:trPr>
        <w:tc>
          <w:tcPr>
            <w:tcW w:w="1366" w:type="pct"/>
            <w:tcBorders>
              <w:top w:val="single" w:sz="4" w:space="0" w:color="auto"/>
              <w:bottom w:val="single" w:sz="4" w:space="0" w:color="auto"/>
              <w:right w:val="single" w:sz="4" w:space="0" w:color="auto"/>
            </w:tcBorders>
            <w:shd w:val="clear" w:color="auto" w:fill="auto"/>
            <w:vAlign w:val="center"/>
          </w:tcPr>
          <w:p w14:paraId="018D912E" w14:textId="6A57BA4A" w:rsidR="009178B1" w:rsidRPr="006919A9" w:rsidRDefault="009178B1" w:rsidP="00523DD0">
            <w:pPr>
              <w:pStyle w:val="TableText0"/>
              <w:keepLines/>
              <w:widowControl w:val="0"/>
            </w:pPr>
            <w:r w:rsidRPr="006919A9">
              <w:t>18 Months (%) (95% CI)</w:t>
            </w:r>
          </w:p>
        </w:tc>
        <w:tc>
          <w:tcPr>
            <w:tcW w:w="802" w:type="pct"/>
            <w:tcBorders>
              <w:top w:val="single" w:sz="4" w:space="0" w:color="auto"/>
              <w:left w:val="single" w:sz="4" w:space="0" w:color="auto"/>
              <w:bottom w:val="single" w:sz="4" w:space="0" w:color="auto"/>
              <w:right w:val="single" w:sz="4" w:space="0" w:color="auto"/>
            </w:tcBorders>
            <w:shd w:val="clear" w:color="auto" w:fill="auto"/>
          </w:tcPr>
          <w:p w14:paraId="2F074ABC" w14:textId="18EEDD94" w:rsidR="009178B1" w:rsidRPr="006919A9" w:rsidRDefault="009178B1" w:rsidP="009178B1">
            <w:pPr>
              <w:pStyle w:val="TableText0"/>
              <w:keepLines/>
              <w:widowControl w:val="0"/>
              <w:jc w:val="center"/>
              <w:rPr>
                <w:szCs w:val="20"/>
              </w:rPr>
            </w:pPr>
            <w:r w:rsidRPr="006919A9">
              <w:t>90.0 (87.7, 91.9)</w:t>
            </w:r>
          </w:p>
        </w:tc>
        <w:tc>
          <w:tcPr>
            <w:tcW w:w="840" w:type="pct"/>
            <w:tcBorders>
              <w:top w:val="single" w:sz="4" w:space="0" w:color="auto"/>
              <w:left w:val="single" w:sz="4" w:space="0" w:color="auto"/>
              <w:bottom w:val="single" w:sz="4" w:space="0" w:color="auto"/>
              <w:right w:val="single" w:sz="4" w:space="0" w:color="auto"/>
            </w:tcBorders>
            <w:shd w:val="clear" w:color="auto" w:fill="auto"/>
          </w:tcPr>
          <w:p w14:paraId="45CACA8A" w14:textId="1EB72F90" w:rsidR="009178B1" w:rsidRPr="006919A9" w:rsidRDefault="009178B1" w:rsidP="009178B1">
            <w:pPr>
              <w:pStyle w:val="TableText0"/>
              <w:keepLines/>
              <w:widowControl w:val="0"/>
              <w:jc w:val="center"/>
              <w:rPr>
                <w:szCs w:val="20"/>
              </w:rPr>
            </w:pPr>
            <w:r w:rsidRPr="006919A9">
              <w:t>85.8 (81.9, 88.9)</w:t>
            </w:r>
          </w:p>
        </w:tc>
        <w:tc>
          <w:tcPr>
            <w:tcW w:w="1113" w:type="pct"/>
            <w:tcBorders>
              <w:top w:val="single" w:sz="4" w:space="0" w:color="auto"/>
              <w:left w:val="single" w:sz="4" w:space="0" w:color="auto"/>
              <w:bottom w:val="single" w:sz="4" w:space="0" w:color="auto"/>
              <w:right w:val="single" w:sz="4" w:space="0" w:color="auto"/>
            </w:tcBorders>
            <w:shd w:val="clear" w:color="auto" w:fill="auto"/>
          </w:tcPr>
          <w:p w14:paraId="0FC8F6FA" w14:textId="3E101B00" w:rsidR="009178B1" w:rsidRPr="006919A9" w:rsidRDefault="009178B1" w:rsidP="009178B1">
            <w:pPr>
              <w:pStyle w:val="TableText0"/>
              <w:keepLines/>
              <w:widowControl w:val="0"/>
              <w:jc w:val="center"/>
              <w:rPr>
                <w:rFonts w:cs="Times New Roman"/>
                <w:szCs w:val="20"/>
              </w:rPr>
            </w:pPr>
            <w:r w:rsidRPr="006919A9">
              <w:rPr>
                <w:rFonts w:cs="Times New Roman"/>
                <w:szCs w:val="20"/>
              </w:rPr>
              <w:t>4.2%</w:t>
            </w:r>
          </w:p>
        </w:tc>
        <w:tc>
          <w:tcPr>
            <w:tcW w:w="879" w:type="pct"/>
            <w:tcBorders>
              <w:top w:val="nil"/>
              <w:left w:val="single" w:sz="4" w:space="0" w:color="auto"/>
              <w:bottom w:val="single" w:sz="4" w:space="0" w:color="auto"/>
            </w:tcBorders>
            <w:shd w:val="clear" w:color="auto" w:fill="auto"/>
          </w:tcPr>
          <w:p w14:paraId="2BB780BB" w14:textId="77777777" w:rsidR="009178B1" w:rsidRPr="006919A9" w:rsidRDefault="009178B1" w:rsidP="009178B1">
            <w:pPr>
              <w:pStyle w:val="TableText0"/>
              <w:keepLines/>
              <w:widowControl w:val="0"/>
              <w:jc w:val="center"/>
            </w:pPr>
          </w:p>
        </w:tc>
      </w:tr>
      <w:tr w:rsidR="006919A9" w:rsidRPr="006919A9" w14:paraId="7E731C9F" w14:textId="77777777" w:rsidTr="00523DD0">
        <w:trPr>
          <w:trHeight w:val="20"/>
        </w:trPr>
        <w:tc>
          <w:tcPr>
            <w:tcW w:w="1366" w:type="pct"/>
            <w:tcBorders>
              <w:top w:val="single" w:sz="4" w:space="0" w:color="auto"/>
              <w:bottom w:val="single" w:sz="4" w:space="0" w:color="auto"/>
              <w:right w:val="single" w:sz="4" w:space="0" w:color="auto"/>
            </w:tcBorders>
            <w:shd w:val="clear" w:color="auto" w:fill="auto"/>
            <w:vAlign w:val="center"/>
          </w:tcPr>
          <w:p w14:paraId="51AFAA9F" w14:textId="42928C50" w:rsidR="009178B1" w:rsidRPr="006919A9" w:rsidRDefault="009178B1" w:rsidP="00523DD0">
            <w:pPr>
              <w:pStyle w:val="TableText0"/>
              <w:keepLines/>
              <w:widowControl w:val="0"/>
            </w:pPr>
            <w:r w:rsidRPr="006919A9">
              <w:t>24 Months (%) (95% CI)</w:t>
            </w:r>
          </w:p>
        </w:tc>
        <w:tc>
          <w:tcPr>
            <w:tcW w:w="802" w:type="pct"/>
            <w:tcBorders>
              <w:top w:val="single" w:sz="4" w:space="0" w:color="auto"/>
              <w:left w:val="single" w:sz="4" w:space="0" w:color="auto"/>
              <w:bottom w:val="single" w:sz="4" w:space="0" w:color="auto"/>
              <w:right w:val="single" w:sz="4" w:space="0" w:color="auto"/>
            </w:tcBorders>
            <w:shd w:val="clear" w:color="auto" w:fill="auto"/>
          </w:tcPr>
          <w:p w14:paraId="5B3174EB" w14:textId="7D9DDBCA" w:rsidR="009178B1" w:rsidRPr="006919A9" w:rsidRDefault="009178B1" w:rsidP="009178B1">
            <w:pPr>
              <w:pStyle w:val="TableText0"/>
              <w:keepLines/>
              <w:widowControl w:val="0"/>
              <w:jc w:val="center"/>
              <w:rPr>
                <w:szCs w:val="20"/>
              </w:rPr>
            </w:pPr>
            <w:r w:rsidRPr="006919A9">
              <w:t>87.8 (85.3, 89.9)</w:t>
            </w:r>
          </w:p>
        </w:tc>
        <w:tc>
          <w:tcPr>
            <w:tcW w:w="840" w:type="pct"/>
            <w:tcBorders>
              <w:top w:val="single" w:sz="4" w:space="0" w:color="auto"/>
              <w:left w:val="single" w:sz="4" w:space="0" w:color="auto"/>
              <w:bottom w:val="single" w:sz="4" w:space="0" w:color="auto"/>
              <w:right w:val="single" w:sz="4" w:space="0" w:color="auto"/>
            </w:tcBorders>
            <w:shd w:val="clear" w:color="auto" w:fill="auto"/>
          </w:tcPr>
          <w:p w14:paraId="135F4F70" w14:textId="2C05BD36" w:rsidR="009178B1" w:rsidRPr="006919A9" w:rsidRDefault="009178B1" w:rsidP="009178B1">
            <w:pPr>
              <w:pStyle w:val="TableText0"/>
              <w:keepLines/>
              <w:widowControl w:val="0"/>
              <w:jc w:val="center"/>
              <w:rPr>
                <w:szCs w:val="20"/>
              </w:rPr>
            </w:pPr>
            <w:r w:rsidRPr="006919A9">
              <w:t>81.0 (76.8, 84.6)</w:t>
            </w:r>
          </w:p>
        </w:tc>
        <w:tc>
          <w:tcPr>
            <w:tcW w:w="1113" w:type="pct"/>
            <w:tcBorders>
              <w:top w:val="single" w:sz="4" w:space="0" w:color="auto"/>
              <w:left w:val="single" w:sz="4" w:space="0" w:color="auto"/>
              <w:bottom w:val="single" w:sz="4" w:space="0" w:color="auto"/>
              <w:right w:val="single" w:sz="4" w:space="0" w:color="auto"/>
            </w:tcBorders>
            <w:shd w:val="clear" w:color="auto" w:fill="auto"/>
          </w:tcPr>
          <w:p w14:paraId="4A773D06" w14:textId="5099BA03" w:rsidR="009178B1" w:rsidRPr="006919A9" w:rsidRDefault="009178B1" w:rsidP="009178B1">
            <w:pPr>
              <w:pStyle w:val="TableText0"/>
              <w:keepLines/>
              <w:widowControl w:val="0"/>
              <w:jc w:val="center"/>
              <w:rPr>
                <w:rFonts w:cs="Times New Roman"/>
                <w:szCs w:val="20"/>
              </w:rPr>
            </w:pPr>
            <w:r w:rsidRPr="006919A9">
              <w:rPr>
                <w:rFonts w:cs="Times New Roman"/>
                <w:szCs w:val="20"/>
              </w:rPr>
              <w:t>6.8%</w:t>
            </w:r>
          </w:p>
        </w:tc>
        <w:tc>
          <w:tcPr>
            <w:tcW w:w="879" w:type="pct"/>
            <w:tcBorders>
              <w:top w:val="nil"/>
              <w:left w:val="single" w:sz="4" w:space="0" w:color="auto"/>
              <w:bottom w:val="single" w:sz="4" w:space="0" w:color="auto"/>
            </w:tcBorders>
            <w:shd w:val="clear" w:color="auto" w:fill="auto"/>
          </w:tcPr>
          <w:p w14:paraId="5B6CF801" w14:textId="77777777" w:rsidR="009178B1" w:rsidRPr="006919A9" w:rsidRDefault="009178B1" w:rsidP="009178B1">
            <w:pPr>
              <w:pStyle w:val="TableText0"/>
              <w:keepLines/>
              <w:widowControl w:val="0"/>
              <w:jc w:val="center"/>
            </w:pPr>
          </w:p>
        </w:tc>
      </w:tr>
      <w:tr w:rsidR="006919A9" w:rsidRPr="006919A9" w14:paraId="0E25A43C" w14:textId="77777777" w:rsidTr="00523DD0">
        <w:trPr>
          <w:trHeight w:val="20"/>
        </w:trPr>
        <w:tc>
          <w:tcPr>
            <w:tcW w:w="1366" w:type="pct"/>
            <w:tcBorders>
              <w:top w:val="single" w:sz="4" w:space="0" w:color="auto"/>
              <w:bottom w:val="single" w:sz="4" w:space="0" w:color="auto"/>
              <w:right w:val="single" w:sz="4" w:space="0" w:color="auto"/>
            </w:tcBorders>
            <w:shd w:val="clear" w:color="auto" w:fill="auto"/>
            <w:vAlign w:val="center"/>
          </w:tcPr>
          <w:p w14:paraId="47DE9668" w14:textId="1C8EB17A" w:rsidR="009178B1" w:rsidRPr="006919A9" w:rsidRDefault="009178B1" w:rsidP="00523DD0">
            <w:pPr>
              <w:pStyle w:val="TableText0"/>
              <w:keepLines/>
              <w:widowControl w:val="0"/>
            </w:pPr>
            <w:r w:rsidRPr="006919A9">
              <w:t>36 Months (%) (95% CI)</w:t>
            </w:r>
          </w:p>
        </w:tc>
        <w:tc>
          <w:tcPr>
            <w:tcW w:w="802" w:type="pct"/>
            <w:tcBorders>
              <w:top w:val="single" w:sz="4" w:space="0" w:color="auto"/>
              <w:left w:val="single" w:sz="4" w:space="0" w:color="auto"/>
              <w:bottom w:val="single" w:sz="4" w:space="0" w:color="auto"/>
              <w:right w:val="single" w:sz="4" w:space="0" w:color="auto"/>
            </w:tcBorders>
            <w:shd w:val="clear" w:color="auto" w:fill="auto"/>
          </w:tcPr>
          <w:p w14:paraId="413CF2A4" w14:textId="587706A1" w:rsidR="009178B1" w:rsidRPr="006919A9" w:rsidRDefault="009178B1" w:rsidP="009178B1">
            <w:pPr>
              <w:pStyle w:val="TableText0"/>
              <w:keepLines/>
              <w:widowControl w:val="0"/>
              <w:jc w:val="center"/>
              <w:rPr>
                <w:szCs w:val="20"/>
              </w:rPr>
            </w:pPr>
            <w:r w:rsidRPr="006919A9">
              <w:t>84.5 (81.7, 86.9)</w:t>
            </w:r>
          </w:p>
        </w:tc>
        <w:tc>
          <w:tcPr>
            <w:tcW w:w="840" w:type="pct"/>
            <w:tcBorders>
              <w:top w:val="single" w:sz="4" w:space="0" w:color="auto"/>
              <w:left w:val="single" w:sz="4" w:space="0" w:color="auto"/>
              <w:bottom w:val="single" w:sz="4" w:space="0" w:color="auto"/>
              <w:right w:val="single" w:sz="4" w:space="0" w:color="auto"/>
            </w:tcBorders>
            <w:shd w:val="clear" w:color="auto" w:fill="auto"/>
          </w:tcPr>
          <w:p w14:paraId="5A3555C4" w14:textId="69463D4E" w:rsidR="009178B1" w:rsidRPr="006919A9" w:rsidRDefault="009178B1" w:rsidP="009178B1">
            <w:pPr>
              <w:pStyle w:val="TableText0"/>
              <w:keepLines/>
              <w:widowControl w:val="0"/>
              <w:jc w:val="center"/>
              <w:rPr>
                <w:szCs w:val="20"/>
              </w:rPr>
            </w:pPr>
            <w:r w:rsidRPr="006919A9">
              <w:t>76.8 (72.2, 80.7)</w:t>
            </w:r>
          </w:p>
        </w:tc>
        <w:tc>
          <w:tcPr>
            <w:tcW w:w="1113" w:type="pct"/>
            <w:tcBorders>
              <w:top w:val="single" w:sz="4" w:space="0" w:color="auto"/>
              <w:left w:val="single" w:sz="4" w:space="0" w:color="auto"/>
              <w:bottom w:val="single" w:sz="4" w:space="0" w:color="auto"/>
              <w:right w:val="single" w:sz="4" w:space="0" w:color="auto"/>
            </w:tcBorders>
            <w:shd w:val="clear" w:color="auto" w:fill="auto"/>
          </w:tcPr>
          <w:p w14:paraId="4B283863" w14:textId="5AF4A9E3" w:rsidR="009178B1" w:rsidRPr="006919A9" w:rsidRDefault="009178B1" w:rsidP="009178B1">
            <w:pPr>
              <w:pStyle w:val="TableText0"/>
              <w:keepLines/>
              <w:widowControl w:val="0"/>
              <w:jc w:val="center"/>
              <w:rPr>
                <w:rFonts w:cs="Times New Roman"/>
                <w:szCs w:val="20"/>
              </w:rPr>
            </w:pPr>
            <w:r w:rsidRPr="006919A9">
              <w:rPr>
                <w:rFonts w:cs="Times New Roman"/>
                <w:szCs w:val="20"/>
              </w:rPr>
              <w:t>7.7%</w:t>
            </w:r>
          </w:p>
        </w:tc>
        <w:tc>
          <w:tcPr>
            <w:tcW w:w="879" w:type="pct"/>
            <w:tcBorders>
              <w:top w:val="nil"/>
              <w:left w:val="single" w:sz="4" w:space="0" w:color="auto"/>
              <w:bottom w:val="single" w:sz="4" w:space="0" w:color="auto"/>
            </w:tcBorders>
            <w:shd w:val="clear" w:color="auto" w:fill="auto"/>
          </w:tcPr>
          <w:p w14:paraId="6108154A" w14:textId="77777777" w:rsidR="009178B1" w:rsidRPr="006919A9" w:rsidRDefault="009178B1" w:rsidP="009178B1">
            <w:pPr>
              <w:pStyle w:val="TableText0"/>
              <w:keepLines/>
              <w:widowControl w:val="0"/>
              <w:jc w:val="center"/>
            </w:pPr>
          </w:p>
        </w:tc>
      </w:tr>
    </w:tbl>
    <w:tbl>
      <w:tblPr>
        <w:tblW w:w="5000" w:type="pct"/>
        <w:tblLayout w:type="fixed"/>
        <w:tblCellMar>
          <w:left w:w="28" w:type="dxa"/>
          <w:right w:w="28" w:type="dxa"/>
        </w:tblCellMar>
        <w:tblLook w:val="04A0" w:firstRow="1" w:lastRow="0" w:firstColumn="1" w:lastColumn="0" w:noHBand="0" w:noVBand="1"/>
      </w:tblPr>
      <w:tblGrid>
        <w:gridCol w:w="1981"/>
        <w:gridCol w:w="849"/>
        <w:gridCol w:w="992"/>
        <w:gridCol w:w="1580"/>
        <w:gridCol w:w="952"/>
        <w:gridCol w:w="1026"/>
        <w:gridCol w:w="1637"/>
      </w:tblGrid>
      <w:tr w:rsidR="006919A9" w:rsidRPr="00652C95" w14:paraId="4CB55A42" w14:textId="77777777" w:rsidTr="003D1DE4">
        <w:tc>
          <w:tcPr>
            <w:tcW w:w="5000" w:type="pct"/>
            <w:gridSpan w:val="7"/>
            <w:tcBorders>
              <w:top w:val="double" w:sz="4" w:space="0" w:color="auto"/>
              <w:left w:val="single" w:sz="4" w:space="0" w:color="auto"/>
              <w:bottom w:val="single" w:sz="4" w:space="0" w:color="auto"/>
              <w:right w:val="single" w:sz="4" w:space="0" w:color="auto"/>
            </w:tcBorders>
            <w:shd w:val="clear" w:color="auto" w:fill="auto"/>
            <w:vAlign w:val="center"/>
          </w:tcPr>
          <w:p w14:paraId="5D6D7F31" w14:textId="77777777" w:rsidR="0099451E" w:rsidRPr="00652C95" w:rsidRDefault="0099451E" w:rsidP="00D2155B">
            <w:pPr>
              <w:pStyle w:val="In-tableHeading"/>
              <w:rPr>
                <w:lang w:val="en-AU"/>
              </w:rPr>
            </w:pPr>
            <w:r w:rsidRPr="00652C95">
              <w:rPr>
                <w:lang w:val="en-AU"/>
              </w:rPr>
              <w:t xml:space="preserve">Harms </w:t>
            </w:r>
          </w:p>
        </w:tc>
      </w:tr>
      <w:tr w:rsidR="006919A9" w:rsidRPr="00652C95" w14:paraId="75B2E922" w14:textId="77777777" w:rsidTr="005F09B9">
        <w:trPr>
          <w:trHeight w:val="70"/>
        </w:trPr>
        <w:tc>
          <w:tcPr>
            <w:tcW w:w="109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4547F8C" w14:textId="77777777" w:rsidR="006C49F1" w:rsidRPr="00652C95" w:rsidRDefault="006C49F1" w:rsidP="006C49F1">
            <w:pPr>
              <w:pStyle w:val="In-tableHeading"/>
              <w:rPr>
                <w:lang w:val="en-AU"/>
              </w:rPr>
            </w:pPr>
          </w:p>
        </w:tc>
        <w:tc>
          <w:tcPr>
            <w:tcW w:w="471" w:type="pct"/>
            <w:vMerge w:val="restart"/>
            <w:tcBorders>
              <w:top w:val="single" w:sz="4" w:space="0" w:color="auto"/>
              <w:left w:val="single" w:sz="4" w:space="0" w:color="auto"/>
              <w:bottom w:val="single" w:sz="4" w:space="0" w:color="auto"/>
              <w:right w:val="single" w:sz="4" w:space="0" w:color="auto"/>
            </w:tcBorders>
            <w:vAlign w:val="center"/>
          </w:tcPr>
          <w:p w14:paraId="18AE1B71" w14:textId="2C6EC15F" w:rsidR="006C49F1" w:rsidRPr="00652C95" w:rsidRDefault="006C49F1" w:rsidP="006C49F1">
            <w:pPr>
              <w:pStyle w:val="In-tableHeading"/>
              <w:jc w:val="center"/>
              <w:rPr>
                <w:lang w:val="en-AU"/>
              </w:rPr>
            </w:pPr>
            <w:r w:rsidRPr="00652C95">
              <w:rPr>
                <w:lang w:val="en-AU"/>
              </w:rPr>
              <w:t>Pembro + chemo</w:t>
            </w:r>
          </w:p>
        </w:tc>
        <w:tc>
          <w:tcPr>
            <w:tcW w:w="550" w:type="pct"/>
            <w:vMerge w:val="restart"/>
            <w:tcBorders>
              <w:top w:val="single" w:sz="4" w:space="0" w:color="auto"/>
              <w:left w:val="single" w:sz="4" w:space="0" w:color="auto"/>
              <w:bottom w:val="single" w:sz="4" w:space="0" w:color="auto"/>
              <w:right w:val="single" w:sz="4" w:space="0" w:color="auto"/>
            </w:tcBorders>
            <w:vAlign w:val="center"/>
          </w:tcPr>
          <w:p w14:paraId="6D0B7D43" w14:textId="1F90D667" w:rsidR="006C49F1" w:rsidRPr="00652C95" w:rsidRDefault="006C49F1" w:rsidP="006C49F1">
            <w:pPr>
              <w:pStyle w:val="In-tableHeading"/>
              <w:jc w:val="center"/>
              <w:rPr>
                <w:lang w:val="en-AU"/>
              </w:rPr>
            </w:pPr>
            <w:r w:rsidRPr="00652C95">
              <w:rPr>
                <w:lang w:val="en-AU"/>
              </w:rPr>
              <w:t>Placebo + chemo</w:t>
            </w:r>
          </w:p>
        </w:tc>
        <w:tc>
          <w:tcPr>
            <w:tcW w:w="876" w:type="pct"/>
            <w:vMerge w:val="restart"/>
            <w:tcBorders>
              <w:top w:val="single" w:sz="4" w:space="0" w:color="auto"/>
              <w:left w:val="single" w:sz="4" w:space="0" w:color="auto"/>
              <w:bottom w:val="single" w:sz="4" w:space="0" w:color="auto"/>
              <w:right w:val="single" w:sz="4" w:space="0" w:color="auto"/>
            </w:tcBorders>
            <w:vAlign w:val="center"/>
          </w:tcPr>
          <w:p w14:paraId="6CD15AD0" w14:textId="77777777" w:rsidR="006C49F1" w:rsidRPr="00652C95" w:rsidRDefault="006C49F1" w:rsidP="006C49F1">
            <w:pPr>
              <w:pStyle w:val="In-tableHeading"/>
              <w:jc w:val="center"/>
              <w:rPr>
                <w:lang w:val="en-AU"/>
              </w:rPr>
            </w:pPr>
            <w:r w:rsidRPr="00652C95">
              <w:rPr>
                <w:lang w:val="en-AU"/>
              </w:rPr>
              <w:t>RR</w:t>
            </w:r>
          </w:p>
          <w:p w14:paraId="3695D7EC" w14:textId="77777777" w:rsidR="006C49F1" w:rsidRPr="00652C95" w:rsidRDefault="006C49F1" w:rsidP="006C49F1">
            <w:pPr>
              <w:pStyle w:val="In-tableHeading"/>
              <w:jc w:val="center"/>
              <w:rPr>
                <w:lang w:val="en-AU"/>
              </w:rPr>
            </w:pPr>
            <w:r w:rsidRPr="00652C95">
              <w:rPr>
                <w:lang w:val="en-AU"/>
              </w:rPr>
              <w:t>(95% CI)</w:t>
            </w:r>
          </w:p>
        </w:tc>
        <w:tc>
          <w:tcPr>
            <w:tcW w:w="1097" w:type="pct"/>
            <w:gridSpan w:val="2"/>
            <w:tcBorders>
              <w:top w:val="single" w:sz="4" w:space="0" w:color="auto"/>
              <w:left w:val="single" w:sz="4" w:space="0" w:color="auto"/>
              <w:bottom w:val="single" w:sz="4" w:space="0" w:color="auto"/>
              <w:right w:val="single" w:sz="4" w:space="0" w:color="auto"/>
            </w:tcBorders>
            <w:vAlign w:val="center"/>
          </w:tcPr>
          <w:p w14:paraId="2D89440A" w14:textId="565DA633" w:rsidR="006C49F1" w:rsidRPr="00652C95" w:rsidRDefault="006C49F1" w:rsidP="006C49F1">
            <w:pPr>
              <w:pStyle w:val="In-tableHeading"/>
              <w:jc w:val="center"/>
              <w:rPr>
                <w:lang w:val="en-AU"/>
              </w:rPr>
            </w:pPr>
            <w:r w:rsidRPr="00652C95">
              <w:rPr>
                <w:lang w:val="en-AU"/>
              </w:rPr>
              <w:t>Event rate/100 patients*</w:t>
            </w:r>
          </w:p>
        </w:tc>
        <w:tc>
          <w:tcPr>
            <w:tcW w:w="908" w:type="pct"/>
            <w:vMerge w:val="restart"/>
            <w:tcBorders>
              <w:top w:val="single" w:sz="4" w:space="0" w:color="auto"/>
              <w:left w:val="single" w:sz="4" w:space="0" w:color="auto"/>
              <w:bottom w:val="single" w:sz="4" w:space="0" w:color="auto"/>
              <w:right w:val="single" w:sz="4" w:space="0" w:color="auto"/>
            </w:tcBorders>
            <w:vAlign w:val="center"/>
          </w:tcPr>
          <w:p w14:paraId="0603FC2B" w14:textId="77777777" w:rsidR="006C49F1" w:rsidRPr="00652C95" w:rsidRDefault="006C49F1" w:rsidP="006C49F1">
            <w:pPr>
              <w:pStyle w:val="In-tableHeading"/>
              <w:jc w:val="center"/>
              <w:rPr>
                <w:lang w:val="en-AU"/>
              </w:rPr>
            </w:pPr>
            <w:r w:rsidRPr="00652C95">
              <w:rPr>
                <w:lang w:val="en-AU"/>
              </w:rPr>
              <w:t>RD</w:t>
            </w:r>
          </w:p>
          <w:p w14:paraId="61EDAA80" w14:textId="77777777" w:rsidR="006C49F1" w:rsidRPr="00652C95" w:rsidRDefault="006C49F1" w:rsidP="006C49F1">
            <w:pPr>
              <w:pStyle w:val="In-tableHeading"/>
              <w:jc w:val="center"/>
              <w:rPr>
                <w:lang w:val="en-AU"/>
              </w:rPr>
            </w:pPr>
            <w:r w:rsidRPr="00652C95">
              <w:rPr>
                <w:lang w:val="en-AU"/>
              </w:rPr>
              <w:t>(95% CI)</w:t>
            </w:r>
          </w:p>
        </w:tc>
      </w:tr>
      <w:tr w:rsidR="006919A9" w:rsidRPr="00652C95" w14:paraId="479B77C6" w14:textId="77777777" w:rsidTr="00AA43F3">
        <w:trPr>
          <w:trHeight w:val="390"/>
        </w:trPr>
        <w:tc>
          <w:tcPr>
            <w:tcW w:w="1098"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BA6A81F" w14:textId="77777777" w:rsidR="006C49F1" w:rsidRPr="00652C95" w:rsidRDefault="006C49F1" w:rsidP="006C49F1">
            <w:pPr>
              <w:pStyle w:val="In-tableHeading"/>
              <w:rPr>
                <w:lang w:val="en-AU"/>
              </w:rPr>
            </w:pPr>
          </w:p>
        </w:tc>
        <w:tc>
          <w:tcPr>
            <w:tcW w:w="471" w:type="pct"/>
            <w:vMerge/>
            <w:tcBorders>
              <w:top w:val="single" w:sz="4" w:space="0" w:color="auto"/>
              <w:left w:val="single" w:sz="4" w:space="0" w:color="auto"/>
              <w:bottom w:val="single" w:sz="4" w:space="0" w:color="auto"/>
              <w:right w:val="single" w:sz="4" w:space="0" w:color="auto"/>
            </w:tcBorders>
            <w:vAlign w:val="center"/>
          </w:tcPr>
          <w:p w14:paraId="738CA751" w14:textId="77777777" w:rsidR="006C49F1" w:rsidRPr="00652C95" w:rsidRDefault="006C49F1" w:rsidP="006C49F1">
            <w:pPr>
              <w:pStyle w:val="In-tableHeading"/>
              <w:rPr>
                <w:lang w:val="en-AU"/>
              </w:rPr>
            </w:pPr>
          </w:p>
        </w:tc>
        <w:tc>
          <w:tcPr>
            <w:tcW w:w="550" w:type="pct"/>
            <w:vMerge/>
            <w:tcBorders>
              <w:top w:val="single" w:sz="4" w:space="0" w:color="auto"/>
              <w:left w:val="single" w:sz="4" w:space="0" w:color="auto"/>
              <w:bottom w:val="single" w:sz="4" w:space="0" w:color="auto"/>
              <w:right w:val="single" w:sz="4" w:space="0" w:color="auto"/>
            </w:tcBorders>
            <w:vAlign w:val="center"/>
          </w:tcPr>
          <w:p w14:paraId="75FBCA94" w14:textId="77777777" w:rsidR="006C49F1" w:rsidRPr="00652C95" w:rsidRDefault="006C49F1" w:rsidP="006C49F1">
            <w:pPr>
              <w:pStyle w:val="In-tableHeading"/>
              <w:rPr>
                <w:lang w:val="en-AU"/>
              </w:rPr>
            </w:pPr>
          </w:p>
        </w:tc>
        <w:tc>
          <w:tcPr>
            <w:tcW w:w="876" w:type="pct"/>
            <w:vMerge/>
            <w:tcBorders>
              <w:top w:val="single" w:sz="4" w:space="0" w:color="auto"/>
              <w:left w:val="single" w:sz="4" w:space="0" w:color="auto"/>
              <w:bottom w:val="single" w:sz="4" w:space="0" w:color="auto"/>
              <w:right w:val="single" w:sz="4" w:space="0" w:color="auto"/>
            </w:tcBorders>
            <w:vAlign w:val="center"/>
          </w:tcPr>
          <w:p w14:paraId="57978F38" w14:textId="77777777" w:rsidR="006C49F1" w:rsidRPr="00652C95" w:rsidRDefault="006C49F1" w:rsidP="006C49F1">
            <w:pPr>
              <w:pStyle w:val="In-tableHeading"/>
              <w:rPr>
                <w:lang w:val="en-AU"/>
              </w:rPr>
            </w:pPr>
          </w:p>
        </w:tc>
        <w:tc>
          <w:tcPr>
            <w:tcW w:w="528" w:type="pct"/>
            <w:tcBorders>
              <w:top w:val="single" w:sz="4" w:space="0" w:color="auto"/>
              <w:left w:val="single" w:sz="4" w:space="0" w:color="auto"/>
              <w:bottom w:val="single" w:sz="4" w:space="0" w:color="auto"/>
              <w:right w:val="single" w:sz="4" w:space="0" w:color="auto"/>
            </w:tcBorders>
            <w:vAlign w:val="center"/>
          </w:tcPr>
          <w:p w14:paraId="6C5E3022" w14:textId="03F8D96E" w:rsidR="006C49F1" w:rsidRPr="00652C95" w:rsidRDefault="006C49F1" w:rsidP="006C49F1">
            <w:pPr>
              <w:pStyle w:val="In-tableHeading"/>
              <w:jc w:val="center"/>
              <w:rPr>
                <w:lang w:val="en-AU"/>
              </w:rPr>
            </w:pPr>
            <w:r w:rsidRPr="00652C95">
              <w:rPr>
                <w:lang w:val="en-AU"/>
              </w:rPr>
              <w:t>Pembro + chemo</w:t>
            </w:r>
          </w:p>
        </w:tc>
        <w:tc>
          <w:tcPr>
            <w:tcW w:w="568" w:type="pct"/>
            <w:tcBorders>
              <w:top w:val="single" w:sz="4" w:space="0" w:color="auto"/>
              <w:left w:val="single" w:sz="4" w:space="0" w:color="auto"/>
              <w:bottom w:val="single" w:sz="4" w:space="0" w:color="auto"/>
              <w:right w:val="single" w:sz="4" w:space="0" w:color="auto"/>
            </w:tcBorders>
            <w:vAlign w:val="center"/>
          </w:tcPr>
          <w:p w14:paraId="0B50134F" w14:textId="0488CE0C" w:rsidR="006C49F1" w:rsidRPr="00652C95" w:rsidRDefault="006C49F1" w:rsidP="006C49F1">
            <w:pPr>
              <w:pStyle w:val="In-tableHeading"/>
              <w:jc w:val="center"/>
              <w:rPr>
                <w:lang w:val="en-AU"/>
              </w:rPr>
            </w:pPr>
            <w:r w:rsidRPr="00652C95">
              <w:rPr>
                <w:lang w:val="en-AU"/>
              </w:rPr>
              <w:t>Placebo + chemo</w:t>
            </w:r>
          </w:p>
        </w:tc>
        <w:tc>
          <w:tcPr>
            <w:tcW w:w="908" w:type="pct"/>
            <w:vMerge/>
            <w:tcBorders>
              <w:top w:val="single" w:sz="4" w:space="0" w:color="auto"/>
              <w:left w:val="single" w:sz="4" w:space="0" w:color="auto"/>
              <w:bottom w:val="single" w:sz="4" w:space="0" w:color="auto"/>
              <w:right w:val="single" w:sz="4" w:space="0" w:color="auto"/>
            </w:tcBorders>
            <w:vAlign w:val="center"/>
          </w:tcPr>
          <w:p w14:paraId="1A0186C2" w14:textId="77777777" w:rsidR="006C49F1" w:rsidRPr="00652C95" w:rsidRDefault="006C49F1" w:rsidP="006C49F1">
            <w:pPr>
              <w:pStyle w:val="In-tableHeading"/>
              <w:rPr>
                <w:lang w:val="en-AU"/>
              </w:rPr>
            </w:pPr>
          </w:p>
        </w:tc>
      </w:tr>
      <w:tr w:rsidR="006919A9" w:rsidRPr="00652C95" w14:paraId="1290D3E1" w14:textId="77777777" w:rsidTr="003D1DE4">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324EC2B8" w14:textId="4DA5F640" w:rsidR="0099451E" w:rsidRPr="00652C95" w:rsidRDefault="0099451E" w:rsidP="00D2155B">
            <w:pPr>
              <w:pStyle w:val="In-tableHeading"/>
              <w:jc w:val="both"/>
              <w:rPr>
                <w:lang w:val="en-AU"/>
              </w:rPr>
            </w:pPr>
            <w:r w:rsidRPr="00652C95">
              <w:rPr>
                <w:lang w:val="en-AU"/>
              </w:rPr>
              <w:t>Adverse event</w:t>
            </w:r>
            <w:r w:rsidR="00643AAC" w:rsidRPr="00652C95">
              <w:rPr>
                <w:lang w:val="en-AU"/>
              </w:rPr>
              <w:t>s (IA4: A</w:t>
            </w:r>
            <w:r w:rsidR="00421AF8" w:rsidRPr="00652C95">
              <w:rPr>
                <w:lang w:val="en-AU"/>
              </w:rPr>
              <w:t>Sa</w:t>
            </w:r>
            <w:r w:rsidR="00643AAC" w:rsidRPr="00652C95">
              <w:rPr>
                <w:lang w:val="en-AU"/>
              </w:rPr>
              <w:t>T</w:t>
            </w:r>
            <w:r w:rsidR="002570B2" w:rsidRPr="00652C95">
              <w:rPr>
                <w:lang w:val="en-AU"/>
              </w:rPr>
              <w:t>)</w:t>
            </w:r>
          </w:p>
        </w:tc>
      </w:tr>
      <w:tr w:rsidR="006919A9" w:rsidRPr="00652C95" w14:paraId="572E193B" w14:textId="77777777" w:rsidTr="00AA43F3">
        <w:tc>
          <w:tcPr>
            <w:tcW w:w="1098" w:type="pct"/>
            <w:tcBorders>
              <w:top w:val="single" w:sz="4" w:space="0" w:color="auto"/>
              <w:left w:val="single" w:sz="4" w:space="0" w:color="auto"/>
              <w:bottom w:val="single" w:sz="4" w:space="0" w:color="auto"/>
              <w:right w:val="single" w:sz="4" w:space="0" w:color="auto"/>
            </w:tcBorders>
            <w:shd w:val="clear" w:color="auto" w:fill="auto"/>
            <w:vAlign w:val="center"/>
          </w:tcPr>
          <w:p w14:paraId="591D19B5" w14:textId="493DDFF7" w:rsidR="0099451E" w:rsidRPr="00652C95" w:rsidRDefault="00557DB0" w:rsidP="001E34DF">
            <w:pPr>
              <w:pStyle w:val="TableText0"/>
            </w:pPr>
            <w:r w:rsidRPr="00652C95">
              <w:t>S</w:t>
            </w:r>
            <w:r w:rsidR="003D29A9" w:rsidRPr="00652C95">
              <w:t>erious drug-related AE</w:t>
            </w:r>
          </w:p>
        </w:tc>
        <w:tc>
          <w:tcPr>
            <w:tcW w:w="471" w:type="pct"/>
            <w:tcBorders>
              <w:top w:val="single" w:sz="4" w:space="0" w:color="auto"/>
              <w:left w:val="single" w:sz="4" w:space="0" w:color="auto"/>
              <w:bottom w:val="single" w:sz="4" w:space="0" w:color="auto"/>
              <w:right w:val="single" w:sz="4" w:space="0" w:color="auto"/>
            </w:tcBorders>
            <w:vAlign w:val="center"/>
          </w:tcPr>
          <w:p w14:paraId="4C700CB8" w14:textId="2A46CBA8" w:rsidR="0099451E" w:rsidRPr="00652C95" w:rsidRDefault="003D29A9" w:rsidP="00D2155B">
            <w:pPr>
              <w:pStyle w:val="TableText0"/>
              <w:jc w:val="center"/>
            </w:pPr>
            <w:r w:rsidRPr="00652C95">
              <w:t>267/783</w:t>
            </w:r>
          </w:p>
        </w:tc>
        <w:tc>
          <w:tcPr>
            <w:tcW w:w="550" w:type="pct"/>
            <w:tcBorders>
              <w:top w:val="single" w:sz="4" w:space="0" w:color="auto"/>
              <w:left w:val="single" w:sz="4" w:space="0" w:color="auto"/>
              <w:bottom w:val="single" w:sz="4" w:space="0" w:color="auto"/>
              <w:right w:val="single" w:sz="4" w:space="0" w:color="auto"/>
            </w:tcBorders>
            <w:vAlign w:val="center"/>
          </w:tcPr>
          <w:p w14:paraId="01A4D221" w14:textId="5445ED52" w:rsidR="0099451E" w:rsidRPr="00652C95" w:rsidRDefault="003D29A9" w:rsidP="00D2155B">
            <w:pPr>
              <w:pStyle w:val="TableText0"/>
              <w:jc w:val="center"/>
            </w:pPr>
            <w:r w:rsidRPr="00652C95">
              <w:t>78/389</w:t>
            </w:r>
          </w:p>
        </w:tc>
        <w:tc>
          <w:tcPr>
            <w:tcW w:w="876" w:type="pct"/>
            <w:tcBorders>
              <w:top w:val="single" w:sz="4" w:space="0" w:color="auto"/>
              <w:left w:val="single" w:sz="4" w:space="0" w:color="auto"/>
              <w:bottom w:val="single" w:sz="4" w:space="0" w:color="auto"/>
              <w:right w:val="single" w:sz="4" w:space="0" w:color="auto"/>
            </w:tcBorders>
            <w:vAlign w:val="center"/>
          </w:tcPr>
          <w:p w14:paraId="34986F80" w14:textId="42C25F61" w:rsidR="0099451E" w:rsidRPr="00652C95" w:rsidRDefault="003D29A9" w:rsidP="00D2155B">
            <w:pPr>
              <w:pStyle w:val="TableText0"/>
              <w:jc w:val="center"/>
            </w:pPr>
            <w:r w:rsidRPr="00652C95">
              <w:t>1.7 (1.36, 2.12)</w:t>
            </w:r>
          </w:p>
        </w:tc>
        <w:tc>
          <w:tcPr>
            <w:tcW w:w="528" w:type="pct"/>
            <w:tcBorders>
              <w:top w:val="single" w:sz="4" w:space="0" w:color="auto"/>
              <w:left w:val="single" w:sz="4" w:space="0" w:color="auto"/>
              <w:bottom w:val="single" w:sz="4" w:space="0" w:color="auto"/>
              <w:right w:val="single" w:sz="4" w:space="0" w:color="auto"/>
            </w:tcBorders>
            <w:vAlign w:val="center"/>
          </w:tcPr>
          <w:p w14:paraId="56FA6411" w14:textId="0409410A" w:rsidR="0099451E" w:rsidRPr="00652C95" w:rsidRDefault="003D29A9" w:rsidP="00D2155B">
            <w:pPr>
              <w:pStyle w:val="TableText0"/>
              <w:jc w:val="center"/>
            </w:pPr>
            <w:r w:rsidRPr="00652C95">
              <w:t>34.1</w:t>
            </w:r>
          </w:p>
        </w:tc>
        <w:tc>
          <w:tcPr>
            <w:tcW w:w="568" w:type="pct"/>
            <w:tcBorders>
              <w:top w:val="single" w:sz="4" w:space="0" w:color="auto"/>
              <w:left w:val="single" w:sz="4" w:space="0" w:color="auto"/>
              <w:bottom w:val="single" w:sz="4" w:space="0" w:color="auto"/>
              <w:right w:val="single" w:sz="4" w:space="0" w:color="auto"/>
            </w:tcBorders>
            <w:vAlign w:val="center"/>
          </w:tcPr>
          <w:p w14:paraId="5EDDCB36" w14:textId="01499A6B" w:rsidR="0099451E" w:rsidRPr="00652C95" w:rsidRDefault="003D29A9" w:rsidP="00D2155B">
            <w:pPr>
              <w:pStyle w:val="TableText0"/>
              <w:jc w:val="center"/>
            </w:pPr>
            <w:r w:rsidRPr="00652C95">
              <w:t>20.1</w:t>
            </w:r>
          </w:p>
        </w:tc>
        <w:tc>
          <w:tcPr>
            <w:tcW w:w="908" w:type="pct"/>
            <w:tcBorders>
              <w:top w:val="single" w:sz="4" w:space="0" w:color="auto"/>
              <w:left w:val="single" w:sz="4" w:space="0" w:color="auto"/>
              <w:bottom w:val="single" w:sz="4" w:space="0" w:color="auto"/>
              <w:right w:val="single" w:sz="4" w:space="0" w:color="auto"/>
            </w:tcBorders>
            <w:vAlign w:val="center"/>
          </w:tcPr>
          <w:p w14:paraId="3D5DEBDC" w14:textId="72985A2F" w:rsidR="0099451E" w:rsidRPr="00652C95" w:rsidRDefault="003D29A9" w:rsidP="00D2155B">
            <w:pPr>
              <w:pStyle w:val="TableText0"/>
              <w:jc w:val="center"/>
            </w:pPr>
            <w:r w:rsidRPr="00652C95">
              <w:t>0.14 (0.09, 0.19)</w:t>
            </w:r>
          </w:p>
        </w:tc>
      </w:tr>
      <w:tr w:rsidR="006919A9" w:rsidRPr="00652C95" w14:paraId="4D02EC43" w14:textId="77777777" w:rsidTr="00AA43F3">
        <w:tc>
          <w:tcPr>
            <w:tcW w:w="1098" w:type="pct"/>
            <w:tcBorders>
              <w:top w:val="single" w:sz="4" w:space="0" w:color="auto"/>
              <w:left w:val="single" w:sz="4" w:space="0" w:color="auto"/>
              <w:bottom w:val="single" w:sz="4" w:space="0" w:color="auto"/>
              <w:right w:val="single" w:sz="4" w:space="0" w:color="auto"/>
            </w:tcBorders>
            <w:shd w:val="clear" w:color="auto" w:fill="auto"/>
            <w:vAlign w:val="center"/>
          </w:tcPr>
          <w:p w14:paraId="694B27BD" w14:textId="5C0F3F9A" w:rsidR="00557DB0" w:rsidRPr="00652C95" w:rsidRDefault="00557DB0" w:rsidP="00557DB0">
            <w:pPr>
              <w:pStyle w:val="TableText0"/>
            </w:pPr>
            <w:r w:rsidRPr="00652C95">
              <w:t>Discontinued any drug due to a drug-related AE</w:t>
            </w:r>
          </w:p>
        </w:tc>
        <w:tc>
          <w:tcPr>
            <w:tcW w:w="471" w:type="pct"/>
            <w:tcBorders>
              <w:top w:val="single" w:sz="4" w:space="0" w:color="auto"/>
              <w:left w:val="single" w:sz="4" w:space="0" w:color="auto"/>
              <w:bottom w:val="single" w:sz="4" w:space="0" w:color="auto"/>
              <w:right w:val="single" w:sz="4" w:space="0" w:color="auto"/>
            </w:tcBorders>
            <w:vAlign w:val="center"/>
          </w:tcPr>
          <w:p w14:paraId="03406909" w14:textId="3FBACC4E" w:rsidR="00557DB0" w:rsidRPr="00652C95" w:rsidRDefault="00557DB0" w:rsidP="00557DB0">
            <w:pPr>
              <w:pStyle w:val="TableText0"/>
              <w:jc w:val="center"/>
            </w:pPr>
            <w:r w:rsidRPr="00652C95">
              <w:t>217/783</w:t>
            </w:r>
          </w:p>
        </w:tc>
        <w:tc>
          <w:tcPr>
            <w:tcW w:w="550" w:type="pct"/>
            <w:tcBorders>
              <w:top w:val="single" w:sz="4" w:space="0" w:color="auto"/>
              <w:left w:val="single" w:sz="4" w:space="0" w:color="auto"/>
              <w:bottom w:val="single" w:sz="4" w:space="0" w:color="auto"/>
              <w:right w:val="single" w:sz="4" w:space="0" w:color="auto"/>
            </w:tcBorders>
            <w:vAlign w:val="center"/>
          </w:tcPr>
          <w:p w14:paraId="590A3CE9" w14:textId="080388B9" w:rsidR="00557DB0" w:rsidRPr="00652C95" w:rsidRDefault="00557DB0" w:rsidP="00557DB0">
            <w:pPr>
              <w:pStyle w:val="TableText0"/>
              <w:jc w:val="center"/>
            </w:pPr>
            <w:r w:rsidRPr="00652C95">
              <w:t>55/389</w:t>
            </w:r>
          </w:p>
        </w:tc>
        <w:tc>
          <w:tcPr>
            <w:tcW w:w="876" w:type="pct"/>
            <w:tcBorders>
              <w:top w:val="single" w:sz="4" w:space="0" w:color="auto"/>
              <w:left w:val="single" w:sz="4" w:space="0" w:color="auto"/>
              <w:bottom w:val="single" w:sz="4" w:space="0" w:color="auto"/>
              <w:right w:val="single" w:sz="4" w:space="0" w:color="auto"/>
            </w:tcBorders>
            <w:vAlign w:val="center"/>
          </w:tcPr>
          <w:p w14:paraId="4D0C578D" w14:textId="173454E5" w:rsidR="00557DB0" w:rsidRPr="00652C95" w:rsidRDefault="00557DB0" w:rsidP="00557DB0">
            <w:pPr>
              <w:pStyle w:val="TableText0"/>
              <w:jc w:val="center"/>
            </w:pPr>
            <w:r w:rsidRPr="00652C95">
              <w:t>1.96 (1.5, 2.57)</w:t>
            </w:r>
          </w:p>
        </w:tc>
        <w:tc>
          <w:tcPr>
            <w:tcW w:w="528" w:type="pct"/>
            <w:tcBorders>
              <w:top w:val="single" w:sz="4" w:space="0" w:color="auto"/>
              <w:left w:val="single" w:sz="4" w:space="0" w:color="auto"/>
              <w:bottom w:val="single" w:sz="4" w:space="0" w:color="auto"/>
              <w:right w:val="single" w:sz="4" w:space="0" w:color="auto"/>
            </w:tcBorders>
            <w:vAlign w:val="center"/>
          </w:tcPr>
          <w:p w14:paraId="6D8792EA" w14:textId="77008B19" w:rsidR="00557DB0" w:rsidRPr="00652C95" w:rsidRDefault="00557DB0" w:rsidP="00557DB0">
            <w:pPr>
              <w:pStyle w:val="TableText0"/>
              <w:jc w:val="center"/>
            </w:pPr>
            <w:r w:rsidRPr="00652C95">
              <w:t>27.7</w:t>
            </w:r>
          </w:p>
        </w:tc>
        <w:tc>
          <w:tcPr>
            <w:tcW w:w="568" w:type="pct"/>
            <w:tcBorders>
              <w:top w:val="single" w:sz="4" w:space="0" w:color="auto"/>
              <w:left w:val="single" w:sz="4" w:space="0" w:color="auto"/>
              <w:bottom w:val="single" w:sz="4" w:space="0" w:color="auto"/>
              <w:right w:val="single" w:sz="4" w:space="0" w:color="auto"/>
            </w:tcBorders>
            <w:vAlign w:val="center"/>
          </w:tcPr>
          <w:p w14:paraId="051BFAEC" w14:textId="6527E4EB" w:rsidR="00557DB0" w:rsidRPr="00652C95" w:rsidRDefault="00557DB0" w:rsidP="00557DB0">
            <w:pPr>
              <w:pStyle w:val="TableText0"/>
              <w:jc w:val="center"/>
            </w:pPr>
            <w:r w:rsidRPr="00652C95">
              <w:t>14.1</w:t>
            </w:r>
          </w:p>
        </w:tc>
        <w:tc>
          <w:tcPr>
            <w:tcW w:w="908" w:type="pct"/>
            <w:tcBorders>
              <w:top w:val="single" w:sz="4" w:space="0" w:color="auto"/>
              <w:left w:val="single" w:sz="4" w:space="0" w:color="auto"/>
              <w:bottom w:val="single" w:sz="4" w:space="0" w:color="auto"/>
              <w:right w:val="single" w:sz="4" w:space="0" w:color="auto"/>
            </w:tcBorders>
            <w:vAlign w:val="center"/>
          </w:tcPr>
          <w:p w14:paraId="4BBA8165" w14:textId="55E49409" w:rsidR="00557DB0" w:rsidRPr="00652C95" w:rsidRDefault="00557DB0" w:rsidP="00557DB0">
            <w:pPr>
              <w:pStyle w:val="TableText0"/>
              <w:jc w:val="center"/>
            </w:pPr>
            <w:r w:rsidRPr="00652C95">
              <w:t>0.14 (0.09, 0.18)</w:t>
            </w:r>
          </w:p>
        </w:tc>
      </w:tr>
      <w:tr w:rsidR="006919A9" w:rsidRPr="00652C95" w14:paraId="5C93D23F" w14:textId="77777777" w:rsidTr="00AA43F3">
        <w:tc>
          <w:tcPr>
            <w:tcW w:w="1098" w:type="pct"/>
            <w:tcBorders>
              <w:top w:val="single" w:sz="4" w:space="0" w:color="auto"/>
              <w:left w:val="single" w:sz="4" w:space="0" w:color="auto"/>
              <w:bottom w:val="single" w:sz="4" w:space="0" w:color="auto"/>
              <w:right w:val="single" w:sz="4" w:space="0" w:color="auto"/>
            </w:tcBorders>
            <w:shd w:val="clear" w:color="auto" w:fill="auto"/>
            <w:vAlign w:val="center"/>
          </w:tcPr>
          <w:p w14:paraId="43BA332A" w14:textId="4BE47B4A" w:rsidR="00BA6FDE" w:rsidRPr="00652C95" w:rsidRDefault="00BA6FDE" w:rsidP="00BA6FDE">
            <w:pPr>
              <w:pStyle w:val="TableText0"/>
            </w:pPr>
            <w:r w:rsidRPr="00652C95">
              <w:t>Infusion reactions</w:t>
            </w:r>
          </w:p>
        </w:tc>
        <w:tc>
          <w:tcPr>
            <w:tcW w:w="471" w:type="pct"/>
            <w:tcBorders>
              <w:top w:val="single" w:sz="4" w:space="0" w:color="auto"/>
              <w:left w:val="single" w:sz="4" w:space="0" w:color="auto"/>
              <w:bottom w:val="single" w:sz="4" w:space="0" w:color="auto"/>
              <w:right w:val="single" w:sz="4" w:space="0" w:color="auto"/>
            </w:tcBorders>
            <w:vAlign w:val="center"/>
          </w:tcPr>
          <w:p w14:paraId="59499D2F" w14:textId="6AF8D7C2" w:rsidR="00BA6FDE" w:rsidRPr="00652C95" w:rsidRDefault="00BA6FDE" w:rsidP="00BA6FDE">
            <w:pPr>
              <w:pStyle w:val="TableText0"/>
              <w:jc w:val="center"/>
            </w:pPr>
            <w:r w:rsidRPr="00652C95">
              <w:t>141/783</w:t>
            </w:r>
          </w:p>
        </w:tc>
        <w:tc>
          <w:tcPr>
            <w:tcW w:w="550" w:type="pct"/>
            <w:tcBorders>
              <w:top w:val="single" w:sz="4" w:space="0" w:color="auto"/>
              <w:left w:val="single" w:sz="4" w:space="0" w:color="auto"/>
              <w:bottom w:val="single" w:sz="4" w:space="0" w:color="auto"/>
              <w:right w:val="single" w:sz="4" w:space="0" w:color="auto"/>
            </w:tcBorders>
            <w:vAlign w:val="center"/>
          </w:tcPr>
          <w:p w14:paraId="7820067D" w14:textId="3F4271A1" w:rsidR="00BA6FDE" w:rsidRPr="00652C95" w:rsidRDefault="00BA6FDE" w:rsidP="00BA6FDE">
            <w:pPr>
              <w:pStyle w:val="TableText0"/>
              <w:jc w:val="center"/>
            </w:pPr>
            <w:r w:rsidRPr="00652C95">
              <w:t>45/389</w:t>
            </w:r>
          </w:p>
        </w:tc>
        <w:tc>
          <w:tcPr>
            <w:tcW w:w="876" w:type="pct"/>
            <w:tcBorders>
              <w:top w:val="single" w:sz="4" w:space="0" w:color="auto"/>
              <w:left w:val="single" w:sz="4" w:space="0" w:color="auto"/>
              <w:bottom w:val="single" w:sz="4" w:space="0" w:color="auto"/>
              <w:right w:val="single" w:sz="4" w:space="0" w:color="auto"/>
            </w:tcBorders>
          </w:tcPr>
          <w:p w14:paraId="7FA5D142" w14:textId="07FABA3A" w:rsidR="00BA6FDE" w:rsidRPr="00652C95" w:rsidRDefault="00BA6FDE" w:rsidP="00BA6FDE">
            <w:pPr>
              <w:pStyle w:val="TableText0"/>
              <w:jc w:val="center"/>
            </w:pPr>
            <w:r w:rsidRPr="00652C95">
              <w:t>1.56 (1.14, 2.13)</w:t>
            </w:r>
          </w:p>
        </w:tc>
        <w:tc>
          <w:tcPr>
            <w:tcW w:w="528" w:type="pct"/>
            <w:tcBorders>
              <w:top w:val="single" w:sz="4" w:space="0" w:color="auto"/>
              <w:left w:val="single" w:sz="4" w:space="0" w:color="auto"/>
              <w:bottom w:val="single" w:sz="4" w:space="0" w:color="auto"/>
              <w:right w:val="single" w:sz="4" w:space="0" w:color="auto"/>
            </w:tcBorders>
            <w:vAlign w:val="center"/>
          </w:tcPr>
          <w:p w14:paraId="1759C7E4" w14:textId="7C52AF3E" w:rsidR="00BA6FDE" w:rsidRPr="00652C95" w:rsidRDefault="00BA6FDE" w:rsidP="00BA6FDE">
            <w:pPr>
              <w:pStyle w:val="TableText0"/>
              <w:jc w:val="center"/>
            </w:pPr>
            <w:r w:rsidRPr="00652C95">
              <w:t>18.0</w:t>
            </w:r>
          </w:p>
        </w:tc>
        <w:tc>
          <w:tcPr>
            <w:tcW w:w="568" w:type="pct"/>
            <w:tcBorders>
              <w:top w:val="single" w:sz="4" w:space="0" w:color="auto"/>
              <w:left w:val="single" w:sz="4" w:space="0" w:color="auto"/>
              <w:bottom w:val="single" w:sz="4" w:space="0" w:color="auto"/>
              <w:right w:val="single" w:sz="4" w:space="0" w:color="auto"/>
            </w:tcBorders>
            <w:vAlign w:val="center"/>
          </w:tcPr>
          <w:p w14:paraId="6A56337E" w14:textId="73C1B085" w:rsidR="00BA6FDE" w:rsidRPr="00652C95" w:rsidRDefault="00BA6FDE" w:rsidP="00BA6FDE">
            <w:pPr>
              <w:pStyle w:val="TableText0"/>
              <w:jc w:val="center"/>
            </w:pPr>
            <w:r w:rsidRPr="00652C95">
              <w:t>11.6</w:t>
            </w:r>
          </w:p>
        </w:tc>
        <w:tc>
          <w:tcPr>
            <w:tcW w:w="908" w:type="pct"/>
            <w:tcBorders>
              <w:top w:val="single" w:sz="4" w:space="0" w:color="auto"/>
              <w:left w:val="single" w:sz="4" w:space="0" w:color="auto"/>
              <w:bottom w:val="single" w:sz="4" w:space="0" w:color="auto"/>
              <w:right w:val="single" w:sz="4" w:space="0" w:color="auto"/>
            </w:tcBorders>
            <w:vAlign w:val="bottom"/>
          </w:tcPr>
          <w:p w14:paraId="0802556C" w14:textId="15739350" w:rsidR="00BA6FDE" w:rsidRPr="00652C95" w:rsidRDefault="00BA6FDE" w:rsidP="00BA6FDE">
            <w:pPr>
              <w:pStyle w:val="TableText0"/>
              <w:jc w:val="center"/>
            </w:pPr>
            <w:r w:rsidRPr="00652C95">
              <w:t>0.064 (0.021, 0.105)</w:t>
            </w:r>
          </w:p>
        </w:tc>
      </w:tr>
      <w:tr w:rsidR="006919A9" w:rsidRPr="00652C95" w14:paraId="6891D990" w14:textId="77777777" w:rsidTr="00AA43F3">
        <w:tc>
          <w:tcPr>
            <w:tcW w:w="1098" w:type="pct"/>
            <w:tcBorders>
              <w:top w:val="single" w:sz="4" w:space="0" w:color="auto"/>
              <w:left w:val="single" w:sz="4" w:space="0" w:color="auto"/>
              <w:bottom w:val="single" w:sz="4" w:space="0" w:color="auto"/>
              <w:right w:val="single" w:sz="4" w:space="0" w:color="auto"/>
            </w:tcBorders>
            <w:shd w:val="clear" w:color="auto" w:fill="auto"/>
            <w:vAlign w:val="center"/>
          </w:tcPr>
          <w:p w14:paraId="4BCB396A" w14:textId="175AB54E" w:rsidR="00BA6FDE" w:rsidRPr="00652C95" w:rsidRDefault="00BA6FDE" w:rsidP="00BA6FDE">
            <w:pPr>
              <w:pStyle w:val="TableText0"/>
            </w:pPr>
            <w:r w:rsidRPr="00652C95">
              <w:t>Hypothyroidism</w:t>
            </w:r>
          </w:p>
        </w:tc>
        <w:tc>
          <w:tcPr>
            <w:tcW w:w="471" w:type="pct"/>
            <w:tcBorders>
              <w:top w:val="single" w:sz="4" w:space="0" w:color="auto"/>
              <w:left w:val="single" w:sz="4" w:space="0" w:color="auto"/>
              <w:bottom w:val="single" w:sz="4" w:space="0" w:color="auto"/>
              <w:right w:val="single" w:sz="4" w:space="0" w:color="auto"/>
            </w:tcBorders>
            <w:vAlign w:val="center"/>
          </w:tcPr>
          <w:p w14:paraId="4E666967" w14:textId="79C07012" w:rsidR="00BA6FDE" w:rsidRPr="00652C95" w:rsidRDefault="00BA6FDE" w:rsidP="00BA6FDE">
            <w:pPr>
              <w:pStyle w:val="TableText0"/>
              <w:jc w:val="center"/>
            </w:pPr>
            <w:r w:rsidRPr="00652C95">
              <w:t>118/783</w:t>
            </w:r>
          </w:p>
        </w:tc>
        <w:tc>
          <w:tcPr>
            <w:tcW w:w="550" w:type="pct"/>
            <w:tcBorders>
              <w:top w:val="single" w:sz="4" w:space="0" w:color="auto"/>
              <w:left w:val="single" w:sz="4" w:space="0" w:color="auto"/>
              <w:bottom w:val="single" w:sz="4" w:space="0" w:color="auto"/>
              <w:right w:val="single" w:sz="4" w:space="0" w:color="auto"/>
            </w:tcBorders>
            <w:vAlign w:val="center"/>
          </w:tcPr>
          <w:p w14:paraId="49E682B6" w14:textId="4BE316AD" w:rsidR="00BA6FDE" w:rsidRPr="00652C95" w:rsidRDefault="00BA6FDE" w:rsidP="00BA6FDE">
            <w:pPr>
              <w:pStyle w:val="TableText0"/>
              <w:jc w:val="center"/>
            </w:pPr>
            <w:r w:rsidRPr="00652C95">
              <w:t>22/389</w:t>
            </w:r>
          </w:p>
        </w:tc>
        <w:tc>
          <w:tcPr>
            <w:tcW w:w="876" w:type="pct"/>
            <w:tcBorders>
              <w:top w:val="single" w:sz="4" w:space="0" w:color="auto"/>
              <w:left w:val="single" w:sz="4" w:space="0" w:color="auto"/>
              <w:bottom w:val="single" w:sz="4" w:space="0" w:color="auto"/>
              <w:right w:val="single" w:sz="4" w:space="0" w:color="auto"/>
            </w:tcBorders>
          </w:tcPr>
          <w:p w14:paraId="2B316858" w14:textId="38C6FBDE" w:rsidR="00BA6FDE" w:rsidRPr="00652C95" w:rsidRDefault="00BA6FDE" w:rsidP="00BA6FDE">
            <w:pPr>
              <w:pStyle w:val="TableText0"/>
              <w:jc w:val="center"/>
            </w:pPr>
            <w:r w:rsidRPr="00652C95">
              <w:t>2.66 (1.73, 4.13)</w:t>
            </w:r>
          </w:p>
        </w:tc>
        <w:tc>
          <w:tcPr>
            <w:tcW w:w="528" w:type="pct"/>
            <w:tcBorders>
              <w:top w:val="single" w:sz="4" w:space="0" w:color="auto"/>
              <w:left w:val="single" w:sz="4" w:space="0" w:color="auto"/>
              <w:bottom w:val="single" w:sz="4" w:space="0" w:color="auto"/>
              <w:right w:val="single" w:sz="4" w:space="0" w:color="auto"/>
            </w:tcBorders>
            <w:vAlign w:val="center"/>
          </w:tcPr>
          <w:p w14:paraId="217CC4D9" w14:textId="0B19C959" w:rsidR="00BA6FDE" w:rsidRPr="00652C95" w:rsidRDefault="00BA6FDE" w:rsidP="00BA6FDE">
            <w:pPr>
              <w:pStyle w:val="TableText0"/>
              <w:jc w:val="center"/>
            </w:pPr>
            <w:r w:rsidRPr="00652C95">
              <w:t>15.1</w:t>
            </w:r>
          </w:p>
        </w:tc>
        <w:tc>
          <w:tcPr>
            <w:tcW w:w="568" w:type="pct"/>
            <w:tcBorders>
              <w:top w:val="single" w:sz="4" w:space="0" w:color="auto"/>
              <w:left w:val="single" w:sz="4" w:space="0" w:color="auto"/>
              <w:bottom w:val="single" w:sz="4" w:space="0" w:color="auto"/>
              <w:right w:val="single" w:sz="4" w:space="0" w:color="auto"/>
            </w:tcBorders>
            <w:vAlign w:val="center"/>
          </w:tcPr>
          <w:p w14:paraId="4A987A3E" w14:textId="689DCB43" w:rsidR="00BA6FDE" w:rsidRPr="00652C95" w:rsidRDefault="00BA6FDE" w:rsidP="00BA6FDE">
            <w:pPr>
              <w:pStyle w:val="TableText0"/>
              <w:jc w:val="center"/>
            </w:pPr>
            <w:r w:rsidRPr="00652C95">
              <w:t>5.7</w:t>
            </w:r>
          </w:p>
        </w:tc>
        <w:tc>
          <w:tcPr>
            <w:tcW w:w="908" w:type="pct"/>
            <w:tcBorders>
              <w:top w:val="single" w:sz="4" w:space="0" w:color="auto"/>
              <w:left w:val="single" w:sz="4" w:space="0" w:color="auto"/>
              <w:bottom w:val="single" w:sz="4" w:space="0" w:color="auto"/>
              <w:right w:val="single" w:sz="4" w:space="0" w:color="auto"/>
            </w:tcBorders>
            <w:vAlign w:val="bottom"/>
          </w:tcPr>
          <w:p w14:paraId="56968C51" w14:textId="0DE72E8B" w:rsidR="00BA6FDE" w:rsidRPr="00652C95" w:rsidRDefault="00BA6FDE" w:rsidP="00BA6FDE">
            <w:pPr>
              <w:pStyle w:val="TableText0"/>
              <w:jc w:val="center"/>
            </w:pPr>
            <w:r w:rsidRPr="00652C95">
              <w:t>0.094 (0.059, 0.128)</w:t>
            </w:r>
          </w:p>
        </w:tc>
      </w:tr>
      <w:tr w:rsidR="006919A9" w:rsidRPr="00652C95" w14:paraId="2BF1886D" w14:textId="77777777" w:rsidTr="00AA43F3">
        <w:tc>
          <w:tcPr>
            <w:tcW w:w="1098" w:type="pct"/>
            <w:tcBorders>
              <w:top w:val="single" w:sz="4" w:space="0" w:color="auto"/>
              <w:left w:val="single" w:sz="4" w:space="0" w:color="auto"/>
              <w:bottom w:val="single" w:sz="4" w:space="0" w:color="auto"/>
              <w:right w:val="single" w:sz="4" w:space="0" w:color="auto"/>
            </w:tcBorders>
            <w:shd w:val="clear" w:color="auto" w:fill="auto"/>
            <w:vAlign w:val="center"/>
          </w:tcPr>
          <w:p w14:paraId="02679505" w14:textId="0DEA28A3" w:rsidR="00BA6FDE" w:rsidRPr="00652C95" w:rsidRDefault="00BA6FDE" w:rsidP="00BA6FDE">
            <w:pPr>
              <w:pStyle w:val="TableText0"/>
            </w:pPr>
            <w:r w:rsidRPr="00652C95">
              <w:t>Severe skin reaction</w:t>
            </w:r>
          </w:p>
        </w:tc>
        <w:tc>
          <w:tcPr>
            <w:tcW w:w="471" w:type="pct"/>
            <w:tcBorders>
              <w:top w:val="single" w:sz="4" w:space="0" w:color="auto"/>
              <w:left w:val="single" w:sz="4" w:space="0" w:color="auto"/>
              <w:bottom w:val="single" w:sz="4" w:space="0" w:color="auto"/>
              <w:right w:val="single" w:sz="4" w:space="0" w:color="auto"/>
            </w:tcBorders>
            <w:vAlign w:val="center"/>
          </w:tcPr>
          <w:p w14:paraId="5ACC9B7C" w14:textId="38BF1B20" w:rsidR="00BA6FDE" w:rsidRPr="00652C95" w:rsidRDefault="00BA6FDE" w:rsidP="00BA6FDE">
            <w:pPr>
              <w:pStyle w:val="TableText0"/>
              <w:jc w:val="center"/>
            </w:pPr>
            <w:r w:rsidRPr="00652C95">
              <w:t>45/783</w:t>
            </w:r>
          </w:p>
        </w:tc>
        <w:tc>
          <w:tcPr>
            <w:tcW w:w="550" w:type="pct"/>
            <w:tcBorders>
              <w:top w:val="single" w:sz="4" w:space="0" w:color="auto"/>
              <w:left w:val="single" w:sz="4" w:space="0" w:color="auto"/>
              <w:bottom w:val="single" w:sz="4" w:space="0" w:color="auto"/>
              <w:right w:val="single" w:sz="4" w:space="0" w:color="auto"/>
            </w:tcBorders>
            <w:vAlign w:val="center"/>
          </w:tcPr>
          <w:p w14:paraId="7675C681" w14:textId="78C710C6" w:rsidR="00BA6FDE" w:rsidRPr="00652C95" w:rsidRDefault="00BA6FDE" w:rsidP="00BA6FDE">
            <w:pPr>
              <w:pStyle w:val="TableText0"/>
              <w:jc w:val="center"/>
            </w:pPr>
            <w:r w:rsidRPr="00652C95">
              <w:t>4/389</w:t>
            </w:r>
          </w:p>
        </w:tc>
        <w:tc>
          <w:tcPr>
            <w:tcW w:w="876" w:type="pct"/>
            <w:tcBorders>
              <w:top w:val="single" w:sz="4" w:space="0" w:color="auto"/>
              <w:left w:val="single" w:sz="4" w:space="0" w:color="auto"/>
              <w:bottom w:val="single" w:sz="4" w:space="0" w:color="auto"/>
              <w:right w:val="single" w:sz="4" w:space="0" w:color="auto"/>
            </w:tcBorders>
            <w:vAlign w:val="bottom"/>
          </w:tcPr>
          <w:p w14:paraId="1F4D2745" w14:textId="44B94159" w:rsidR="00BA6FDE" w:rsidRPr="00652C95" w:rsidRDefault="00BA6FDE" w:rsidP="00BA6FDE">
            <w:pPr>
              <w:pStyle w:val="TableText0"/>
              <w:jc w:val="center"/>
            </w:pPr>
            <w:r w:rsidRPr="00652C95">
              <w:t>5.59 (2.12, 14.87)</w:t>
            </w:r>
          </w:p>
        </w:tc>
        <w:tc>
          <w:tcPr>
            <w:tcW w:w="528" w:type="pct"/>
            <w:tcBorders>
              <w:top w:val="single" w:sz="4" w:space="0" w:color="auto"/>
              <w:left w:val="single" w:sz="4" w:space="0" w:color="auto"/>
              <w:bottom w:val="single" w:sz="4" w:space="0" w:color="auto"/>
              <w:right w:val="single" w:sz="4" w:space="0" w:color="auto"/>
            </w:tcBorders>
            <w:vAlign w:val="center"/>
          </w:tcPr>
          <w:p w14:paraId="6DE844D3" w14:textId="774E1D7E" w:rsidR="00BA6FDE" w:rsidRPr="00652C95" w:rsidRDefault="00BA6FDE" w:rsidP="00BA6FDE">
            <w:pPr>
              <w:pStyle w:val="TableText0"/>
              <w:jc w:val="center"/>
            </w:pPr>
            <w:r w:rsidRPr="00652C95">
              <w:t>5.7</w:t>
            </w:r>
          </w:p>
        </w:tc>
        <w:tc>
          <w:tcPr>
            <w:tcW w:w="568" w:type="pct"/>
            <w:tcBorders>
              <w:top w:val="single" w:sz="4" w:space="0" w:color="auto"/>
              <w:left w:val="single" w:sz="4" w:space="0" w:color="auto"/>
              <w:bottom w:val="single" w:sz="4" w:space="0" w:color="auto"/>
              <w:right w:val="single" w:sz="4" w:space="0" w:color="auto"/>
            </w:tcBorders>
            <w:vAlign w:val="center"/>
          </w:tcPr>
          <w:p w14:paraId="02A54CCA" w14:textId="088BA761" w:rsidR="00BA6FDE" w:rsidRPr="00652C95" w:rsidRDefault="00BA6FDE" w:rsidP="00BA6FDE">
            <w:pPr>
              <w:pStyle w:val="TableText0"/>
              <w:jc w:val="center"/>
            </w:pPr>
            <w:r w:rsidRPr="00652C95">
              <w:t>1.0</w:t>
            </w:r>
          </w:p>
        </w:tc>
        <w:tc>
          <w:tcPr>
            <w:tcW w:w="908" w:type="pct"/>
            <w:tcBorders>
              <w:top w:val="single" w:sz="4" w:space="0" w:color="auto"/>
              <w:left w:val="single" w:sz="4" w:space="0" w:color="auto"/>
              <w:bottom w:val="single" w:sz="4" w:space="0" w:color="auto"/>
              <w:right w:val="single" w:sz="4" w:space="0" w:color="auto"/>
            </w:tcBorders>
            <w:vAlign w:val="bottom"/>
          </w:tcPr>
          <w:p w14:paraId="1A7F97DC" w14:textId="78F15319" w:rsidR="00BA6FDE" w:rsidRPr="00652C95" w:rsidRDefault="00BA6FDE" w:rsidP="00BA6FDE">
            <w:pPr>
              <w:pStyle w:val="TableText0"/>
              <w:jc w:val="center"/>
            </w:pPr>
            <w:r w:rsidRPr="00652C95">
              <w:t>0.047 (0.027, 0.067)</w:t>
            </w:r>
          </w:p>
        </w:tc>
      </w:tr>
      <w:tr w:rsidR="006919A9" w:rsidRPr="00652C95" w14:paraId="57809E43" w14:textId="77777777" w:rsidTr="00AA43F3">
        <w:tc>
          <w:tcPr>
            <w:tcW w:w="1098" w:type="pct"/>
            <w:tcBorders>
              <w:top w:val="single" w:sz="4" w:space="0" w:color="auto"/>
              <w:left w:val="single" w:sz="4" w:space="0" w:color="auto"/>
              <w:bottom w:val="single" w:sz="4" w:space="0" w:color="auto"/>
              <w:right w:val="single" w:sz="4" w:space="0" w:color="auto"/>
            </w:tcBorders>
            <w:shd w:val="clear" w:color="auto" w:fill="auto"/>
            <w:vAlign w:val="center"/>
          </w:tcPr>
          <w:p w14:paraId="0F3C4E75" w14:textId="6B25AAA3" w:rsidR="00BA6FDE" w:rsidRPr="00652C95" w:rsidRDefault="00BA6FDE" w:rsidP="00BA6FDE">
            <w:pPr>
              <w:pStyle w:val="TableText0"/>
            </w:pPr>
            <w:r w:rsidRPr="00652C95">
              <w:t>Hyperthyroidism</w:t>
            </w:r>
          </w:p>
        </w:tc>
        <w:tc>
          <w:tcPr>
            <w:tcW w:w="471" w:type="pct"/>
            <w:tcBorders>
              <w:top w:val="single" w:sz="4" w:space="0" w:color="auto"/>
              <w:left w:val="single" w:sz="4" w:space="0" w:color="auto"/>
              <w:bottom w:val="single" w:sz="4" w:space="0" w:color="auto"/>
              <w:right w:val="single" w:sz="4" w:space="0" w:color="auto"/>
            </w:tcBorders>
            <w:vAlign w:val="center"/>
          </w:tcPr>
          <w:p w14:paraId="179A84A5" w14:textId="3B6805EA" w:rsidR="00BA6FDE" w:rsidRPr="00652C95" w:rsidRDefault="00BA6FDE" w:rsidP="00BA6FDE">
            <w:pPr>
              <w:pStyle w:val="TableText0"/>
              <w:jc w:val="center"/>
            </w:pPr>
            <w:r w:rsidRPr="00652C95">
              <w:t>41/783</w:t>
            </w:r>
          </w:p>
        </w:tc>
        <w:tc>
          <w:tcPr>
            <w:tcW w:w="550" w:type="pct"/>
            <w:tcBorders>
              <w:top w:val="single" w:sz="4" w:space="0" w:color="auto"/>
              <w:left w:val="single" w:sz="4" w:space="0" w:color="auto"/>
              <w:bottom w:val="single" w:sz="4" w:space="0" w:color="auto"/>
              <w:right w:val="single" w:sz="4" w:space="0" w:color="auto"/>
            </w:tcBorders>
            <w:vAlign w:val="center"/>
          </w:tcPr>
          <w:p w14:paraId="1DDF72E1" w14:textId="5E67D8C3" w:rsidR="00BA6FDE" w:rsidRPr="00652C95" w:rsidRDefault="00BA6FDE" w:rsidP="00BA6FDE">
            <w:pPr>
              <w:pStyle w:val="TableText0"/>
              <w:jc w:val="center"/>
            </w:pPr>
            <w:r w:rsidRPr="00652C95">
              <w:t>7/389</w:t>
            </w:r>
          </w:p>
        </w:tc>
        <w:tc>
          <w:tcPr>
            <w:tcW w:w="876" w:type="pct"/>
            <w:tcBorders>
              <w:top w:val="single" w:sz="4" w:space="0" w:color="auto"/>
              <w:left w:val="single" w:sz="4" w:space="0" w:color="auto"/>
              <w:bottom w:val="single" w:sz="4" w:space="0" w:color="auto"/>
              <w:right w:val="single" w:sz="4" w:space="0" w:color="auto"/>
            </w:tcBorders>
            <w:vAlign w:val="bottom"/>
          </w:tcPr>
          <w:p w14:paraId="2046D96A" w14:textId="120CDB09" w:rsidR="00BA6FDE" w:rsidRPr="00652C95" w:rsidRDefault="00BA6FDE" w:rsidP="00BA6FDE">
            <w:pPr>
              <w:pStyle w:val="TableText0"/>
              <w:jc w:val="center"/>
            </w:pPr>
            <w:r w:rsidRPr="00652C95">
              <w:t>2.91 (1.35, 6.32)</w:t>
            </w:r>
          </w:p>
        </w:tc>
        <w:tc>
          <w:tcPr>
            <w:tcW w:w="528" w:type="pct"/>
            <w:tcBorders>
              <w:top w:val="single" w:sz="4" w:space="0" w:color="auto"/>
              <w:left w:val="single" w:sz="4" w:space="0" w:color="auto"/>
              <w:bottom w:val="single" w:sz="4" w:space="0" w:color="auto"/>
              <w:right w:val="single" w:sz="4" w:space="0" w:color="auto"/>
            </w:tcBorders>
            <w:vAlign w:val="center"/>
          </w:tcPr>
          <w:p w14:paraId="590F6969" w14:textId="0ACE5387" w:rsidR="00BA6FDE" w:rsidRPr="00652C95" w:rsidRDefault="00BA6FDE" w:rsidP="00BA6FDE">
            <w:pPr>
              <w:pStyle w:val="TableText0"/>
              <w:jc w:val="center"/>
            </w:pPr>
            <w:r w:rsidRPr="00652C95">
              <w:t>5.2</w:t>
            </w:r>
          </w:p>
        </w:tc>
        <w:tc>
          <w:tcPr>
            <w:tcW w:w="568" w:type="pct"/>
            <w:tcBorders>
              <w:top w:val="single" w:sz="4" w:space="0" w:color="auto"/>
              <w:left w:val="single" w:sz="4" w:space="0" w:color="auto"/>
              <w:bottom w:val="single" w:sz="4" w:space="0" w:color="auto"/>
              <w:right w:val="single" w:sz="4" w:space="0" w:color="auto"/>
            </w:tcBorders>
            <w:vAlign w:val="center"/>
          </w:tcPr>
          <w:p w14:paraId="3F4BB9EF" w14:textId="70A0E623" w:rsidR="00BA6FDE" w:rsidRPr="00652C95" w:rsidRDefault="00BA6FDE" w:rsidP="00BA6FDE">
            <w:pPr>
              <w:pStyle w:val="TableText0"/>
              <w:jc w:val="center"/>
            </w:pPr>
            <w:r w:rsidRPr="00652C95">
              <w:t>1.8</w:t>
            </w:r>
          </w:p>
        </w:tc>
        <w:tc>
          <w:tcPr>
            <w:tcW w:w="908" w:type="pct"/>
            <w:tcBorders>
              <w:top w:val="single" w:sz="4" w:space="0" w:color="auto"/>
              <w:left w:val="single" w:sz="4" w:space="0" w:color="auto"/>
              <w:bottom w:val="single" w:sz="4" w:space="0" w:color="auto"/>
              <w:right w:val="single" w:sz="4" w:space="0" w:color="auto"/>
            </w:tcBorders>
            <w:vAlign w:val="bottom"/>
          </w:tcPr>
          <w:p w14:paraId="5728E907" w14:textId="5D0DE6A8" w:rsidR="00BA6FDE" w:rsidRPr="00652C95" w:rsidRDefault="00BA6FDE" w:rsidP="00BA6FDE">
            <w:pPr>
              <w:pStyle w:val="TableText0"/>
              <w:jc w:val="center"/>
            </w:pPr>
            <w:r w:rsidRPr="00652C95">
              <w:t>0.034 (0.012, 0.055)</w:t>
            </w:r>
          </w:p>
        </w:tc>
      </w:tr>
      <w:tr w:rsidR="006919A9" w:rsidRPr="00652C95" w14:paraId="1F77B00E" w14:textId="77777777" w:rsidTr="00AA43F3">
        <w:tc>
          <w:tcPr>
            <w:tcW w:w="1098" w:type="pct"/>
            <w:tcBorders>
              <w:top w:val="single" w:sz="4" w:space="0" w:color="auto"/>
              <w:left w:val="single" w:sz="4" w:space="0" w:color="auto"/>
              <w:bottom w:val="single" w:sz="4" w:space="0" w:color="auto"/>
              <w:right w:val="single" w:sz="4" w:space="0" w:color="auto"/>
            </w:tcBorders>
            <w:shd w:val="clear" w:color="auto" w:fill="auto"/>
            <w:vAlign w:val="center"/>
          </w:tcPr>
          <w:p w14:paraId="3807B140" w14:textId="1F101C9D" w:rsidR="00BA6FDE" w:rsidRPr="00652C95" w:rsidRDefault="00BA6FDE" w:rsidP="00BA6FDE">
            <w:pPr>
              <w:pStyle w:val="TableText0"/>
            </w:pPr>
            <w:r w:rsidRPr="00652C95">
              <w:t>Adrenal insufficiency</w:t>
            </w:r>
          </w:p>
        </w:tc>
        <w:tc>
          <w:tcPr>
            <w:tcW w:w="471" w:type="pct"/>
            <w:tcBorders>
              <w:top w:val="single" w:sz="4" w:space="0" w:color="auto"/>
              <w:left w:val="single" w:sz="4" w:space="0" w:color="auto"/>
              <w:bottom w:val="single" w:sz="4" w:space="0" w:color="auto"/>
              <w:right w:val="single" w:sz="4" w:space="0" w:color="auto"/>
            </w:tcBorders>
            <w:vAlign w:val="center"/>
          </w:tcPr>
          <w:p w14:paraId="1A27BEB1" w14:textId="1B88479C" w:rsidR="00BA6FDE" w:rsidRPr="00652C95" w:rsidRDefault="00BA6FDE" w:rsidP="00BA6FDE">
            <w:pPr>
              <w:pStyle w:val="TableText0"/>
              <w:jc w:val="center"/>
            </w:pPr>
            <w:r w:rsidRPr="00652C95">
              <w:t>20/783</w:t>
            </w:r>
          </w:p>
        </w:tc>
        <w:tc>
          <w:tcPr>
            <w:tcW w:w="550" w:type="pct"/>
            <w:tcBorders>
              <w:top w:val="single" w:sz="4" w:space="0" w:color="auto"/>
              <w:left w:val="single" w:sz="4" w:space="0" w:color="auto"/>
              <w:bottom w:val="single" w:sz="4" w:space="0" w:color="auto"/>
              <w:right w:val="single" w:sz="4" w:space="0" w:color="auto"/>
            </w:tcBorders>
            <w:vAlign w:val="center"/>
          </w:tcPr>
          <w:p w14:paraId="01CB48FF" w14:textId="29560F9A" w:rsidR="00BA6FDE" w:rsidRPr="00652C95" w:rsidRDefault="00BA6FDE" w:rsidP="00BA6FDE">
            <w:pPr>
              <w:pStyle w:val="TableText0"/>
              <w:jc w:val="center"/>
            </w:pPr>
            <w:r w:rsidRPr="00652C95">
              <w:t>0/389</w:t>
            </w:r>
          </w:p>
        </w:tc>
        <w:tc>
          <w:tcPr>
            <w:tcW w:w="876" w:type="pct"/>
            <w:tcBorders>
              <w:top w:val="single" w:sz="4" w:space="0" w:color="auto"/>
              <w:left w:val="single" w:sz="4" w:space="0" w:color="auto"/>
              <w:bottom w:val="single" w:sz="4" w:space="0" w:color="auto"/>
              <w:right w:val="single" w:sz="4" w:space="0" w:color="auto"/>
            </w:tcBorders>
            <w:vAlign w:val="bottom"/>
          </w:tcPr>
          <w:p w14:paraId="6EBC170E" w14:textId="123BAABC" w:rsidR="00BA6FDE" w:rsidRPr="00652C95" w:rsidRDefault="00BA6FDE" w:rsidP="00BA6FDE">
            <w:pPr>
              <w:pStyle w:val="TableText0"/>
              <w:jc w:val="center"/>
            </w:pPr>
            <w:r w:rsidRPr="00652C95">
              <w:t>20.4 (2.61, NE)</w:t>
            </w:r>
          </w:p>
        </w:tc>
        <w:tc>
          <w:tcPr>
            <w:tcW w:w="528" w:type="pct"/>
            <w:tcBorders>
              <w:top w:val="single" w:sz="4" w:space="0" w:color="auto"/>
              <w:left w:val="single" w:sz="4" w:space="0" w:color="auto"/>
              <w:bottom w:val="single" w:sz="4" w:space="0" w:color="auto"/>
              <w:right w:val="single" w:sz="4" w:space="0" w:color="auto"/>
            </w:tcBorders>
            <w:vAlign w:val="center"/>
          </w:tcPr>
          <w:p w14:paraId="40CD6BAD" w14:textId="2867131F" w:rsidR="00BA6FDE" w:rsidRPr="00652C95" w:rsidRDefault="00BA6FDE" w:rsidP="00BA6FDE">
            <w:pPr>
              <w:pStyle w:val="TableText0"/>
              <w:jc w:val="center"/>
            </w:pPr>
            <w:r w:rsidRPr="00652C95">
              <w:t>2.6</w:t>
            </w:r>
          </w:p>
        </w:tc>
        <w:tc>
          <w:tcPr>
            <w:tcW w:w="568" w:type="pct"/>
            <w:tcBorders>
              <w:top w:val="single" w:sz="4" w:space="0" w:color="auto"/>
              <w:left w:val="single" w:sz="4" w:space="0" w:color="auto"/>
              <w:bottom w:val="single" w:sz="4" w:space="0" w:color="auto"/>
              <w:right w:val="single" w:sz="4" w:space="0" w:color="auto"/>
            </w:tcBorders>
            <w:vAlign w:val="center"/>
          </w:tcPr>
          <w:p w14:paraId="23A89282" w14:textId="67A9CBDE" w:rsidR="00BA6FDE" w:rsidRPr="00652C95" w:rsidRDefault="00BA6FDE" w:rsidP="00BA6FDE">
            <w:pPr>
              <w:pStyle w:val="TableText0"/>
              <w:jc w:val="center"/>
            </w:pPr>
            <w:r w:rsidRPr="00652C95">
              <w:t>0</w:t>
            </w:r>
          </w:p>
        </w:tc>
        <w:tc>
          <w:tcPr>
            <w:tcW w:w="908" w:type="pct"/>
            <w:tcBorders>
              <w:top w:val="single" w:sz="4" w:space="0" w:color="auto"/>
              <w:left w:val="single" w:sz="4" w:space="0" w:color="auto"/>
              <w:bottom w:val="single" w:sz="4" w:space="0" w:color="auto"/>
              <w:right w:val="single" w:sz="4" w:space="0" w:color="auto"/>
            </w:tcBorders>
            <w:vAlign w:val="bottom"/>
          </w:tcPr>
          <w:p w14:paraId="150943B8" w14:textId="7956AF8B" w:rsidR="00BA6FDE" w:rsidRPr="00652C95" w:rsidRDefault="00BA6FDE" w:rsidP="00BA6FDE">
            <w:pPr>
              <w:pStyle w:val="TableText0"/>
              <w:jc w:val="center"/>
            </w:pPr>
            <w:r w:rsidRPr="00652C95">
              <w:t>0.026 (0.016, 0.039)</w:t>
            </w:r>
          </w:p>
        </w:tc>
      </w:tr>
      <w:tr w:rsidR="006919A9" w:rsidRPr="00652C95" w14:paraId="425B5030" w14:textId="77777777" w:rsidTr="00AA43F3">
        <w:tc>
          <w:tcPr>
            <w:tcW w:w="1098" w:type="pct"/>
            <w:tcBorders>
              <w:top w:val="single" w:sz="4" w:space="0" w:color="auto"/>
              <w:left w:val="single" w:sz="4" w:space="0" w:color="auto"/>
              <w:bottom w:val="single" w:sz="4" w:space="0" w:color="auto"/>
              <w:right w:val="single" w:sz="4" w:space="0" w:color="auto"/>
            </w:tcBorders>
            <w:shd w:val="clear" w:color="auto" w:fill="auto"/>
            <w:vAlign w:val="center"/>
          </w:tcPr>
          <w:p w14:paraId="41531086" w14:textId="48266E01" w:rsidR="00BA6FDE" w:rsidRPr="00652C95" w:rsidRDefault="00BA6FDE" w:rsidP="00BA6FDE">
            <w:pPr>
              <w:pStyle w:val="TableText0"/>
            </w:pPr>
            <w:proofErr w:type="spellStart"/>
            <w:r w:rsidRPr="00652C95">
              <w:t>Hypophysitis</w:t>
            </w:r>
            <w:proofErr w:type="spellEnd"/>
          </w:p>
        </w:tc>
        <w:tc>
          <w:tcPr>
            <w:tcW w:w="471" w:type="pct"/>
            <w:tcBorders>
              <w:top w:val="single" w:sz="4" w:space="0" w:color="auto"/>
              <w:left w:val="single" w:sz="4" w:space="0" w:color="auto"/>
              <w:bottom w:val="single" w:sz="4" w:space="0" w:color="auto"/>
              <w:right w:val="single" w:sz="4" w:space="0" w:color="auto"/>
            </w:tcBorders>
            <w:vAlign w:val="center"/>
          </w:tcPr>
          <w:p w14:paraId="2AADAE39" w14:textId="1BB92758" w:rsidR="00BA6FDE" w:rsidRPr="00652C95" w:rsidRDefault="00BA6FDE" w:rsidP="00BA6FDE">
            <w:pPr>
              <w:pStyle w:val="TableText0"/>
              <w:jc w:val="center"/>
            </w:pPr>
            <w:r w:rsidRPr="00652C95">
              <w:t>15/783</w:t>
            </w:r>
          </w:p>
        </w:tc>
        <w:tc>
          <w:tcPr>
            <w:tcW w:w="550" w:type="pct"/>
            <w:tcBorders>
              <w:top w:val="single" w:sz="4" w:space="0" w:color="auto"/>
              <w:left w:val="single" w:sz="4" w:space="0" w:color="auto"/>
              <w:bottom w:val="single" w:sz="4" w:space="0" w:color="auto"/>
              <w:right w:val="single" w:sz="4" w:space="0" w:color="auto"/>
            </w:tcBorders>
            <w:vAlign w:val="center"/>
          </w:tcPr>
          <w:p w14:paraId="64019214" w14:textId="6A33B6EA" w:rsidR="00BA6FDE" w:rsidRPr="00652C95" w:rsidRDefault="00BA6FDE" w:rsidP="00BA6FDE">
            <w:pPr>
              <w:pStyle w:val="TableText0"/>
              <w:jc w:val="center"/>
            </w:pPr>
            <w:r w:rsidRPr="00652C95">
              <w:t>1/389</w:t>
            </w:r>
          </w:p>
        </w:tc>
        <w:tc>
          <w:tcPr>
            <w:tcW w:w="876" w:type="pct"/>
            <w:tcBorders>
              <w:top w:val="single" w:sz="4" w:space="0" w:color="auto"/>
              <w:left w:val="single" w:sz="4" w:space="0" w:color="auto"/>
              <w:bottom w:val="single" w:sz="4" w:space="0" w:color="auto"/>
              <w:right w:val="single" w:sz="4" w:space="0" w:color="auto"/>
            </w:tcBorders>
            <w:vAlign w:val="bottom"/>
          </w:tcPr>
          <w:p w14:paraId="2B4DED26" w14:textId="1611A632" w:rsidR="00BA6FDE" w:rsidRPr="00652C95" w:rsidRDefault="00BA6FDE" w:rsidP="00BA6FDE">
            <w:pPr>
              <w:pStyle w:val="TableText0"/>
              <w:jc w:val="center"/>
            </w:pPr>
            <w:r w:rsidRPr="00652C95">
              <w:t>7.45 (1.27, 44.13)</w:t>
            </w:r>
          </w:p>
        </w:tc>
        <w:tc>
          <w:tcPr>
            <w:tcW w:w="528" w:type="pct"/>
            <w:tcBorders>
              <w:top w:val="single" w:sz="4" w:space="0" w:color="auto"/>
              <w:left w:val="single" w:sz="4" w:space="0" w:color="auto"/>
              <w:bottom w:val="single" w:sz="4" w:space="0" w:color="auto"/>
              <w:right w:val="single" w:sz="4" w:space="0" w:color="auto"/>
            </w:tcBorders>
            <w:vAlign w:val="center"/>
          </w:tcPr>
          <w:p w14:paraId="678F8326" w14:textId="15556521" w:rsidR="00BA6FDE" w:rsidRPr="00652C95" w:rsidRDefault="00BA6FDE" w:rsidP="00BA6FDE">
            <w:pPr>
              <w:pStyle w:val="TableText0"/>
              <w:jc w:val="center"/>
            </w:pPr>
            <w:r w:rsidRPr="00652C95">
              <w:t>1.9</w:t>
            </w:r>
          </w:p>
        </w:tc>
        <w:tc>
          <w:tcPr>
            <w:tcW w:w="568" w:type="pct"/>
            <w:tcBorders>
              <w:top w:val="single" w:sz="4" w:space="0" w:color="auto"/>
              <w:left w:val="single" w:sz="4" w:space="0" w:color="auto"/>
              <w:bottom w:val="single" w:sz="4" w:space="0" w:color="auto"/>
              <w:right w:val="single" w:sz="4" w:space="0" w:color="auto"/>
            </w:tcBorders>
            <w:vAlign w:val="center"/>
          </w:tcPr>
          <w:p w14:paraId="07A7396D" w14:textId="77FEE6ED" w:rsidR="00BA6FDE" w:rsidRPr="00652C95" w:rsidRDefault="00BA6FDE" w:rsidP="00BA6FDE">
            <w:pPr>
              <w:pStyle w:val="TableText0"/>
              <w:jc w:val="center"/>
            </w:pPr>
            <w:r w:rsidRPr="00652C95">
              <w:t>0.3</w:t>
            </w:r>
          </w:p>
        </w:tc>
        <w:tc>
          <w:tcPr>
            <w:tcW w:w="908" w:type="pct"/>
            <w:tcBorders>
              <w:top w:val="single" w:sz="4" w:space="0" w:color="auto"/>
              <w:left w:val="single" w:sz="4" w:space="0" w:color="auto"/>
              <w:bottom w:val="single" w:sz="4" w:space="0" w:color="auto"/>
              <w:right w:val="single" w:sz="4" w:space="0" w:color="auto"/>
            </w:tcBorders>
            <w:vAlign w:val="bottom"/>
          </w:tcPr>
          <w:p w14:paraId="3552BE4D" w14:textId="0D9952A6" w:rsidR="00BA6FDE" w:rsidRPr="00652C95" w:rsidRDefault="00BA6FDE" w:rsidP="00BA6FDE">
            <w:pPr>
              <w:pStyle w:val="TableText0"/>
              <w:jc w:val="center"/>
            </w:pPr>
            <w:r w:rsidRPr="00652C95">
              <w:t>0.017 (0.004, 0.029)</w:t>
            </w:r>
          </w:p>
        </w:tc>
      </w:tr>
    </w:tbl>
    <w:p w14:paraId="6E2286D0" w14:textId="0FE7FDB4" w:rsidR="00620C25" w:rsidRPr="006919A9" w:rsidRDefault="00620C25" w:rsidP="00620C25">
      <w:pPr>
        <w:pStyle w:val="FooterTableFigure"/>
        <w:rPr>
          <w:sz w:val="20"/>
        </w:rPr>
      </w:pPr>
      <w:r w:rsidRPr="006919A9">
        <w:t>Source</w:t>
      </w:r>
      <w:r w:rsidR="006C49F1" w:rsidRPr="006919A9">
        <w:t>: Table 2.5-4, p41 of the submission and Figure 1, p816 of Schmidt 2020</w:t>
      </w:r>
      <w:r w:rsidR="009178B1" w:rsidRPr="006919A9">
        <w:t>, Table 2.5-10, p47 of the submission and Table 11-4, p115 of the Kn-522 CSR, Table 2.5-8, p44</w:t>
      </w:r>
      <w:r w:rsidR="000C26FD" w:rsidRPr="006919A9">
        <w:t xml:space="preserve">, </w:t>
      </w:r>
      <w:r w:rsidR="009178B1" w:rsidRPr="006919A9">
        <w:t>Table 2.5-7, p43</w:t>
      </w:r>
      <w:r w:rsidR="000C26FD" w:rsidRPr="006919A9">
        <w:t>, and Table 2.5-13, p59 of the submission</w:t>
      </w:r>
    </w:p>
    <w:p w14:paraId="67D9843F" w14:textId="4F931515" w:rsidR="00620C25" w:rsidRPr="006919A9" w:rsidRDefault="00643AAC" w:rsidP="00620C25">
      <w:pPr>
        <w:pStyle w:val="FooterTableFigure"/>
      </w:pPr>
      <w:r w:rsidRPr="006919A9">
        <w:t>AE = adverse even</w:t>
      </w:r>
      <w:r w:rsidR="000A694F" w:rsidRPr="006919A9">
        <w:t>;</w:t>
      </w:r>
      <w:r w:rsidRPr="006919A9">
        <w:t xml:space="preserve"> ASaT = all subject as treated, defined as all patients who had at least one dose of treatment; </w:t>
      </w:r>
      <w:r w:rsidR="00FE7ED6" w:rsidRPr="006919A9">
        <w:t xml:space="preserve">Chemo = chemotherapy; CI = confidence interval; IA = interim analysis; NR = not reported; pCR = pathological complete response; pembro = pembrolizumab; </w:t>
      </w:r>
      <w:r w:rsidR="00620C25" w:rsidRPr="006919A9">
        <w:t>HR = hazard ratio; PBO = placebo; RD = risk difference; RR = risk ratio</w:t>
      </w:r>
    </w:p>
    <w:p w14:paraId="38A9036E" w14:textId="00268E3F" w:rsidR="003D4A30" w:rsidRPr="006919A9" w:rsidRDefault="000C26FD" w:rsidP="003D29A9">
      <w:pPr>
        <w:pStyle w:val="FooterTableFigure"/>
      </w:pPr>
      <w:r w:rsidRPr="006919A9">
        <w:t xml:space="preserve">* median follow-up of 37.8 months in IA4; median follow up was 15.5 months </w:t>
      </w:r>
      <w:r w:rsidR="00643AAC" w:rsidRPr="006919A9">
        <w:t>in IA2</w:t>
      </w:r>
    </w:p>
    <w:p w14:paraId="56A22B9E" w14:textId="57604A31" w:rsidR="002441D2" w:rsidRPr="006919A9" w:rsidRDefault="002441D2" w:rsidP="00E9094A">
      <w:pPr>
        <w:pStyle w:val="3-BodyText"/>
      </w:pPr>
      <w:r w:rsidRPr="006919A9">
        <w:t xml:space="preserve">On the basis of </w:t>
      </w:r>
      <w:r w:rsidR="00643AAC" w:rsidRPr="006919A9">
        <w:t>direct KN-522 trial</w:t>
      </w:r>
      <w:r w:rsidRPr="006919A9">
        <w:t xml:space="preserve"> evidence presented by the submission, for every 100 patients treated with</w:t>
      </w:r>
      <w:r w:rsidR="00643AAC" w:rsidRPr="006919A9">
        <w:t xml:space="preserve"> pembrolizumab </w:t>
      </w:r>
      <w:r w:rsidR="00317929">
        <w:t>+</w:t>
      </w:r>
      <w:r w:rsidR="00317929" w:rsidRPr="006919A9">
        <w:t xml:space="preserve"> </w:t>
      </w:r>
      <w:r w:rsidR="00643AAC" w:rsidRPr="006919A9">
        <w:t xml:space="preserve">chemotherapy </w:t>
      </w:r>
      <w:r w:rsidRPr="006919A9">
        <w:t xml:space="preserve">in comparison </w:t>
      </w:r>
      <w:r w:rsidR="006D68FB" w:rsidRPr="006919A9">
        <w:t>with</w:t>
      </w:r>
      <w:r w:rsidRPr="006919A9">
        <w:t xml:space="preserve"> </w:t>
      </w:r>
      <w:r w:rsidR="00643AAC" w:rsidRPr="006919A9">
        <w:t xml:space="preserve">placebo </w:t>
      </w:r>
      <w:r w:rsidR="00317929">
        <w:t>+</w:t>
      </w:r>
      <w:r w:rsidR="00317929" w:rsidRPr="006919A9">
        <w:t xml:space="preserve"> </w:t>
      </w:r>
      <w:r w:rsidR="00643AAC" w:rsidRPr="006919A9">
        <w:t>chemotherapy:</w:t>
      </w:r>
    </w:p>
    <w:p w14:paraId="0FB6B65C" w14:textId="49E97CBF" w:rsidR="00296F6D" w:rsidRDefault="00296F6D" w:rsidP="00296F6D">
      <w:pPr>
        <w:pStyle w:val="ListParagraph"/>
        <w:ind w:left="1134"/>
      </w:pPr>
      <w:r w:rsidRPr="006919A9">
        <w:t>Approximately 8 additional patients would have pathological complete response;</w:t>
      </w:r>
      <w:r w:rsidRPr="00296F6D">
        <w:t xml:space="preserve"> </w:t>
      </w:r>
    </w:p>
    <w:p w14:paraId="2311D7CE" w14:textId="65949220" w:rsidR="00296F6D" w:rsidRDefault="00296F6D" w:rsidP="00296F6D">
      <w:pPr>
        <w:pStyle w:val="ListParagraph"/>
        <w:ind w:left="1134"/>
      </w:pPr>
      <w:r w:rsidRPr="006919A9">
        <w:t>Approximately 8 additional patients will remain event-free after 36 months, however, there would be no difference in overall survival.</w:t>
      </w:r>
      <w:r w:rsidRPr="00296F6D">
        <w:t xml:space="preserve"> </w:t>
      </w:r>
    </w:p>
    <w:p w14:paraId="2720AC53" w14:textId="05521AC2" w:rsidR="00FC1884" w:rsidRPr="006919A9" w:rsidRDefault="00643AAC" w:rsidP="00E9094A">
      <w:pPr>
        <w:pStyle w:val="3-BodyText"/>
      </w:pPr>
      <w:r w:rsidRPr="006919A9">
        <w:t xml:space="preserve">On the basis of direct KN-522 trial evidence presented by the submission, for every 100 patients treated with pembrolizumab </w:t>
      </w:r>
      <w:r w:rsidR="00317929">
        <w:t>+</w:t>
      </w:r>
      <w:r w:rsidR="00317929" w:rsidRPr="006919A9">
        <w:t xml:space="preserve"> </w:t>
      </w:r>
      <w:r w:rsidRPr="006919A9">
        <w:t xml:space="preserve">chemotherapy in comparison with placebo </w:t>
      </w:r>
      <w:r w:rsidR="00317929">
        <w:t>+</w:t>
      </w:r>
      <w:r w:rsidR="00317929" w:rsidRPr="006919A9">
        <w:t xml:space="preserve"> </w:t>
      </w:r>
      <w:r w:rsidRPr="006919A9">
        <w:t xml:space="preserve">chemotherapy </w:t>
      </w:r>
      <w:r w:rsidR="00422260" w:rsidRPr="006919A9">
        <w:t xml:space="preserve">over a </w:t>
      </w:r>
      <w:r w:rsidRPr="006919A9">
        <w:t>median</w:t>
      </w:r>
      <w:r w:rsidR="00422260" w:rsidRPr="006919A9">
        <w:t xml:space="preserve"> duration of </w:t>
      </w:r>
      <w:r w:rsidR="001C2A9B" w:rsidRPr="006919A9">
        <w:t>follow-up</w:t>
      </w:r>
      <w:r w:rsidRPr="006919A9">
        <w:t xml:space="preserve"> of 37.</w:t>
      </w:r>
      <w:r w:rsidR="00621B49" w:rsidRPr="006919A9">
        <w:t>8</w:t>
      </w:r>
      <w:r w:rsidR="00621B49">
        <w:t> </w:t>
      </w:r>
      <w:r w:rsidR="001C2A9B" w:rsidRPr="006919A9">
        <w:t>months:</w:t>
      </w:r>
    </w:p>
    <w:p w14:paraId="4D6F9667" w14:textId="1D637E43" w:rsidR="00FC1884" w:rsidRPr="006919A9" w:rsidRDefault="00FC1884" w:rsidP="00181C10">
      <w:pPr>
        <w:pStyle w:val="ListParagraph"/>
        <w:ind w:left="1134"/>
      </w:pPr>
      <w:r w:rsidRPr="006919A9">
        <w:lastRenderedPageBreak/>
        <w:t xml:space="preserve">Approximately </w:t>
      </w:r>
      <w:r w:rsidR="00FB4181" w:rsidRPr="006919A9">
        <w:t xml:space="preserve">14 additional </w:t>
      </w:r>
      <w:r w:rsidRPr="006919A9">
        <w:t>patients woul</w:t>
      </w:r>
      <w:r w:rsidR="001C2A9B" w:rsidRPr="006919A9">
        <w:t xml:space="preserve">d have </w:t>
      </w:r>
      <w:r w:rsidR="00FB4181" w:rsidRPr="006919A9">
        <w:t>a serious drug-related adverse event</w:t>
      </w:r>
      <w:r w:rsidR="0023585C" w:rsidRPr="006919A9">
        <w:t>;</w:t>
      </w:r>
    </w:p>
    <w:p w14:paraId="4CE9CA67" w14:textId="432236ED" w:rsidR="00FC1884" w:rsidRPr="006919A9" w:rsidRDefault="00FC1884" w:rsidP="00181C10">
      <w:pPr>
        <w:pStyle w:val="ListParagraph"/>
        <w:ind w:left="1134"/>
      </w:pPr>
      <w:r w:rsidRPr="006919A9">
        <w:t xml:space="preserve">Approximately </w:t>
      </w:r>
      <w:r w:rsidR="00FB4181" w:rsidRPr="006919A9">
        <w:t xml:space="preserve">14 </w:t>
      </w:r>
      <w:r w:rsidRPr="006919A9">
        <w:t xml:space="preserve">additional </w:t>
      </w:r>
      <w:r w:rsidR="00C41768" w:rsidRPr="006919A9">
        <w:t xml:space="preserve">patients would </w:t>
      </w:r>
      <w:r w:rsidR="00FB4181" w:rsidRPr="006919A9">
        <w:t>discontinue any drug due to a drug related adverse event</w:t>
      </w:r>
      <w:r w:rsidR="0023585C" w:rsidRPr="006919A9">
        <w:t>;</w:t>
      </w:r>
    </w:p>
    <w:p w14:paraId="3D064D92" w14:textId="12A20395" w:rsidR="00B23F47" w:rsidRPr="006919A9" w:rsidRDefault="00B23F47" w:rsidP="00B23F47">
      <w:pPr>
        <w:pStyle w:val="ListParagraph"/>
        <w:ind w:left="1134"/>
      </w:pPr>
      <w:r w:rsidRPr="006919A9">
        <w:t>Approximately 6 additional patients would experience an infusion reaction</w:t>
      </w:r>
      <w:r w:rsidR="0023585C" w:rsidRPr="006919A9">
        <w:t>;</w:t>
      </w:r>
    </w:p>
    <w:p w14:paraId="6B1D95EF" w14:textId="6C702AAA" w:rsidR="00B23F47" w:rsidRPr="006919A9" w:rsidRDefault="00B23F47" w:rsidP="00B23F47">
      <w:pPr>
        <w:pStyle w:val="ListParagraph"/>
        <w:ind w:left="1134"/>
      </w:pPr>
      <w:r w:rsidRPr="006919A9">
        <w:t>Approximately 9 additional patients would experience hypothyroidism</w:t>
      </w:r>
      <w:r w:rsidR="0023585C" w:rsidRPr="006919A9">
        <w:t>;</w:t>
      </w:r>
      <w:r w:rsidRPr="006919A9">
        <w:t xml:space="preserve"> </w:t>
      </w:r>
    </w:p>
    <w:p w14:paraId="35DAB3A7" w14:textId="1D093D25" w:rsidR="00B23F47" w:rsidRPr="006919A9" w:rsidRDefault="00B23F47" w:rsidP="00B23F47">
      <w:pPr>
        <w:pStyle w:val="ListParagraph"/>
        <w:ind w:left="1134"/>
      </w:pPr>
      <w:r w:rsidRPr="006919A9">
        <w:t>Approximately 5 additional patients would experience a severe skin react</w:t>
      </w:r>
      <w:r w:rsidR="0023585C" w:rsidRPr="006919A9">
        <w:t>i</w:t>
      </w:r>
      <w:r w:rsidRPr="006919A9">
        <w:t>on</w:t>
      </w:r>
      <w:r w:rsidR="0023585C" w:rsidRPr="006919A9">
        <w:t>;</w:t>
      </w:r>
    </w:p>
    <w:p w14:paraId="222AF0CD" w14:textId="067B84B2" w:rsidR="00B23F47" w:rsidRPr="006919A9" w:rsidRDefault="00B23F47" w:rsidP="00B23F47">
      <w:pPr>
        <w:pStyle w:val="ListParagraph"/>
        <w:ind w:left="1134"/>
      </w:pPr>
      <w:r w:rsidRPr="006919A9">
        <w:t>Approximately 3 additional patients would experience hyperthyroidism</w:t>
      </w:r>
      <w:r w:rsidR="0023585C" w:rsidRPr="006919A9">
        <w:t>;</w:t>
      </w:r>
    </w:p>
    <w:p w14:paraId="6464A7DC" w14:textId="2C12384B" w:rsidR="00B23F47" w:rsidRPr="006919A9" w:rsidRDefault="00B23F47" w:rsidP="00B23F47">
      <w:pPr>
        <w:pStyle w:val="ListParagraph"/>
        <w:ind w:left="1134"/>
      </w:pPr>
      <w:r w:rsidRPr="006919A9">
        <w:t xml:space="preserve">Approximately 3 additional patients would experience </w:t>
      </w:r>
      <w:r w:rsidR="0023585C" w:rsidRPr="006919A9">
        <w:t>adrenal insufficiency; and</w:t>
      </w:r>
    </w:p>
    <w:p w14:paraId="0BEB22D1" w14:textId="0B178276" w:rsidR="00B60939" w:rsidRPr="006919A9" w:rsidRDefault="00FC1884" w:rsidP="00181C10">
      <w:pPr>
        <w:pStyle w:val="ListParagraph"/>
        <w:ind w:left="1134"/>
      </w:pPr>
      <w:r w:rsidRPr="006919A9">
        <w:t>Approximately</w:t>
      </w:r>
      <w:r w:rsidR="00712DBD" w:rsidRPr="006919A9">
        <w:t xml:space="preserve"> </w:t>
      </w:r>
      <w:r w:rsidR="0023585C" w:rsidRPr="006919A9">
        <w:t>2</w:t>
      </w:r>
      <w:r w:rsidR="00FB4181" w:rsidRPr="006919A9">
        <w:t xml:space="preserve"> </w:t>
      </w:r>
      <w:r w:rsidR="001C2A9B" w:rsidRPr="006919A9">
        <w:t xml:space="preserve">additional </w:t>
      </w:r>
      <w:r w:rsidR="00C41768" w:rsidRPr="006919A9">
        <w:t xml:space="preserve">patients would experience </w:t>
      </w:r>
      <w:proofErr w:type="spellStart"/>
      <w:r w:rsidR="00CE1C72">
        <w:t>hypophysitis</w:t>
      </w:r>
      <w:proofErr w:type="spellEnd"/>
      <w:r w:rsidR="00CE1C72">
        <w:t>.</w:t>
      </w:r>
    </w:p>
    <w:p w14:paraId="289EAA5E" w14:textId="55F7598E" w:rsidR="007C70FF" w:rsidRPr="006919A9" w:rsidRDefault="00B60939" w:rsidP="00804612">
      <w:pPr>
        <w:pStyle w:val="4-SubsectionHeading"/>
      </w:pPr>
      <w:bookmarkStart w:id="39" w:name="_Toc22897644"/>
      <w:bookmarkStart w:id="40" w:name="_Toc124710217"/>
      <w:r w:rsidRPr="006919A9">
        <w:t>Clinical claim</w:t>
      </w:r>
      <w:bookmarkEnd w:id="39"/>
      <w:bookmarkEnd w:id="40"/>
    </w:p>
    <w:p w14:paraId="10E60650" w14:textId="41E0B343" w:rsidR="00804612" w:rsidRPr="006919A9" w:rsidRDefault="00804612" w:rsidP="00804612">
      <w:pPr>
        <w:pStyle w:val="3-BodyText"/>
      </w:pPr>
      <w:r w:rsidRPr="006919A9">
        <w:t xml:space="preserve">The submission’s clinical claim was that pembrolizumab </w:t>
      </w:r>
      <w:r w:rsidR="00317929">
        <w:t>+</w:t>
      </w:r>
      <w:r w:rsidR="00317929" w:rsidRPr="006919A9">
        <w:t xml:space="preserve"> </w:t>
      </w:r>
      <w:r w:rsidR="00161719" w:rsidRPr="006919A9">
        <w:t xml:space="preserve">chemotherapy </w:t>
      </w:r>
      <w:r w:rsidRPr="006919A9">
        <w:t xml:space="preserve">has superior efficacy and inferior but manageable safety profile compared to </w:t>
      </w:r>
      <w:r w:rsidR="00161719" w:rsidRPr="006919A9">
        <w:t xml:space="preserve">placebo </w:t>
      </w:r>
      <w:r w:rsidR="00317929">
        <w:t>+</w:t>
      </w:r>
      <w:r w:rsidR="00317929" w:rsidRPr="006919A9">
        <w:t xml:space="preserve"> </w:t>
      </w:r>
      <w:r w:rsidR="00161719" w:rsidRPr="006919A9">
        <w:t>chemotherapy</w:t>
      </w:r>
      <w:r w:rsidRPr="006919A9">
        <w:t xml:space="preserve"> in high-risk early stage TNBC patients.</w:t>
      </w:r>
    </w:p>
    <w:p w14:paraId="2A03919C" w14:textId="3C31096B" w:rsidR="00804612" w:rsidRPr="00F756C7" w:rsidRDefault="00804612" w:rsidP="00804612">
      <w:pPr>
        <w:pStyle w:val="3-BodyText"/>
      </w:pPr>
      <w:r w:rsidRPr="00652C95">
        <w:t xml:space="preserve">Overall, the </w:t>
      </w:r>
      <w:r w:rsidR="00A85C0A">
        <w:t xml:space="preserve">commentary concluded that </w:t>
      </w:r>
      <w:r w:rsidRPr="00652C95">
        <w:t xml:space="preserve">EFS and pCR results showed that patients may benefit from pembrolizumab </w:t>
      </w:r>
      <w:r w:rsidR="00317929">
        <w:t>+</w:t>
      </w:r>
      <w:r w:rsidR="00317929" w:rsidRPr="00652C95">
        <w:t xml:space="preserve"> </w:t>
      </w:r>
      <w:r w:rsidRPr="00652C95">
        <w:t xml:space="preserve">chemotherapy in the adjuvant and neoadjuvant settings. </w:t>
      </w:r>
      <w:r w:rsidR="004879B6" w:rsidRPr="00652C95">
        <w:t>However, OS data from KN-522 was immature and not statistically significantly different between treatment arms</w:t>
      </w:r>
      <w:r w:rsidR="00CB1F54" w:rsidRPr="00652C95">
        <w:t xml:space="preserve">. Furthermore, </w:t>
      </w:r>
      <w:r w:rsidRPr="00652C95">
        <w:t>the equivocal validation of EFS as surrogate for OS pose</w:t>
      </w:r>
      <w:r w:rsidR="0023585C" w:rsidRPr="00652C95">
        <w:t>d</w:t>
      </w:r>
      <w:r w:rsidRPr="00652C95">
        <w:t xml:space="preserve"> challenges to estimating the magnitude </w:t>
      </w:r>
      <w:r w:rsidR="003B6799" w:rsidRPr="00652C95">
        <w:t xml:space="preserve">of </w:t>
      </w:r>
      <w:r w:rsidRPr="00652C95">
        <w:t>benefit</w:t>
      </w:r>
      <w:r w:rsidR="003B6799" w:rsidRPr="00652C95">
        <w:t xml:space="preserve"> associated with pembrolizumab</w:t>
      </w:r>
      <w:r w:rsidR="00CB1F54" w:rsidRPr="00652C95">
        <w:t xml:space="preserve"> and determining whether such benefit was clinically meaningful</w:t>
      </w:r>
      <w:r w:rsidR="003B6799" w:rsidRPr="00652C95">
        <w:t>. T</w:t>
      </w:r>
      <w:r w:rsidRPr="00652C95">
        <w:t>he absence of capecitabine in the KN</w:t>
      </w:r>
      <w:r w:rsidR="0023585C" w:rsidRPr="00652C95">
        <w:noBreakHyphen/>
      </w:r>
      <w:r w:rsidRPr="00652C95">
        <w:t xml:space="preserve">522 trial may have led to an overestimate of the incremental benefit compared to what may be expected in the Australian setting. </w:t>
      </w:r>
      <w:r w:rsidR="00296F6D" w:rsidRPr="00F756C7">
        <w:t xml:space="preserve">The ESC considered that there was a clinically significant benefit from treatment with pembrolizumab </w:t>
      </w:r>
      <w:r w:rsidR="009652CA">
        <w:t>+</w:t>
      </w:r>
      <w:r w:rsidR="009652CA" w:rsidRPr="00F756C7">
        <w:t xml:space="preserve"> </w:t>
      </w:r>
      <w:r w:rsidR="00296F6D" w:rsidRPr="00F756C7">
        <w:t>chemotherapy in the neoadjuvant setting in terms of pCR and EFS, however the benefit of adjuvant treatment with pembrolizumab over SoC including capecitabine</w:t>
      </w:r>
      <w:r w:rsidR="004702D9" w:rsidRPr="00F756C7">
        <w:t>,</w:t>
      </w:r>
      <w:r w:rsidR="00296F6D" w:rsidRPr="00F756C7">
        <w:t xml:space="preserve"> for patients with residual disease, remains uncertain. In addition, the ESC considered that there remained significant uncertainty regarding long term benefit</w:t>
      </w:r>
      <w:r w:rsidR="00506BBE" w:rsidRPr="00F756C7">
        <w:t xml:space="preserve"> in terms of overall survival.</w:t>
      </w:r>
    </w:p>
    <w:p w14:paraId="0FECA83E" w14:textId="1A06E837" w:rsidR="00804612" w:rsidRPr="009E034F" w:rsidRDefault="00317929" w:rsidP="00804612">
      <w:pPr>
        <w:pStyle w:val="3-BodyText"/>
      </w:pPr>
      <w:r>
        <w:t>For</w:t>
      </w:r>
      <w:r w:rsidR="00804612" w:rsidRPr="006919A9">
        <w:t xml:space="preserve"> overall safety, the submission considered that pembrolizumab</w:t>
      </w:r>
      <w:r w:rsidR="00161719" w:rsidRPr="006919A9">
        <w:t xml:space="preserve"> </w:t>
      </w:r>
      <w:r>
        <w:t>+</w:t>
      </w:r>
      <w:r w:rsidRPr="006919A9">
        <w:t xml:space="preserve"> </w:t>
      </w:r>
      <w:r w:rsidR="00161719" w:rsidRPr="006919A9">
        <w:t>chemotherapy</w:t>
      </w:r>
      <w:r w:rsidR="00804612" w:rsidRPr="006919A9">
        <w:t xml:space="preserve"> was well tolerated. This is supported by a median duration of exposure that was equal in both arms (i.e., both arms reached median duration of 17 cycles). However, more adverse events were observed for pembrolizumab. </w:t>
      </w:r>
      <w:r w:rsidR="005F3D59">
        <w:t xml:space="preserve">The submission stated </w:t>
      </w:r>
      <w:r w:rsidR="00BB1392">
        <w:t>a</w:t>
      </w:r>
      <w:r w:rsidR="00804612" w:rsidRPr="006919A9">
        <w:t xml:space="preserve">dverse events were manageable and consistent with the safety profile for pembrolizumab in other settings. </w:t>
      </w:r>
      <w:r w:rsidR="00804612" w:rsidRPr="00652C95">
        <w:t xml:space="preserve">While some adverse events may be manageable there was a higher number of fatal adverse events in the pembrolizumab arm. </w:t>
      </w:r>
      <w:r w:rsidR="00506BBE" w:rsidRPr="00F756C7">
        <w:t xml:space="preserve">The ESC agreed with the </w:t>
      </w:r>
      <w:r w:rsidR="00506BBE" w:rsidRPr="009E034F">
        <w:t xml:space="preserve">submission that inferior safety for pembrolizumab </w:t>
      </w:r>
      <w:r w:rsidRPr="009E034F">
        <w:t xml:space="preserve">+ </w:t>
      </w:r>
      <w:r w:rsidR="00506BBE" w:rsidRPr="009E034F">
        <w:t>chemotherapy was supported by the KN-522 evidence.</w:t>
      </w:r>
    </w:p>
    <w:p w14:paraId="53D8796C" w14:textId="3910B7B0" w:rsidR="00F756C7" w:rsidRPr="009E034F" w:rsidRDefault="00F756C7" w:rsidP="00F756C7">
      <w:pPr>
        <w:widowControl w:val="0"/>
        <w:numPr>
          <w:ilvl w:val="1"/>
          <w:numId w:val="1"/>
        </w:numPr>
        <w:spacing w:after="120"/>
        <w:rPr>
          <w:rFonts w:asciiTheme="minorHAnsi" w:hAnsiTheme="minorHAnsi"/>
          <w:snapToGrid w:val="0"/>
          <w:szCs w:val="20"/>
        </w:rPr>
      </w:pPr>
      <w:bookmarkStart w:id="41" w:name="_Hlk76376200"/>
      <w:r w:rsidRPr="009E034F">
        <w:rPr>
          <w:rFonts w:asciiTheme="minorHAnsi" w:hAnsiTheme="minorHAnsi"/>
          <w:iCs/>
          <w:snapToGrid w:val="0"/>
        </w:rPr>
        <w:t>The</w:t>
      </w:r>
      <w:r w:rsidRPr="009E034F">
        <w:rPr>
          <w:rFonts w:asciiTheme="minorHAnsi" w:hAnsiTheme="minorHAnsi"/>
          <w:snapToGrid w:val="0"/>
          <w:szCs w:val="20"/>
        </w:rPr>
        <w:t xml:space="preserve"> PBAC considered that the claim of superior comparative effectiveness was </w:t>
      </w:r>
      <w:r w:rsidRPr="009E034F">
        <w:rPr>
          <w:rFonts w:asciiTheme="minorHAnsi" w:hAnsiTheme="minorHAnsi"/>
          <w:snapToGrid w:val="0"/>
          <w:szCs w:val="20"/>
        </w:rPr>
        <w:lastRenderedPageBreak/>
        <w:t>reasonable</w:t>
      </w:r>
      <w:r w:rsidR="00A85C0A" w:rsidRPr="009E034F">
        <w:rPr>
          <w:rFonts w:asciiTheme="minorHAnsi" w:hAnsiTheme="minorHAnsi"/>
          <w:snapToGrid w:val="0"/>
          <w:szCs w:val="20"/>
        </w:rPr>
        <w:t xml:space="preserve">, with a clinically significant benefit based on improved EFS. The PBAC noted that KN-522 showed that patients benefited from pembrolizumab in the </w:t>
      </w:r>
      <w:r w:rsidR="009652CA">
        <w:rPr>
          <w:rFonts w:asciiTheme="minorHAnsi" w:hAnsiTheme="minorHAnsi"/>
          <w:snapToGrid w:val="0"/>
          <w:szCs w:val="20"/>
        </w:rPr>
        <w:t>neo</w:t>
      </w:r>
      <w:r w:rsidR="00A85C0A" w:rsidRPr="009E034F">
        <w:rPr>
          <w:rFonts w:asciiTheme="minorHAnsi" w:hAnsiTheme="minorHAnsi"/>
          <w:snapToGrid w:val="0"/>
          <w:szCs w:val="20"/>
        </w:rPr>
        <w:t xml:space="preserve">adjuvant setting, however it was unclear whether there was any benefit from adjuvant pembrolizumab, especially for patients with a pCR. The PBAC considered that there remained uncertainty regarding the </w:t>
      </w:r>
      <w:r w:rsidR="009E034F" w:rsidRPr="009E034F">
        <w:rPr>
          <w:rFonts w:asciiTheme="minorHAnsi" w:hAnsiTheme="minorHAnsi"/>
          <w:snapToGrid w:val="0"/>
          <w:szCs w:val="20"/>
        </w:rPr>
        <w:t xml:space="preserve">magnitude of OS benefit as the data are immature. </w:t>
      </w:r>
    </w:p>
    <w:p w14:paraId="32B6F502" w14:textId="65CC0BEA" w:rsidR="00F756C7" w:rsidRPr="009E034F" w:rsidRDefault="00F756C7" w:rsidP="00F756C7">
      <w:pPr>
        <w:widowControl w:val="0"/>
        <w:numPr>
          <w:ilvl w:val="1"/>
          <w:numId w:val="1"/>
        </w:numPr>
        <w:spacing w:after="120"/>
        <w:rPr>
          <w:rFonts w:asciiTheme="minorHAnsi" w:hAnsiTheme="minorHAnsi"/>
          <w:snapToGrid w:val="0"/>
          <w:szCs w:val="20"/>
        </w:rPr>
      </w:pPr>
      <w:r w:rsidRPr="009E034F">
        <w:rPr>
          <w:rFonts w:asciiTheme="minorHAnsi" w:hAnsiTheme="minorHAnsi"/>
          <w:snapToGrid w:val="0"/>
          <w:szCs w:val="20"/>
        </w:rPr>
        <w:t>The PBAC considered that the claim of inferior comparative safety was reasonable.</w:t>
      </w:r>
      <w:r w:rsidR="009E034F" w:rsidRPr="009E034F">
        <w:rPr>
          <w:rFonts w:asciiTheme="minorHAnsi" w:hAnsiTheme="minorHAnsi"/>
          <w:snapToGrid w:val="0"/>
          <w:szCs w:val="20"/>
        </w:rPr>
        <w:t xml:space="preserve"> The PBAC noted that most AEs are manageable in clinical practice, however there is a potential for life-threatening toxicities, and </w:t>
      </w:r>
      <w:r w:rsidR="009E034F" w:rsidRPr="009E034F">
        <w:rPr>
          <w:rFonts w:asciiTheme="minorHAnsi" w:hAnsiTheme="minorHAnsi"/>
          <w:bCs/>
          <w:snapToGrid w:val="0"/>
        </w:rPr>
        <w:t>long</w:t>
      </w:r>
      <w:r w:rsidR="009E034F">
        <w:rPr>
          <w:rFonts w:asciiTheme="minorHAnsi" w:hAnsiTheme="minorHAnsi"/>
          <w:bCs/>
          <w:snapToGrid w:val="0"/>
        </w:rPr>
        <w:t>-</w:t>
      </w:r>
      <w:r w:rsidR="009E034F" w:rsidRPr="009E034F">
        <w:rPr>
          <w:rFonts w:asciiTheme="minorHAnsi" w:hAnsiTheme="minorHAnsi"/>
          <w:bCs/>
          <w:snapToGrid w:val="0"/>
        </w:rPr>
        <w:t>term immune mediated toxicities</w:t>
      </w:r>
      <w:r w:rsidR="009E034F">
        <w:rPr>
          <w:rFonts w:asciiTheme="minorHAnsi" w:hAnsiTheme="minorHAnsi"/>
          <w:bCs/>
          <w:snapToGrid w:val="0"/>
        </w:rPr>
        <w:t>,</w:t>
      </w:r>
      <w:r w:rsidR="009E034F" w:rsidRPr="009E034F">
        <w:rPr>
          <w:rFonts w:asciiTheme="minorHAnsi" w:hAnsiTheme="minorHAnsi"/>
          <w:bCs/>
          <w:snapToGrid w:val="0"/>
        </w:rPr>
        <w:t xml:space="preserve"> </w:t>
      </w:r>
      <w:r w:rsidR="009E034F" w:rsidRPr="009E034F">
        <w:rPr>
          <w:rFonts w:asciiTheme="minorHAnsi" w:hAnsiTheme="minorHAnsi"/>
          <w:snapToGrid w:val="0"/>
          <w:szCs w:val="20"/>
        </w:rPr>
        <w:t>which is a significant concern given that TNBC patients are generally younger and treatment in the eTNBC stage is given with curative intent.</w:t>
      </w:r>
    </w:p>
    <w:p w14:paraId="74A1172E" w14:textId="128C170E" w:rsidR="00B60939" w:rsidRPr="006919A9" w:rsidRDefault="00B60939" w:rsidP="00E9094A">
      <w:pPr>
        <w:pStyle w:val="4-SubsectionHeading"/>
      </w:pPr>
      <w:bookmarkStart w:id="42" w:name="_Toc22897645"/>
      <w:bookmarkStart w:id="43" w:name="_Toc124710218"/>
      <w:bookmarkEnd w:id="41"/>
      <w:r w:rsidRPr="006919A9">
        <w:t>Economic analysis</w:t>
      </w:r>
      <w:bookmarkEnd w:id="42"/>
      <w:bookmarkEnd w:id="43"/>
      <w:r w:rsidR="00491B3A" w:rsidRPr="006919A9">
        <w:t xml:space="preserve"> </w:t>
      </w:r>
    </w:p>
    <w:p w14:paraId="14C1E8F9" w14:textId="02F181D4" w:rsidR="00275C5A" w:rsidRPr="006919A9" w:rsidRDefault="00943463" w:rsidP="00C70432">
      <w:pPr>
        <w:pStyle w:val="3-BodyText"/>
        <w:rPr>
          <w:b/>
          <w:bCs/>
        </w:rPr>
      </w:pPr>
      <w:r w:rsidRPr="006919A9">
        <w:t xml:space="preserve">The submission presented a </w:t>
      </w:r>
      <w:r w:rsidR="00FD7961" w:rsidRPr="006919A9">
        <w:t xml:space="preserve">stepped </w:t>
      </w:r>
      <w:r w:rsidRPr="006919A9">
        <w:t>cost</w:t>
      </w:r>
      <w:r w:rsidR="00775702" w:rsidRPr="006919A9">
        <w:t>-</w:t>
      </w:r>
      <w:r w:rsidRPr="006919A9">
        <w:t xml:space="preserve">utility analysis. </w:t>
      </w:r>
      <w:r w:rsidR="00775702" w:rsidRPr="006919A9">
        <w:t xml:space="preserve">A summary of the economic evaluation is presented in </w:t>
      </w:r>
      <w:r w:rsidR="00775702" w:rsidRPr="006919A9">
        <w:fldChar w:fldCharType="begin" w:fldLock="1"/>
      </w:r>
      <w:r w:rsidR="00775702" w:rsidRPr="006919A9">
        <w:instrText xml:space="preserve"> REF _Ref123933330 \h </w:instrText>
      </w:r>
      <w:r w:rsidR="00775702" w:rsidRPr="006919A9">
        <w:fldChar w:fldCharType="separate"/>
      </w:r>
      <w:r w:rsidR="0067416F" w:rsidRPr="006919A9">
        <w:t xml:space="preserve">Table </w:t>
      </w:r>
      <w:r w:rsidR="0067416F">
        <w:rPr>
          <w:noProof/>
        </w:rPr>
        <w:t>10</w:t>
      </w:r>
      <w:r w:rsidR="00775702" w:rsidRPr="006919A9">
        <w:fldChar w:fldCharType="end"/>
      </w:r>
      <w:r w:rsidR="000B0CFE">
        <w:t>.</w:t>
      </w:r>
    </w:p>
    <w:p w14:paraId="15A9AFA4" w14:textId="7C1B294A" w:rsidR="00275C5A" w:rsidRPr="006919A9" w:rsidRDefault="00E16AD8" w:rsidP="00E16AD8">
      <w:pPr>
        <w:pStyle w:val="Caption"/>
        <w:jc w:val="left"/>
        <w:rPr>
          <w:rStyle w:val="CommentReference"/>
          <w:b/>
          <w:szCs w:val="24"/>
        </w:rPr>
      </w:pPr>
      <w:bookmarkStart w:id="44" w:name="_Ref123933330"/>
      <w:r w:rsidRPr="006919A9">
        <w:t xml:space="preserve">Table </w:t>
      </w:r>
      <w:fldSimple w:instr=" SEQ Table \* ARABIC " w:fldLock="1">
        <w:r w:rsidR="0067416F">
          <w:rPr>
            <w:noProof/>
          </w:rPr>
          <w:t>10</w:t>
        </w:r>
      </w:fldSimple>
      <w:bookmarkEnd w:id="44"/>
      <w:r w:rsidRPr="006919A9">
        <w:t>:</w:t>
      </w:r>
      <w:r w:rsidR="00275C5A" w:rsidRPr="006919A9">
        <w:rPr>
          <w:rStyle w:val="CommentReference"/>
          <w:b/>
          <w:szCs w:val="24"/>
        </w:rPr>
        <w:t xml:space="preserve"> Summary of model structure</w:t>
      </w:r>
      <w:r w:rsidR="00184B0E" w:rsidRPr="006919A9">
        <w:rPr>
          <w:rStyle w:val="CommentReference"/>
          <w:b/>
          <w:szCs w:val="24"/>
        </w:rPr>
        <w:t>, key inputs</w:t>
      </w:r>
      <w:r w:rsidR="00275C5A" w:rsidRPr="006919A9">
        <w:rPr>
          <w:rStyle w:val="CommentReference"/>
          <w:b/>
          <w:szCs w:val="24"/>
        </w:rPr>
        <w:t xml:space="preserve"> and rationale</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14"/>
        <w:gridCol w:w="6498"/>
      </w:tblGrid>
      <w:tr w:rsidR="006919A9" w:rsidRPr="006919A9" w14:paraId="48BB958D" w14:textId="77777777" w:rsidTr="00775702">
        <w:trPr>
          <w:tblHeader/>
        </w:trPr>
        <w:tc>
          <w:tcPr>
            <w:tcW w:w="1395" w:type="pct"/>
            <w:shd w:val="clear" w:color="auto" w:fill="auto"/>
            <w:vAlign w:val="center"/>
          </w:tcPr>
          <w:p w14:paraId="29C3D629" w14:textId="77777777" w:rsidR="00275C5A" w:rsidRPr="006919A9" w:rsidRDefault="00275C5A" w:rsidP="00641FB3">
            <w:pPr>
              <w:pStyle w:val="In-tableHeading"/>
              <w:rPr>
                <w:lang w:val="en-AU"/>
              </w:rPr>
            </w:pPr>
            <w:r w:rsidRPr="006919A9">
              <w:rPr>
                <w:lang w:val="en-AU"/>
              </w:rPr>
              <w:t>Component</w:t>
            </w:r>
          </w:p>
        </w:tc>
        <w:tc>
          <w:tcPr>
            <w:tcW w:w="3605" w:type="pct"/>
            <w:shd w:val="clear" w:color="auto" w:fill="auto"/>
            <w:vAlign w:val="center"/>
          </w:tcPr>
          <w:p w14:paraId="58FBA37B" w14:textId="77777777" w:rsidR="00275C5A" w:rsidRPr="006919A9" w:rsidRDefault="00275C5A" w:rsidP="00641FB3">
            <w:pPr>
              <w:pStyle w:val="In-tableHeading"/>
              <w:rPr>
                <w:lang w:val="en-AU"/>
              </w:rPr>
            </w:pPr>
            <w:r w:rsidRPr="006919A9">
              <w:rPr>
                <w:lang w:val="en-AU"/>
              </w:rPr>
              <w:t>Summary</w:t>
            </w:r>
          </w:p>
        </w:tc>
      </w:tr>
      <w:tr w:rsidR="006919A9" w:rsidRPr="006919A9" w14:paraId="7476B2FD" w14:textId="77777777" w:rsidTr="00775702">
        <w:tc>
          <w:tcPr>
            <w:tcW w:w="1395" w:type="pct"/>
            <w:shd w:val="clear" w:color="auto" w:fill="auto"/>
            <w:vAlign w:val="center"/>
          </w:tcPr>
          <w:p w14:paraId="5FA8442E" w14:textId="27CD0EEA" w:rsidR="000A6039" w:rsidRPr="006919A9" w:rsidRDefault="000A6039" w:rsidP="00BB00B3">
            <w:pPr>
              <w:pStyle w:val="TableText0"/>
            </w:pPr>
            <w:r w:rsidRPr="006919A9">
              <w:t>Treatments</w:t>
            </w:r>
          </w:p>
        </w:tc>
        <w:tc>
          <w:tcPr>
            <w:tcW w:w="3605" w:type="pct"/>
            <w:shd w:val="clear" w:color="auto" w:fill="auto"/>
            <w:vAlign w:val="center"/>
          </w:tcPr>
          <w:p w14:paraId="554C8AD3" w14:textId="5954B6FB" w:rsidR="000A6039" w:rsidRPr="006919A9" w:rsidRDefault="00C70432" w:rsidP="00BB00B3">
            <w:pPr>
              <w:pStyle w:val="TableText0"/>
            </w:pPr>
            <w:r w:rsidRPr="006919A9">
              <w:t xml:space="preserve">Pembrolizumab plus </w:t>
            </w:r>
            <w:r w:rsidR="00D875C9" w:rsidRPr="006919A9">
              <w:t>chemotherapy</w:t>
            </w:r>
            <w:r w:rsidRPr="006919A9">
              <w:t xml:space="preserve"> in the neoadjuvant setting and pembrolizumab monotherapy in the adjuvant setting versus chemotherapy in the neoadjuvant setting. </w:t>
            </w:r>
          </w:p>
        </w:tc>
      </w:tr>
      <w:tr w:rsidR="006919A9" w:rsidRPr="006919A9" w14:paraId="6A8D84D4" w14:textId="77777777" w:rsidTr="00775702">
        <w:tc>
          <w:tcPr>
            <w:tcW w:w="1395" w:type="pct"/>
            <w:shd w:val="clear" w:color="auto" w:fill="auto"/>
            <w:vAlign w:val="center"/>
          </w:tcPr>
          <w:p w14:paraId="5F652354" w14:textId="77777777" w:rsidR="00275C5A" w:rsidRPr="006919A9" w:rsidRDefault="00275C5A" w:rsidP="00BB00B3">
            <w:pPr>
              <w:pStyle w:val="TableText0"/>
            </w:pPr>
            <w:r w:rsidRPr="006919A9">
              <w:t>Time horizon</w:t>
            </w:r>
          </w:p>
        </w:tc>
        <w:tc>
          <w:tcPr>
            <w:tcW w:w="3605" w:type="pct"/>
            <w:shd w:val="clear" w:color="auto" w:fill="auto"/>
            <w:vAlign w:val="center"/>
          </w:tcPr>
          <w:p w14:paraId="460936F1" w14:textId="120F2FD4" w:rsidR="00275C5A" w:rsidRPr="006919A9" w:rsidRDefault="00C70432" w:rsidP="00BB00B3">
            <w:pPr>
              <w:pStyle w:val="TableText0"/>
            </w:pPr>
            <w:r w:rsidRPr="006919A9">
              <w:t xml:space="preserve">30 years in the model base case vs. approximately 164 weeks </w:t>
            </w:r>
            <w:r w:rsidR="00D3058E">
              <w:t xml:space="preserve">(37.8 months) </w:t>
            </w:r>
            <w:r w:rsidRPr="006919A9">
              <w:t>in the trial.</w:t>
            </w:r>
          </w:p>
        </w:tc>
      </w:tr>
      <w:tr w:rsidR="006919A9" w:rsidRPr="006919A9" w14:paraId="003209BF" w14:textId="77777777" w:rsidTr="00775702">
        <w:tc>
          <w:tcPr>
            <w:tcW w:w="1395" w:type="pct"/>
            <w:shd w:val="clear" w:color="auto" w:fill="auto"/>
            <w:vAlign w:val="center"/>
          </w:tcPr>
          <w:p w14:paraId="522DAB95" w14:textId="77777777" w:rsidR="00275C5A" w:rsidRPr="006919A9" w:rsidRDefault="00275C5A" w:rsidP="00BB00B3">
            <w:pPr>
              <w:pStyle w:val="TableText0"/>
            </w:pPr>
            <w:r w:rsidRPr="006919A9">
              <w:t>Outcomes</w:t>
            </w:r>
          </w:p>
        </w:tc>
        <w:tc>
          <w:tcPr>
            <w:tcW w:w="3605" w:type="pct"/>
            <w:shd w:val="clear" w:color="auto" w:fill="auto"/>
            <w:vAlign w:val="center"/>
          </w:tcPr>
          <w:p w14:paraId="3D1C428E" w14:textId="017345A1" w:rsidR="00275C5A" w:rsidRPr="006919A9" w:rsidRDefault="00C70432" w:rsidP="00BB00B3">
            <w:pPr>
              <w:pStyle w:val="TableText0"/>
            </w:pPr>
            <w:r w:rsidRPr="006919A9">
              <w:t>Life years gained, Quality-adjusted life years</w:t>
            </w:r>
          </w:p>
        </w:tc>
      </w:tr>
      <w:tr w:rsidR="006919A9" w:rsidRPr="006919A9" w14:paraId="29120B3F" w14:textId="77777777" w:rsidTr="00775702">
        <w:tc>
          <w:tcPr>
            <w:tcW w:w="1395" w:type="pct"/>
            <w:shd w:val="clear" w:color="auto" w:fill="auto"/>
            <w:vAlign w:val="center"/>
          </w:tcPr>
          <w:p w14:paraId="1AAC94CB" w14:textId="77777777" w:rsidR="00C70432" w:rsidRPr="006919A9" w:rsidRDefault="00C70432" w:rsidP="00C70432">
            <w:pPr>
              <w:pStyle w:val="TableText0"/>
            </w:pPr>
            <w:r w:rsidRPr="006919A9">
              <w:t>Methods used to generate results</w:t>
            </w:r>
          </w:p>
        </w:tc>
        <w:tc>
          <w:tcPr>
            <w:tcW w:w="3605" w:type="pct"/>
            <w:shd w:val="clear" w:color="auto" w:fill="auto"/>
            <w:vAlign w:val="center"/>
          </w:tcPr>
          <w:p w14:paraId="69D4F042" w14:textId="3F637ADB" w:rsidR="00C70432" w:rsidRPr="006919A9" w:rsidRDefault="00C70432" w:rsidP="00C70432">
            <w:pPr>
              <w:pStyle w:val="TableText0"/>
            </w:pPr>
            <w:r w:rsidRPr="006919A9">
              <w:t>Markov cohort – expected value analysis</w:t>
            </w:r>
          </w:p>
        </w:tc>
      </w:tr>
      <w:tr w:rsidR="006919A9" w:rsidRPr="006919A9" w14:paraId="7F7ACECA" w14:textId="77777777" w:rsidTr="00775702">
        <w:tc>
          <w:tcPr>
            <w:tcW w:w="1395" w:type="pct"/>
            <w:shd w:val="clear" w:color="auto" w:fill="auto"/>
            <w:vAlign w:val="center"/>
          </w:tcPr>
          <w:p w14:paraId="344631D3" w14:textId="77777777" w:rsidR="00C70432" w:rsidRPr="006919A9" w:rsidRDefault="00C70432" w:rsidP="00C70432">
            <w:pPr>
              <w:pStyle w:val="TableText0"/>
            </w:pPr>
            <w:r w:rsidRPr="006919A9">
              <w:t>Health states</w:t>
            </w:r>
          </w:p>
        </w:tc>
        <w:tc>
          <w:tcPr>
            <w:tcW w:w="3605" w:type="pct"/>
            <w:shd w:val="clear" w:color="auto" w:fill="auto"/>
            <w:vAlign w:val="center"/>
          </w:tcPr>
          <w:p w14:paraId="0F399F48" w14:textId="77777777" w:rsidR="00C70432" w:rsidRPr="006919A9" w:rsidRDefault="00C70432" w:rsidP="0090266C">
            <w:pPr>
              <w:pStyle w:val="Tabletext"/>
              <w:numPr>
                <w:ilvl w:val="0"/>
                <w:numId w:val="9"/>
              </w:numPr>
            </w:pPr>
            <w:r w:rsidRPr="006919A9">
              <w:t>Event-free survival (EFS)</w:t>
            </w:r>
          </w:p>
          <w:p w14:paraId="30A05337" w14:textId="77777777" w:rsidR="00C70432" w:rsidRPr="006919A9" w:rsidRDefault="00C70432" w:rsidP="0090266C">
            <w:pPr>
              <w:pStyle w:val="Tabletext"/>
              <w:numPr>
                <w:ilvl w:val="0"/>
                <w:numId w:val="9"/>
              </w:numPr>
            </w:pPr>
            <w:r w:rsidRPr="006919A9">
              <w:t>Locoregional recurrence (LR)</w:t>
            </w:r>
          </w:p>
          <w:p w14:paraId="792EFB6D" w14:textId="0F24EF0C" w:rsidR="0068622E" w:rsidRPr="006919A9" w:rsidRDefault="00C70432" w:rsidP="0090266C">
            <w:pPr>
              <w:pStyle w:val="Tabletext"/>
              <w:numPr>
                <w:ilvl w:val="0"/>
                <w:numId w:val="9"/>
              </w:numPr>
            </w:pPr>
            <w:r w:rsidRPr="006919A9">
              <w:t xml:space="preserve">Distant metastasis (DM) </w:t>
            </w:r>
          </w:p>
          <w:p w14:paraId="03F23F80" w14:textId="1CF3A641" w:rsidR="00C70432" w:rsidRPr="006919A9" w:rsidRDefault="00C70432" w:rsidP="0090266C">
            <w:pPr>
              <w:pStyle w:val="Tabletext"/>
              <w:numPr>
                <w:ilvl w:val="0"/>
                <w:numId w:val="9"/>
              </w:numPr>
            </w:pPr>
            <w:r w:rsidRPr="006919A9">
              <w:t>Death</w:t>
            </w:r>
          </w:p>
        </w:tc>
      </w:tr>
      <w:tr w:rsidR="006919A9" w:rsidRPr="006919A9" w14:paraId="7F944EEA" w14:textId="77777777" w:rsidTr="00775702">
        <w:tc>
          <w:tcPr>
            <w:tcW w:w="1395" w:type="pct"/>
            <w:shd w:val="clear" w:color="auto" w:fill="auto"/>
            <w:vAlign w:val="center"/>
          </w:tcPr>
          <w:p w14:paraId="255C0B8D" w14:textId="77777777" w:rsidR="00275C5A" w:rsidRPr="006919A9" w:rsidRDefault="00275C5A" w:rsidP="00BB00B3">
            <w:pPr>
              <w:pStyle w:val="TableText0"/>
            </w:pPr>
            <w:r w:rsidRPr="006919A9">
              <w:t>Cycle length</w:t>
            </w:r>
          </w:p>
        </w:tc>
        <w:tc>
          <w:tcPr>
            <w:tcW w:w="3605" w:type="pct"/>
            <w:shd w:val="clear" w:color="auto" w:fill="auto"/>
            <w:vAlign w:val="center"/>
          </w:tcPr>
          <w:p w14:paraId="5733F6EA" w14:textId="2569A12A" w:rsidR="00275C5A" w:rsidRPr="006919A9" w:rsidRDefault="00C70432" w:rsidP="00BB00B3">
            <w:pPr>
              <w:pStyle w:val="TableText0"/>
            </w:pPr>
            <w:r w:rsidRPr="006919A9">
              <w:t>1 week, half cycle corrected</w:t>
            </w:r>
          </w:p>
        </w:tc>
      </w:tr>
      <w:tr w:rsidR="006919A9" w:rsidRPr="006919A9" w14:paraId="6EFF7035" w14:textId="77777777" w:rsidTr="00775702">
        <w:tc>
          <w:tcPr>
            <w:tcW w:w="1395" w:type="pct"/>
            <w:shd w:val="clear" w:color="auto" w:fill="auto"/>
            <w:vAlign w:val="center"/>
          </w:tcPr>
          <w:p w14:paraId="77A45407" w14:textId="3F37C386" w:rsidR="00081E63" w:rsidRPr="006919A9" w:rsidRDefault="00275C5A" w:rsidP="00D4081B">
            <w:pPr>
              <w:pStyle w:val="TableText0"/>
            </w:pPr>
            <w:r w:rsidRPr="006919A9">
              <w:t>Transition probabilities</w:t>
            </w:r>
            <w:r w:rsidR="00AB19EF" w:rsidRPr="006919A9">
              <w:t xml:space="preserve"> </w:t>
            </w:r>
          </w:p>
        </w:tc>
        <w:tc>
          <w:tcPr>
            <w:tcW w:w="3605" w:type="pct"/>
            <w:shd w:val="clear" w:color="auto" w:fill="auto"/>
            <w:vAlign w:val="center"/>
          </w:tcPr>
          <w:p w14:paraId="76387578" w14:textId="6058828D" w:rsidR="00275C5A" w:rsidRPr="006919A9" w:rsidRDefault="00C70432" w:rsidP="00BB00B3">
            <w:pPr>
              <w:pStyle w:val="TableText0"/>
            </w:pPr>
            <w:r w:rsidRPr="006919A9">
              <w:t>Informed by KN-522 trial transitions, extrapolated from the trial follow-up period and including background mortality.</w:t>
            </w:r>
          </w:p>
        </w:tc>
      </w:tr>
      <w:tr w:rsidR="006919A9" w:rsidRPr="006919A9" w14:paraId="0BC5FD61" w14:textId="77777777" w:rsidTr="00775702">
        <w:tc>
          <w:tcPr>
            <w:tcW w:w="1395" w:type="pct"/>
            <w:shd w:val="clear" w:color="auto" w:fill="auto"/>
            <w:vAlign w:val="center"/>
          </w:tcPr>
          <w:p w14:paraId="3EE19BE5" w14:textId="7EE5FF57" w:rsidR="00501854" w:rsidRPr="006919A9" w:rsidRDefault="00501854" w:rsidP="00BB00B3">
            <w:pPr>
              <w:pStyle w:val="TableText0"/>
            </w:pPr>
            <w:r w:rsidRPr="006919A9">
              <w:t>Extrapolation method</w:t>
            </w:r>
          </w:p>
        </w:tc>
        <w:tc>
          <w:tcPr>
            <w:tcW w:w="3605" w:type="pct"/>
            <w:shd w:val="clear" w:color="auto" w:fill="auto"/>
            <w:vAlign w:val="center"/>
          </w:tcPr>
          <w:p w14:paraId="7026638D" w14:textId="5F65A726" w:rsidR="00D533EC" w:rsidRPr="006919A9" w:rsidRDefault="00C70432" w:rsidP="00BB00B3">
            <w:pPr>
              <w:pStyle w:val="TableText0"/>
            </w:pPr>
            <w:r w:rsidRPr="006919A9">
              <w:t xml:space="preserve">EFS was extrapolated from KN-522 KM data at median follow-up of 164.3 and 163.4 weeks for pembrolizumab plus chemotherapy and chemotherapy, respectively, using </w:t>
            </w:r>
            <w:r w:rsidR="00775702" w:rsidRPr="006919A9">
              <w:t>generalised</w:t>
            </w:r>
            <w:r w:rsidRPr="006919A9">
              <w:t xml:space="preserve"> gamma curves in both arms. </w:t>
            </w:r>
          </w:p>
        </w:tc>
      </w:tr>
      <w:tr w:rsidR="006919A9" w:rsidRPr="006919A9" w14:paraId="07C0A709" w14:textId="77777777" w:rsidTr="00775702">
        <w:tc>
          <w:tcPr>
            <w:tcW w:w="1395" w:type="pct"/>
            <w:shd w:val="clear" w:color="auto" w:fill="auto"/>
            <w:vAlign w:val="center"/>
          </w:tcPr>
          <w:p w14:paraId="33B632EB" w14:textId="4B6D1EE3" w:rsidR="00501854" w:rsidRPr="006919A9" w:rsidRDefault="00DD0F78" w:rsidP="00BB00B3">
            <w:pPr>
              <w:pStyle w:val="TableText0"/>
            </w:pPr>
            <w:r w:rsidRPr="006919A9">
              <w:t>Health related quality of life</w:t>
            </w:r>
          </w:p>
        </w:tc>
        <w:tc>
          <w:tcPr>
            <w:tcW w:w="3605" w:type="pct"/>
            <w:shd w:val="clear" w:color="auto" w:fill="auto"/>
            <w:vAlign w:val="center"/>
          </w:tcPr>
          <w:p w14:paraId="6FCC32AA" w14:textId="0292A16C" w:rsidR="001F4081" w:rsidRPr="006919A9" w:rsidRDefault="00775702" w:rsidP="00775702">
            <w:pPr>
              <w:pStyle w:val="TableText0"/>
            </w:pPr>
            <w:r w:rsidRPr="006919A9">
              <w:t>Utilities were based on EQ-5D responses in KN-522. Event free on treatment: 0.775, Event free off treatment: 0.785, locoregional recurrence: 0.693, distant metastasis: 0.552, Grade 3+ AE decrement: -0.</w:t>
            </w:r>
            <w:r w:rsidR="00B34A32">
              <w:t>0</w:t>
            </w:r>
            <w:r w:rsidRPr="006919A9">
              <w:t>39</w:t>
            </w:r>
          </w:p>
        </w:tc>
      </w:tr>
    </w:tbl>
    <w:p w14:paraId="5B5F7B98" w14:textId="2FC9037C" w:rsidR="00490B17" w:rsidRPr="006919A9" w:rsidRDefault="00775702" w:rsidP="00775702">
      <w:pPr>
        <w:pStyle w:val="FooterTableFigure"/>
      </w:pPr>
      <w:r w:rsidRPr="006919A9">
        <w:t>Table 3.1-1, p87 the submission.</w:t>
      </w:r>
    </w:p>
    <w:p w14:paraId="07353CD6" w14:textId="4F5C71DB" w:rsidR="00BB00B3" w:rsidRPr="006919A9" w:rsidRDefault="00775702" w:rsidP="006135F9">
      <w:pPr>
        <w:pStyle w:val="FooterTableFigure"/>
      </w:pPr>
      <w:r w:rsidRPr="006919A9">
        <w:t xml:space="preserve">EQ-5D = </w:t>
      </w:r>
      <w:r w:rsidR="00421AF8" w:rsidRPr="006919A9">
        <w:t>EuroQoL</w:t>
      </w:r>
      <w:r w:rsidRPr="006919A9">
        <w:t xml:space="preserve"> 5 dimensions.</w:t>
      </w:r>
    </w:p>
    <w:p w14:paraId="41791D2C" w14:textId="6EB63729" w:rsidR="00B66D93" w:rsidRPr="006919A9" w:rsidRDefault="00B709E5" w:rsidP="006967AF">
      <w:pPr>
        <w:pStyle w:val="3-BodyText"/>
      </w:pPr>
      <w:r w:rsidRPr="006919A9">
        <w:fldChar w:fldCharType="begin" w:fldLock="1"/>
      </w:r>
      <w:r w:rsidRPr="006919A9">
        <w:instrText xml:space="preserve"> REF _Ref124197551 \h </w:instrText>
      </w:r>
      <w:r w:rsidRPr="006919A9">
        <w:fldChar w:fldCharType="separate"/>
      </w:r>
      <w:r w:rsidR="0067416F" w:rsidRPr="006919A9">
        <w:t xml:space="preserve">Figure </w:t>
      </w:r>
      <w:r w:rsidR="0067416F">
        <w:rPr>
          <w:noProof/>
        </w:rPr>
        <w:t>3</w:t>
      </w:r>
      <w:r w:rsidRPr="006919A9">
        <w:fldChar w:fldCharType="end"/>
      </w:r>
      <w:r w:rsidRPr="006919A9">
        <w:t xml:space="preserve"> presents the health state transition diagram in the Markov model</w:t>
      </w:r>
    </w:p>
    <w:p w14:paraId="3BE01D3A" w14:textId="25AE169E" w:rsidR="00B709E5" w:rsidRPr="006919A9" w:rsidRDefault="00B709E5" w:rsidP="004702D9">
      <w:pPr>
        <w:pStyle w:val="Caption"/>
        <w:jc w:val="left"/>
        <w:rPr>
          <w:rStyle w:val="CommentReference"/>
          <w:b/>
          <w:bCs w:val="0"/>
        </w:rPr>
      </w:pPr>
      <w:bookmarkStart w:id="45" w:name="_Ref124197551"/>
      <w:r w:rsidRPr="006919A9">
        <w:lastRenderedPageBreak/>
        <w:t xml:space="preserve">Figure </w:t>
      </w:r>
      <w:fldSimple w:instr=" SEQ Figure \* ARABIC " w:fldLock="1">
        <w:r w:rsidR="0067416F">
          <w:rPr>
            <w:noProof/>
          </w:rPr>
          <w:t>3</w:t>
        </w:r>
      </w:fldSimple>
      <w:bookmarkEnd w:id="45"/>
      <w:r w:rsidRPr="006919A9">
        <w:rPr>
          <w:rStyle w:val="CommentReference"/>
          <w:b/>
        </w:rPr>
        <w:t>: Health state transition diagram in the Markov model</w:t>
      </w:r>
    </w:p>
    <w:p w14:paraId="3F2C6B56" w14:textId="42277D6B" w:rsidR="00B709E5" w:rsidRPr="006919A9" w:rsidRDefault="00B709E5" w:rsidP="004702D9">
      <w:pPr>
        <w:keepNext/>
        <w:keepLines/>
        <w:jc w:val="left"/>
      </w:pPr>
      <w:r w:rsidRPr="006919A9">
        <w:rPr>
          <w:noProof/>
        </w:rPr>
        <w:drawing>
          <wp:inline distT="0" distB="0" distL="0" distR="0" wp14:anchorId="261E8E99" wp14:editId="76719887">
            <wp:extent cx="3932555" cy="2792095"/>
            <wp:effectExtent l="0" t="0" r="0" b="8255"/>
            <wp:docPr id="9" name="Picture 9" descr="Figure 3: Health state transition diagram in the Markov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Figure 3: Health state transition diagram in the Markov model"/>
                    <pic:cNvPicPr>
                      <a:picLocks noChangeAspect="1" noChangeArrowheads="1"/>
                    </pic:cNvPicPr>
                  </pic:nvPicPr>
                  <pic:blipFill>
                    <a:blip r:embed="rId10">
                      <a:extLst>
                        <a:ext uri="{28A0092B-C50C-407E-A947-70E740481C1C}">
                          <a14:useLocalDpi xmlns:a14="http://schemas.microsoft.com/office/drawing/2010/main"/>
                        </a:ext>
                      </a:extLst>
                    </a:blip>
                    <a:srcRect/>
                    <a:stretch>
                      <a:fillRect/>
                    </a:stretch>
                  </pic:blipFill>
                  <pic:spPr bwMode="auto">
                    <a:xfrm>
                      <a:off x="0" y="0"/>
                      <a:ext cx="3932555" cy="2792095"/>
                    </a:xfrm>
                    <a:prstGeom prst="rect">
                      <a:avLst/>
                    </a:prstGeom>
                    <a:noFill/>
                  </pic:spPr>
                </pic:pic>
              </a:graphicData>
            </a:graphic>
          </wp:inline>
        </w:drawing>
      </w:r>
    </w:p>
    <w:p w14:paraId="7B4AD515" w14:textId="70B788DB" w:rsidR="00AA43F3" w:rsidRPr="006919A9" w:rsidRDefault="005E5FC4" w:rsidP="00CA3EE2">
      <w:pPr>
        <w:keepNext/>
        <w:keepLines/>
        <w:spacing w:after="120"/>
        <w:rPr>
          <w:rFonts w:ascii="Arial Narrow" w:hAnsi="Arial Narrow"/>
          <w:sz w:val="18"/>
          <w:szCs w:val="18"/>
        </w:rPr>
      </w:pPr>
      <w:r w:rsidRPr="006919A9">
        <w:rPr>
          <w:rFonts w:ascii="Arial Narrow" w:hAnsi="Arial Narrow"/>
          <w:sz w:val="18"/>
          <w:szCs w:val="18"/>
        </w:rPr>
        <w:t>Source: Figure 3.2-2 (p97) of the submission</w:t>
      </w:r>
    </w:p>
    <w:p w14:paraId="308F03CE" w14:textId="7D31C75C" w:rsidR="005B71EA" w:rsidRPr="00652C95" w:rsidRDefault="004E1141" w:rsidP="00D44A60">
      <w:pPr>
        <w:pStyle w:val="3-BodyText"/>
      </w:pPr>
      <w:r w:rsidRPr="006919A9">
        <w:t xml:space="preserve">Transition probabilities from </w:t>
      </w:r>
      <w:r w:rsidR="004702D9">
        <w:t xml:space="preserve">the </w:t>
      </w:r>
      <w:r w:rsidRPr="006919A9">
        <w:t>event-free</w:t>
      </w:r>
      <w:r w:rsidR="009A451F" w:rsidRPr="006919A9">
        <w:t xml:space="preserve"> (EF)</w:t>
      </w:r>
      <w:r w:rsidRPr="006919A9">
        <w:t xml:space="preserve"> </w:t>
      </w:r>
      <w:r w:rsidR="004702D9">
        <w:t xml:space="preserve">state </w:t>
      </w:r>
      <w:r w:rsidRPr="006919A9">
        <w:t xml:space="preserve">were determined by </w:t>
      </w:r>
      <w:r w:rsidR="00905071" w:rsidRPr="006919A9">
        <w:t>the EFS KM curve</w:t>
      </w:r>
      <w:r w:rsidR="00B358AD" w:rsidRPr="006919A9">
        <w:t xml:space="preserve"> from KM-522</w:t>
      </w:r>
      <w:r w:rsidR="002A7A4D" w:rsidRPr="006919A9">
        <w:t xml:space="preserve"> based on the probability of EFS events over time</w:t>
      </w:r>
      <w:r w:rsidR="00A260C3" w:rsidRPr="006919A9">
        <w:t xml:space="preserve">, with a mix of observed and extrapolated </w:t>
      </w:r>
      <w:r w:rsidR="00F756D5" w:rsidRPr="006919A9">
        <w:t>results</w:t>
      </w:r>
      <w:r w:rsidR="00D17436" w:rsidRPr="006919A9">
        <w:t>.</w:t>
      </w:r>
      <w:r w:rsidR="00905071" w:rsidRPr="006919A9">
        <w:t xml:space="preserve"> </w:t>
      </w:r>
      <w:r w:rsidR="00741F6C" w:rsidRPr="006919A9">
        <w:t>The probability of transitioning from EF to local recurrence (LR), distant metastasis (DM) or death were analysed using the Gray’s method (J.P. and Gray R.J., 1999) considering competing risks</w:t>
      </w:r>
      <w:r w:rsidR="00151FD2">
        <w:t xml:space="preserve">. </w:t>
      </w:r>
      <w:r w:rsidR="005B71EA" w:rsidRPr="00652C95">
        <w:t>Transitions from the EFS state, as modelled by the EFS extrapolations, were a key driver of the model.</w:t>
      </w:r>
    </w:p>
    <w:p w14:paraId="2D794534" w14:textId="31512BBC" w:rsidR="004E1141" w:rsidRPr="00652C95" w:rsidRDefault="00D17436" w:rsidP="00D44A60">
      <w:pPr>
        <w:pStyle w:val="3-BodyText"/>
      </w:pPr>
      <w:r w:rsidRPr="006919A9">
        <w:t>The time to death from local recurrence (LR) and distant metastasis (DM)</w:t>
      </w:r>
      <w:r w:rsidR="002A7A4D" w:rsidRPr="006919A9">
        <w:t xml:space="preserve"> were also determined by patients who experienced LR and DM in KN</w:t>
      </w:r>
      <w:r w:rsidR="00D17783" w:rsidRPr="006919A9">
        <w:noBreakHyphen/>
      </w:r>
      <w:r w:rsidR="002A7A4D" w:rsidRPr="006919A9">
        <w:t xml:space="preserve">522. </w:t>
      </w:r>
      <w:r w:rsidR="00A773B4" w:rsidRPr="00652C95">
        <w:t xml:space="preserve">The model was not sensitive to changes in the transition from LR and DM to death. </w:t>
      </w:r>
    </w:p>
    <w:bookmarkStart w:id="46" w:name="_Ref127183862"/>
    <w:p w14:paraId="7A8CE3D1" w14:textId="3B57B2B0" w:rsidR="006967AF" w:rsidRPr="006919A9" w:rsidRDefault="00905071" w:rsidP="00CA3EE2">
      <w:pPr>
        <w:pStyle w:val="3-BodyText"/>
      </w:pPr>
      <w:r w:rsidRPr="006919A9">
        <w:fldChar w:fldCharType="begin" w:fldLock="1"/>
      </w:r>
      <w:r w:rsidRPr="006919A9">
        <w:instrText xml:space="preserve"> REF _Ref124197691 \h  \* MERGEFORMAT </w:instrText>
      </w:r>
      <w:r w:rsidRPr="006919A9">
        <w:fldChar w:fldCharType="separate"/>
      </w:r>
      <w:r w:rsidR="0067416F" w:rsidRPr="0067416F">
        <w:t>Figure 4</w:t>
      </w:r>
      <w:r w:rsidRPr="006919A9">
        <w:fldChar w:fldCharType="end"/>
      </w:r>
      <w:r w:rsidRPr="006919A9">
        <w:t xml:space="preserve"> </w:t>
      </w:r>
      <w:r w:rsidR="00B8656B" w:rsidRPr="006919A9">
        <w:t xml:space="preserve">presents the extrapolations tested in the submission. </w:t>
      </w:r>
      <w:r w:rsidR="00CE6B75">
        <w:t xml:space="preserve">The submission stated that the curves </w:t>
      </w:r>
      <w:r w:rsidR="00CE6B75" w:rsidRPr="005B71EA">
        <w:t xml:space="preserve">were modelled independently </w:t>
      </w:r>
      <w:r w:rsidR="00CE6B75">
        <w:t>based on the</w:t>
      </w:r>
      <w:r w:rsidR="00CE6B75" w:rsidRPr="005B71EA">
        <w:t xml:space="preserve"> distinct </w:t>
      </w:r>
      <w:r w:rsidR="00CE6B75">
        <w:t xml:space="preserve">nature of the different </w:t>
      </w:r>
      <w:r w:rsidR="00CE6B75" w:rsidRPr="00F756C7">
        <w:t>treatments and the PSCR noted that log-cumulative hazard plots showed that the proportional hazard assumption was violated and therefore it was reasonable to model them independently.</w:t>
      </w:r>
      <w:r w:rsidR="00CE6B75">
        <w:t xml:space="preserve"> </w:t>
      </w:r>
      <w:r w:rsidR="00A260C3" w:rsidRPr="006919A9">
        <w:t>T</w:t>
      </w:r>
      <w:r w:rsidR="00B8656B" w:rsidRPr="006919A9">
        <w:t xml:space="preserve">he base case used generalised gamma extrapolations in both arms. </w:t>
      </w:r>
      <w:r w:rsidR="0009515A" w:rsidRPr="006919A9">
        <w:t xml:space="preserve">The submission stated that for the pembrolizumab </w:t>
      </w:r>
      <w:r w:rsidR="00FA4B16">
        <w:t>+</w:t>
      </w:r>
      <w:r w:rsidR="00FA4B16" w:rsidRPr="006919A9">
        <w:t xml:space="preserve"> </w:t>
      </w:r>
      <w:r w:rsidR="0009515A" w:rsidRPr="006919A9">
        <w:t>chemotherapy arm this provided the best Akaike information criterion (AIC) and Bayesian information criterion (BIC) statistics, and in the chemotherapy arm it had the best AIC and second-best BIC (to the log-normal).</w:t>
      </w:r>
      <w:r w:rsidR="0009515A">
        <w:t xml:space="preserve"> </w:t>
      </w:r>
      <w:r w:rsidR="0009515A" w:rsidRPr="00652C95">
        <w:t>As illustrated</w:t>
      </w:r>
      <w:r w:rsidR="0009515A">
        <w:t xml:space="preserve"> in </w:t>
      </w:r>
      <w:r w:rsidR="00CE6B75" w:rsidRPr="00CE6B75">
        <w:fldChar w:fldCharType="begin" w:fldLock="1"/>
      </w:r>
      <w:r w:rsidR="00CE6B75" w:rsidRPr="00CE6B75">
        <w:instrText xml:space="preserve"> REF _Ref124197691 \h  \* MERGEFORMAT </w:instrText>
      </w:r>
      <w:r w:rsidR="00CE6B75" w:rsidRPr="00CE6B75">
        <w:fldChar w:fldCharType="separate"/>
      </w:r>
      <w:r w:rsidR="0067416F" w:rsidRPr="0067416F">
        <w:t>Figure 4</w:t>
      </w:r>
      <w:r w:rsidR="00CE6B75" w:rsidRPr="00CE6B75">
        <w:fldChar w:fldCharType="end"/>
      </w:r>
      <w:r w:rsidR="0009515A" w:rsidRPr="00CE6B75">
        <w:t>,</w:t>
      </w:r>
      <w:r w:rsidR="0009515A" w:rsidRPr="00652C95">
        <w:t xml:space="preserve"> there was a large degree of uncertainty regarding the long term EFS extrapolation</w:t>
      </w:r>
      <w:r w:rsidR="00CE6B75">
        <w:t xml:space="preserve"> </w:t>
      </w:r>
      <w:r w:rsidR="00CE6B75" w:rsidRPr="00F756C7">
        <w:t>and a substantial amount of variation in incremental EFS depending on the function chose</w:t>
      </w:r>
      <w:r w:rsidR="00DA022D" w:rsidRPr="00F756C7">
        <w:t>n</w:t>
      </w:r>
      <w:r w:rsidR="0009515A" w:rsidRPr="00652C95">
        <w:t>. The generalised gamma function was among the most optimistic extrapolations for both treatment arms.</w:t>
      </w:r>
      <w:bookmarkEnd w:id="46"/>
      <w:r w:rsidR="00B832BF" w:rsidRPr="00B832BF">
        <w:t xml:space="preserve"> </w:t>
      </w:r>
      <w:r w:rsidR="00B832BF">
        <w:t>T</w:t>
      </w:r>
      <w:r w:rsidR="00B832BF" w:rsidRPr="00F756C7">
        <w:t>he ESC questioned whether it was reasonable to expect that 60% of patients with TNBC diagnosed at ~51 years would be alive at 81 years, or similarly, 40% of TNBC patients treated with chemotherapy.</w:t>
      </w:r>
    </w:p>
    <w:p w14:paraId="39CF757D" w14:textId="5084C04A" w:rsidR="00B8656B" w:rsidRPr="006919A9" w:rsidRDefault="00B8656B" w:rsidP="004702D9">
      <w:pPr>
        <w:pStyle w:val="TableFigureHeading"/>
      </w:pPr>
      <w:bookmarkStart w:id="47" w:name="_Ref124197691"/>
      <w:r w:rsidRPr="006919A9">
        <w:rPr>
          <w:rStyle w:val="CommentReference"/>
          <w:b/>
          <w:szCs w:val="24"/>
        </w:rPr>
        <w:lastRenderedPageBreak/>
        <w:t xml:space="preserve">Figure </w:t>
      </w:r>
      <w:r w:rsidRPr="006919A9">
        <w:rPr>
          <w:rStyle w:val="CommentReference"/>
          <w:b/>
          <w:szCs w:val="24"/>
        </w:rPr>
        <w:fldChar w:fldCharType="begin" w:fldLock="1"/>
      </w:r>
      <w:r w:rsidRPr="006919A9">
        <w:rPr>
          <w:rStyle w:val="CommentReference"/>
          <w:b/>
          <w:szCs w:val="24"/>
        </w:rPr>
        <w:instrText xml:space="preserve"> SEQ Figure \* ARABIC </w:instrText>
      </w:r>
      <w:r w:rsidRPr="006919A9">
        <w:rPr>
          <w:rStyle w:val="CommentReference"/>
          <w:b/>
          <w:szCs w:val="24"/>
        </w:rPr>
        <w:fldChar w:fldCharType="separate"/>
      </w:r>
      <w:r w:rsidR="0067416F">
        <w:rPr>
          <w:rStyle w:val="CommentReference"/>
          <w:b/>
          <w:noProof/>
          <w:szCs w:val="24"/>
        </w:rPr>
        <w:t>4</w:t>
      </w:r>
      <w:r w:rsidRPr="006919A9">
        <w:rPr>
          <w:rStyle w:val="CommentReference"/>
          <w:b/>
          <w:szCs w:val="24"/>
        </w:rPr>
        <w:fldChar w:fldCharType="end"/>
      </w:r>
      <w:bookmarkEnd w:id="47"/>
      <w:r w:rsidRPr="006919A9">
        <w:t xml:space="preserve">: Event-free survival one-piece parametric survival curves for pembrolizumab vs. chemotherapy (0 axis, </w:t>
      </w:r>
      <w:r w:rsidR="00D875C9" w:rsidRPr="006919A9">
        <w:t>30-year</w:t>
      </w:r>
      <w:r w:rsidRPr="006919A9">
        <w:t xml:space="preserve"> time horizon)</w:t>
      </w:r>
    </w:p>
    <w:p w14:paraId="66DB1187" w14:textId="3C489E76" w:rsidR="00B8656B" w:rsidRPr="006919A9" w:rsidRDefault="005838B0" w:rsidP="00B8656B">
      <w:pPr>
        <w:rPr>
          <w:i/>
          <w:iCs/>
        </w:rPr>
      </w:pPr>
      <w:r w:rsidRPr="006919A9">
        <w:rPr>
          <w:i/>
          <w:iCs/>
          <w:noProof/>
        </w:rPr>
        <w:drawing>
          <wp:inline distT="0" distB="0" distL="0" distR="0" wp14:anchorId="10693971" wp14:editId="2E6EEE45">
            <wp:extent cx="5649595" cy="4122420"/>
            <wp:effectExtent l="0" t="0" r="8255" b="0"/>
            <wp:docPr id="16" name="Picture 16" descr="Figure 4: Event-free survival one-piece parametric survival curves for pembrolizumab vs. chemotherapy (0 axis, 30-year time horiz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Figure 4: Event-free survival one-piece parametric survival curves for pembrolizumab vs. chemotherapy (0 axis, 30-year time horizon)"/>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5650715" cy="4123237"/>
                    </a:xfrm>
                    <a:prstGeom prst="rect">
                      <a:avLst/>
                    </a:prstGeom>
                    <a:noFill/>
                  </pic:spPr>
                </pic:pic>
              </a:graphicData>
            </a:graphic>
          </wp:inline>
        </w:drawing>
      </w:r>
    </w:p>
    <w:p w14:paraId="7D3C4F11" w14:textId="77777777" w:rsidR="00B8656B" w:rsidRPr="006919A9" w:rsidRDefault="00B8656B" w:rsidP="00B8656B">
      <w:pPr>
        <w:pStyle w:val="FooterTableFigure"/>
      </w:pPr>
      <w:r w:rsidRPr="006919A9">
        <w:t>Source: ‘EFS extrapolation’ worksheet of ‘eTNBC Section 3 workbook.xlsx’</w:t>
      </w:r>
    </w:p>
    <w:p w14:paraId="7C2B39E2" w14:textId="3B6371B0" w:rsidR="00B8656B" w:rsidRPr="006919A9" w:rsidRDefault="00BE6E58" w:rsidP="00F800B6">
      <w:pPr>
        <w:pStyle w:val="FooterTableFigure"/>
      </w:pPr>
      <w:r w:rsidRPr="006919A9">
        <w:t xml:space="preserve">Chemo = chemotherapy; </w:t>
      </w:r>
      <w:r w:rsidR="00B8656B" w:rsidRPr="006919A9">
        <w:t>KM = Kaplan Meier;</w:t>
      </w:r>
      <w:r w:rsidRPr="006919A9">
        <w:t xml:space="preserve"> pembro = pembrolizumab</w:t>
      </w:r>
    </w:p>
    <w:p w14:paraId="1EC7F4EA" w14:textId="0BD6CF73" w:rsidR="004A6D93" w:rsidRPr="006919A9" w:rsidRDefault="009A451F" w:rsidP="006967AF">
      <w:pPr>
        <w:pStyle w:val="3-BodyText"/>
      </w:pPr>
      <w:r w:rsidRPr="006919A9">
        <w:t xml:space="preserve">OS </w:t>
      </w:r>
      <w:r w:rsidR="00FE4F5F" w:rsidRPr="006919A9">
        <w:t xml:space="preserve">was estimated as the sum of time spent in the EF, </w:t>
      </w:r>
      <w:r w:rsidRPr="006919A9">
        <w:t xml:space="preserve">LR </w:t>
      </w:r>
      <w:r w:rsidR="00FE4F5F" w:rsidRPr="006919A9">
        <w:t xml:space="preserve">and </w:t>
      </w:r>
      <w:r w:rsidRPr="006919A9">
        <w:t xml:space="preserve">DM </w:t>
      </w:r>
      <w:r w:rsidR="00FE4F5F" w:rsidRPr="006919A9">
        <w:t>states</w:t>
      </w:r>
      <w:r w:rsidR="006967AF" w:rsidRPr="006919A9">
        <w:t xml:space="preserve">. The submission compared the resulting OS curves with </w:t>
      </w:r>
      <w:r w:rsidR="004A6D93" w:rsidRPr="006919A9">
        <w:t xml:space="preserve">two </w:t>
      </w:r>
      <w:r w:rsidR="006967AF" w:rsidRPr="006919A9">
        <w:t>external studies</w:t>
      </w:r>
      <w:r w:rsidR="001B072F">
        <w:t xml:space="preserve"> as shown in </w:t>
      </w:r>
      <w:r w:rsidR="001B072F" w:rsidRPr="006919A9">
        <w:fldChar w:fldCharType="begin" w:fldLock="1"/>
      </w:r>
      <w:r w:rsidR="001B072F" w:rsidRPr="006919A9">
        <w:instrText xml:space="preserve"> REF _Ref123981220 \h  \* MERGEFORMAT </w:instrText>
      </w:r>
      <w:r w:rsidR="001B072F" w:rsidRPr="006919A9">
        <w:fldChar w:fldCharType="separate"/>
      </w:r>
      <w:r w:rsidR="0067416F" w:rsidRPr="0067416F">
        <w:t>Figure 5</w:t>
      </w:r>
      <w:r w:rsidR="001B072F" w:rsidRPr="006919A9">
        <w:fldChar w:fldCharType="end"/>
      </w:r>
      <w:r w:rsidR="004A6D93" w:rsidRPr="006919A9">
        <w:t>:</w:t>
      </w:r>
    </w:p>
    <w:p w14:paraId="7085B9AB" w14:textId="4EFEF3D4" w:rsidR="004A6D93" w:rsidRPr="006919A9" w:rsidRDefault="006967AF" w:rsidP="00AA43F3">
      <w:pPr>
        <w:pStyle w:val="3-BodyText"/>
        <w:numPr>
          <w:ilvl w:val="0"/>
          <w:numId w:val="11"/>
        </w:numPr>
        <w:ind w:left="1080"/>
      </w:pPr>
      <w:r w:rsidRPr="006919A9">
        <w:t>Walsh (2019)</w:t>
      </w:r>
      <w:r w:rsidR="004A6D93" w:rsidRPr="006919A9">
        <w:t>,</w:t>
      </w:r>
      <w:r w:rsidRPr="006919A9">
        <w:t xml:space="preserve"> a retrospective study of patients diagnosed with TNBC between January 2000 and December 2015, with a median follow-up of 30 months. The study was conducted in Ireland where, the submission considered, neoadjuvant therapy is consistent with current standard of care in Australia</w:t>
      </w:r>
      <w:r w:rsidR="004A6D93" w:rsidRPr="006919A9">
        <w:t>; and</w:t>
      </w:r>
    </w:p>
    <w:p w14:paraId="33236A40" w14:textId="218FBBFD" w:rsidR="004A6D93" w:rsidRPr="006919A9" w:rsidRDefault="006967AF" w:rsidP="00AA43F3">
      <w:pPr>
        <w:pStyle w:val="3-BodyText"/>
        <w:numPr>
          <w:ilvl w:val="0"/>
          <w:numId w:val="11"/>
        </w:numPr>
        <w:ind w:left="1080"/>
      </w:pPr>
      <w:proofErr w:type="spellStart"/>
      <w:r w:rsidRPr="006919A9">
        <w:t>Sikov</w:t>
      </w:r>
      <w:proofErr w:type="spellEnd"/>
      <w:r w:rsidRPr="006919A9">
        <w:t xml:space="preserve"> (2019) (CALGB 40603)</w:t>
      </w:r>
      <w:r w:rsidR="004A6D93" w:rsidRPr="006919A9">
        <w:t>,</w:t>
      </w:r>
      <w:r w:rsidRPr="006919A9">
        <w:t xml:space="preserve"> a randomised, open-label phase II trial conducted in the United States of 443 patients with stage II or III TNBC designed to examine the impact of adding carboplatin and/or bevacizumab to conventional neoadjuvant chemotherapy. </w:t>
      </w:r>
    </w:p>
    <w:p w14:paraId="1D00D78E" w14:textId="6EA460D3" w:rsidR="006967AF" w:rsidRPr="00652C95" w:rsidRDefault="006967AF" w:rsidP="003C4BDD">
      <w:pPr>
        <w:pStyle w:val="3-BodyText"/>
        <w:numPr>
          <w:ilvl w:val="0"/>
          <w:numId w:val="0"/>
        </w:numPr>
        <w:ind w:left="720"/>
      </w:pPr>
      <w:r w:rsidRPr="00652C95">
        <w:t xml:space="preserve">It was unclear whether treatment options and outcomes in these studies in Ireland and the US would be reflective of the Australian setting. </w:t>
      </w:r>
    </w:p>
    <w:p w14:paraId="733799E9" w14:textId="71F1927F" w:rsidR="00FE4F5F" w:rsidRPr="006919A9" w:rsidRDefault="00266BA6" w:rsidP="00FE4F5F">
      <w:pPr>
        <w:pStyle w:val="3-BodyText"/>
      </w:pPr>
      <w:r w:rsidRPr="00652C95">
        <w:t xml:space="preserve">The OS KM </w:t>
      </w:r>
      <w:r w:rsidR="00906876" w:rsidRPr="00652C95">
        <w:t xml:space="preserve">for the chemotherapy arm </w:t>
      </w:r>
      <w:r w:rsidRPr="00652C95">
        <w:t xml:space="preserve">in KN-522 sat above the OS reported in the external literature, which raises questions as to the value of this external validation. </w:t>
      </w:r>
      <w:r w:rsidR="00452AE6" w:rsidRPr="00652C95">
        <w:t xml:space="preserve">Nonetheless, </w:t>
      </w:r>
      <w:r w:rsidR="00E5725F" w:rsidRPr="00652C95">
        <w:t>this validation suggested that the OS</w:t>
      </w:r>
      <w:r w:rsidR="00846072" w:rsidRPr="00652C95">
        <w:t xml:space="preserve"> in both arms </w:t>
      </w:r>
      <w:r w:rsidR="00D20885" w:rsidRPr="00652C95">
        <w:t xml:space="preserve">of </w:t>
      </w:r>
      <w:r w:rsidR="00E5725F" w:rsidRPr="00652C95">
        <w:t xml:space="preserve">the economic </w:t>
      </w:r>
      <w:r w:rsidR="00E5725F" w:rsidRPr="00652C95">
        <w:lastRenderedPageBreak/>
        <w:t>model may be overestimated, which</w:t>
      </w:r>
      <w:r w:rsidR="0083335D" w:rsidRPr="00652C95">
        <w:t xml:space="preserve"> was consistent with the fact that more optimistic extrapolations were chosen for both </w:t>
      </w:r>
      <w:r w:rsidR="00FA4B16">
        <w:t xml:space="preserve">treatment </w:t>
      </w:r>
      <w:r w:rsidR="0083335D" w:rsidRPr="00652C95">
        <w:t xml:space="preserve">arms (see </w:t>
      </w:r>
      <w:r w:rsidR="0083335D" w:rsidRPr="00652C95">
        <w:fldChar w:fldCharType="begin" w:fldLock="1"/>
      </w:r>
      <w:r w:rsidR="0083335D" w:rsidRPr="00652C95">
        <w:instrText xml:space="preserve"> REF _Ref124197691 \h  \* MERGEFORMAT </w:instrText>
      </w:r>
      <w:r w:rsidR="0083335D" w:rsidRPr="00652C95">
        <w:fldChar w:fldCharType="separate"/>
      </w:r>
      <w:r w:rsidR="0067416F" w:rsidRPr="0067416F">
        <w:t>Figure 4</w:t>
      </w:r>
      <w:r w:rsidR="0083335D" w:rsidRPr="00652C95">
        <w:fldChar w:fldCharType="end"/>
      </w:r>
      <w:r w:rsidR="0083335D" w:rsidRPr="00652C95">
        <w:t>)</w:t>
      </w:r>
      <w:r w:rsidR="00190185" w:rsidRPr="00652C95">
        <w:t>.</w:t>
      </w:r>
      <w:r w:rsidR="00906876" w:rsidRPr="00652C95">
        <w:t xml:space="preserve"> </w:t>
      </w:r>
    </w:p>
    <w:p w14:paraId="7630E5D5" w14:textId="7D00B579" w:rsidR="00FE4F5F" w:rsidRPr="006919A9" w:rsidRDefault="00FE4F5F" w:rsidP="00AC62F8">
      <w:pPr>
        <w:pStyle w:val="TableFigureHeading"/>
      </w:pPr>
      <w:bookmarkStart w:id="48" w:name="_Ref123981220"/>
      <w:r w:rsidRPr="006919A9">
        <w:rPr>
          <w:rStyle w:val="CommentReference"/>
          <w:b/>
          <w:szCs w:val="24"/>
        </w:rPr>
        <w:t xml:space="preserve">Figure </w:t>
      </w:r>
      <w:r w:rsidRPr="006919A9">
        <w:rPr>
          <w:rStyle w:val="CommentReference"/>
          <w:b/>
          <w:szCs w:val="24"/>
        </w:rPr>
        <w:fldChar w:fldCharType="begin" w:fldLock="1"/>
      </w:r>
      <w:r w:rsidRPr="006919A9">
        <w:rPr>
          <w:rStyle w:val="CommentReference"/>
          <w:b/>
          <w:szCs w:val="24"/>
        </w:rPr>
        <w:instrText xml:space="preserve"> SEQ Figure \* ARABIC </w:instrText>
      </w:r>
      <w:r w:rsidRPr="006919A9">
        <w:rPr>
          <w:rStyle w:val="CommentReference"/>
          <w:b/>
          <w:szCs w:val="24"/>
        </w:rPr>
        <w:fldChar w:fldCharType="separate"/>
      </w:r>
      <w:r w:rsidR="0067416F">
        <w:rPr>
          <w:rStyle w:val="CommentReference"/>
          <w:b/>
          <w:noProof/>
          <w:szCs w:val="24"/>
        </w:rPr>
        <w:t>5</w:t>
      </w:r>
      <w:r w:rsidRPr="006919A9">
        <w:rPr>
          <w:rStyle w:val="CommentReference"/>
          <w:b/>
          <w:szCs w:val="24"/>
        </w:rPr>
        <w:fldChar w:fldCharType="end"/>
      </w:r>
      <w:bookmarkEnd w:id="48"/>
      <w:r w:rsidRPr="006919A9">
        <w:t>: Overall survival external validation</w:t>
      </w:r>
    </w:p>
    <w:p w14:paraId="4CEE01E8" w14:textId="77777777" w:rsidR="00FE4F5F" w:rsidRPr="006919A9" w:rsidRDefault="00FE4F5F" w:rsidP="00FE4F5F">
      <w:r w:rsidRPr="006919A9">
        <w:rPr>
          <w:noProof/>
        </w:rPr>
        <w:drawing>
          <wp:inline distT="0" distB="0" distL="0" distR="0" wp14:anchorId="6A259DA8" wp14:editId="03AB8EFD">
            <wp:extent cx="5732145" cy="3403211"/>
            <wp:effectExtent l="19050" t="19050" r="20955" b="26035"/>
            <wp:docPr id="14" name="Picture 14" descr="Figure 5: Overall survival external vali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Figure 5: Overall survival external validation"/>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5732145" cy="3403211"/>
                    </a:xfrm>
                    <a:prstGeom prst="rect">
                      <a:avLst/>
                    </a:prstGeom>
                    <a:noFill/>
                    <a:ln>
                      <a:solidFill>
                        <a:schemeClr val="tx1"/>
                      </a:solidFill>
                    </a:ln>
                  </pic:spPr>
                </pic:pic>
              </a:graphicData>
            </a:graphic>
          </wp:inline>
        </w:drawing>
      </w:r>
    </w:p>
    <w:p w14:paraId="4E0B3939" w14:textId="4ACF0479" w:rsidR="006C4E75" w:rsidRDefault="00FE4F5F" w:rsidP="00AC62F8">
      <w:pPr>
        <w:pStyle w:val="FooterTableFigure"/>
        <w:jc w:val="left"/>
      </w:pPr>
      <w:r w:rsidRPr="006919A9">
        <w:t>Source: Figure 3.7-11, p142 of the submission.</w:t>
      </w:r>
    </w:p>
    <w:p w14:paraId="6F1E86F1" w14:textId="618C4BB7" w:rsidR="008A0084" w:rsidRPr="006919A9" w:rsidRDefault="00CB7903" w:rsidP="006C4E75">
      <w:pPr>
        <w:pStyle w:val="3-BodyText"/>
      </w:pPr>
      <w:bookmarkStart w:id="49" w:name="_Ref127183115"/>
      <w:r w:rsidRPr="006919A9">
        <w:t>The economic evaluation used a 30-year time-horizon. The submission justified this time horizon based on</w:t>
      </w:r>
      <w:r w:rsidR="00561C8A">
        <w:t>:</w:t>
      </w:r>
      <w:r w:rsidRPr="006919A9">
        <w:t xml:space="preserve"> the curative intent of pembrolizumab, the claimed effectiveness of pembrolizumab based on KN-522 median follow-up of over </w:t>
      </w:r>
      <w:r w:rsidR="00846072">
        <w:t>3</w:t>
      </w:r>
      <w:r w:rsidR="00846072" w:rsidRPr="006919A9">
        <w:t xml:space="preserve"> </w:t>
      </w:r>
      <w:r w:rsidRPr="006919A9">
        <w:t xml:space="preserve">years, the listing of </w:t>
      </w:r>
      <w:r w:rsidR="00252B6B" w:rsidRPr="006919A9">
        <w:t>s</w:t>
      </w:r>
      <w:r w:rsidRPr="006919A9">
        <w:t xml:space="preserve">acituzumab </w:t>
      </w:r>
      <w:r w:rsidR="00252B6B" w:rsidRPr="006919A9">
        <w:t xml:space="preserve">govitecan </w:t>
      </w:r>
      <w:r w:rsidRPr="006919A9">
        <w:t xml:space="preserve">extending OS for TNBC patients, the younger median age of TNBC patients </w:t>
      </w:r>
      <w:r w:rsidR="00241B75" w:rsidRPr="006919A9">
        <w:t xml:space="preserve">(49 years in KN-522, </w:t>
      </w:r>
      <w:r w:rsidR="00241B75" w:rsidRPr="006C4E75">
        <w:t>55 years in Naher (2018)</w:t>
      </w:r>
      <w:r w:rsidR="00241B75" w:rsidRPr="00DA022D">
        <w:rPr>
          <w:vertAlign w:val="superscript"/>
        </w:rPr>
        <w:footnoteReference w:id="5"/>
      </w:r>
      <w:r w:rsidR="00241B75" w:rsidRPr="006919A9">
        <w:t xml:space="preserve">) </w:t>
      </w:r>
      <w:r w:rsidRPr="006919A9">
        <w:t xml:space="preserve">compared to HER+2 </w:t>
      </w:r>
      <w:r w:rsidR="00241B75" w:rsidRPr="006919A9">
        <w:t xml:space="preserve">breast cancer </w:t>
      </w:r>
      <w:r w:rsidRPr="006919A9">
        <w:t xml:space="preserve">patients (58.5 years, Table 11 of trastuzumab emtansine November 2019 </w:t>
      </w:r>
      <w:r w:rsidR="0088025F">
        <w:t>Public Summary Document (</w:t>
      </w:r>
      <w:r w:rsidRPr="006919A9">
        <w:t>PSD)</w:t>
      </w:r>
      <w:r w:rsidR="0088025F">
        <w:t>)</w:t>
      </w:r>
      <w:r w:rsidRPr="006919A9">
        <w:t xml:space="preserve"> and overall early breast cancer (61.4 years, para. 7.11 abemaciclib March 2022 PSD), and that </w:t>
      </w:r>
      <w:r w:rsidR="006135F9" w:rsidRPr="006919A9">
        <w:t>longer</w:t>
      </w:r>
      <w:r w:rsidRPr="006919A9">
        <w:t xml:space="preserve"> time horizons have been adopted by other HTA agencies (51 years for CADTH).</w:t>
      </w:r>
      <w:r w:rsidR="00FD7961" w:rsidRPr="006919A9">
        <w:t xml:space="preserve"> </w:t>
      </w:r>
      <w:r w:rsidR="00FF0984">
        <w:t>The commentary</w:t>
      </w:r>
      <w:r w:rsidR="00FD7961" w:rsidRPr="00652C95">
        <w:t xml:space="preserve"> noted that the CADTH model estimated a smaller incremental quality adjusted life year (QALY) gain </w:t>
      </w:r>
      <w:r w:rsidR="004F290B" w:rsidRPr="00652C95">
        <w:t>compared to the submission’s model</w:t>
      </w:r>
      <w:r w:rsidR="00144FFC" w:rsidRPr="00652C95">
        <w:t xml:space="preserve"> </w:t>
      </w:r>
      <w:r w:rsidR="004F290B" w:rsidRPr="00652C95">
        <w:t>despite having a longer time horizon.</w:t>
      </w:r>
      <w:bookmarkEnd w:id="49"/>
      <w:r w:rsidR="004F290B" w:rsidRPr="006C4E75">
        <w:t xml:space="preserve"> </w:t>
      </w:r>
    </w:p>
    <w:p w14:paraId="38F3F895" w14:textId="21FFC6BA" w:rsidR="00CB7903" w:rsidRPr="00C73F38" w:rsidRDefault="00C73F38" w:rsidP="00C73F38">
      <w:pPr>
        <w:widowControl w:val="0"/>
        <w:numPr>
          <w:ilvl w:val="1"/>
          <w:numId w:val="1"/>
        </w:numPr>
        <w:spacing w:after="120"/>
        <w:rPr>
          <w:rFonts w:asciiTheme="minorHAnsi" w:hAnsiTheme="minorHAnsi"/>
          <w:snapToGrid w:val="0"/>
          <w:lang w:val="en-GB"/>
        </w:rPr>
      </w:pPr>
      <w:bookmarkStart w:id="50" w:name="_Ref132352117"/>
      <w:r w:rsidRPr="00F756C7">
        <w:t xml:space="preserve">The ESC noted that patients with TNBC are often diagnosed at a young age and considered that the patient age from KN-522 is likely to be applicable to the Australian setting. </w:t>
      </w:r>
      <w:bookmarkStart w:id="51" w:name="_Ref124706862"/>
      <w:r w:rsidR="007A75EC" w:rsidRPr="00652C95">
        <w:t>I</w:t>
      </w:r>
      <w:r w:rsidR="00CB7903" w:rsidRPr="00652C95">
        <w:t xml:space="preserve">n </w:t>
      </w:r>
      <w:r w:rsidR="00D46A34" w:rsidRPr="00652C95">
        <w:t xml:space="preserve">its </w:t>
      </w:r>
      <w:r w:rsidR="007A75EC" w:rsidRPr="00652C95">
        <w:t>consideration of trastuzumab emtansine (</w:t>
      </w:r>
      <w:r w:rsidR="00CB7903" w:rsidRPr="00652C95">
        <w:t>T-DM1</w:t>
      </w:r>
      <w:r w:rsidR="007A75EC" w:rsidRPr="00652C95">
        <w:t xml:space="preserve">) in early HER2+ breast cancer </w:t>
      </w:r>
      <w:r>
        <w:t xml:space="preserve">the </w:t>
      </w:r>
      <w:r w:rsidR="00CB7903" w:rsidRPr="00652C95">
        <w:t xml:space="preserve">PBAC considered that greater confidence in establishing cost-effectiveness </w:t>
      </w:r>
      <w:r w:rsidR="00CB7903" w:rsidRPr="00652C95">
        <w:lastRenderedPageBreak/>
        <w:t>would be derived by limiting the time horizon to 20 years (paragraph 6.36, trastuzumab emtansine</w:t>
      </w:r>
      <w:r w:rsidR="00096F11">
        <w:t xml:space="preserve"> </w:t>
      </w:r>
      <w:r w:rsidR="00D46A34" w:rsidRPr="00652C95">
        <w:t>PSD</w:t>
      </w:r>
      <w:r w:rsidR="00CB7903" w:rsidRPr="00652C95">
        <w:t xml:space="preserve">, November 2019 PBAC meeting). </w:t>
      </w:r>
      <w:r>
        <w:t xml:space="preserve">The PBAC noted that the use of a 30-year time horizon introduced additional uncertainty into the modelled outcomes but considered that this </w:t>
      </w:r>
      <w:r w:rsidR="00FF0984">
        <w:t xml:space="preserve">time horizon </w:t>
      </w:r>
      <w:r>
        <w:t>was reasonable, as patients with eTNBC are typically younger.</w:t>
      </w:r>
      <w:bookmarkEnd w:id="50"/>
      <w:r>
        <w:t xml:space="preserve"> </w:t>
      </w:r>
      <w:bookmarkEnd w:id="51"/>
    </w:p>
    <w:p w14:paraId="47C5FE77" w14:textId="146D0D32" w:rsidR="001B072F" w:rsidRPr="00F756C7" w:rsidRDefault="001B072F" w:rsidP="004073FF">
      <w:pPr>
        <w:pStyle w:val="3-BodyText"/>
      </w:pPr>
      <w:r w:rsidRPr="00F756C7">
        <w:t>The ESC considered that the utility values from the KN-522 trial appeared reasonable and were relatively consistent with values used in other eBC submissions.</w:t>
      </w:r>
    </w:p>
    <w:p w14:paraId="1481C726" w14:textId="26508809" w:rsidR="001D6744" w:rsidRPr="00652C95" w:rsidRDefault="00C12A65" w:rsidP="004073FF">
      <w:pPr>
        <w:pStyle w:val="3-BodyText"/>
      </w:pPr>
      <w:r>
        <w:t>T</w:t>
      </w:r>
      <w:r w:rsidR="009D2A8D" w:rsidRPr="00652C95">
        <w:t>he submission claimed that s</w:t>
      </w:r>
      <w:r w:rsidR="001D6744" w:rsidRPr="00652C95">
        <w:t xml:space="preserve">ubsequent therapy costs for LR and DM were </w:t>
      </w:r>
      <w:r w:rsidR="009D2A8D" w:rsidRPr="00652C95">
        <w:t xml:space="preserve">derived from usage in KN-522. This could not be verified as subsequent usage of anticancer medications in KN-522 was not presented. </w:t>
      </w:r>
      <w:r w:rsidR="006C4E75" w:rsidRPr="00F756C7">
        <w:t xml:space="preserve">The PSCR noted that </w:t>
      </w:r>
      <w:r w:rsidR="00A44329" w:rsidRPr="00F756C7">
        <w:t>this data could not be provided as publication of this data could pose a risk to the integrity of the ongoing study.</w:t>
      </w:r>
      <w:r w:rsidR="007F14F7" w:rsidRPr="00F756C7">
        <w:t xml:space="preserve"> The ESC noted that subsequent therapy utilisation therefore remained unverified.</w:t>
      </w:r>
    </w:p>
    <w:p w14:paraId="00F5E5AF" w14:textId="01612F53" w:rsidR="00B21BDD" w:rsidRPr="00F756C7" w:rsidRDefault="00FF0984" w:rsidP="00B21BDD">
      <w:pPr>
        <w:pStyle w:val="3-BodyText"/>
      </w:pPr>
      <w:bookmarkStart w:id="52" w:name="_Ref124706961"/>
      <w:bookmarkStart w:id="53" w:name="_Ref127183383"/>
      <w:r>
        <w:t>T</w:t>
      </w:r>
      <w:r w:rsidR="00B21BDD" w:rsidRPr="00652C95">
        <w:t xml:space="preserve">he terminal care cost assumed </w:t>
      </w:r>
      <w:r w:rsidR="00B64DED" w:rsidRPr="00652C95">
        <w:t xml:space="preserve">in DM patients who die </w:t>
      </w:r>
      <w:r w:rsidR="00B21BDD" w:rsidRPr="00652C95">
        <w:t xml:space="preserve">in the model ($31,638.76, based on Reeve (2017)) may be overestimated. In </w:t>
      </w:r>
      <w:r w:rsidR="00AC62F8" w:rsidRPr="00652C95">
        <w:t xml:space="preserve">its </w:t>
      </w:r>
      <w:r w:rsidR="00B21BDD" w:rsidRPr="00652C95">
        <w:t xml:space="preserve">consideration of sacituzumab </w:t>
      </w:r>
      <w:r w:rsidR="00C875F9" w:rsidRPr="00652C95">
        <w:t>govitecan</w:t>
      </w:r>
      <w:r w:rsidR="00B21BDD" w:rsidRPr="00652C95">
        <w:t xml:space="preserve"> at the March 2022 PBAC meeting, the PBAC noted that </w:t>
      </w:r>
      <w:r w:rsidR="006730FA">
        <w:t>the</w:t>
      </w:r>
      <w:r w:rsidR="0004532E" w:rsidRPr="00652C95">
        <w:t xml:space="preserve"> majority of costs in Reeve may be associated with management of co-morbidities</w:t>
      </w:r>
      <w:r w:rsidR="006A6BB8" w:rsidRPr="00652C95">
        <w:t xml:space="preserve"> and should not be applied in a disease specific economic analysis (paragraph 6.54, sacituzumab govitecan</w:t>
      </w:r>
      <w:r w:rsidR="00D46A34" w:rsidRPr="00652C95">
        <w:t xml:space="preserve"> PSD</w:t>
      </w:r>
      <w:r w:rsidR="006A6BB8" w:rsidRPr="00652C95">
        <w:t>, March 2022 PBAC meeting). The pre-PBAC response by the sponsors of sacituzumab govitecan proposed much lower terminal care costs of $6,050, which the PBAC considered to be more appropriate (paragraph 6.56, sacituzumab govitecan</w:t>
      </w:r>
      <w:r w:rsidR="00D46A34" w:rsidRPr="00652C95">
        <w:t xml:space="preserve"> PSD</w:t>
      </w:r>
      <w:r w:rsidR="006A6BB8" w:rsidRPr="00652C95">
        <w:t>, March 2022 PBAC meeting).</w:t>
      </w:r>
      <w:bookmarkEnd w:id="52"/>
      <w:r w:rsidR="005B1A34">
        <w:t xml:space="preserve"> </w:t>
      </w:r>
      <w:r w:rsidR="005B1A34" w:rsidRPr="00F756C7">
        <w:t>The ESC noted that the impact of terminal care costs is likely to be dependent on the time horizon applied.</w:t>
      </w:r>
      <w:bookmarkEnd w:id="53"/>
    </w:p>
    <w:p w14:paraId="738DAB8A" w14:textId="09F8A31F" w:rsidR="00F55685" w:rsidRPr="00F756C7" w:rsidRDefault="00F55685" w:rsidP="00CA4829">
      <w:pPr>
        <w:pStyle w:val="3-BodyText"/>
      </w:pPr>
      <w:bookmarkStart w:id="54" w:name="_Ref127183922"/>
      <w:r>
        <w:t>Th</w:t>
      </w:r>
      <w:r w:rsidRPr="006919A9">
        <w:t>e submission calculated the proportion of patients on adjuvant treatment at each point in time as the difference between the proportion of patients on any treatment (based on time to end of treatment course curve) and the proportion of patients who had surgery (based on time to end of surgery curve</w:t>
      </w:r>
      <w:r w:rsidRPr="00652C95">
        <w:t>).</w:t>
      </w:r>
      <w:r w:rsidR="00846072" w:rsidRPr="00652C95">
        <w:t xml:space="preserve"> </w:t>
      </w:r>
      <w:r w:rsidR="00C123C7" w:rsidRPr="00F756C7">
        <w:t xml:space="preserve">This led to a relatively small discrepancy between the trial and modelled ToT. </w:t>
      </w:r>
      <w:r w:rsidR="005B1A34" w:rsidRPr="00F756C7">
        <w:t xml:space="preserve">As noted in the PSCR </w:t>
      </w:r>
      <w:r w:rsidR="00C123C7" w:rsidRPr="00F756C7">
        <w:t>t</w:t>
      </w:r>
      <w:r w:rsidR="005B1A34" w:rsidRPr="00F756C7">
        <w:t xml:space="preserve">he mean ToT for the </w:t>
      </w:r>
      <w:r w:rsidR="00C123C7" w:rsidRPr="00F756C7">
        <w:t>71.3% (</w:t>
      </w:r>
      <w:r w:rsidR="005B1A34" w:rsidRPr="00F756C7">
        <w:t>558</w:t>
      </w:r>
      <w:r w:rsidR="00C123C7" w:rsidRPr="00F756C7">
        <w:t>/783) of</w:t>
      </w:r>
      <w:r w:rsidR="005B1A34" w:rsidRPr="00F756C7">
        <w:t xml:space="preserve"> </w:t>
      </w:r>
      <w:r w:rsidR="005B1A34" w:rsidRPr="005767EF">
        <w:t xml:space="preserve">patients who received adjuvant pembrolizumab was 22.9 weeks. While this led to mean ToT of 22.9*71.3%= 16.3 weeks for the ITT population in the pembrolizumab arm, the model estimated mean ToT </w:t>
      </w:r>
      <w:r w:rsidR="00C123C7" w:rsidRPr="005767EF">
        <w:t xml:space="preserve">was </w:t>
      </w:r>
      <w:r w:rsidR="005B1A34" w:rsidRPr="005767EF">
        <w:t>16.6 weeks.</w:t>
      </w:r>
      <w:bookmarkEnd w:id="54"/>
      <w:r w:rsidR="000742B0">
        <w:t xml:space="preserve"> </w:t>
      </w:r>
    </w:p>
    <w:p w14:paraId="5DBBA2FD" w14:textId="6F18C0EB" w:rsidR="00F55685" w:rsidRPr="00F756C7" w:rsidRDefault="00DB2978" w:rsidP="001D6744">
      <w:pPr>
        <w:pStyle w:val="3-BodyText"/>
      </w:pPr>
      <w:r w:rsidRPr="006919A9">
        <w:t xml:space="preserve">The submission also noted that sacituzumab govitecan for R/R mTNBC was listed on the PBS in 2022 based on superiority to SoC chemotherapy, but no patients in </w:t>
      </w:r>
      <w:r w:rsidR="00FF0984">
        <w:t>KN-522</w:t>
      </w:r>
      <w:r w:rsidRPr="006919A9">
        <w:t xml:space="preserve"> </w:t>
      </w:r>
      <w:r w:rsidR="004A0074">
        <w:t>were treated with</w:t>
      </w:r>
      <w:r w:rsidRPr="006919A9">
        <w:t xml:space="preserve"> sacituzumab govitecan. The submission stated adjustments for sacituzumab govitecan were made to OS in the base-case</w:t>
      </w:r>
      <w:r w:rsidR="00EA3E98">
        <w:t xml:space="preserve"> by</w:t>
      </w:r>
      <w:r w:rsidR="00AA3AC2">
        <w:t xml:space="preserve"> increasing the mean </w:t>
      </w:r>
      <w:r w:rsidR="00536125">
        <w:t xml:space="preserve">OS </w:t>
      </w:r>
      <w:r w:rsidR="00AA3AC2">
        <w:t>in the DM health state by 7.96 weeks in both treatment arms</w:t>
      </w:r>
      <w:r>
        <w:t xml:space="preserve">. </w:t>
      </w:r>
      <w:r w:rsidRPr="00652C95">
        <w:t>Removing this adjustment increased the ICER by 6.2</w:t>
      </w:r>
      <w:r w:rsidRPr="00F756C7">
        <w:t>%</w:t>
      </w:r>
      <w:r w:rsidR="00AA3AC2" w:rsidRPr="00F756C7">
        <w:t xml:space="preserve">. </w:t>
      </w:r>
    </w:p>
    <w:p w14:paraId="1E7555DF" w14:textId="4448DF2A" w:rsidR="00FE4F5F" w:rsidRPr="006919A9" w:rsidRDefault="00E16AD8" w:rsidP="004073FF">
      <w:pPr>
        <w:pStyle w:val="3-BodyText"/>
      </w:pPr>
      <w:r w:rsidRPr="006919A9">
        <w:fldChar w:fldCharType="begin" w:fldLock="1"/>
      </w:r>
      <w:r w:rsidRPr="006919A9">
        <w:instrText xml:space="preserve"> REF _Ref104805122 \h  \* MERGEFORMAT </w:instrText>
      </w:r>
      <w:r w:rsidRPr="006919A9">
        <w:fldChar w:fldCharType="separate"/>
      </w:r>
      <w:r w:rsidR="0067416F" w:rsidRPr="006919A9">
        <w:t xml:space="preserve">Table </w:t>
      </w:r>
      <w:r w:rsidR="0067416F">
        <w:t>11</w:t>
      </w:r>
      <w:r w:rsidRPr="006919A9">
        <w:fldChar w:fldCharType="end"/>
      </w:r>
      <w:r w:rsidR="00D80A56" w:rsidRPr="006919A9">
        <w:t xml:space="preserve"> presents a summary of the key drivers of the model.</w:t>
      </w:r>
    </w:p>
    <w:p w14:paraId="774D46B7" w14:textId="099C5193" w:rsidR="00D110BD" w:rsidRPr="006919A9" w:rsidRDefault="00E16AD8" w:rsidP="00E16AD8">
      <w:pPr>
        <w:pStyle w:val="Caption"/>
        <w:jc w:val="left"/>
        <w:rPr>
          <w:rStyle w:val="CommentReference"/>
          <w:b/>
          <w:szCs w:val="24"/>
        </w:rPr>
      </w:pPr>
      <w:bookmarkStart w:id="55" w:name="_Ref104805122"/>
      <w:r w:rsidRPr="006919A9">
        <w:lastRenderedPageBreak/>
        <w:t xml:space="preserve">Table </w:t>
      </w:r>
      <w:fldSimple w:instr=" SEQ Table \* ARABIC " w:fldLock="1">
        <w:r w:rsidR="0067416F">
          <w:rPr>
            <w:noProof/>
          </w:rPr>
          <w:t>11</w:t>
        </w:r>
      </w:fldSimple>
      <w:bookmarkEnd w:id="55"/>
      <w:r w:rsidRPr="006919A9">
        <w:t>:</w:t>
      </w:r>
      <w:r w:rsidR="00D110BD" w:rsidRPr="006919A9">
        <w:rPr>
          <w:rStyle w:val="CommentReference"/>
          <w:b/>
          <w:szCs w:val="24"/>
        </w:rPr>
        <w:t xml:space="preserve">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29"/>
        <w:gridCol w:w="4445"/>
        <w:gridCol w:w="3443"/>
      </w:tblGrid>
      <w:tr w:rsidR="006919A9" w:rsidRPr="006919A9" w14:paraId="4DD8026E" w14:textId="77777777" w:rsidTr="006A52C9">
        <w:trPr>
          <w:tblHeader/>
        </w:trPr>
        <w:tc>
          <w:tcPr>
            <w:tcW w:w="626" w:type="pct"/>
            <w:shd w:val="clear" w:color="auto" w:fill="auto"/>
            <w:vAlign w:val="center"/>
          </w:tcPr>
          <w:p w14:paraId="6A9EC2DA" w14:textId="77777777" w:rsidR="00D110BD" w:rsidRPr="006919A9" w:rsidRDefault="00D110BD" w:rsidP="00BB00B3">
            <w:pPr>
              <w:pStyle w:val="In-tableHeading"/>
              <w:jc w:val="center"/>
              <w:rPr>
                <w:lang w:val="en-AU"/>
              </w:rPr>
            </w:pPr>
            <w:r w:rsidRPr="006919A9">
              <w:rPr>
                <w:lang w:val="en-AU"/>
              </w:rPr>
              <w:t>Description</w:t>
            </w:r>
          </w:p>
        </w:tc>
        <w:tc>
          <w:tcPr>
            <w:tcW w:w="2465" w:type="pct"/>
            <w:shd w:val="clear" w:color="auto" w:fill="auto"/>
            <w:vAlign w:val="center"/>
          </w:tcPr>
          <w:p w14:paraId="67A62672" w14:textId="77777777" w:rsidR="00D110BD" w:rsidRPr="006919A9" w:rsidRDefault="00D110BD" w:rsidP="000A7453">
            <w:pPr>
              <w:pStyle w:val="In-tableHeading"/>
              <w:jc w:val="center"/>
              <w:rPr>
                <w:lang w:val="en-AU"/>
              </w:rPr>
            </w:pPr>
            <w:r w:rsidRPr="006919A9">
              <w:rPr>
                <w:lang w:val="en-AU"/>
              </w:rPr>
              <w:t>Method/Value</w:t>
            </w:r>
          </w:p>
        </w:tc>
        <w:tc>
          <w:tcPr>
            <w:tcW w:w="1909" w:type="pct"/>
            <w:shd w:val="clear" w:color="auto" w:fill="auto"/>
            <w:vAlign w:val="center"/>
          </w:tcPr>
          <w:p w14:paraId="6B352E41" w14:textId="77777777" w:rsidR="00D110BD" w:rsidRPr="00652C95" w:rsidRDefault="00D110BD" w:rsidP="000A7453">
            <w:pPr>
              <w:pStyle w:val="In-tableHeading"/>
              <w:jc w:val="center"/>
              <w:rPr>
                <w:lang w:val="en-AU"/>
              </w:rPr>
            </w:pPr>
            <w:r w:rsidRPr="00652C95">
              <w:rPr>
                <w:lang w:val="en-AU"/>
              </w:rPr>
              <w:t>Impact</w:t>
            </w:r>
          </w:p>
          <w:p w14:paraId="6C1DC9EA" w14:textId="68C895FF" w:rsidR="00490B17" w:rsidRPr="00652C95" w:rsidRDefault="00490B17" w:rsidP="000A7453">
            <w:pPr>
              <w:pStyle w:val="In-tableHeading"/>
              <w:jc w:val="center"/>
              <w:rPr>
                <w:lang w:val="en-AU"/>
              </w:rPr>
            </w:pPr>
            <w:r w:rsidRPr="00652C95">
              <w:rPr>
                <w:rFonts w:cs="Arial"/>
                <w:szCs w:val="20"/>
                <w:lang w:val="en-AU"/>
              </w:rPr>
              <w:t xml:space="preserve">Base case: </w:t>
            </w:r>
            <w:r w:rsidR="00D80A56" w:rsidRPr="00652C95">
              <w:rPr>
                <w:lang w:val="en-AU"/>
              </w:rPr>
              <w:t>$</w:t>
            </w:r>
            <w:r w:rsidR="00BB281C" w:rsidRPr="00BB281C">
              <w:rPr>
                <w:color w:val="000000"/>
                <w:spacing w:val="69"/>
                <w:shd w:val="solid" w:color="000000" w:fill="000000"/>
                <w:fitText w:val="161" w:id="-1234422526"/>
                <w:lang w:val="en-AU"/>
                <w14:textFill>
                  <w14:solidFill>
                    <w14:srgbClr w14:val="000000">
                      <w14:alpha w14:val="100000"/>
                    </w14:srgbClr>
                  </w14:solidFill>
                </w14:textFill>
              </w:rPr>
              <w:t>|</w:t>
            </w:r>
            <w:r w:rsidR="00BB281C" w:rsidRPr="00BB281C">
              <w:rPr>
                <w:color w:val="000000"/>
                <w:spacing w:val="1"/>
                <w:shd w:val="solid" w:color="000000" w:fill="000000"/>
                <w:fitText w:val="161" w:id="-1234422526"/>
                <w:lang w:val="en-AU"/>
                <w14:textFill>
                  <w14:solidFill>
                    <w14:srgbClr w14:val="000000">
                      <w14:alpha w14:val="100000"/>
                    </w14:srgbClr>
                  </w14:solidFill>
                </w14:textFill>
              </w:rPr>
              <w:t>|</w:t>
            </w:r>
            <w:r w:rsidR="00804AFC" w:rsidRPr="00804AFC">
              <w:rPr>
                <w:vertAlign w:val="superscript"/>
                <w:lang w:val="en-AU"/>
              </w:rPr>
              <w:t>1</w:t>
            </w:r>
            <w:r w:rsidRPr="00652C95">
              <w:rPr>
                <w:rFonts w:cs="Arial"/>
                <w:szCs w:val="20"/>
                <w:lang w:val="en-AU"/>
              </w:rPr>
              <w:t>/QALY gained</w:t>
            </w:r>
            <w:r w:rsidR="00354F64" w:rsidRPr="00652C95">
              <w:rPr>
                <w:rFonts w:cs="Arial"/>
                <w:szCs w:val="20"/>
                <w:lang w:val="en-AU"/>
              </w:rPr>
              <w:t>.</w:t>
            </w:r>
          </w:p>
        </w:tc>
      </w:tr>
      <w:tr w:rsidR="006919A9" w:rsidRPr="006919A9" w14:paraId="7ECD19DD" w14:textId="77777777" w:rsidTr="006A52C9">
        <w:tc>
          <w:tcPr>
            <w:tcW w:w="626" w:type="pct"/>
            <w:shd w:val="clear" w:color="auto" w:fill="auto"/>
            <w:vAlign w:val="center"/>
          </w:tcPr>
          <w:p w14:paraId="1216D871" w14:textId="2B80B2F3" w:rsidR="00D80A56" w:rsidRPr="006919A9" w:rsidRDefault="00D80A56" w:rsidP="00C127B9">
            <w:pPr>
              <w:pStyle w:val="TableText0"/>
            </w:pPr>
            <w:r w:rsidRPr="006919A9">
              <w:t>Assumption of treatment waning</w:t>
            </w:r>
            <w:r w:rsidR="00FD7961" w:rsidRPr="006919A9">
              <w:t xml:space="preserve"> in EFS</w:t>
            </w:r>
          </w:p>
        </w:tc>
        <w:tc>
          <w:tcPr>
            <w:tcW w:w="2465" w:type="pct"/>
            <w:shd w:val="clear" w:color="auto" w:fill="auto"/>
            <w:vAlign w:val="center"/>
          </w:tcPr>
          <w:p w14:paraId="117A10F0" w14:textId="7776EAF3" w:rsidR="00D80A56" w:rsidRPr="006919A9" w:rsidRDefault="00D80A56" w:rsidP="00BB00B3">
            <w:pPr>
              <w:pStyle w:val="TableText0"/>
            </w:pPr>
            <w:r w:rsidRPr="006919A9">
              <w:t xml:space="preserve">The submission </w:t>
            </w:r>
            <w:r w:rsidR="006A52C9" w:rsidRPr="006919A9">
              <w:t xml:space="preserve">base </w:t>
            </w:r>
            <w:r w:rsidRPr="006919A9">
              <w:t>case did not assume treatment waning</w:t>
            </w:r>
          </w:p>
        </w:tc>
        <w:tc>
          <w:tcPr>
            <w:tcW w:w="1909" w:type="pct"/>
            <w:shd w:val="clear" w:color="auto" w:fill="auto"/>
            <w:vAlign w:val="center"/>
          </w:tcPr>
          <w:p w14:paraId="2B195945" w14:textId="77777777" w:rsidR="00D80A56" w:rsidRPr="00652C95" w:rsidRDefault="006A52C9" w:rsidP="008D743C">
            <w:pPr>
              <w:pStyle w:val="TableText0"/>
            </w:pPr>
            <w:r w:rsidRPr="00652C95">
              <w:t>High, favours pembrolizumab</w:t>
            </w:r>
          </w:p>
          <w:p w14:paraId="49DE68F7" w14:textId="3F78C0A3" w:rsidR="006A52C9" w:rsidRPr="00652C95" w:rsidRDefault="006A52C9" w:rsidP="008D743C">
            <w:pPr>
              <w:pStyle w:val="TableText0"/>
            </w:pPr>
            <w:r w:rsidRPr="00652C95">
              <w:t>Applying treatment waning at 8 years increase</w:t>
            </w:r>
            <w:r w:rsidR="00FF0984">
              <w:t>d</w:t>
            </w:r>
            <w:r w:rsidRPr="00652C95">
              <w:t xml:space="preserve"> the ICER </w:t>
            </w:r>
            <w:r w:rsidR="00D75407" w:rsidRPr="00652C95">
              <w:t>by 20%.</w:t>
            </w:r>
          </w:p>
          <w:p w14:paraId="12E88F46" w14:textId="384ED872" w:rsidR="006A52C9" w:rsidRPr="00652C95" w:rsidRDefault="006A52C9" w:rsidP="008D743C">
            <w:pPr>
              <w:pStyle w:val="TableText0"/>
            </w:pPr>
            <w:r w:rsidRPr="00652C95">
              <w:t>Applying treatment waning at 5 years increase</w:t>
            </w:r>
            <w:r w:rsidR="00FF0984">
              <w:t>d</w:t>
            </w:r>
            <w:r w:rsidRPr="00652C95">
              <w:t xml:space="preserve"> the ICER </w:t>
            </w:r>
            <w:r w:rsidR="00FD7961" w:rsidRPr="00652C95">
              <w:t>by 102.7%</w:t>
            </w:r>
          </w:p>
        </w:tc>
      </w:tr>
      <w:tr w:rsidR="006919A9" w:rsidRPr="006919A9" w14:paraId="333E8892" w14:textId="77777777" w:rsidTr="006A52C9">
        <w:tc>
          <w:tcPr>
            <w:tcW w:w="626" w:type="pct"/>
            <w:shd w:val="clear" w:color="auto" w:fill="auto"/>
            <w:vAlign w:val="center"/>
          </w:tcPr>
          <w:p w14:paraId="6FB09F03" w14:textId="718041CC" w:rsidR="006A52C9" w:rsidRPr="006919A9" w:rsidRDefault="006A52C9" w:rsidP="00C127B9">
            <w:pPr>
              <w:pStyle w:val="TableText0"/>
            </w:pPr>
            <w:r w:rsidRPr="006919A9">
              <w:t>Time horizon</w:t>
            </w:r>
          </w:p>
        </w:tc>
        <w:tc>
          <w:tcPr>
            <w:tcW w:w="2465" w:type="pct"/>
            <w:shd w:val="clear" w:color="auto" w:fill="auto"/>
            <w:vAlign w:val="center"/>
          </w:tcPr>
          <w:p w14:paraId="65D13398" w14:textId="1C1B5857" w:rsidR="006A52C9" w:rsidRPr="006919A9" w:rsidRDefault="00552783" w:rsidP="00BB00B3">
            <w:pPr>
              <w:pStyle w:val="TableText0"/>
            </w:pPr>
            <w:r w:rsidRPr="006919A9">
              <w:t>The base case ICER applied a 30-year time horizon</w:t>
            </w:r>
          </w:p>
        </w:tc>
        <w:tc>
          <w:tcPr>
            <w:tcW w:w="1909" w:type="pct"/>
            <w:shd w:val="clear" w:color="auto" w:fill="auto"/>
            <w:vAlign w:val="center"/>
          </w:tcPr>
          <w:p w14:paraId="27429D85" w14:textId="77777777" w:rsidR="006A52C9" w:rsidRPr="00652C95" w:rsidRDefault="006A52C9" w:rsidP="008D743C">
            <w:pPr>
              <w:pStyle w:val="TableText0"/>
            </w:pPr>
            <w:r w:rsidRPr="00652C95">
              <w:t>High, favours pembrolizumab</w:t>
            </w:r>
          </w:p>
          <w:p w14:paraId="25B531A7" w14:textId="5193E28D" w:rsidR="006A52C9" w:rsidRPr="00652C95" w:rsidRDefault="006A52C9" w:rsidP="008D743C">
            <w:pPr>
              <w:pStyle w:val="TableText0"/>
            </w:pPr>
            <w:r w:rsidRPr="00652C95">
              <w:t>Applying a 20</w:t>
            </w:r>
            <w:r w:rsidR="00552783" w:rsidRPr="00652C95">
              <w:t>-</w:t>
            </w:r>
            <w:r w:rsidRPr="00652C95">
              <w:t>year time horizon, increase</w:t>
            </w:r>
            <w:r w:rsidR="00FF0984">
              <w:t>d</w:t>
            </w:r>
            <w:r w:rsidRPr="00652C95">
              <w:t xml:space="preserve"> the ICER </w:t>
            </w:r>
            <w:r w:rsidR="00611035" w:rsidRPr="00652C95">
              <w:t>by</w:t>
            </w:r>
            <w:r w:rsidRPr="00652C95">
              <w:t xml:space="preserve"> </w:t>
            </w:r>
            <w:r w:rsidR="00FD7961" w:rsidRPr="00652C95">
              <w:t>39.1%</w:t>
            </w:r>
          </w:p>
        </w:tc>
      </w:tr>
      <w:tr w:rsidR="004A0074" w:rsidRPr="006919A9" w14:paraId="7AB6605B" w14:textId="77777777" w:rsidTr="00A50F79">
        <w:tc>
          <w:tcPr>
            <w:tcW w:w="626" w:type="pct"/>
            <w:shd w:val="clear" w:color="auto" w:fill="auto"/>
            <w:vAlign w:val="center"/>
          </w:tcPr>
          <w:p w14:paraId="66DF768A" w14:textId="77777777" w:rsidR="004A0074" w:rsidRPr="006919A9" w:rsidRDefault="004A0074" w:rsidP="00A50F79">
            <w:pPr>
              <w:pStyle w:val="TableText0"/>
            </w:pPr>
            <w:r w:rsidRPr="006919A9">
              <w:t>EFS extrapolation</w:t>
            </w:r>
          </w:p>
        </w:tc>
        <w:tc>
          <w:tcPr>
            <w:tcW w:w="2465" w:type="pct"/>
            <w:shd w:val="clear" w:color="auto" w:fill="auto"/>
            <w:vAlign w:val="center"/>
          </w:tcPr>
          <w:p w14:paraId="25D3890A" w14:textId="2A0A0092" w:rsidR="004A0074" w:rsidRPr="006919A9" w:rsidRDefault="004A0074" w:rsidP="00A50F79">
            <w:pPr>
              <w:pStyle w:val="TableText0"/>
            </w:pPr>
            <w:r w:rsidRPr="006919A9">
              <w:t xml:space="preserve">The base case used generalised gamma extrapolations in both arms. The switch from KM estimates to extrapolated estimates was at 164.3 and 163.4 weeks for pembrolizumab </w:t>
            </w:r>
            <w:r w:rsidR="00510EB5">
              <w:t>+</w:t>
            </w:r>
            <w:r w:rsidR="00510EB5" w:rsidRPr="006919A9">
              <w:t xml:space="preserve"> </w:t>
            </w:r>
            <w:r w:rsidRPr="006919A9">
              <w:t>chemotherapy and chemotherapy, respectively</w:t>
            </w:r>
          </w:p>
        </w:tc>
        <w:tc>
          <w:tcPr>
            <w:tcW w:w="1909" w:type="pct"/>
            <w:shd w:val="clear" w:color="auto" w:fill="auto"/>
            <w:vAlign w:val="center"/>
          </w:tcPr>
          <w:p w14:paraId="3F3D169B" w14:textId="77777777" w:rsidR="004A0074" w:rsidRPr="00652C95" w:rsidRDefault="004A0074" w:rsidP="00A50F79">
            <w:pPr>
              <w:pStyle w:val="TableText0"/>
            </w:pPr>
            <w:r w:rsidRPr="00652C95">
              <w:t>Moderate, favours pembrolizumab</w:t>
            </w:r>
          </w:p>
          <w:p w14:paraId="25990736" w14:textId="77777777" w:rsidR="004A0074" w:rsidRPr="00652C95" w:rsidRDefault="004A0074" w:rsidP="00A50F79">
            <w:pPr>
              <w:pStyle w:val="TableText0"/>
            </w:pPr>
            <w:r w:rsidRPr="00652C95">
              <w:t>Use of next best fitting curves (Log normal in both arms) increased the ICER by 12.4%</w:t>
            </w:r>
          </w:p>
        </w:tc>
      </w:tr>
      <w:tr w:rsidR="006919A9" w:rsidRPr="006919A9" w14:paraId="27628599" w14:textId="77777777" w:rsidTr="006A52C9">
        <w:tc>
          <w:tcPr>
            <w:tcW w:w="626" w:type="pct"/>
            <w:shd w:val="clear" w:color="auto" w:fill="auto"/>
            <w:vAlign w:val="center"/>
          </w:tcPr>
          <w:p w14:paraId="1C28BAC8" w14:textId="72E7DBB5" w:rsidR="00552783" w:rsidRPr="006919A9" w:rsidRDefault="00552783" w:rsidP="00C127B9">
            <w:pPr>
              <w:pStyle w:val="TableText0"/>
            </w:pPr>
            <w:r w:rsidRPr="006919A9">
              <w:t>Capecitabine use</w:t>
            </w:r>
          </w:p>
        </w:tc>
        <w:tc>
          <w:tcPr>
            <w:tcW w:w="2465" w:type="pct"/>
            <w:shd w:val="clear" w:color="auto" w:fill="auto"/>
            <w:vAlign w:val="center"/>
          </w:tcPr>
          <w:p w14:paraId="619256C8" w14:textId="2A46B74B" w:rsidR="00552783" w:rsidRPr="006919A9" w:rsidRDefault="00552783" w:rsidP="00BB00B3">
            <w:pPr>
              <w:pStyle w:val="TableText0"/>
            </w:pPr>
            <w:r w:rsidRPr="006919A9">
              <w:t>The base case did not adjust costs and outcomes for capecitabine use</w:t>
            </w:r>
          </w:p>
        </w:tc>
        <w:tc>
          <w:tcPr>
            <w:tcW w:w="1909" w:type="pct"/>
            <w:shd w:val="clear" w:color="auto" w:fill="auto"/>
            <w:vAlign w:val="center"/>
          </w:tcPr>
          <w:p w14:paraId="696E76E1" w14:textId="20DEAA38" w:rsidR="00552783" w:rsidRPr="00652C95" w:rsidRDefault="00E17438" w:rsidP="008D743C">
            <w:pPr>
              <w:pStyle w:val="TableText0"/>
            </w:pPr>
            <w:r w:rsidRPr="00652C95">
              <w:t>Moderate</w:t>
            </w:r>
            <w:r w:rsidR="00552783" w:rsidRPr="00652C95">
              <w:t>, favours pembrolizumab</w:t>
            </w:r>
          </w:p>
          <w:p w14:paraId="4618257A" w14:textId="7950BFA6" w:rsidR="00552783" w:rsidRPr="00652C95" w:rsidRDefault="00552783" w:rsidP="008D743C">
            <w:pPr>
              <w:pStyle w:val="TableText0"/>
            </w:pPr>
            <w:r w:rsidRPr="00652C95">
              <w:t>Including capecitabine use increase</w:t>
            </w:r>
            <w:r w:rsidR="00FF0984">
              <w:t>d</w:t>
            </w:r>
            <w:r w:rsidRPr="00652C95">
              <w:t xml:space="preserve"> the ICER </w:t>
            </w:r>
            <w:r w:rsidR="00FD7961" w:rsidRPr="00652C95">
              <w:t>by 12.6%</w:t>
            </w:r>
          </w:p>
        </w:tc>
      </w:tr>
    </w:tbl>
    <w:p w14:paraId="266BE7BC" w14:textId="37FEF87D" w:rsidR="00650490" w:rsidRPr="006919A9" w:rsidRDefault="00650490" w:rsidP="00650490">
      <w:pPr>
        <w:pStyle w:val="FooterTableFigure"/>
      </w:pPr>
      <w:r w:rsidRPr="006919A9">
        <w:t>Source: Table 3.9-1, p148-151 of the submission.</w:t>
      </w:r>
    </w:p>
    <w:p w14:paraId="4B8FB052" w14:textId="233FFE6F" w:rsidR="00650490" w:rsidRDefault="00650490" w:rsidP="0040232E">
      <w:pPr>
        <w:pStyle w:val="FooterTableFigure"/>
        <w:spacing w:after="0"/>
      </w:pPr>
      <w:r w:rsidRPr="006919A9">
        <w:t>EFS = event free survival; ICER = incremental cost-effectiveness ratio; QALY = quality adjusted life-year</w:t>
      </w:r>
    </w:p>
    <w:p w14:paraId="3D301967" w14:textId="77777777" w:rsidR="00804AFC" w:rsidRPr="009A6D58" w:rsidRDefault="00804AFC" w:rsidP="00804AFC">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69109BA6" w14:textId="0E114ACB" w:rsidR="00804AFC" w:rsidRPr="006919A9" w:rsidRDefault="00804AFC" w:rsidP="005767EF">
      <w:pPr>
        <w:spacing w:after="120"/>
      </w:pPr>
      <w:r w:rsidRPr="009A6D58">
        <w:rPr>
          <w:rFonts w:ascii="Arial Narrow" w:hAnsi="Arial Narrow"/>
          <w:i/>
          <w:sz w:val="18"/>
          <w:szCs w:val="18"/>
          <w:vertAlign w:val="superscript"/>
        </w:rPr>
        <w:t>1</w:t>
      </w:r>
      <w:r>
        <w:rPr>
          <w:rFonts w:ascii="Arial Narrow" w:hAnsi="Arial Narrow"/>
          <w:i/>
          <w:sz w:val="18"/>
          <w:szCs w:val="18"/>
        </w:rPr>
        <w:t xml:space="preserve"> </w:t>
      </w:r>
      <w:r w:rsidRPr="00804AFC">
        <w:rPr>
          <w:rFonts w:ascii="Arial Narrow" w:hAnsi="Arial Narrow"/>
          <w:i/>
          <w:sz w:val="18"/>
          <w:szCs w:val="18"/>
        </w:rPr>
        <w:t>$35,000 to &lt; $45,000</w:t>
      </w:r>
    </w:p>
    <w:p w14:paraId="4EEAD1C9" w14:textId="11B0CC07" w:rsidR="00822AF6" w:rsidRPr="006919A9" w:rsidRDefault="00822AF6" w:rsidP="00BB732D">
      <w:pPr>
        <w:pStyle w:val="3-BodyText"/>
      </w:pPr>
      <w:r w:rsidRPr="006919A9">
        <w:fldChar w:fldCharType="begin" w:fldLock="1"/>
      </w:r>
      <w:r w:rsidRPr="006919A9">
        <w:instrText xml:space="preserve"> REF _Ref123933696 \h </w:instrText>
      </w:r>
      <w:r w:rsidRPr="006919A9">
        <w:fldChar w:fldCharType="separate"/>
      </w:r>
      <w:r w:rsidR="0067416F" w:rsidRPr="006919A9">
        <w:t xml:space="preserve">Table </w:t>
      </w:r>
      <w:r w:rsidR="0067416F">
        <w:rPr>
          <w:noProof/>
        </w:rPr>
        <w:t>12</w:t>
      </w:r>
      <w:r w:rsidRPr="006919A9">
        <w:fldChar w:fldCharType="end"/>
      </w:r>
      <w:r w:rsidRPr="006919A9">
        <w:t xml:space="preserve"> presents the results of the stepped economic evaluation.</w:t>
      </w:r>
    </w:p>
    <w:p w14:paraId="5F1761B6" w14:textId="2296A3AC" w:rsidR="00822AF6" w:rsidRPr="006919A9" w:rsidRDefault="00822AF6" w:rsidP="00822AF6">
      <w:pPr>
        <w:pStyle w:val="In-tableHeading"/>
        <w:rPr>
          <w:lang w:val="en-AU"/>
        </w:rPr>
      </w:pPr>
      <w:bookmarkStart w:id="56" w:name="_Ref123933696"/>
      <w:r w:rsidRPr="006919A9">
        <w:rPr>
          <w:lang w:val="en-AU"/>
        </w:rPr>
        <w:t xml:space="preserve">Table </w:t>
      </w:r>
      <w:r w:rsidRPr="006919A9">
        <w:rPr>
          <w:lang w:val="en-AU"/>
        </w:rPr>
        <w:fldChar w:fldCharType="begin" w:fldLock="1"/>
      </w:r>
      <w:r w:rsidRPr="006919A9">
        <w:rPr>
          <w:lang w:val="en-AU"/>
        </w:rPr>
        <w:instrText xml:space="preserve"> SEQ Table \* ARABIC </w:instrText>
      </w:r>
      <w:r w:rsidRPr="006919A9">
        <w:rPr>
          <w:lang w:val="en-AU"/>
        </w:rPr>
        <w:fldChar w:fldCharType="separate"/>
      </w:r>
      <w:r w:rsidR="0067416F">
        <w:rPr>
          <w:noProof/>
          <w:lang w:val="en-AU"/>
        </w:rPr>
        <w:t>12</w:t>
      </w:r>
      <w:r w:rsidRPr="006919A9">
        <w:rPr>
          <w:noProof/>
          <w:lang w:val="en-AU"/>
        </w:rPr>
        <w:fldChar w:fldCharType="end"/>
      </w:r>
      <w:bookmarkEnd w:id="56"/>
      <w:r w:rsidRPr="006919A9">
        <w:rPr>
          <w:lang w:val="en-AU"/>
        </w:rPr>
        <w:t>:</w:t>
      </w:r>
      <w:r w:rsidRPr="006919A9">
        <w:rPr>
          <w:rStyle w:val="CommentReference"/>
          <w:b/>
          <w:szCs w:val="24"/>
          <w:lang w:val="en-AU"/>
        </w:rPr>
        <w:t xml:space="preserve"> </w:t>
      </w:r>
      <w:r w:rsidRPr="006919A9">
        <w:rPr>
          <w:rStyle w:val="CommentReference"/>
          <w:b/>
          <w:lang w:val="en-AU"/>
        </w:rPr>
        <w:t>Stepped base-case analysis results (discounted)</w:t>
      </w:r>
    </w:p>
    <w:tbl>
      <w:tblPr>
        <w:tblStyle w:val="MSDShaded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4"/>
        <w:gridCol w:w="1232"/>
        <w:gridCol w:w="1603"/>
        <w:gridCol w:w="1701"/>
        <w:gridCol w:w="1558"/>
        <w:gridCol w:w="1369"/>
      </w:tblGrid>
      <w:tr w:rsidR="006919A9" w:rsidRPr="006919A9" w14:paraId="6A7F0E14" w14:textId="77777777" w:rsidTr="00AB33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pct"/>
            <w:tcBorders>
              <w:top w:val="single" w:sz="4" w:space="0" w:color="auto"/>
              <w:left w:val="single" w:sz="4" w:space="0" w:color="auto"/>
              <w:bottom w:val="single" w:sz="4" w:space="0" w:color="auto"/>
              <w:right w:val="single" w:sz="4" w:space="0" w:color="auto"/>
            </w:tcBorders>
            <w:shd w:val="clear" w:color="auto" w:fill="auto"/>
            <w:vAlign w:val="center"/>
          </w:tcPr>
          <w:p w14:paraId="1F0C6F04" w14:textId="77777777" w:rsidR="00822AF6" w:rsidRPr="006919A9" w:rsidRDefault="00822AF6" w:rsidP="007C05BD">
            <w:pPr>
              <w:pStyle w:val="Tabletext"/>
              <w:keepNext/>
              <w:keepLines/>
              <w:spacing w:after="0" w:line="240" w:lineRule="auto"/>
            </w:pPr>
            <w:r w:rsidRPr="006919A9">
              <w:t>Step</w:t>
            </w:r>
          </w:p>
        </w:tc>
        <w:tc>
          <w:tcPr>
            <w:tcW w:w="683" w:type="pct"/>
            <w:tcBorders>
              <w:top w:val="single" w:sz="4" w:space="0" w:color="auto"/>
              <w:left w:val="single" w:sz="4" w:space="0" w:color="auto"/>
              <w:bottom w:val="single" w:sz="4" w:space="0" w:color="auto"/>
              <w:right w:val="single" w:sz="4" w:space="0" w:color="auto"/>
            </w:tcBorders>
            <w:shd w:val="clear" w:color="auto" w:fill="auto"/>
            <w:vAlign w:val="center"/>
          </w:tcPr>
          <w:p w14:paraId="3B0BC0F9" w14:textId="77777777" w:rsidR="00822AF6" w:rsidRPr="006919A9" w:rsidRDefault="00822AF6" w:rsidP="007C05BD">
            <w:pPr>
              <w:pStyle w:val="Tabletext"/>
              <w:keepNext/>
              <w:keepLines/>
              <w:spacing w:after="0" w:line="240" w:lineRule="auto"/>
              <w:jc w:val="center"/>
              <w:cnfStyle w:val="100000000000" w:firstRow="1" w:lastRow="0" w:firstColumn="0" w:lastColumn="0" w:oddVBand="0" w:evenVBand="0" w:oddHBand="0" w:evenHBand="0" w:firstRowFirstColumn="0" w:firstRowLastColumn="0" w:lastRowFirstColumn="0" w:lastRowLastColumn="0"/>
            </w:pPr>
            <w:r w:rsidRPr="006919A9">
              <w:t>Cost</w:t>
            </w:r>
          </w:p>
        </w:tc>
        <w:tc>
          <w:tcPr>
            <w:tcW w:w="889" w:type="pct"/>
            <w:tcBorders>
              <w:top w:val="single" w:sz="4" w:space="0" w:color="auto"/>
              <w:left w:val="single" w:sz="4" w:space="0" w:color="auto"/>
              <w:bottom w:val="single" w:sz="4" w:space="0" w:color="auto"/>
              <w:right w:val="single" w:sz="4" w:space="0" w:color="auto"/>
            </w:tcBorders>
            <w:shd w:val="clear" w:color="auto" w:fill="auto"/>
            <w:vAlign w:val="center"/>
          </w:tcPr>
          <w:p w14:paraId="4CF6E619" w14:textId="7E34EF65" w:rsidR="00822AF6" w:rsidRPr="006919A9" w:rsidRDefault="00822AF6" w:rsidP="007C05BD">
            <w:pPr>
              <w:pStyle w:val="Tabletext"/>
              <w:keepNext/>
              <w:keepLines/>
              <w:spacing w:after="0" w:line="240" w:lineRule="auto"/>
              <w:jc w:val="center"/>
              <w:cnfStyle w:val="100000000000" w:firstRow="1" w:lastRow="0" w:firstColumn="0" w:lastColumn="0" w:oddVBand="0" w:evenVBand="0" w:oddHBand="0" w:evenHBand="0" w:firstRowFirstColumn="0" w:firstRowLastColumn="0" w:lastRowFirstColumn="0" w:lastRowLastColumn="0"/>
            </w:pPr>
            <w:r w:rsidRPr="006919A9">
              <w:t>Incremental cost</w:t>
            </w:r>
            <w:r w:rsidR="00E1792E">
              <w:t xml:space="preserve"> </w:t>
            </w:r>
          </w:p>
        </w:tc>
        <w:tc>
          <w:tcPr>
            <w:tcW w:w="943" w:type="pct"/>
            <w:tcBorders>
              <w:top w:val="single" w:sz="4" w:space="0" w:color="auto"/>
              <w:left w:val="single" w:sz="4" w:space="0" w:color="auto"/>
              <w:bottom w:val="single" w:sz="4" w:space="0" w:color="auto"/>
              <w:right w:val="single" w:sz="4" w:space="0" w:color="auto"/>
            </w:tcBorders>
            <w:shd w:val="clear" w:color="auto" w:fill="auto"/>
            <w:vAlign w:val="center"/>
          </w:tcPr>
          <w:p w14:paraId="36E63E86" w14:textId="77777777" w:rsidR="00822AF6" w:rsidRPr="006919A9" w:rsidRDefault="00822AF6" w:rsidP="007C05BD">
            <w:pPr>
              <w:pStyle w:val="Tabletext"/>
              <w:keepNext/>
              <w:keepLines/>
              <w:spacing w:after="0" w:line="240" w:lineRule="auto"/>
              <w:jc w:val="center"/>
              <w:cnfStyle w:val="100000000000" w:firstRow="1" w:lastRow="0" w:firstColumn="0" w:lastColumn="0" w:oddVBand="0" w:evenVBand="0" w:oddHBand="0" w:evenHBand="0" w:firstRowFirstColumn="0" w:firstRowLastColumn="0" w:lastRowFirstColumn="0" w:lastRowLastColumn="0"/>
            </w:pPr>
            <w:r w:rsidRPr="006919A9">
              <w:t>Effectiveness</w:t>
            </w:r>
          </w:p>
        </w:tc>
        <w:tc>
          <w:tcPr>
            <w:tcW w:w="864" w:type="pct"/>
            <w:tcBorders>
              <w:top w:val="single" w:sz="4" w:space="0" w:color="auto"/>
              <w:left w:val="single" w:sz="4" w:space="0" w:color="auto"/>
              <w:bottom w:val="single" w:sz="4" w:space="0" w:color="auto"/>
              <w:right w:val="single" w:sz="4" w:space="0" w:color="auto"/>
            </w:tcBorders>
            <w:shd w:val="clear" w:color="auto" w:fill="auto"/>
            <w:vAlign w:val="center"/>
          </w:tcPr>
          <w:p w14:paraId="39F974AB" w14:textId="77777777" w:rsidR="00822AF6" w:rsidRPr="006919A9" w:rsidRDefault="00822AF6" w:rsidP="007C05BD">
            <w:pPr>
              <w:pStyle w:val="Tabletext"/>
              <w:keepNext/>
              <w:keepLines/>
              <w:spacing w:after="0" w:line="240" w:lineRule="auto"/>
              <w:jc w:val="center"/>
              <w:cnfStyle w:val="100000000000" w:firstRow="1" w:lastRow="0" w:firstColumn="0" w:lastColumn="0" w:oddVBand="0" w:evenVBand="0" w:oddHBand="0" w:evenHBand="0" w:firstRowFirstColumn="0" w:firstRowLastColumn="0" w:lastRowFirstColumn="0" w:lastRowLastColumn="0"/>
            </w:pPr>
            <w:r w:rsidRPr="006919A9">
              <w:t>Incremental effectiveness</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14:paraId="31FDA3BB" w14:textId="77777777" w:rsidR="00822AF6" w:rsidRPr="006919A9" w:rsidRDefault="00822AF6" w:rsidP="007C05BD">
            <w:pPr>
              <w:pStyle w:val="Tabletext"/>
              <w:keepNext/>
              <w:keepLines/>
              <w:spacing w:after="0" w:line="240" w:lineRule="auto"/>
              <w:jc w:val="center"/>
              <w:cnfStyle w:val="100000000000" w:firstRow="1" w:lastRow="0" w:firstColumn="0" w:lastColumn="0" w:oddVBand="0" w:evenVBand="0" w:oddHBand="0" w:evenHBand="0" w:firstRowFirstColumn="0" w:firstRowLastColumn="0" w:lastRowFirstColumn="0" w:lastRowLastColumn="0"/>
            </w:pPr>
            <w:r w:rsidRPr="006919A9">
              <w:t>ICER</w:t>
            </w:r>
          </w:p>
        </w:tc>
      </w:tr>
      <w:tr w:rsidR="006919A9" w:rsidRPr="006919A9" w14:paraId="2B3FA105" w14:textId="77777777" w:rsidTr="007C05BD">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auto"/>
            </w:tcBorders>
            <w:shd w:val="clear" w:color="auto" w:fill="auto"/>
            <w:vAlign w:val="center"/>
          </w:tcPr>
          <w:p w14:paraId="274C0A9B" w14:textId="77777777" w:rsidR="00822AF6" w:rsidRPr="006919A9" w:rsidRDefault="00822AF6" w:rsidP="007C05BD">
            <w:pPr>
              <w:pStyle w:val="Tabletext"/>
              <w:keepNext/>
              <w:keepLines/>
              <w:spacing w:after="0" w:line="240" w:lineRule="auto"/>
            </w:pPr>
            <w:r w:rsidRPr="006919A9">
              <w:t>Step 1 – within trial analysis (cost/LY gained)</w:t>
            </w:r>
          </w:p>
        </w:tc>
      </w:tr>
      <w:tr w:rsidR="006919A9" w:rsidRPr="006919A9" w14:paraId="0FB3FC9E" w14:textId="77777777" w:rsidTr="00AB337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pct"/>
            <w:shd w:val="clear" w:color="auto" w:fill="auto"/>
            <w:vAlign w:val="center"/>
          </w:tcPr>
          <w:p w14:paraId="431105F2" w14:textId="77777777" w:rsidR="00822AF6" w:rsidRPr="006919A9" w:rsidRDefault="00822AF6" w:rsidP="007C05BD">
            <w:pPr>
              <w:pStyle w:val="Tabletext"/>
              <w:keepNext/>
              <w:keepLines/>
              <w:spacing w:after="0" w:line="240" w:lineRule="auto"/>
            </w:pPr>
            <w:r w:rsidRPr="006919A9">
              <w:t>Pembrolizumab</w:t>
            </w:r>
          </w:p>
        </w:tc>
        <w:tc>
          <w:tcPr>
            <w:tcW w:w="683" w:type="pct"/>
            <w:shd w:val="clear" w:color="auto" w:fill="auto"/>
            <w:vAlign w:val="center"/>
          </w:tcPr>
          <w:p w14:paraId="7F1DF98A" w14:textId="72B744E6" w:rsidR="00822AF6" w:rsidRPr="006919A9" w:rsidRDefault="00822AF6" w:rsidP="007C05BD">
            <w:pPr>
              <w:pStyle w:val="Tabletext"/>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pPr>
            <w:r w:rsidRPr="006919A9">
              <w:t>$</w:t>
            </w:r>
            <w:r w:rsidR="00BB281C" w:rsidRPr="00BB281C">
              <w:rPr>
                <w:color w:val="000000"/>
                <w:spacing w:val="109"/>
                <w:shd w:val="solid" w:color="000000" w:fill="000000"/>
                <w:fitText w:val="195" w:id="-1234422525"/>
                <w14:textFill>
                  <w14:solidFill>
                    <w14:srgbClr w14:val="000000">
                      <w14:alpha w14:val="100000"/>
                    </w14:srgbClr>
                  </w14:solidFill>
                </w14:textFill>
              </w:rPr>
              <w:t>|</w:t>
            </w:r>
            <w:r w:rsidR="00BB281C" w:rsidRPr="00BB281C">
              <w:rPr>
                <w:color w:val="000000"/>
                <w:spacing w:val="1"/>
                <w:shd w:val="solid" w:color="000000" w:fill="000000"/>
                <w:fitText w:val="195" w:id="-1234422525"/>
                <w14:textFill>
                  <w14:solidFill>
                    <w14:srgbClr w14:val="000000">
                      <w14:alpha w14:val="100000"/>
                    </w14:srgbClr>
                  </w14:solidFill>
                </w14:textFill>
              </w:rPr>
              <w:t>|</w:t>
            </w:r>
          </w:p>
        </w:tc>
        <w:tc>
          <w:tcPr>
            <w:tcW w:w="889" w:type="pct"/>
            <w:vMerge w:val="restart"/>
            <w:shd w:val="clear" w:color="auto" w:fill="auto"/>
            <w:vAlign w:val="center"/>
          </w:tcPr>
          <w:p w14:paraId="3BFB212A" w14:textId="7B7E3561" w:rsidR="00822AF6" w:rsidRPr="006919A9" w:rsidRDefault="00822AF6" w:rsidP="007C05BD">
            <w:pPr>
              <w:pStyle w:val="Tabletext"/>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pPr>
            <w:r w:rsidRPr="006919A9">
              <w:t>$</w:t>
            </w:r>
            <w:r w:rsidR="00BB281C" w:rsidRPr="00740AEA">
              <w:rPr>
                <w:rFonts w:hint="eastAsia"/>
                <w:color w:val="000000"/>
                <w:w w:val="15"/>
                <w:shd w:val="solid" w:color="000000" w:fill="000000"/>
                <w:fitText w:val="11" w:id="-1234422524"/>
                <w14:textFill>
                  <w14:solidFill>
                    <w14:srgbClr w14:val="000000">
                      <w14:alpha w14:val="100000"/>
                    </w14:srgbClr>
                  </w14:solidFill>
                </w14:textFill>
              </w:rPr>
              <w:t xml:space="preserve">　</w:t>
            </w:r>
            <w:r w:rsidR="00BB281C" w:rsidRPr="00740AEA">
              <w:rPr>
                <w:color w:val="000000"/>
                <w:w w:val="15"/>
                <w:shd w:val="solid" w:color="000000" w:fill="000000"/>
                <w:fitText w:val="11" w:id="-1234422524"/>
                <w14:textFill>
                  <w14:solidFill>
                    <w14:srgbClr w14:val="000000">
                      <w14:alpha w14:val="100000"/>
                    </w14:srgbClr>
                  </w14:solidFill>
                </w14:textFill>
              </w:rPr>
              <w:t>|</w:t>
            </w:r>
            <w:r w:rsidR="00BB281C" w:rsidRPr="00740AEA">
              <w:rPr>
                <w:rFonts w:hint="eastAsia"/>
                <w:color w:val="000000"/>
                <w:spacing w:val="-54"/>
                <w:w w:val="15"/>
                <w:shd w:val="solid" w:color="000000" w:fill="000000"/>
                <w:fitText w:val="11" w:id="-1234422524"/>
                <w14:textFill>
                  <w14:solidFill>
                    <w14:srgbClr w14:val="000000">
                      <w14:alpha w14:val="100000"/>
                    </w14:srgbClr>
                  </w14:solidFill>
                </w14:textFill>
              </w:rPr>
              <w:t xml:space="preserve">　</w:t>
            </w:r>
          </w:p>
        </w:tc>
        <w:tc>
          <w:tcPr>
            <w:tcW w:w="943" w:type="pct"/>
            <w:shd w:val="clear" w:color="auto" w:fill="auto"/>
            <w:vAlign w:val="center"/>
          </w:tcPr>
          <w:p w14:paraId="2C340FD1" w14:textId="77777777" w:rsidR="00822AF6" w:rsidRPr="005767EF" w:rsidRDefault="00822AF6" w:rsidP="007C05BD">
            <w:pPr>
              <w:pStyle w:val="Tabletext"/>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pPr>
            <w:r w:rsidRPr="005767EF">
              <w:t xml:space="preserve">2.74 </w:t>
            </w:r>
          </w:p>
        </w:tc>
        <w:tc>
          <w:tcPr>
            <w:tcW w:w="864" w:type="pct"/>
            <w:vMerge w:val="restart"/>
            <w:shd w:val="clear" w:color="auto" w:fill="auto"/>
            <w:vAlign w:val="center"/>
          </w:tcPr>
          <w:p w14:paraId="644F8A4F" w14:textId="77777777" w:rsidR="00822AF6" w:rsidRPr="006919A9" w:rsidRDefault="00822AF6" w:rsidP="007C05BD">
            <w:pPr>
              <w:pStyle w:val="Tabletext"/>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pPr>
            <w:r w:rsidRPr="006919A9">
              <w:t>0.02</w:t>
            </w:r>
          </w:p>
        </w:tc>
        <w:tc>
          <w:tcPr>
            <w:tcW w:w="758" w:type="pct"/>
            <w:vMerge w:val="restart"/>
            <w:shd w:val="clear" w:color="auto" w:fill="auto"/>
            <w:vAlign w:val="center"/>
          </w:tcPr>
          <w:p w14:paraId="5A79DA2E" w14:textId="2E4D3374" w:rsidR="00822AF6" w:rsidRPr="006919A9" w:rsidRDefault="00822AF6" w:rsidP="007C05BD">
            <w:pPr>
              <w:pStyle w:val="Tabletext"/>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pPr>
            <w:r w:rsidRPr="006919A9">
              <w:t>$</w:t>
            </w:r>
            <w:r w:rsidR="00BB281C" w:rsidRPr="00BB281C">
              <w:rPr>
                <w:color w:val="000000"/>
                <w:spacing w:val="75"/>
                <w:shd w:val="solid" w:color="000000" w:fill="000000"/>
                <w:fitText w:val="161" w:id="-1234422523"/>
                <w14:textFill>
                  <w14:solidFill>
                    <w14:srgbClr w14:val="000000">
                      <w14:alpha w14:val="100000"/>
                    </w14:srgbClr>
                  </w14:solidFill>
                </w14:textFill>
              </w:rPr>
              <w:t>|</w:t>
            </w:r>
            <w:r w:rsidR="00BB281C" w:rsidRPr="00BB281C">
              <w:rPr>
                <w:color w:val="000000"/>
                <w:spacing w:val="1"/>
                <w:shd w:val="solid" w:color="000000" w:fill="000000"/>
                <w:fitText w:val="161" w:id="-1234422523"/>
                <w14:textFill>
                  <w14:solidFill>
                    <w14:srgbClr w14:val="000000">
                      <w14:alpha w14:val="100000"/>
                    </w14:srgbClr>
                  </w14:solidFill>
                </w14:textFill>
              </w:rPr>
              <w:t>|</w:t>
            </w:r>
            <w:r w:rsidR="00B101C4" w:rsidRPr="00B101C4">
              <w:rPr>
                <w:vertAlign w:val="superscript"/>
              </w:rPr>
              <w:t>1</w:t>
            </w:r>
          </w:p>
        </w:tc>
      </w:tr>
      <w:tr w:rsidR="006919A9" w:rsidRPr="006919A9" w14:paraId="3B4A2C98" w14:textId="77777777" w:rsidTr="00AB337D">
        <w:tc>
          <w:tcPr>
            <w:cnfStyle w:val="001000000000" w:firstRow="0" w:lastRow="0" w:firstColumn="1" w:lastColumn="0" w:oddVBand="0" w:evenVBand="0" w:oddHBand="0" w:evenHBand="0" w:firstRowFirstColumn="0" w:firstRowLastColumn="0" w:lastRowFirstColumn="0" w:lastRowLastColumn="0"/>
            <w:tcW w:w="862" w:type="pct"/>
            <w:shd w:val="clear" w:color="auto" w:fill="auto"/>
            <w:vAlign w:val="center"/>
          </w:tcPr>
          <w:p w14:paraId="06EEEE14" w14:textId="77777777" w:rsidR="00822AF6" w:rsidRPr="006919A9" w:rsidRDefault="00822AF6" w:rsidP="007C05BD">
            <w:pPr>
              <w:pStyle w:val="Tabletext"/>
              <w:keepNext/>
              <w:keepLines/>
              <w:spacing w:after="0" w:line="240" w:lineRule="auto"/>
            </w:pPr>
            <w:r w:rsidRPr="006919A9">
              <w:t>Chemotherapy</w:t>
            </w:r>
          </w:p>
        </w:tc>
        <w:tc>
          <w:tcPr>
            <w:tcW w:w="683" w:type="pct"/>
            <w:shd w:val="clear" w:color="auto" w:fill="auto"/>
            <w:vAlign w:val="center"/>
          </w:tcPr>
          <w:p w14:paraId="17301CFB" w14:textId="77777777" w:rsidR="00822AF6" w:rsidRPr="005767EF" w:rsidRDefault="00822AF6" w:rsidP="007C05BD">
            <w:pPr>
              <w:pStyle w:val="Tabletext"/>
              <w:keepNext/>
              <w:keepLines/>
              <w:spacing w:after="0" w:line="240" w:lineRule="auto"/>
              <w:jc w:val="center"/>
              <w:cnfStyle w:val="000000000000" w:firstRow="0" w:lastRow="0" w:firstColumn="0" w:lastColumn="0" w:oddVBand="0" w:evenVBand="0" w:oddHBand="0" w:evenHBand="0" w:firstRowFirstColumn="0" w:firstRowLastColumn="0" w:lastRowFirstColumn="0" w:lastRowLastColumn="0"/>
            </w:pPr>
            <w:r w:rsidRPr="005767EF">
              <w:t>$9,879</w:t>
            </w:r>
          </w:p>
        </w:tc>
        <w:tc>
          <w:tcPr>
            <w:tcW w:w="889" w:type="pct"/>
            <w:vMerge/>
            <w:shd w:val="clear" w:color="auto" w:fill="auto"/>
            <w:vAlign w:val="center"/>
          </w:tcPr>
          <w:p w14:paraId="2BD48700" w14:textId="77777777" w:rsidR="00822AF6" w:rsidRPr="006919A9" w:rsidRDefault="00822AF6" w:rsidP="007C05BD">
            <w:pPr>
              <w:pStyle w:val="Tabletext"/>
              <w:keepNext/>
              <w:keepLines/>
              <w:spacing w:after="0" w:line="240" w:lineRule="auto"/>
              <w:jc w:val="center"/>
              <w:cnfStyle w:val="000000000000" w:firstRow="0" w:lastRow="0" w:firstColumn="0" w:lastColumn="0" w:oddVBand="0" w:evenVBand="0" w:oddHBand="0" w:evenHBand="0" w:firstRowFirstColumn="0" w:firstRowLastColumn="0" w:lastRowFirstColumn="0" w:lastRowLastColumn="0"/>
            </w:pPr>
          </w:p>
        </w:tc>
        <w:tc>
          <w:tcPr>
            <w:tcW w:w="943" w:type="pct"/>
            <w:shd w:val="clear" w:color="auto" w:fill="auto"/>
            <w:vAlign w:val="center"/>
          </w:tcPr>
          <w:p w14:paraId="134BDF39" w14:textId="77777777" w:rsidR="00822AF6" w:rsidRPr="005767EF" w:rsidRDefault="00822AF6" w:rsidP="007C05BD">
            <w:pPr>
              <w:pStyle w:val="Tabletext"/>
              <w:keepNext/>
              <w:keepLines/>
              <w:spacing w:after="0" w:line="240" w:lineRule="auto"/>
              <w:jc w:val="center"/>
              <w:cnfStyle w:val="000000000000" w:firstRow="0" w:lastRow="0" w:firstColumn="0" w:lastColumn="0" w:oddVBand="0" w:evenVBand="0" w:oddHBand="0" w:evenHBand="0" w:firstRowFirstColumn="0" w:firstRowLastColumn="0" w:lastRowFirstColumn="0" w:lastRowLastColumn="0"/>
            </w:pPr>
            <w:r w:rsidRPr="005767EF">
              <w:t xml:space="preserve">2.72 </w:t>
            </w:r>
          </w:p>
        </w:tc>
        <w:tc>
          <w:tcPr>
            <w:tcW w:w="864" w:type="pct"/>
            <w:vMerge/>
            <w:shd w:val="clear" w:color="auto" w:fill="auto"/>
            <w:vAlign w:val="center"/>
          </w:tcPr>
          <w:p w14:paraId="60BF477A" w14:textId="77777777" w:rsidR="00822AF6" w:rsidRPr="006919A9" w:rsidRDefault="00822AF6" w:rsidP="007C05BD">
            <w:pPr>
              <w:pStyle w:val="Tabletext"/>
              <w:keepNext/>
              <w:keepLines/>
              <w:spacing w:after="0" w:line="240" w:lineRule="auto"/>
              <w:jc w:val="center"/>
              <w:cnfStyle w:val="000000000000" w:firstRow="0" w:lastRow="0" w:firstColumn="0" w:lastColumn="0" w:oddVBand="0" w:evenVBand="0" w:oddHBand="0" w:evenHBand="0" w:firstRowFirstColumn="0" w:firstRowLastColumn="0" w:lastRowFirstColumn="0" w:lastRowLastColumn="0"/>
            </w:pPr>
          </w:p>
        </w:tc>
        <w:tc>
          <w:tcPr>
            <w:tcW w:w="758" w:type="pct"/>
            <w:vMerge/>
            <w:shd w:val="clear" w:color="auto" w:fill="auto"/>
            <w:vAlign w:val="center"/>
          </w:tcPr>
          <w:p w14:paraId="2525EEE2" w14:textId="77777777" w:rsidR="00822AF6" w:rsidRPr="006919A9" w:rsidRDefault="00822AF6" w:rsidP="007C05BD">
            <w:pPr>
              <w:pStyle w:val="Tabletext"/>
              <w:keepNext/>
              <w:keepLines/>
              <w:spacing w:after="0" w:line="240" w:lineRule="auto"/>
              <w:jc w:val="center"/>
              <w:cnfStyle w:val="000000000000" w:firstRow="0" w:lastRow="0" w:firstColumn="0" w:lastColumn="0" w:oddVBand="0" w:evenVBand="0" w:oddHBand="0" w:evenHBand="0" w:firstRowFirstColumn="0" w:firstRowLastColumn="0" w:lastRowFirstColumn="0" w:lastRowLastColumn="0"/>
            </w:pPr>
          </w:p>
        </w:tc>
      </w:tr>
      <w:tr w:rsidR="006919A9" w:rsidRPr="006919A9" w14:paraId="61D91A10" w14:textId="77777777" w:rsidTr="007C05B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auto"/>
            <w:vAlign w:val="center"/>
          </w:tcPr>
          <w:p w14:paraId="279D8A8D" w14:textId="77777777" w:rsidR="00822AF6" w:rsidRPr="005767EF" w:rsidRDefault="00822AF6" w:rsidP="007C05BD">
            <w:pPr>
              <w:pStyle w:val="Tabletext"/>
              <w:keepNext/>
              <w:keepLines/>
              <w:spacing w:after="0" w:line="240" w:lineRule="auto"/>
            </w:pPr>
            <w:r w:rsidRPr="005767EF">
              <w:t>Step 2 – 30-year time horizon (cost/LY gained)</w:t>
            </w:r>
          </w:p>
        </w:tc>
      </w:tr>
      <w:tr w:rsidR="006919A9" w:rsidRPr="006919A9" w14:paraId="3E4A3A89" w14:textId="77777777" w:rsidTr="00AB337D">
        <w:tc>
          <w:tcPr>
            <w:cnfStyle w:val="001000000000" w:firstRow="0" w:lastRow="0" w:firstColumn="1" w:lastColumn="0" w:oddVBand="0" w:evenVBand="0" w:oddHBand="0" w:evenHBand="0" w:firstRowFirstColumn="0" w:firstRowLastColumn="0" w:lastRowFirstColumn="0" w:lastRowLastColumn="0"/>
            <w:tcW w:w="862" w:type="pct"/>
            <w:shd w:val="clear" w:color="auto" w:fill="auto"/>
            <w:vAlign w:val="center"/>
          </w:tcPr>
          <w:p w14:paraId="60C9C5A8" w14:textId="77777777" w:rsidR="00822AF6" w:rsidRPr="006919A9" w:rsidRDefault="00822AF6" w:rsidP="007C05BD">
            <w:pPr>
              <w:pStyle w:val="Tabletext"/>
              <w:keepNext/>
              <w:keepLines/>
              <w:spacing w:after="0" w:line="240" w:lineRule="auto"/>
            </w:pPr>
            <w:r w:rsidRPr="006919A9">
              <w:t>Pembrolizumab</w:t>
            </w:r>
          </w:p>
        </w:tc>
        <w:tc>
          <w:tcPr>
            <w:tcW w:w="683" w:type="pct"/>
            <w:shd w:val="clear" w:color="auto" w:fill="auto"/>
            <w:vAlign w:val="center"/>
          </w:tcPr>
          <w:p w14:paraId="37B0A2D0" w14:textId="0CC5B9B9" w:rsidR="00822AF6" w:rsidRPr="006919A9" w:rsidRDefault="00822AF6" w:rsidP="007C05BD">
            <w:pPr>
              <w:pStyle w:val="Tabletext"/>
              <w:keepNext/>
              <w:keepLines/>
              <w:spacing w:after="0" w:line="240" w:lineRule="auto"/>
              <w:jc w:val="center"/>
              <w:cnfStyle w:val="000000000000" w:firstRow="0" w:lastRow="0" w:firstColumn="0" w:lastColumn="0" w:oddVBand="0" w:evenVBand="0" w:oddHBand="0" w:evenHBand="0" w:firstRowFirstColumn="0" w:firstRowLastColumn="0" w:lastRowFirstColumn="0" w:lastRowLastColumn="0"/>
            </w:pPr>
            <w:r w:rsidRPr="006919A9">
              <w:t>$</w:t>
            </w:r>
            <w:r w:rsidR="00BB281C" w:rsidRPr="00BB281C">
              <w:rPr>
                <w:color w:val="000000"/>
                <w:spacing w:val="109"/>
                <w:shd w:val="solid" w:color="000000" w:fill="000000"/>
                <w:fitText w:val="195" w:id="-1234422522"/>
                <w14:textFill>
                  <w14:solidFill>
                    <w14:srgbClr w14:val="000000">
                      <w14:alpha w14:val="100000"/>
                    </w14:srgbClr>
                  </w14:solidFill>
                </w14:textFill>
              </w:rPr>
              <w:t>|</w:t>
            </w:r>
            <w:r w:rsidR="00BB281C" w:rsidRPr="00BB281C">
              <w:rPr>
                <w:color w:val="000000"/>
                <w:spacing w:val="1"/>
                <w:shd w:val="solid" w:color="000000" w:fill="000000"/>
                <w:fitText w:val="195" w:id="-1234422522"/>
                <w14:textFill>
                  <w14:solidFill>
                    <w14:srgbClr w14:val="000000">
                      <w14:alpha w14:val="100000"/>
                    </w14:srgbClr>
                  </w14:solidFill>
                </w14:textFill>
              </w:rPr>
              <w:t>|</w:t>
            </w:r>
          </w:p>
        </w:tc>
        <w:tc>
          <w:tcPr>
            <w:tcW w:w="889" w:type="pct"/>
            <w:vMerge w:val="restart"/>
            <w:shd w:val="clear" w:color="auto" w:fill="auto"/>
            <w:vAlign w:val="center"/>
          </w:tcPr>
          <w:p w14:paraId="0E62C4CE" w14:textId="489F127A" w:rsidR="00822AF6" w:rsidRPr="006919A9" w:rsidRDefault="00822AF6" w:rsidP="007C05BD">
            <w:pPr>
              <w:pStyle w:val="Tabletext"/>
              <w:keepNext/>
              <w:keepLines/>
              <w:spacing w:after="0" w:line="240" w:lineRule="auto"/>
              <w:jc w:val="center"/>
              <w:cnfStyle w:val="000000000000" w:firstRow="0" w:lastRow="0" w:firstColumn="0" w:lastColumn="0" w:oddVBand="0" w:evenVBand="0" w:oddHBand="0" w:evenHBand="0" w:firstRowFirstColumn="0" w:firstRowLastColumn="0" w:lastRowFirstColumn="0" w:lastRowLastColumn="0"/>
            </w:pPr>
            <w:r w:rsidRPr="006919A9">
              <w:t>$</w:t>
            </w:r>
            <w:r w:rsidR="00BB281C" w:rsidRPr="00740AEA">
              <w:rPr>
                <w:rFonts w:hint="eastAsia"/>
                <w:color w:val="000000"/>
                <w:w w:val="15"/>
                <w:shd w:val="solid" w:color="000000" w:fill="000000"/>
                <w:fitText w:val="11" w:id="-1234422521"/>
                <w14:textFill>
                  <w14:solidFill>
                    <w14:srgbClr w14:val="000000">
                      <w14:alpha w14:val="100000"/>
                    </w14:srgbClr>
                  </w14:solidFill>
                </w14:textFill>
              </w:rPr>
              <w:t xml:space="preserve">　</w:t>
            </w:r>
            <w:r w:rsidR="00BB281C" w:rsidRPr="00740AEA">
              <w:rPr>
                <w:color w:val="000000"/>
                <w:w w:val="15"/>
                <w:shd w:val="solid" w:color="000000" w:fill="000000"/>
                <w:fitText w:val="11" w:id="-1234422521"/>
                <w14:textFill>
                  <w14:solidFill>
                    <w14:srgbClr w14:val="000000">
                      <w14:alpha w14:val="100000"/>
                    </w14:srgbClr>
                  </w14:solidFill>
                </w14:textFill>
              </w:rPr>
              <w:t>|</w:t>
            </w:r>
            <w:r w:rsidR="00BB281C" w:rsidRPr="00740AEA">
              <w:rPr>
                <w:rFonts w:hint="eastAsia"/>
                <w:color w:val="000000"/>
                <w:spacing w:val="-54"/>
                <w:w w:val="15"/>
                <w:shd w:val="solid" w:color="000000" w:fill="000000"/>
                <w:fitText w:val="11" w:id="-1234422521"/>
                <w14:textFill>
                  <w14:solidFill>
                    <w14:srgbClr w14:val="000000">
                      <w14:alpha w14:val="100000"/>
                    </w14:srgbClr>
                  </w14:solidFill>
                </w14:textFill>
              </w:rPr>
              <w:t xml:space="preserve">　</w:t>
            </w:r>
          </w:p>
        </w:tc>
        <w:tc>
          <w:tcPr>
            <w:tcW w:w="943" w:type="pct"/>
            <w:shd w:val="clear" w:color="auto" w:fill="auto"/>
            <w:vAlign w:val="center"/>
          </w:tcPr>
          <w:p w14:paraId="7E24D1FF" w14:textId="77777777" w:rsidR="00822AF6" w:rsidRPr="005767EF" w:rsidRDefault="00822AF6" w:rsidP="007C05BD">
            <w:pPr>
              <w:pStyle w:val="Tabletext"/>
              <w:keepNext/>
              <w:keepLines/>
              <w:spacing w:after="0" w:line="240" w:lineRule="auto"/>
              <w:jc w:val="center"/>
              <w:cnfStyle w:val="000000000000" w:firstRow="0" w:lastRow="0" w:firstColumn="0" w:lastColumn="0" w:oddVBand="0" w:evenVBand="0" w:oddHBand="0" w:evenHBand="0" w:firstRowFirstColumn="0" w:firstRowLastColumn="0" w:lastRowFirstColumn="0" w:lastRowLastColumn="0"/>
            </w:pPr>
            <w:r w:rsidRPr="005767EF">
              <w:t>12.65</w:t>
            </w:r>
          </w:p>
        </w:tc>
        <w:tc>
          <w:tcPr>
            <w:tcW w:w="864" w:type="pct"/>
            <w:vMerge w:val="restart"/>
            <w:shd w:val="clear" w:color="auto" w:fill="auto"/>
            <w:vAlign w:val="center"/>
          </w:tcPr>
          <w:p w14:paraId="6599288F" w14:textId="77777777" w:rsidR="00822AF6" w:rsidRPr="006919A9" w:rsidRDefault="00822AF6" w:rsidP="007C05BD">
            <w:pPr>
              <w:pStyle w:val="Tabletext"/>
              <w:keepNext/>
              <w:keepLines/>
              <w:spacing w:after="0" w:line="240" w:lineRule="auto"/>
              <w:jc w:val="center"/>
              <w:cnfStyle w:val="000000000000" w:firstRow="0" w:lastRow="0" w:firstColumn="0" w:lastColumn="0" w:oddVBand="0" w:evenVBand="0" w:oddHBand="0" w:evenHBand="0" w:firstRowFirstColumn="0" w:firstRowLastColumn="0" w:lastRowFirstColumn="0" w:lastRowLastColumn="0"/>
            </w:pPr>
            <w:r w:rsidRPr="006919A9">
              <w:t>2.09</w:t>
            </w:r>
          </w:p>
        </w:tc>
        <w:tc>
          <w:tcPr>
            <w:tcW w:w="758" w:type="pct"/>
            <w:vMerge w:val="restart"/>
            <w:shd w:val="clear" w:color="auto" w:fill="auto"/>
            <w:vAlign w:val="center"/>
          </w:tcPr>
          <w:p w14:paraId="3FB5D8C8" w14:textId="1F30B731" w:rsidR="00822AF6" w:rsidRPr="006919A9" w:rsidRDefault="00822AF6" w:rsidP="007C05BD">
            <w:pPr>
              <w:pStyle w:val="Tabletext"/>
              <w:keepNext/>
              <w:keepLines/>
              <w:spacing w:after="0" w:line="240" w:lineRule="auto"/>
              <w:jc w:val="center"/>
              <w:cnfStyle w:val="000000000000" w:firstRow="0" w:lastRow="0" w:firstColumn="0" w:lastColumn="0" w:oddVBand="0" w:evenVBand="0" w:oddHBand="0" w:evenHBand="0" w:firstRowFirstColumn="0" w:firstRowLastColumn="0" w:lastRowFirstColumn="0" w:lastRowLastColumn="0"/>
            </w:pPr>
            <w:r w:rsidRPr="006919A9">
              <w:t>$</w:t>
            </w:r>
            <w:r w:rsidR="00BB281C" w:rsidRPr="00BB281C">
              <w:rPr>
                <w:color w:val="000000"/>
                <w:spacing w:val="75"/>
                <w:shd w:val="solid" w:color="000000" w:fill="000000"/>
                <w:fitText w:val="161" w:id="-1234422520"/>
                <w14:textFill>
                  <w14:solidFill>
                    <w14:srgbClr w14:val="000000">
                      <w14:alpha w14:val="100000"/>
                    </w14:srgbClr>
                  </w14:solidFill>
                </w14:textFill>
              </w:rPr>
              <w:t>|</w:t>
            </w:r>
            <w:r w:rsidR="00BB281C" w:rsidRPr="00BB281C">
              <w:rPr>
                <w:color w:val="000000"/>
                <w:spacing w:val="1"/>
                <w:shd w:val="solid" w:color="000000" w:fill="000000"/>
                <w:fitText w:val="161" w:id="-1234422520"/>
                <w14:textFill>
                  <w14:solidFill>
                    <w14:srgbClr w14:val="000000">
                      <w14:alpha w14:val="100000"/>
                    </w14:srgbClr>
                  </w14:solidFill>
                </w14:textFill>
              </w:rPr>
              <w:t>|</w:t>
            </w:r>
            <w:r w:rsidR="00B101C4" w:rsidRPr="00B101C4">
              <w:rPr>
                <w:vertAlign w:val="superscript"/>
              </w:rPr>
              <w:t>2</w:t>
            </w:r>
          </w:p>
        </w:tc>
      </w:tr>
      <w:tr w:rsidR="006919A9" w:rsidRPr="006919A9" w14:paraId="057A9A35" w14:textId="77777777" w:rsidTr="00AB337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pct"/>
            <w:shd w:val="clear" w:color="auto" w:fill="auto"/>
            <w:vAlign w:val="center"/>
          </w:tcPr>
          <w:p w14:paraId="40B4775B" w14:textId="77777777" w:rsidR="00822AF6" w:rsidRPr="006919A9" w:rsidRDefault="00822AF6" w:rsidP="007C05BD">
            <w:pPr>
              <w:pStyle w:val="Tabletext"/>
              <w:keepNext/>
              <w:keepLines/>
              <w:spacing w:after="0" w:line="240" w:lineRule="auto"/>
            </w:pPr>
            <w:r w:rsidRPr="006919A9">
              <w:t>Chemotherapy</w:t>
            </w:r>
          </w:p>
        </w:tc>
        <w:tc>
          <w:tcPr>
            <w:tcW w:w="683" w:type="pct"/>
            <w:shd w:val="clear" w:color="auto" w:fill="auto"/>
            <w:vAlign w:val="center"/>
          </w:tcPr>
          <w:p w14:paraId="6653B2E0" w14:textId="77777777" w:rsidR="00822AF6" w:rsidRPr="006919A9" w:rsidRDefault="00822AF6" w:rsidP="007C05BD">
            <w:pPr>
              <w:pStyle w:val="Tabletext"/>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pPr>
            <w:r w:rsidRPr="005767EF">
              <w:t>$15,912</w:t>
            </w:r>
          </w:p>
        </w:tc>
        <w:tc>
          <w:tcPr>
            <w:tcW w:w="889" w:type="pct"/>
            <w:vMerge/>
            <w:shd w:val="clear" w:color="auto" w:fill="auto"/>
            <w:vAlign w:val="center"/>
          </w:tcPr>
          <w:p w14:paraId="34022CE4" w14:textId="77777777" w:rsidR="00822AF6" w:rsidRPr="006919A9" w:rsidRDefault="00822AF6" w:rsidP="007C05BD">
            <w:pPr>
              <w:pStyle w:val="Tabletext"/>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pPr>
          </w:p>
        </w:tc>
        <w:tc>
          <w:tcPr>
            <w:tcW w:w="943" w:type="pct"/>
            <w:shd w:val="clear" w:color="auto" w:fill="auto"/>
            <w:vAlign w:val="center"/>
          </w:tcPr>
          <w:p w14:paraId="528107C9" w14:textId="77777777" w:rsidR="00822AF6" w:rsidRPr="005767EF" w:rsidRDefault="00822AF6" w:rsidP="007C05BD">
            <w:pPr>
              <w:pStyle w:val="Tabletext"/>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pPr>
            <w:r w:rsidRPr="005767EF">
              <w:t>10.56</w:t>
            </w:r>
          </w:p>
        </w:tc>
        <w:tc>
          <w:tcPr>
            <w:tcW w:w="864" w:type="pct"/>
            <w:vMerge/>
            <w:shd w:val="clear" w:color="auto" w:fill="auto"/>
            <w:vAlign w:val="center"/>
          </w:tcPr>
          <w:p w14:paraId="3B148582" w14:textId="77777777" w:rsidR="00822AF6" w:rsidRPr="006919A9" w:rsidRDefault="00822AF6" w:rsidP="007C05BD">
            <w:pPr>
              <w:pStyle w:val="Tabletext"/>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pPr>
          </w:p>
        </w:tc>
        <w:tc>
          <w:tcPr>
            <w:tcW w:w="758" w:type="pct"/>
            <w:vMerge/>
            <w:shd w:val="clear" w:color="auto" w:fill="auto"/>
            <w:vAlign w:val="center"/>
          </w:tcPr>
          <w:p w14:paraId="1D529DC0" w14:textId="77777777" w:rsidR="00822AF6" w:rsidRPr="006919A9" w:rsidRDefault="00822AF6" w:rsidP="007C05BD">
            <w:pPr>
              <w:pStyle w:val="Tabletext"/>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pPr>
          </w:p>
        </w:tc>
      </w:tr>
      <w:tr w:rsidR="006919A9" w:rsidRPr="006919A9" w14:paraId="3873FB6D" w14:textId="77777777" w:rsidTr="007C05BD">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auto"/>
            <w:vAlign w:val="center"/>
          </w:tcPr>
          <w:p w14:paraId="4B7A935C" w14:textId="77777777" w:rsidR="00822AF6" w:rsidRPr="005767EF" w:rsidRDefault="00822AF6" w:rsidP="007C05BD">
            <w:pPr>
              <w:pStyle w:val="Tabletext"/>
              <w:keepNext/>
              <w:keepLines/>
              <w:spacing w:after="0" w:line="240" w:lineRule="auto"/>
            </w:pPr>
            <w:r w:rsidRPr="005767EF">
              <w:t>Step 3 – include disease management costs (cost/LY gained)</w:t>
            </w:r>
          </w:p>
        </w:tc>
      </w:tr>
      <w:tr w:rsidR="006919A9" w:rsidRPr="006919A9" w14:paraId="3839E148" w14:textId="77777777" w:rsidTr="00AB337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pct"/>
            <w:shd w:val="clear" w:color="auto" w:fill="auto"/>
            <w:vAlign w:val="center"/>
          </w:tcPr>
          <w:p w14:paraId="5481579E" w14:textId="77777777" w:rsidR="00822AF6" w:rsidRPr="006919A9" w:rsidRDefault="00822AF6" w:rsidP="007C05BD">
            <w:pPr>
              <w:pStyle w:val="Tabletext"/>
              <w:keepNext/>
              <w:keepLines/>
              <w:spacing w:after="0" w:line="240" w:lineRule="auto"/>
            </w:pPr>
            <w:r w:rsidRPr="006919A9">
              <w:t>Pembrolizumab</w:t>
            </w:r>
          </w:p>
        </w:tc>
        <w:tc>
          <w:tcPr>
            <w:tcW w:w="683" w:type="pct"/>
            <w:shd w:val="clear" w:color="auto" w:fill="auto"/>
            <w:vAlign w:val="center"/>
          </w:tcPr>
          <w:p w14:paraId="010B2C22" w14:textId="06B23D16" w:rsidR="00822AF6" w:rsidRPr="006919A9" w:rsidRDefault="00822AF6" w:rsidP="007C05BD">
            <w:pPr>
              <w:pStyle w:val="Tabletext"/>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pPr>
            <w:r w:rsidRPr="006919A9">
              <w:t>$</w:t>
            </w:r>
            <w:r w:rsidR="00BB281C" w:rsidRPr="00BB281C">
              <w:rPr>
                <w:color w:val="000000"/>
                <w:spacing w:val="109"/>
                <w:shd w:val="solid" w:color="000000" w:fill="000000"/>
                <w:fitText w:val="195" w:id="-1234422519"/>
                <w14:textFill>
                  <w14:solidFill>
                    <w14:srgbClr w14:val="000000">
                      <w14:alpha w14:val="100000"/>
                    </w14:srgbClr>
                  </w14:solidFill>
                </w14:textFill>
              </w:rPr>
              <w:t>|</w:t>
            </w:r>
            <w:r w:rsidR="00BB281C" w:rsidRPr="00BB281C">
              <w:rPr>
                <w:color w:val="000000"/>
                <w:spacing w:val="1"/>
                <w:shd w:val="solid" w:color="000000" w:fill="000000"/>
                <w:fitText w:val="195" w:id="-1234422519"/>
                <w14:textFill>
                  <w14:solidFill>
                    <w14:srgbClr w14:val="000000">
                      <w14:alpha w14:val="100000"/>
                    </w14:srgbClr>
                  </w14:solidFill>
                </w14:textFill>
              </w:rPr>
              <w:t>|</w:t>
            </w:r>
          </w:p>
        </w:tc>
        <w:tc>
          <w:tcPr>
            <w:tcW w:w="889" w:type="pct"/>
            <w:vMerge w:val="restart"/>
            <w:shd w:val="clear" w:color="auto" w:fill="auto"/>
            <w:vAlign w:val="center"/>
          </w:tcPr>
          <w:p w14:paraId="24A8BEC3" w14:textId="4D2BA5D7" w:rsidR="00822AF6" w:rsidRPr="006919A9" w:rsidRDefault="00822AF6" w:rsidP="007C05BD">
            <w:pPr>
              <w:pStyle w:val="Tabletext"/>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pPr>
            <w:r w:rsidRPr="006919A9">
              <w:t>$</w:t>
            </w:r>
            <w:r w:rsidR="00BB281C" w:rsidRPr="00740AEA">
              <w:rPr>
                <w:rFonts w:hint="eastAsia"/>
                <w:color w:val="000000"/>
                <w:w w:val="15"/>
                <w:shd w:val="solid" w:color="000000" w:fill="000000"/>
                <w:fitText w:val="11" w:id="-1234422518"/>
                <w14:textFill>
                  <w14:solidFill>
                    <w14:srgbClr w14:val="000000">
                      <w14:alpha w14:val="100000"/>
                    </w14:srgbClr>
                  </w14:solidFill>
                </w14:textFill>
              </w:rPr>
              <w:t xml:space="preserve">　</w:t>
            </w:r>
            <w:r w:rsidR="00BB281C" w:rsidRPr="00740AEA">
              <w:rPr>
                <w:color w:val="000000"/>
                <w:w w:val="15"/>
                <w:shd w:val="solid" w:color="000000" w:fill="000000"/>
                <w:fitText w:val="11" w:id="-1234422518"/>
                <w14:textFill>
                  <w14:solidFill>
                    <w14:srgbClr w14:val="000000">
                      <w14:alpha w14:val="100000"/>
                    </w14:srgbClr>
                  </w14:solidFill>
                </w14:textFill>
              </w:rPr>
              <w:t>|</w:t>
            </w:r>
            <w:r w:rsidR="00BB281C" w:rsidRPr="00740AEA">
              <w:rPr>
                <w:rFonts w:hint="eastAsia"/>
                <w:color w:val="000000"/>
                <w:spacing w:val="-54"/>
                <w:w w:val="15"/>
                <w:shd w:val="solid" w:color="000000" w:fill="000000"/>
                <w:fitText w:val="11" w:id="-1234422518"/>
                <w14:textFill>
                  <w14:solidFill>
                    <w14:srgbClr w14:val="000000">
                      <w14:alpha w14:val="100000"/>
                    </w14:srgbClr>
                  </w14:solidFill>
                </w14:textFill>
              </w:rPr>
              <w:t xml:space="preserve">　</w:t>
            </w:r>
          </w:p>
        </w:tc>
        <w:tc>
          <w:tcPr>
            <w:tcW w:w="943" w:type="pct"/>
            <w:shd w:val="clear" w:color="auto" w:fill="auto"/>
            <w:vAlign w:val="center"/>
          </w:tcPr>
          <w:p w14:paraId="78AB1155" w14:textId="77777777" w:rsidR="00822AF6" w:rsidRPr="005767EF" w:rsidRDefault="00822AF6" w:rsidP="007C05BD">
            <w:pPr>
              <w:pStyle w:val="Tabletext"/>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pPr>
            <w:r w:rsidRPr="005767EF">
              <w:t>12.65</w:t>
            </w:r>
          </w:p>
        </w:tc>
        <w:tc>
          <w:tcPr>
            <w:tcW w:w="864" w:type="pct"/>
            <w:vMerge w:val="restart"/>
            <w:shd w:val="clear" w:color="auto" w:fill="auto"/>
            <w:vAlign w:val="center"/>
          </w:tcPr>
          <w:p w14:paraId="55C4F50F" w14:textId="77777777" w:rsidR="00822AF6" w:rsidRPr="006919A9" w:rsidRDefault="00822AF6" w:rsidP="007C05BD">
            <w:pPr>
              <w:pStyle w:val="Tabletext"/>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pPr>
            <w:r w:rsidRPr="006919A9">
              <w:t>2.09</w:t>
            </w:r>
          </w:p>
        </w:tc>
        <w:tc>
          <w:tcPr>
            <w:tcW w:w="758" w:type="pct"/>
            <w:vMerge w:val="restart"/>
            <w:shd w:val="clear" w:color="auto" w:fill="auto"/>
            <w:vAlign w:val="center"/>
          </w:tcPr>
          <w:p w14:paraId="7FFA1663" w14:textId="57F2B786" w:rsidR="00822AF6" w:rsidRPr="006919A9" w:rsidRDefault="00822AF6" w:rsidP="007C05BD">
            <w:pPr>
              <w:pStyle w:val="Tabletext"/>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pPr>
            <w:r w:rsidRPr="006919A9">
              <w:t>$</w:t>
            </w:r>
            <w:r w:rsidR="00BB281C" w:rsidRPr="00BB281C">
              <w:rPr>
                <w:color w:val="000000"/>
                <w:spacing w:val="75"/>
                <w:shd w:val="solid" w:color="000000" w:fill="000000"/>
                <w:fitText w:val="161" w:id="-1234422517"/>
                <w14:textFill>
                  <w14:solidFill>
                    <w14:srgbClr w14:val="000000">
                      <w14:alpha w14:val="100000"/>
                    </w14:srgbClr>
                  </w14:solidFill>
                </w14:textFill>
              </w:rPr>
              <w:t>|</w:t>
            </w:r>
            <w:r w:rsidR="00BB281C" w:rsidRPr="00BB281C">
              <w:rPr>
                <w:color w:val="000000"/>
                <w:spacing w:val="1"/>
                <w:shd w:val="solid" w:color="000000" w:fill="000000"/>
                <w:fitText w:val="161" w:id="-1234422517"/>
                <w14:textFill>
                  <w14:solidFill>
                    <w14:srgbClr w14:val="000000">
                      <w14:alpha w14:val="100000"/>
                    </w14:srgbClr>
                  </w14:solidFill>
                </w14:textFill>
              </w:rPr>
              <w:t>|</w:t>
            </w:r>
            <w:r w:rsidR="00B101C4" w:rsidRPr="00B101C4">
              <w:rPr>
                <w:vertAlign w:val="superscript"/>
              </w:rPr>
              <w:t>2</w:t>
            </w:r>
          </w:p>
        </w:tc>
      </w:tr>
      <w:tr w:rsidR="006919A9" w:rsidRPr="006919A9" w14:paraId="0D8B6FA9" w14:textId="77777777" w:rsidTr="00AB337D">
        <w:tc>
          <w:tcPr>
            <w:cnfStyle w:val="001000000000" w:firstRow="0" w:lastRow="0" w:firstColumn="1" w:lastColumn="0" w:oddVBand="0" w:evenVBand="0" w:oddHBand="0" w:evenHBand="0" w:firstRowFirstColumn="0" w:firstRowLastColumn="0" w:lastRowFirstColumn="0" w:lastRowLastColumn="0"/>
            <w:tcW w:w="862" w:type="pct"/>
            <w:shd w:val="clear" w:color="auto" w:fill="auto"/>
            <w:vAlign w:val="center"/>
          </w:tcPr>
          <w:p w14:paraId="1F8450D0" w14:textId="77777777" w:rsidR="00822AF6" w:rsidRPr="006919A9" w:rsidRDefault="00822AF6" w:rsidP="007C05BD">
            <w:pPr>
              <w:pStyle w:val="Tabletext"/>
              <w:keepNext/>
              <w:keepLines/>
              <w:spacing w:after="0" w:line="240" w:lineRule="auto"/>
            </w:pPr>
            <w:r w:rsidRPr="006919A9">
              <w:t>Chemotherapy</w:t>
            </w:r>
          </w:p>
        </w:tc>
        <w:tc>
          <w:tcPr>
            <w:tcW w:w="683" w:type="pct"/>
            <w:shd w:val="clear" w:color="auto" w:fill="auto"/>
            <w:vAlign w:val="center"/>
          </w:tcPr>
          <w:p w14:paraId="321D043E" w14:textId="77777777" w:rsidR="00822AF6" w:rsidRPr="006919A9" w:rsidRDefault="00822AF6" w:rsidP="007C05BD">
            <w:pPr>
              <w:pStyle w:val="Tabletext"/>
              <w:keepNext/>
              <w:keepLines/>
              <w:spacing w:after="0" w:line="240" w:lineRule="auto"/>
              <w:jc w:val="center"/>
              <w:cnfStyle w:val="000000000000" w:firstRow="0" w:lastRow="0" w:firstColumn="0" w:lastColumn="0" w:oddVBand="0" w:evenVBand="0" w:oddHBand="0" w:evenHBand="0" w:firstRowFirstColumn="0" w:firstRowLastColumn="0" w:lastRowFirstColumn="0" w:lastRowLastColumn="0"/>
            </w:pPr>
            <w:r w:rsidRPr="005767EF">
              <w:t>$28,529</w:t>
            </w:r>
          </w:p>
        </w:tc>
        <w:tc>
          <w:tcPr>
            <w:tcW w:w="889" w:type="pct"/>
            <w:vMerge/>
            <w:shd w:val="clear" w:color="auto" w:fill="auto"/>
            <w:vAlign w:val="center"/>
          </w:tcPr>
          <w:p w14:paraId="1E389FB5" w14:textId="77777777" w:rsidR="00822AF6" w:rsidRPr="006919A9" w:rsidRDefault="00822AF6" w:rsidP="007C05BD">
            <w:pPr>
              <w:pStyle w:val="Tabletext"/>
              <w:keepNext/>
              <w:keepLines/>
              <w:spacing w:after="0" w:line="240" w:lineRule="auto"/>
              <w:jc w:val="center"/>
              <w:cnfStyle w:val="000000000000" w:firstRow="0" w:lastRow="0" w:firstColumn="0" w:lastColumn="0" w:oddVBand="0" w:evenVBand="0" w:oddHBand="0" w:evenHBand="0" w:firstRowFirstColumn="0" w:firstRowLastColumn="0" w:lastRowFirstColumn="0" w:lastRowLastColumn="0"/>
            </w:pPr>
          </w:p>
        </w:tc>
        <w:tc>
          <w:tcPr>
            <w:tcW w:w="943" w:type="pct"/>
            <w:shd w:val="clear" w:color="auto" w:fill="auto"/>
            <w:vAlign w:val="center"/>
          </w:tcPr>
          <w:p w14:paraId="7D53ACC8" w14:textId="77777777" w:rsidR="00822AF6" w:rsidRPr="005767EF" w:rsidRDefault="00822AF6" w:rsidP="007C05BD">
            <w:pPr>
              <w:pStyle w:val="Tabletext"/>
              <w:keepNext/>
              <w:keepLines/>
              <w:spacing w:after="0" w:line="240" w:lineRule="auto"/>
              <w:jc w:val="center"/>
              <w:cnfStyle w:val="000000000000" w:firstRow="0" w:lastRow="0" w:firstColumn="0" w:lastColumn="0" w:oddVBand="0" w:evenVBand="0" w:oddHBand="0" w:evenHBand="0" w:firstRowFirstColumn="0" w:firstRowLastColumn="0" w:lastRowFirstColumn="0" w:lastRowLastColumn="0"/>
            </w:pPr>
            <w:r w:rsidRPr="005767EF">
              <w:t>10.56</w:t>
            </w:r>
          </w:p>
        </w:tc>
        <w:tc>
          <w:tcPr>
            <w:tcW w:w="864" w:type="pct"/>
            <w:vMerge/>
            <w:shd w:val="clear" w:color="auto" w:fill="auto"/>
            <w:vAlign w:val="center"/>
          </w:tcPr>
          <w:p w14:paraId="0E18602F" w14:textId="77777777" w:rsidR="00822AF6" w:rsidRPr="006919A9" w:rsidRDefault="00822AF6" w:rsidP="007C05BD">
            <w:pPr>
              <w:pStyle w:val="Tabletext"/>
              <w:keepNext/>
              <w:keepLines/>
              <w:spacing w:after="0" w:line="240" w:lineRule="auto"/>
              <w:jc w:val="center"/>
              <w:cnfStyle w:val="000000000000" w:firstRow="0" w:lastRow="0" w:firstColumn="0" w:lastColumn="0" w:oddVBand="0" w:evenVBand="0" w:oddHBand="0" w:evenHBand="0" w:firstRowFirstColumn="0" w:firstRowLastColumn="0" w:lastRowFirstColumn="0" w:lastRowLastColumn="0"/>
            </w:pPr>
          </w:p>
        </w:tc>
        <w:tc>
          <w:tcPr>
            <w:tcW w:w="758" w:type="pct"/>
            <w:vMerge/>
            <w:shd w:val="clear" w:color="auto" w:fill="auto"/>
            <w:vAlign w:val="center"/>
          </w:tcPr>
          <w:p w14:paraId="582E915D" w14:textId="77777777" w:rsidR="00822AF6" w:rsidRPr="006919A9" w:rsidRDefault="00822AF6" w:rsidP="007C05BD">
            <w:pPr>
              <w:pStyle w:val="Tabletext"/>
              <w:keepNext/>
              <w:keepLines/>
              <w:spacing w:after="0" w:line="240" w:lineRule="auto"/>
              <w:jc w:val="center"/>
              <w:cnfStyle w:val="000000000000" w:firstRow="0" w:lastRow="0" w:firstColumn="0" w:lastColumn="0" w:oddVBand="0" w:evenVBand="0" w:oddHBand="0" w:evenHBand="0" w:firstRowFirstColumn="0" w:firstRowLastColumn="0" w:lastRowFirstColumn="0" w:lastRowLastColumn="0"/>
            </w:pPr>
          </w:p>
        </w:tc>
      </w:tr>
      <w:tr w:rsidR="006919A9" w:rsidRPr="006919A9" w14:paraId="00B458AC" w14:textId="77777777" w:rsidTr="007C05B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auto"/>
            <w:vAlign w:val="center"/>
          </w:tcPr>
          <w:p w14:paraId="394755D3" w14:textId="77777777" w:rsidR="00822AF6" w:rsidRPr="005767EF" w:rsidRDefault="00822AF6" w:rsidP="007C05BD">
            <w:pPr>
              <w:pStyle w:val="Tabletext"/>
              <w:keepNext/>
              <w:keepLines/>
              <w:spacing w:after="0" w:line="240" w:lineRule="auto"/>
            </w:pPr>
            <w:r w:rsidRPr="005767EF">
              <w:t>Step 4 – include AE costs (cost/LY gained)</w:t>
            </w:r>
          </w:p>
        </w:tc>
      </w:tr>
      <w:tr w:rsidR="006919A9" w:rsidRPr="006919A9" w14:paraId="05FAE6C9" w14:textId="77777777" w:rsidTr="00AB337D">
        <w:tc>
          <w:tcPr>
            <w:cnfStyle w:val="001000000000" w:firstRow="0" w:lastRow="0" w:firstColumn="1" w:lastColumn="0" w:oddVBand="0" w:evenVBand="0" w:oddHBand="0" w:evenHBand="0" w:firstRowFirstColumn="0" w:firstRowLastColumn="0" w:lastRowFirstColumn="0" w:lastRowLastColumn="0"/>
            <w:tcW w:w="862" w:type="pct"/>
            <w:shd w:val="clear" w:color="auto" w:fill="auto"/>
            <w:vAlign w:val="center"/>
          </w:tcPr>
          <w:p w14:paraId="21BA69DF" w14:textId="77777777" w:rsidR="00822AF6" w:rsidRPr="006919A9" w:rsidRDefault="00822AF6" w:rsidP="007C05BD">
            <w:pPr>
              <w:pStyle w:val="Tabletext"/>
              <w:keepNext/>
              <w:keepLines/>
              <w:spacing w:after="0" w:line="240" w:lineRule="auto"/>
            </w:pPr>
            <w:r w:rsidRPr="006919A9">
              <w:t>Pembrolizumab</w:t>
            </w:r>
          </w:p>
        </w:tc>
        <w:tc>
          <w:tcPr>
            <w:tcW w:w="683" w:type="pct"/>
            <w:shd w:val="clear" w:color="auto" w:fill="auto"/>
            <w:vAlign w:val="center"/>
          </w:tcPr>
          <w:p w14:paraId="077C4A03" w14:textId="0BC139A7" w:rsidR="00822AF6" w:rsidRPr="006919A9" w:rsidRDefault="00822AF6" w:rsidP="007C05BD">
            <w:pPr>
              <w:pStyle w:val="Tabletext"/>
              <w:keepNext/>
              <w:keepLines/>
              <w:spacing w:after="0" w:line="240" w:lineRule="auto"/>
              <w:jc w:val="center"/>
              <w:cnfStyle w:val="000000000000" w:firstRow="0" w:lastRow="0" w:firstColumn="0" w:lastColumn="0" w:oddVBand="0" w:evenVBand="0" w:oddHBand="0" w:evenHBand="0" w:firstRowFirstColumn="0" w:firstRowLastColumn="0" w:lastRowFirstColumn="0" w:lastRowLastColumn="0"/>
            </w:pPr>
            <w:r w:rsidRPr="006919A9">
              <w:t>$</w:t>
            </w:r>
            <w:r w:rsidR="00BB281C" w:rsidRPr="00BB281C">
              <w:rPr>
                <w:color w:val="000000"/>
                <w:spacing w:val="109"/>
                <w:shd w:val="solid" w:color="000000" w:fill="000000"/>
                <w:fitText w:val="195" w:id="-1234422516"/>
                <w14:textFill>
                  <w14:solidFill>
                    <w14:srgbClr w14:val="000000">
                      <w14:alpha w14:val="100000"/>
                    </w14:srgbClr>
                  </w14:solidFill>
                </w14:textFill>
              </w:rPr>
              <w:t>|</w:t>
            </w:r>
            <w:r w:rsidR="00BB281C" w:rsidRPr="00BB281C">
              <w:rPr>
                <w:color w:val="000000"/>
                <w:spacing w:val="1"/>
                <w:shd w:val="solid" w:color="000000" w:fill="000000"/>
                <w:fitText w:val="195" w:id="-1234422516"/>
                <w14:textFill>
                  <w14:solidFill>
                    <w14:srgbClr w14:val="000000">
                      <w14:alpha w14:val="100000"/>
                    </w14:srgbClr>
                  </w14:solidFill>
                </w14:textFill>
              </w:rPr>
              <w:t>|</w:t>
            </w:r>
          </w:p>
        </w:tc>
        <w:tc>
          <w:tcPr>
            <w:tcW w:w="889" w:type="pct"/>
            <w:vMerge w:val="restart"/>
            <w:shd w:val="clear" w:color="auto" w:fill="auto"/>
            <w:vAlign w:val="center"/>
          </w:tcPr>
          <w:p w14:paraId="46300455" w14:textId="790B8024" w:rsidR="00822AF6" w:rsidRPr="006919A9" w:rsidRDefault="00822AF6" w:rsidP="007C05BD">
            <w:pPr>
              <w:pStyle w:val="Tabletext"/>
              <w:keepNext/>
              <w:keepLines/>
              <w:spacing w:after="0" w:line="240" w:lineRule="auto"/>
              <w:jc w:val="center"/>
              <w:cnfStyle w:val="000000000000" w:firstRow="0" w:lastRow="0" w:firstColumn="0" w:lastColumn="0" w:oddVBand="0" w:evenVBand="0" w:oddHBand="0" w:evenHBand="0" w:firstRowFirstColumn="0" w:firstRowLastColumn="0" w:lastRowFirstColumn="0" w:lastRowLastColumn="0"/>
            </w:pPr>
            <w:r w:rsidRPr="006919A9">
              <w:t>$</w:t>
            </w:r>
            <w:r w:rsidR="00BB281C" w:rsidRPr="00740AEA">
              <w:rPr>
                <w:rFonts w:hint="eastAsia"/>
                <w:color w:val="000000"/>
                <w:w w:val="15"/>
                <w:shd w:val="solid" w:color="000000" w:fill="000000"/>
                <w:fitText w:val="11" w:id="-1234422515"/>
                <w14:textFill>
                  <w14:solidFill>
                    <w14:srgbClr w14:val="000000">
                      <w14:alpha w14:val="100000"/>
                    </w14:srgbClr>
                  </w14:solidFill>
                </w14:textFill>
              </w:rPr>
              <w:t xml:space="preserve">　</w:t>
            </w:r>
            <w:r w:rsidR="00BB281C" w:rsidRPr="00740AEA">
              <w:rPr>
                <w:color w:val="000000"/>
                <w:w w:val="15"/>
                <w:shd w:val="solid" w:color="000000" w:fill="000000"/>
                <w:fitText w:val="11" w:id="-1234422515"/>
                <w14:textFill>
                  <w14:solidFill>
                    <w14:srgbClr w14:val="000000">
                      <w14:alpha w14:val="100000"/>
                    </w14:srgbClr>
                  </w14:solidFill>
                </w14:textFill>
              </w:rPr>
              <w:t>|</w:t>
            </w:r>
            <w:r w:rsidR="00BB281C" w:rsidRPr="00740AEA">
              <w:rPr>
                <w:rFonts w:hint="eastAsia"/>
                <w:color w:val="000000"/>
                <w:spacing w:val="-54"/>
                <w:w w:val="15"/>
                <w:shd w:val="solid" w:color="000000" w:fill="000000"/>
                <w:fitText w:val="11" w:id="-1234422515"/>
                <w14:textFill>
                  <w14:solidFill>
                    <w14:srgbClr w14:val="000000">
                      <w14:alpha w14:val="100000"/>
                    </w14:srgbClr>
                  </w14:solidFill>
                </w14:textFill>
              </w:rPr>
              <w:t xml:space="preserve">　</w:t>
            </w:r>
          </w:p>
        </w:tc>
        <w:tc>
          <w:tcPr>
            <w:tcW w:w="943" w:type="pct"/>
            <w:shd w:val="clear" w:color="auto" w:fill="auto"/>
            <w:vAlign w:val="center"/>
          </w:tcPr>
          <w:p w14:paraId="3B230BA8" w14:textId="77777777" w:rsidR="00822AF6" w:rsidRPr="005767EF" w:rsidRDefault="00822AF6" w:rsidP="007C05BD">
            <w:pPr>
              <w:pStyle w:val="Tabletext"/>
              <w:keepNext/>
              <w:keepLines/>
              <w:spacing w:after="0" w:line="240" w:lineRule="auto"/>
              <w:jc w:val="center"/>
              <w:cnfStyle w:val="000000000000" w:firstRow="0" w:lastRow="0" w:firstColumn="0" w:lastColumn="0" w:oddVBand="0" w:evenVBand="0" w:oddHBand="0" w:evenHBand="0" w:firstRowFirstColumn="0" w:firstRowLastColumn="0" w:lastRowFirstColumn="0" w:lastRowLastColumn="0"/>
            </w:pPr>
            <w:r w:rsidRPr="005767EF">
              <w:t>12.65</w:t>
            </w:r>
          </w:p>
        </w:tc>
        <w:tc>
          <w:tcPr>
            <w:tcW w:w="864" w:type="pct"/>
            <w:vMerge w:val="restart"/>
            <w:shd w:val="clear" w:color="auto" w:fill="auto"/>
            <w:vAlign w:val="center"/>
          </w:tcPr>
          <w:p w14:paraId="4A82F4DC" w14:textId="77777777" w:rsidR="00822AF6" w:rsidRPr="006919A9" w:rsidRDefault="00822AF6" w:rsidP="007C05BD">
            <w:pPr>
              <w:pStyle w:val="Tabletext"/>
              <w:keepNext/>
              <w:keepLines/>
              <w:spacing w:after="0" w:line="240" w:lineRule="auto"/>
              <w:jc w:val="center"/>
              <w:cnfStyle w:val="000000000000" w:firstRow="0" w:lastRow="0" w:firstColumn="0" w:lastColumn="0" w:oddVBand="0" w:evenVBand="0" w:oddHBand="0" w:evenHBand="0" w:firstRowFirstColumn="0" w:firstRowLastColumn="0" w:lastRowFirstColumn="0" w:lastRowLastColumn="0"/>
            </w:pPr>
            <w:r w:rsidRPr="006919A9">
              <w:t>2.09</w:t>
            </w:r>
          </w:p>
        </w:tc>
        <w:tc>
          <w:tcPr>
            <w:tcW w:w="758" w:type="pct"/>
            <w:vMerge w:val="restart"/>
            <w:shd w:val="clear" w:color="auto" w:fill="auto"/>
            <w:vAlign w:val="center"/>
          </w:tcPr>
          <w:p w14:paraId="1CF88B0B" w14:textId="645641E0" w:rsidR="00822AF6" w:rsidRPr="006919A9" w:rsidRDefault="00822AF6" w:rsidP="007C05BD">
            <w:pPr>
              <w:pStyle w:val="Tabletext"/>
              <w:keepNext/>
              <w:keepLines/>
              <w:spacing w:after="0" w:line="240" w:lineRule="auto"/>
              <w:jc w:val="center"/>
              <w:cnfStyle w:val="000000000000" w:firstRow="0" w:lastRow="0" w:firstColumn="0" w:lastColumn="0" w:oddVBand="0" w:evenVBand="0" w:oddHBand="0" w:evenHBand="0" w:firstRowFirstColumn="0" w:firstRowLastColumn="0" w:lastRowFirstColumn="0" w:lastRowLastColumn="0"/>
            </w:pPr>
            <w:r w:rsidRPr="006919A9">
              <w:t>$</w:t>
            </w:r>
            <w:r w:rsidR="00BB281C" w:rsidRPr="00BB281C">
              <w:rPr>
                <w:color w:val="000000"/>
                <w:spacing w:val="75"/>
                <w:shd w:val="solid" w:color="000000" w:fill="000000"/>
                <w:fitText w:val="161" w:id="-1234422514"/>
                <w14:textFill>
                  <w14:solidFill>
                    <w14:srgbClr w14:val="000000">
                      <w14:alpha w14:val="100000"/>
                    </w14:srgbClr>
                  </w14:solidFill>
                </w14:textFill>
              </w:rPr>
              <w:t>|</w:t>
            </w:r>
            <w:r w:rsidR="00BB281C" w:rsidRPr="00BB281C">
              <w:rPr>
                <w:color w:val="000000"/>
                <w:spacing w:val="1"/>
                <w:shd w:val="solid" w:color="000000" w:fill="000000"/>
                <w:fitText w:val="161" w:id="-1234422514"/>
                <w14:textFill>
                  <w14:solidFill>
                    <w14:srgbClr w14:val="000000">
                      <w14:alpha w14:val="100000"/>
                    </w14:srgbClr>
                  </w14:solidFill>
                </w14:textFill>
              </w:rPr>
              <w:t>|</w:t>
            </w:r>
            <w:r w:rsidR="00B101C4" w:rsidRPr="00B101C4">
              <w:rPr>
                <w:vertAlign w:val="superscript"/>
              </w:rPr>
              <w:t>2</w:t>
            </w:r>
          </w:p>
        </w:tc>
      </w:tr>
      <w:tr w:rsidR="006919A9" w:rsidRPr="006919A9" w14:paraId="3B101E93" w14:textId="77777777" w:rsidTr="00AB337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pct"/>
            <w:shd w:val="clear" w:color="auto" w:fill="auto"/>
            <w:vAlign w:val="center"/>
          </w:tcPr>
          <w:p w14:paraId="057472EE" w14:textId="77777777" w:rsidR="00822AF6" w:rsidRPr="006919A9" w:rsidRDefault="00822AF6" w:rsidP="007C05BD">
            <w:pPr>
              <w:pStyle w:val="Tabletext"/>
              <w:keepNext/>
              <w:keepLines/>
              <w:spacing w:after="0" w:line="240" w:lineRule="auto"/>
            </w:pPr>
            <w:r w:rsidRPr="006919A9">
              <w:t>Chemotherapy</w:t>
            </w:r>
          </w:p>
        </w:tc>
        <w:tc>
          <w:tcPr>
            <w:tcW w:w="683" w:type="pct"/>
            <w:shd w:val="clear" w:color="auto" w:fill="auto"/>
            <w:vAlign w:val="center"/>
          </w:tcPr>
          <w:p w14:paraId="5F69D9FE" w14:textId="77777777" w:rsidR="00822AF6" w:rsidRPr="006919A9" w:rsidRDefault="00822AF6" w:rsidP="007C05BD">
            <w:pPr>
              <w:pStyle w:val="Tabletext"/>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pPr>
            <w:r w:rsidRPr="005767EF">
              <w:t>$29,347</w:t>
            </w:r>
          </w:p>
        </w:tc>
        <w:tc>
          <w:tcPr>
            <w:tcW w:w="889" w:type="pct"/>
            <w:vMerge/>
            <w:shd w:val="clear" w:color="auto" w:fill="auto"/>
            <w:vAlign w:val="center"/>
          </w:tcPr>
          <w:p w14:paraId="7ADCD4B0" w14:textId="77777777" w:rsidR="00822AF6" w:rsidRPr="006919A9" w:rsidRDefault="00822AF6" w:rsidP="007C05BD">
            <w:pPr>
              <w:pStyle w:val="Tabletext"/>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pPr>
          </w:p>
        </w:tc>
        <w:tc>
          <w:tcPr>
            <w:tcW w:w="943" w:type="pct"/>
            <w:shd w:val="clear" w:color="auto" w:fill="auto"/>
            <w:vAlign w:val="center"/>
          </w:tcPr>
          <w:p w14:paraId="04D867F7" w14:textId="77777777" w:rsidR="00822AF6" w:rsidRPr="005767EF" w:rsidRDefault="00822AF6" w:rsidP="007C05BD">
            <w:pPr>
              <w:pStyle w:val="Tabletext"/>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pPr>
            <w:r w:rsidRPr="005767EF">
              <w:t>10.56</w:t>
            </w:r>
          </w:p>
        </w:tc>
        <w:tc>
          <w:tcPr>
            <w:tcW w:w="864" w:type="pct"/>
            <w:vMerge/>
            <w:shd w:val="clear" w:color="auto" w:fill="auto"/>
            <w:vAlign w:val="center"/>
          </w:tcPr>
          <w:p w14:paraId="7D19244D" w14:textId="77777777" w:rsidR="00822AF6" w:rsidRPr="006919A9" w:rsidRDefault="00822AF6" w:rsidP="007C05BD">
            <w:pPr>
              <w:pStyle w:val="Tabletext"/>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pPr>
          </w:p>
        </w:tc>
        <w:tc>
          <w:tcPr>
            <w:tcW w:w="758" w:type="pct"/>
            <w:vMerge/>
            <w:shd w:val="clear" w:color="auto" w:fill="auto"/>
            <w:vAlign w:val="center"/>
          </w:tcPr>
          <w:p w14:paraId="4892994E" w14:textId="77777777" w:rsidR="00822AF6" w:rsidRPr="006919A9" w:rsidRDefault="00822AF6" w:rsidP="007C05BD">
            <w:pPr>
              <w:pStyle w:val="Tabletext"/>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pPr>
          </w:p>
        </w:tc>
      </w:tr>
      <w:tr w:rsidR="006919A9" w:rsidRPr="006919A9" w14:paraId="4DE0F114" w14:textId="77777777" w:rsidTr="007C05BD">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auto"/>
            <w:vAlign w:val="center"/>
          </w:tcPr>
          <w:p w14:paraId="7471D40D" w14:textId="77777777" w:rsidR="00822AF6" w:rsidRPr="005767EF" w:rsidRDefault="00822AF6" w:rsidP="007C05BD">
            <w:pPr>
              <w:pStyle w:val="Tabletext"/>
              <w:keepNext/>
              <w:keepLines/>
              <w:spacing w:after="0" w:line="240" w:lineRule="auto"/>
            </w:pPr>
            <w:r w:rsidRPr="005767EF">
              <w:t>Step 5 – include terminal care costs (cost/LY gained)</w:t>
            </w:r>
          </w:p>
        </w:tc>
      </w:tr>
      <w:tr w:rsidR="006919A9" w:rsidRPr="006919A9" w14:paraId="3165A200" w14:textId="77777777" w:rsidTr="00AB337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pct"/>
            <w:shd w:val="clear" w:color="auto" w:fill="auto"/>
            <w:vAlign w:val="center"/>
          </w:tcPr>
          <w:p w14:paraId="498D7DEE" w14:textId="77777777" w:rsidR="00822AF6" w:rsidRPr="006919A9" w:rsidRDefault="00822AF6" w:rsidP="007C05BD">
            <w:pPr>
              <w:pStyle w:val="Tabletext"/>
              <w:keepNext/>
              <w:keepLines/>
              <w:spacing w:after="0" w:line="240" w:lineRule="auto"/>
            </w:pPr>
            <w:r w:rsidRPr="006919A9">
              <w:t>Pembrolizumab</w:t>
            </w:r>
          </w:p>
        </w:tc>
        <w:tc>
          <w:tcPr>
            <w:tcW w:w="683" w:type="pct"/>
            <w:shd w:val="clear" w:color="auto" w:fill="auto"/>
            <w:vAlign w:val="center"/>
          </w:tcPr>
          <w:p w14:paraId="5425025B" w14:textId="689224CE" w:rsidR="00822AF6" w:rsidRPr="006919A9" w:rsidRDefault="00822AF6" w:rsidP="007C05BD">
            <w:pPr>
              <w:pStyle w:val="Tabletext"/>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pPr>
            <w:r w:rsidRPr="006919A9">
              <w:t>$</w:t>
            </w:r>
            <w:r w:rsidR="00BB281C" w:rsidRPr="00BB281C">
              <w:rPr>
                <w:color w:val="000000"/>
                <w:spacing w:val="109"/>
                <w:shd w:val="solid" w:color="000000" w:fill="000000"/>
                <w:fitText w:val="195" w:id="-1234422513"/>
                <w14:textFill>
                  <w14:solidFill>
                    <w14:srgbClr w14:val="000000">
                      <w14:alpha w14:val="100000"/>
                    </w14:srgbClr>
                  </w14:solidFill>
                </w14:textFill>
              </w:rPr>
              <w:t>|</w:t>
            </w:r>
            <w:r w:rsidR="00BB281C" w:rsidRPr="00BB281C">
              <w:rPr>
                <w:color w:val="000000"/>
                <w:spacing w:val="1"/>
                <w:shd w:val="solid" w:color="000000" w:fill="000000"/>
                <w:fitText w:val="195" w:id="-1234422513"/>
                <w14:textFill>
                  <w14:solidFill>
                    <w14:srgbClr w14:val="000000">
                      <w14:alpha w14:val="100000"/>
                    </w14:srgbClr>
                  </w14:solidFill>
                </w14:textFill>
              </w:rPr>
              <w:t>|</w:t>
            </w:r>
          </w:p>
        </w:tc>
        <w:tc>
          <w:tcPr>
            <w:tcW w:w="889" w:type="pct"/>
            <w:vMerge w:val="restart"/>
            <w:shd w:val="clear" w:color="auto" w:fill="auto"/>
            <w:vAlign w:val="center"/>
          </w:tcPr>
          <w:p w14:paraId="2AD8304E" w14:textId="08AB18EA" w:rsidR="00822AF6" w:rsidRPr="006919A9" w:rsidRDefault="00822AF6" w:rsidP="007C05BD">
            <w:pPr>
              <w:pStyle w:val="Tabletext"/>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pPr>
            <w:r w:rsidRPr="006919A9">
              <w:t>$</w:t>
            </w:r>
            <w:r w:rsidR="00BB281C" w:rsidRPr="00740AEA">
              <w:rPr>
                <w:rFonts w:hint="eastAsia"/>
                <w:color w:val="000000"/>
                <w:w w:val="15"/>
                <w:shd w:val="solid" w:color="000000" w:fill="000000"/>
                <w:fitText w:val="11" w:id="-1234422512"/>
                <w14:textFill>
                  <w14:solidFill>
                    <w14:srgbClr w14:val="000000">
                      <w14:alpha w14:val="100000"/>
                    </w14:srgbClr>
                  </w14:solidFill>
                </w14:textFill>
              </w:rPr>
              <w:t xml:space="preserve">　</w:t>
            </w:r>
            <w:r w:rsidR="00BB281C" w:rsidRPr="00740AEA">
              <w:rPr>
                <w:color w:val="000000"/>
                <w:w w:val="15"/>
                <w:shd w:val="solid" w:color="000000" w:fill="000000"/>
                <w:fitText w:val="11" w:id="-1234422512"/>
                <w14:textFill>
                  <w14:solidFill>
                    <w14:srgbClr w14:val="000000">
                      <w14:alpha w14:val="100000"/>
                    </w14:srgbClr>
                  </w14:solidFill>
                </w14:textFill>
              </w:rPr>
              <w:t>|</w:t>
            </w:r>
            <w:r w:rsidR="00BB281C" w:rsidRPr="00740AEA">
              <w:rPr>
                <w:rFonts w:hint="eastAsia"/>
                <w:color w:val="000000"/>
                <w:spacing w:val="-54"/>
                <w:w w:val="15"/>
                <w:shd w:val="solid" w:color="000000" w:fill="000000"/>
                <w:fitText w:val="11" w:id="-1234422512"/>
                <w14:textFill>
                  <w14:solidFill>
                    <w14:srgbClr w14:val="000000">
                      <w14:alpha w14:val="100000"/>
                    </w14:srgbClr>
                  </w14:solidFill>
                </w14:textFill>
              </w:rPr>
              <w:t xml:space="preserve">　</w:t>
            </w:r>
          </w:p>
        </w:tc>
        <w:tc>
          <w:tcPr>
            <w:tcW w:w="943" w:type="pct"/>
            <w:shd w:val="clear" w:color="auto" w:fill="auto"/>
            <w:vAlign w:val="center"/>
          </w:tcPr>
          <w:p w14:paraId="42C1F29B" w14:textId="77777777" w:rsidR="00822AF6" w:rsidRPr="005767EF" w:rsidRDefault="00822AF6" w:rsidP="007C05BD">
            <w:pPr>
              <w:pStyle w:val="Tabletext"/>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pPr>
            <w:r w:rsidRPr="005767EF">
              <w:t>12.65</w:t>
            </w:r>
          </w:p>
        </w:tc>
        <w:tc>
          <w:tcPr>
            <w:tcW w:w="864" w:type="pct"/>
            <w:vMerge w:val="restart"/>
            <w:shd w:val="clear" w:color="auto" w:fill="auto"/>
            <w:vAlign w:val="center"/>
          </w:tcPr>
          <w:p w14:paraId="25850F15" w14:textId="77777777" w:rsidR="00822AF6" w:rsidRPr="006919A9" w:rsidRDefault="00822AF6" w:rsidP="007C05BD">
            <w:pPr>
              <w:pStyle w:val="Tabletext"/>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pPr>
            <w:r w:rsidRPr="006919A9">
              <w:t>2.09</w:t>
            </w:r>
          </w:p>
        </w:tc>
        <w:tc>
          <w:tcPr>
            <w:tcW w:w="758" w:type="pct"/>
            <w:vMerge w:val="restart"/>
            <w:shd w:val="clear" w:color="auto" w:fill="auto"/>
            <w:vAlign w:val="center"/>
          </w:tcPr>
          <w:p w14:paraId="7CA06C3F" w14:textId="30F700E5" w:rsidR="00822AF6" w:rsidRPr="006919A9" w:rsidRDefault="00822AF6" w:rsidP="007C05BD">
            <w:pPr>
              <w:pStyle w:val="Tabletext"/>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pPr>
            <w:r w:rsidRPr="006919A9">
              <w:t>$</w:t>
            </w:r>
            <w:r w:rsidR="00BB281C" w:rsidRPr="00BB281C">
              <w:rPr>
                <w:color w:val="000000"/>
                <w:spacing w:val="75"/>
                <w:shd w:val="solid" w:color="000000" w:fill="000000"/>
                <w:fitText w:val="161" w:id="-1234422528"/>
                <w14:textFill>
                  <w14:solidFill>
                    <w14:srgbClr w14:val="000000">
                      <w14:alpha w14:val="100000"/>
                    </w14:srgbClr>
                  </w14:solidFill>
                </w14:textFill>
              </w:rPr>
              <w:t>|</w:t>
            </w:r>
            <w:r w:rsidR="00BB281C" w:rsidRPr="00BB281C">
              <w:rPr>
                <w:color w:val="000000"/>
                <w:spacing w:val="1"/>
                <w:shd w:val="solid" w:color="000000" w:fill="000000"/>
                <w:fitText w:val="161" w:id="-1234422528"/>
                <w14:textFill>
                  <w14:solidFill>
                    <w14:srgbClr w14:val="000000">
                      <w14:alpha w14:val="100000"/>
                    </w14:srgbClr>
                  </w14:solidFill>
                </w14:textFill>
              </w:rPr>
              <w:t>|</w:t>
            </w:r>
            <w:r w:rsidR="00B101C4">
              <w:rPr>
                <w:vertAlign w:val="superscript"/>
              </w:rPr>
              <w:t>3</w:t>
            </w:r>
          </w:p>
        </w:tc>
      </w:tr>
      <w:tr w:rsidR="006919A9" w:rsidRPr="006919A9" w14:paraId="19EE0D1E" w14:textId="77777777" w:rsidTr="00AB337D">
        <w:tc>
          <w:tcPr>
            <w:cnfStyle w:val="001000000000" w:firstRow="0" w:lastRow="0" w:firstColumn="1" w:lastColumn="0" w:oddVBand="0" w:evenVBand="0" w:oddHBand="0" w:evenHBand="0" w:firstRowFirstColumn="0" w:firstRowLastColumn="0" w:lastRowFirstColumn="0" w:lastRowLastColumn="0"/>
            <w:tcW w:w="862" w:type="pct"/>
            <w:shd w:val="clear" w:color="auto" w:fill="auto"/>
            <w:vAlign w:val="center"/>
          </w:tcPr>
          <w:p w14:paraId="2304B03F" w14:textId="77777777" w:rsidR="00822AF6" w:rsidRPr="006919A9" w:rsidRDefault="00822AF6" w:rsidP="007C05BD">
            <w:pPr>
              <w:pStyle w:val="Tabletext"/>
              <w:keepNext/>
              <w:keepLines/>
              <w:spacing w:after="0" w:line="240" w:lineRule="auto"/>
            </w:pPr>
            <w:r w:rsidRPr="006919A9">
              <w:t>Chemotherapy</w:t>
            </w:r>
          </w:p>
        </w:tc>
        <w:tc>
          <w:tcPr>
            <w:tcW w:w="683" w:type="pct"/>
            <w:shd w:val="clear" w:color="auto" w:fill="auto"/>
            <w:vAlign w:val="center"/>
          </w:tcPr>
          <w:p w14:paraId="05EA16FD" w14:textId="77777777" w:rsidR="00822AF6" w:rsidRPr="005767EF" w:rsidRDefault="00822AF6" w:rsidP="007C05BD">
            <w:pPr>
              <w:pStyle w:val="Tabletext"/>
              <w:keepNext/>
              <w:keepLines/>
              <w:spacing w:after="0" w:line="240" w:lineRule="auto"/>
              <w:jc w:val="center"/>
              <w:cnfStyle w:val="000000000000" w:firstRow="0" w:lastRow="0" w:firstColumn="0" w:lastColumn="0" w:oddVBand="0" w:evenVBand="0" w:oddHBand="0" w:evenHBand="0" w:firstRowFirstColumn="0" w:firstRowLastColumn="0" w:lastRowFirstColumn="0" w:lastRowLastColumn="0"/>
            </w:pPr>
            <w:r w:rsidRPr="005767EF">
              <w:t>$40,954</w:t>
            </w:r>
          </w:p>
        </w:tc>
        <w:tc>
          <w:tcPr>
            <w:tcW w:w="889" w:type="pct"/>
            <w:vMerge/>
            <w:shd w:val="clear" w:color="auto" w:fill="auto"/>
            <w:vAlign w:val="center"/>
          </w:tcPr>
          <w:p w14:paraId="0080A0EF" w14:textId="77777777" w:rsidR="00822AF6" w:rsidRPr="006919A9" w:rsidRDefault="00822AF6" w:rsidP="007C05BD">
            <w:pPr>
              <w:pStyle w:val="Tabletext"/>
              <w:keepNext/>
              <w:keepLines/>
              <w:spacing w:after="0" w:line="240" w:lineRule="auto"/>
              <w:jc w:val="center"/>
              <w:cnfStyle w:val="000000000000" w:firstRow="0" w:lastRow="0" w:firstColumn="0" w:lastColumn="0" w:oddVBand="0" w:evenVBand="0" w:oddHBand="0" w:evenHBand="0" w:firstRowFirstColumn="0" w:firstRowLastColumn="0" w:lastRowFirstColumn="0" w:lastRowLastColumn="0"/>
            </w:pPr>
          </w:p>
        </w:tc>
        <w:tc>
          <w:tcPr>
            <w:tcW w:w="943" w:type="pct"/>
            <w:shd w:val="clear" w:color="auto" w:fill="auto"/>
            <w:vAlign w:val="center"/>
          </w:tcPr>
          <w:p w14:paraId="61AAAD11" w14:textId="77777777" w:rsidR="00822AF6" w:rsidRPr="005767EF" w:rsidRDefault="00822AF6" w:rsidP="007C05BD">
            <w:pPr>
              <w:pStyle w:val="Tabletext"/>
              <w:keepNext/>
              <w:keepLines/>
              <w:spacing w:after="0" w:line="240" w:lineRule="auto"/>
              <w:jc w:val="center"/>
              <w:cnfStyle w:val="000000000000" w:firstRow="0" w:lastRow="0" w:firstColumn="0" w:lastColumn="0" w:oddVBand="0" w:evenVBand="0" w:oddHBand="0" w:evenHBand="0" w:firstRowFirstColumn="0" w:firstRowLastColumn="0" w:lastRowFirstColumn="0" w:lastRowLastColumn="0"/>
            </w:pPr>
            <w:r w:rsidRPr="005767EF">
              <w:t>10.56</w:t>
            </w:r>
          </w:p>
        </w:tc>
        <w:tc>
          <w:tcPr>
            <w:tcW w:w="864" w:type="pct"/>
            <w:vMerge/>
            <w:shd w:val="clear" w:color="auto" w:fill="auto"/>
            <w:vAlign w:val="center"/>
          </w:tcPr>
          <w:p w14:paraId="6BBE4083" w14:textId="77777777" w:rsidR="00822AF6" w:rsidRPr="006919A9" w:rsidRDefault="00822AF6" w:rsidP="007C05BD">
            <w:pPr>
              <w:pStyle w:val="Tabletext"/>
              <w:keepNext/>
              <w:keepLines/>
              <w:spacing w:after="0" w:line="240" w:lineRule="auto"/>
              <w:jc w:val="center"/>
              <w:cnfStyle w:val="000000000000" w:firstRow="0" w:lastRow="0" w:firstColumn="0" w:lastColumn="0" w:oddVBand="0" w:evenVBand="0" w:oddHBand="0" w:evenHBand="0" w:firstRowFirstColumn="0" w:firstRowLastColumn="0" w:lastRowFirstColumn="0" w:lastRowLastColumn="0"/>
            </w:pPr>
          </w:p>
        </w:tc>
        <w:tc>
          <w:tcPr>
            <w:tcW w:w="758" w:type="pct"/>
            <w:vMerge/>
            <w:shd w:val="clear" w:color="auto" w:fill="auto"/>
            <w:vAlign w:val="center"/>
          </w:tcPr>
          <w:p w14:paraId="7CBDD700" w14:textId="77777777" w:rsidR="00822AF6" w:rsidRPr="006919A9" w:rsidRDefault="00822AF6" w:rsidP="007C05BD">
            <w:pPr>
              <w:pStyle w:val="Tabletext"/>
              <w:keepNext/>
              <w:keepLines/>
              <w:spacing w:after="0" w:line="240" w:lineRule="auto"/>
              <w:jc w:val="center"/>
              <w:cnfStyle w:val="000000000000" w:firstRow="0" w:lastRow="0" w:firstColumn="0" w:lastColumn="0" w:oddVBand="0" w:evenVBand="0" w:oddHBand="0" w:evenHBand="0" w:firstRowFirstColumn="0" w:firstRowLastColumn="0" w:lastRowFirstColumn="0" w:lastRowLastColumn="0"/>
            </w:pPr>
          </w:p>
        </w:tc>
      </w:tr>
      <w:tr w:rsidR="006919A9" w:rsidRPr="006919A9" w14:paraId="4FF66921" w14:textId="77777777" w:rsidTr="007C05B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auto"/>
            <w:vAlign w:val="center"/>
          </w:tcPr>
          <w:p w14:paraId="5C7A03F3" w14:textId="77777777" w:rsidR="00822AF6" w:rsidRPr="005767EF" w:rsidRDefault="00822AF6" w:rsidP="007C05BD">
            <w:pPr>
              <w:pStyle w:val="Tabletext"/>
              <w:keepNext/>
              <w:keepLines/>
              <w:spacing w:after="0" w:line="240" w:lineRule="auto"/>
            </w:pPr>
            <w:r w:rsidRPr="005767EF">
              <w:t>Step 6 – transform LYs into QALYs (cost/QALY)</w:t>
            </w:r>
          </w:p>
        </w:tc>
      </w:tr>
      <w:tr w:rsidR="006919A9" w:rsidRPr="006919A9" w14:paraId="20B7397D" w14:textId="77777777" w:rsidTr="00AB337D">
        <w:tc>
          <w:tcPr>
            <w:cnfStyle w:val="001000000000" w:firstRow="0" w:lastRow="0" w:firstColumn="1" w:lastColumn="0" w:oddVBand="0" w:evenVBand="0" w:oddHBand="0" w:evenHBand="0" w:firstRowFirstColumn="0" w:firstRowLastColumn="0" w:lastRowFirstColumn="0" w:lastRowLastColumn="0"/>
            <w:tcW w:w="862" w:type="pct"/>
            <w:shd w:val="clear" w:color="auto" w:fill="auto"/>
            <w:vAlign w:val="center"/>
          </w:tcPr>
          <w:p w14:paraId="3B2BE763" w14:textId="77777777" w:rsidR="00822AF6" w:rsidRPr="006919A9" w:rsidRDefault="00822AF6" w:rsidP="007C05BD">
            <w:pPr>
              <w:pStyle w:val="Tabletext"/>
              <w:keepNext/>
              <w:keepLines/>
              <w:spacing w:after="0" w:line="240" w:lineRule="auto"/>
            </w:pPr>
            <w:r w:rsidRPr="006919A9">
              <w:t>Pembrolizumab</w:t>
            </w:r>
          </w:p>
        </w:tc>
        <w:tc>
          <w:tcPr>
            <w:tcW w:w="683" w:type="pct"/>
            <w:shd w:val="clear" w:color="auto" w:fill="auto"/>
            <w:vAlign w:val="center"/>
          </w:tcPr>
          <w:p w14:paraId="1E5896FC" w14:textId="3725F6DD" w:rsidR="00822AF6" w:rsidRPr="006919A9" w:rsidRDefault="00822AF6" w:rsidP="007C05BD">
            <w:pPr>
              <w:pStyle w:val="Tabletext"/>
              <w:keepNext/>
              <w:keepLines/>
              <w:spacing w:after="0" w:line="240" w:lineRule="auto"/>
              <w:jc w:val="center"/>
              <w:cnfStyle w:val="000000000000" w:firstRow="0" w:lastRow="0" w:firstColumn="0" w:lastColumn="0" w:oddVBand="0" w:evenVBand="0" w:oddHBand="0" w:evenHBand="0" w:firstRowFirstColumn="0" w:firstRowLastColumn="0" w:lastRowFirstColumn="0" w:lastRowLastColumn="0"/>
            </w:pPr>
            <w:r w:rsidRPr="006919A9">
              <w:t>$</w:t>
            </w:r>
            <w:r w:rsidR="00BB281C" w:rsidRPr="00BB281C">
              <w:rPr>
                <w:color w:val="000000"/>
                <w:spacing w:val="109"/>
                <w:shd w:val="solid" w:color="000000" w:fill="000000"/>
                <w:fitText w:val="195" w:id="-1234422527"/>
                <w14:textFill>
                  <w14:solidFill>
                    <w14:srgbClr w14:val="000000">
                      <w14:alpha w14:val="100000"/>
                    </w14:srgbClr>
                  </w14:solidFill>
                </w14:textFill>
              </w:rPr>
              <w:t>|</w:t>
            </w:r>
            <w:r w:rsidR="00BB281C" w:rsidRPr="00BB281C">
              <w:rPr>
                <w:color w:val="000000"/>
                <w:spacing w:val="1"/>
                <w:shd w:val="solid" w:color="000000" w:fill="000000"/>
                <w:fitText w:val="195" w:id="-1234422527"/>
                <w14:textFill>
                  <w14:solidFill>
                    <w14:srgbClr w14:val="000000">
                      <w14:alpha w14:val="100000"/>
                    </w14:srgbClr>
                  </w14:solidFill>
                </w14:textFill>
              </w:rPr>
              <w:t>|</w:t>
            </w:r>
          </w:p>
        </w:tc>
        <w:tc>
          <w:tcPr>
            <w:tcW w:w="889" w:type="pct"/>
            <w:vMerge w:val="restart"/>
            <w:shd w:val="clear" w:color="auto" w:fill="auto"/>
            <w:vAlign w:val="center"/>
          </w:tcPr>
          <w:p w14:paraId="47A5091A" w14:textId="603951B7" w:rsidR="00822AF6" w:rsidRPr="006919A9" w:rsidRDefault="00822AF6" w:rsidP="007C05BD">
            <w:pPr>
              <w:pStyle w:val="Tabletext"/>
              <w:keepNext/>
              <w:keepLines/>
              <w:spacing w:after="0" w:line="240" w:lineRule="auto"/>
              <w:jc w:val="center"/>
              <w:cnfStyle w:val="000000000000" w:firstRow="0" w:lastRow="0" w:firstColumn="0" w:lastColumn="0" w:oddVBand="0" w:evenVBand="0" w:oddHBand="0" w:evenHBand="0" w:firstRowFirstColumn="0" w:firstRowLastColumn="0" w:lastRowFirstColumn="0" w:lastRowLastColumn="0"/>
            </w:pPr>
            <w:r w:rsidRPr="006919A9">
              <w:t>$</w:t>
            </w:r>
            <w:r w:rsidR="00BB281C" w:rsidRPr="00740AEA">
              <w:rPr>
                <w:rFonts w:hint="eastAsia"/>
                <w:color w:val="000000"/>
                <w:w w:val="15"/>
                <w:shd w:val="solid" w:color="000000" w:fill="000000"/>
                <w:fitText w:val="11" w:id="-1234422526"/>
                <w14:textFill>
                  <w14:solidFill>
                    <w14:srgbClr w14:val="000000">
                      <w14:alpha w14:val="100000"/>
                    </w14:srgbClr>
                  </w14:solidFill>
                </w14:textFill>
              </w:rPr>
              <w:t xml:space="preserve">　</w:t>
            </w:r>
            <w:r w:rsidR="00BB281C" w:rsidRPr="00740AEA">
              <w:rPr>
                <w:color w:val="000000"/>
                <w:w w:val="15"/>
                <w:shd w:val="solid" w:color="000000" w:fill="000000"/>
                <w:fitText w:val="11" w:id="-1234422526"/>
                <w14:textFill>
                  <w14:solidFill>
                    <w14:srgbClr w14:val="000000">
                      <w14:alpha w14:val="100000"/>
                    </w14:srgbClr>
                  </w14:solidFill>
                </w14:textFill>
              </w:rPr>
              <w:t>|</w:t>
            </w:r>
            <w:r w:rsidR="00BB281C" w:rsidRPr="00740AEA">
              <w:rPr>
                <w:rFonts w:hint="eastAsia"/>
                <w:color w:val="000000"/>
                <w:spacing w:val="-54"/>
                <w:w w:val="15"/>
                <w:shd w:val="solid" w:color="000000" w:fill="000000"/>
                <w:fitText w:val="11" w:id="-1234422526"/>
                <w14:textFill>
                  <w14:solidFill>
                    <w14:srgbClr w14:val="000000">
                      <w14:alpha w14:val="100000"/>
                    </w14:srgbClr>
                  </w14:solidFill>
                </w14:textFill>
              </w:rPr>
              <w:t xml:space="preserve">　</w:t>
            </w:r>
          </w:p>
        </w:tc>
        <w:tc>
          <w:tcPr>
            <w:tcW w:w="943" w:type="pct"/>
            <w:shd w:val="clear" w:color="auto" w:fill="auto"/>
            <w:vAlign w:val="center"/>
          </w:tcPr>
          <w:p w14:paraId="215B1632" w14:textId="77777777" w:rsidR="00822AF6" w:rsidRPr="005767EF" w:rsidRDefault="00822AF6" w:rsidP="007C05BD">
            <w:pPr>
              <w:pStyle w:val="Tabletext"/>
              <w:keepNext/>
              <w:keepLines/>
              <w:spacing w:after="0" w:line="240" w:lineRule="auto"/>
              <w:jc w:val="center"/>
              <w:cnfStyle w:val="000000000000" w:firstRow="0" w:lastRow="0" w:firstColumn="0" w:lastColumn="0" w:oddVBand="0" w:evenVBand="0" w:oddHBand="0" w:evenHBand="0" w:firstRowFirstColumn="0" w:firstRowLastColumn="0" w:lastRowFirstColumn="0" w:lastRowLastColumn="0"/>
            </w:pPr>
            <w:r w:rsidRPr="005767EF">
              <w:t>9.33</w:t>
            </w:r>
          </w:p>
        </w:tc>
        <w:tc>
          <w:tcPr>
            <w:tcW w:w="864" w:type="pct"/>
            <w:vMerge w:val="restart"/>
            <w:shd w:val="clear" w:color="auto" w:fill="auto"/>
            <w:vAlign w:val="center"/>
          </w:tcPr>
          <w:p w14:paraId="3E6F3748" w14:textId="77777777" w:rsidR="00822AF6" w:rsidRPr="006919A9" w:rsidRDefault="00822AF6" w:rsidP="007C05BD">
            <w:pPr>
              <w:pStyle w:val="Tabletext"/>
              <w:keepNext/>
              <w:keepLines/>
              <w:spacing w:after="0" w:line="240" w:lineRule="auto"/>
              <w:jc w:val="center"/>
              <w:cnfStyle w:val="000000000000" w:firstRow="0" w:lastRow="0" w:firstColumn="0" w:lastColumn="0" w:oddVBand="0" w:evenVBand="0" w:oddHBand="0" w:evenHBand="0" w:firstRowFirstColumn="0" w:firstRowLastColumn="0" w:lastRowFirstColumn="0" w:lastRowLastColumn="0"/>
            </w:pPr>
            <w:r w:rsidRPr="006919A9">
              <w:t>1.57</w:t>
            </w:r>
          </w:p>
        </w:tc>
        <w:tc>
          <w:tcPr>
            <w:tcW w:w="758" w:type="pct"/>
            <w:vMerge w:val="restart"/>
            <w:shd w:val="clear" w:color="auto" w:fill="auto"/>
            <w:vAlign w:val="center"/>
          </w:tcPr>
          <w:p w14:paraId="4BA8AB0F" w14:textId="3739805E" w:rsidR="00822AF6" w:rsidRPr="006919A9" w:rsidRDefault="00822AF6" w:rsidP="007C05BD">
            <w:pPr>
              <w:pStyle w:val="Tabletext"/>
              <w:keepNext/>
              <w:keepLines/>
              <w:spacing w:after="0" w:line="240" w:lineRule="auto"/>
              <w:jc w:val="center"/>
              <w:cnfStyle w:val="000000000000" w:firstRow="0" w:lastRow="0" w:firstColumn="0" w:lastColumn="0" w:oddVBand="0" w:evenVBand="0" w:oddHBand="0" w:evenHBand="0" w:firstRowFirstColumn="0" w:firstRowLastColumn="0" w:lastRowFirstColumn="0" w:lastRowLastColumn="0"/>
            </w:pPr>
            <w:r w:rsidRPr="006919A9">
              <w:t>$</w:t>
            </w:r>
            <w:r w:rsidR="00BB281C" w:rsidRPr="00BB281C">
              <w:rPr>
                <w:color w:val="000000"/>
                <w:spacing w:val="75"/>
                <w:shd w:val="solid" w:color="000000" w:fill="000000"/>
                <w:fitText w:val="161" w:id="-1234422525"/>
                <w14:textFill>
                  <w14:solidFill>
                    <w14:srgbClr w14:val="000000">
                      <w14:alpha w14:val="100000"/>
                    </w14:srgbClr>
                  </w14:solidFill>
                </w14:textFill>
              </w:rPr>
              <w:t>|</w:t>
            </w:r>
            <w:r w:rsidR="00BB281C" w:rsidRPr="00BB281C">
              <w:rPr>
                <w:color w:val="000000"/>
                <w:spacing w:val="1"/>
                <w:shd w:val="solid" w:color="000000" w:fill="000000"/>
                <w:fitText w:val="161" w:id="-1234422525"/>
                <w14:textFill>
                  <w14:solidFill>
                    <w14:srgbClr w14:val="000000">
                      <w14:alpha w14:val="100000"/>
                    </w14:srgbClr>
                  </w14:solidFill>
                </w14:textFill>
              </w:rPr>
              <w:t>|</w:t>
            </w:r>
            <w:r w:rsidR="00B101C4" w:rsidRPr="00B101C4">
              <w:rPr>
                <w:vertAlign w:val="superscript"/>
              </w:rPr>
              <w:t>2</w:t>
            </w:r>
          </w:p>
        </w:tc>
      </w:tr>
      <w:tr w:rsidR="006919A9" w:rsidRPr="006919A9" w14:paraId="4351703F" w14:textId="77777777" w:rsidTr="00AB337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pct"/>
            <w:shd w:val="clear" w:color="auto" w:fill="auto"/>
            <w:vAlign w:val="center"/>
          </w:tcPr>
          <w:p w14:paraId="30253E7D" w14:textId="77777777" w:rsidR="00822AF6" w:rsidRPr="006919A9" w:rsidRDefault="00822AF6" w:rsidP="007C05BD">
            <w:pPr>
              <w:pStyle w:val="Tabletext"/>
              <w:keepNext/>
              <w:keepLines/>
              <w:spacing w:after="0" w:line="240" w:lineRule="auto"/>
            </w:pPr>
            <w:r w:rsidRPr="006919A9">
              <w:t>Chemotherapy</w:t>
            </w:r>
          </w:p>
        </w:tc>
        <w:tc>
          <w:tcPr>
            <w:tcW w:w="683" w:type="pct"/>
            <w:shd w:val="clear" w:color="auto" w:fill="auto"/>
            <w:vAlign w:val="center"/>
          </w:tcPr>
          <w:p w14:paraId="1FDAFF3A" w14:textId="77777777" w:rsidR="00822AF6" w:rsidRPr="006919A9" w:rsidRDefault="00822AF6" w:rsidP="007C05BD">
            <w:pPr>
              <w:pStyle w:val="Tabletext"/>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pPr>
            <w:r w:rsidRPr="005767EF">
              <w:t>$40,954</w:t>
            </w:r>
          </w:p>
        </w:tc>
        <w:tc>
          <w:tcPr>
            <w:tcW w:w="889" w:type="pct"/>
            <w:vMerge/>
            <w:shd w:val="clear" w:color="auto" w:fill="auto"/>
            <w:vAlign w:val="center"/>
          </w:tcPr>
          <w:p w14:paraId="2F7E284B" w14:textId="77777777" w:rsidR="00822AF6" w:rsidRPr="006919A9" w:rsidRDefault="00822AF6" w:rsidP="007C05BD">
            <w:pPr>
              <w:pStyle w:val="Tabletext"/>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pPr>
          </w:p>
        </w:tc>
        <w:tc>
          <w:tcPr>
            <w:tcW w:w="943" w:type="pct"/>
            <w:shd w:val="clear" w:color="auto" w:fill="auto"/>
            <w:vAlign w:val="center"/>
          </w:tcPr>
          <w:p w14:paraId="15DC7F05" w14:textId="77777777" w:rsidR="00822AF6" w:rsidRPr="005767EF" w:rsidRDefault="00822AF6" w:rsidP="007C05BD">
            <w:pPr>
              <w:pStyle w:val="Tabletext"/>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pPr>
            <w:r w:rsidRPr="005767EF">
              <w:t>7.76</w:t>
            </w:r>
          </w:p>
        </w:tc>
        <w:tc>
          <w:tcPr>
            <w:tcW w:w="864" w:type="pct"/>
            <w:vMerge/>
            <w:shd w:val="clear" w:color="auto" w:fill="auto"/>
            <w:vAlign w:val="center"/>
          </w:tcPr>
          <w:p w14:paraId="47019804" w14:textId="77777777" w:rsidR="00822AF6" w:rsidRPr="006919A9" w:rsidRDefault="00822AF6" w:rsidP="007C05BD">
            <w:pPr>
              <w:pStyle w:val="Tabletext"/>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pPr>
          </w:p>
        </w:tc>
        <w:tc>
          <w:tcPr>
            <w:tcW w:w="758" w:type="pct"/>
            <w:vMerge/>
            <w:shd w:val="clear" w:color="auto" w:fill="auto"/>
            <w:vAlign w:val="center"/>
          </w:tcPr>
          <w:p w14:paraId="2331A9F2" w14:textId="77777777" w:rsidR="00822AF6" w:rsidRPr="006919A9" w:rsidRDefault="00822AF6" w:rsidP="007C05BD">
            <w:pPr>
              <w:pStyle w:val="Tabletext"/>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pPr>
          </w:p>
        </w:tc>
      </w:tr>
    </w:tbl>
    <w:p w14:paraId="264BF7BB" w14:textId="77777777" w:rsidR="00822AF6" w:rsidRPr="006919A9" w:rsidRDefault="00822AF6" w:rsidP="00822AF6">
      <w:pPr>
        <w:pStyle w:val="FooterTableFigure"/>
        <w:keepNext/>
        <w:keepLines/>
      </w:pPr>
      <w:r w:rsidRPr="006919A9">
        <w:t>Source: Table 3.8-2 (p145) of the submission</w:t>
      </w:r>
    </w:p>
    <w:p w14:paraId="4B6B886A" w14:textId="0865B1C4" w:rsidR="00822AF6" w:rsidRDefault="00822AF6" w:rsidP="00822AF6">
      <w:pPr>
        <w:pStyle w:val="FooterTableFigure"/>
        <w:keepNext/>
        <w:keepLines/>
      </w:pPr>
      <w:r w:rsidRPr="006919A9">
        <w:t>AE = adverse event; LY = life years; QALY = quality assurance life year</w:t>
      </w:r>
    </w:p>
    <w:p w14:paraId="0B7917AA" w14:textId="77777777" w:rsidR="00BE6AE7" w:rsidRPr="00B101C4" w:rsidRDefault="00BE6AE7" w:rsidP="00BE6AE7">
      <w:pPr>
        <w:pStyle w:val="FooterTableFigure"/>
        <w:keepNext/>
        <w:keepLines/>
        <w:rPr>
          <w:i/>
          <w:iCs/>
          <w:szCs w:val="18"/>
        </w:rPr>
      </w:pPr>
      <w:r w:rsidRPr="00B101C4">
        <w:rPr>
          <w:i/>
          <w:iCs/>
          <w:szCs w:val="18"/>
        </w:rPr>
        <w:t xml:space="preserve">The redacted values correspond to the following ranges: </w:t>
      </w:r>
    </w:p>
    <w:p w14:paraId="3F8D8AC8" w14:textId="48E67D59" w:rsidR="00BE6AE7" w:rsidRPr="00B101C4" w:rsidRDefault="00BE6AE7" w:rsidP="00BE6AE7">
      <w:pPr>
        <w:pStyle w:val="FooterTableFigure"/>
        <w:keepNext/>
        <w:keepLines/>
        <w:rPr>
          <w:szCs w:val="18"/>
          <w:vertAlign w:val="superscript"/>
        </w:rPr>
      </w:pPr>
      <w:r w:rsidRPr="00B101C4">
        <w:rPr>
          <w:szCs w:val="18"/>
          <w:vertAlign w:val="superscript"/>
        </w:rPr>
        <w:t xml:space="preserve">1 </w:t>
      </w:r>
      <w:r w:rsidR="005767EF" w:rsidRPr="00B101C4">
        <w:rPr>
          <w:szCs w:val="18"/>
        </w:rPr>
        <w:t>&gt;</w:t>
      </w:r>
      <w:r w:rsidR="005767EF">
        <w:rPr>
          <w:szCs w:val="18"/>
        </w:rPr>
        <w:t> </w:t>
      </w:r>
      <w:r w:rsidR="00B101C4" w:rsidRPr="00B101C4">
        <w:rPr>
          <w:szCs w:val="18"/>
        </w:rPr>
        <w:t>$1,055,000</w:t>
      </w:r>
    </w:p>
    <w:p w14:paraId="3411F313" w14:textId="30CBC644" w:rsidR="00BE6AE7" w:rsidRPr="00B101C4" w:rsidRDefault="00BE6AE7" w:rsidP="00BE6AE7">
      <w:pPr>
        <w:pStyle w:val="FooterTableFigure"/>
        <w:keepNext/>
        <w:keepLines/>
        <w:rPr>
          <w:szCs w:val="18"/>
        </w:rPr>
      </w:pPr>
      <w:r w:rsidRPr="00B101C4">
        <w:rPr>
          <w:szCs w:val="18"/>
          <w:vertAlign w:val="superscript"/>
        </w:rPr>
        <w:t xml:space="preserve">2 </w:t>
      </w:r>
      <w:r w:rsidR="00B101C4" w:rsidRPr="00B101C4">
        <w:rPr>
          <w:szCs w:val="18"/>
        </w:rPr>
        <w:t>$35,000 to &lt; $45,000</w:t>
      </w:r>
    </w:p>
    <w:p w14:paraId="40616992" w14:textId="486EF874" w:rsidR="00BE6AE7" w:rsidRPr="00B101C4" w:rsidRDefault="00BE6AE7" w:rsidP="00BE6AE7">
      <w:pPr>
        <w:pStyle w:val="FooterTableFigure"/>
        <w:keepNext/>
        <w:keepLines/>
        <w:rPr>
          <w:szCs w:val="18"/>
          <w:vertAlign w:val="superscript"/>
        </w:rPr>
      </w:pPr>
      <w:r w:rsidRPr="00B101C4">
        <w:rPr>
          <w:szCs w:val="18"/>
          <w:vertAlign w:val="superscript"/>
        </w:rPr>
        <w:t>3</w:t>
      </w:r>
      <w:r w:rsidR="005767EF">
        <w:rPr>
          <w:szCs w:val="18"/>
          <w:vertAlign w:val="superscript"/>
        </w:rPr>
        <w:t xml:space="preserve"> </w:t>
      </w:r>
      <w:r w:rsidR="00B101C4" w:rsidRPr="00B101C4">
        <w:rPr>
          <w:szCs w:val="18"/>
        </w:rPr>
        <w:t>$25,000 to &lt; $35,000</w:t>
      </w:r>
    </w:p>
    <w:p w14:paraId="197219C3" w14:textId="17EFDDE1" w:rsidR="004A0074" w:rsidRPr="00581967" w:rsidRDefault="00096F11" w:rsidP="004A0074">
      <w:pPr>
        <w:pStyle w:val="3-BodyText"/>
      </w:pPr>
      <w:r>
        <w:rPr>
          <w:i/>
          <w:iCs/>
        </w:rPr>
        <w:fldChar w:fldCharType="begin" w:fldLock="1"/>
      </w:r>
      <w:r>
        <w:rPr>
          <w:i/>
          <w:iCs/>
        </w:rPr>
        <w:instrText xml:space="preserve"> REF _Ref127453701 \h </w:instrText>
      </w:r>
      <w:r>
        <w:rPr>
          <w:i/>
          <w:iCs/>
        </w:rPr>
      </w:r>
      <w:r>
        <w:rPr>
          <w:i/>
          <w:iCs/>
        </w:rPr>
        <w:fldChar w:fldCharType="separate"/>
      </w:r>
      <w:r w:rsidR="0067416F" w:rsidRPr="006919A9">
        <w:t xml:space="preserve">Table </w:t>
      </w:r>
      <w:r w:rsidR="0067416F">
        <w:rPr>
          <w:noProof/>
        </w:rPr>
        <w:t>13</w:t>
      </w:r>
      <w:r>
        <w:rPr>
          <w:i/>
          <w:iCs/>
        </w:rPr>
        <w:fldChar w:fldCharType="end"/>
      </w:r>
      <w:r w:rsidR="004A0074">
        <w:rPr>
          <w:i/>
          <w:iCs/>
        </w:rPr>
        <w:t xml:space="preserve"> </w:t>
      </w:r>
      <w:r w:rsidR="004A0074">
        <w:t xml:space="preserve">presents a summary of disaggregated and aggregated model results. </w:t>
      </w:r>
    </w:p>
    <w:p w14:paraId="495308BC" w14:textId="354B0971" w:rsidR="004A0074" w:rsidRPr="006919A9" w:rsidRDefault="004A0074" w:rsidP="00096F11">
      <w:pPr>
        <w:pStyle w:val="TableFigureHeading"/>
        <w:keepLines/>
        <w:rPr>
          <w:rStyle w:val="CommentReference"/>
          <w:b/>
          <w:bCs w:val="0"/>
        </w:rPr>
      </w:pPr>
      <w:bookmarkStart w:id="57" w:name="_Ref127453701"/>
      <w:r w:rsidRPr="006919A9">
        <w:lastRenderedPageBreak/>
        <w:t xml:space="preserve">Table </w:t>
      </w:r>
      <w:fldSimple w:instr=" SEQ Table \* ARABIC " w:fldLock="1">
        <w:r w:rsidR="0067416F">
          <w:rPr>
            <w:noProof/>
          </w:rPr>
          <w:t>13</w:t>
        </w:r>
      </w:fldSimple>
      <w:bookmarkEnd w:id="57"/>
      <w:r>
        <w:rPr>
          <w:noProof/>
        </w:rPr>
        <w:t xml:space="preserve">: </w:t>
      </w:r>
      <w:r w:rsidRPr="006919A9">
        <w:rPr>
          <w:rStyle w:val="CommentReference"/>
          <w:b/>
        </w:rPr>
        <w:t>Disaggregated and aggregated base-case results</w:t>
      </w:r>
      <w:r>
        <w:rPr>
          <w:rStyle w:val="CommentReference"/>
          <w:b/>
        </w:rPr>
        <w:t xml:space="preserve"> (discounted)</w:t>
      </w:r>
    </w:p>
    <w:tbl>
      <w:tblPr>
        <w:tblStyle w:val="MSDShaded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464"/>
        <w:gridCol w:w="1465"/>
        <w:gridCol w:w="1465"/>
        <w:gridCol w:w="1651"/>
      </w:tblGrid>
      <w:tr w:rsidR="004A0074" w:rsidRPr="006919A9" w14:paraId="1A1B4873" w14:textId="77777777" w:rsidTr="00AB41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shd w:val="clear" w:color="auto" w:fill="auto"/>
            <w:noWrap/>
            <w:vAlign w:val="center"/>
            <w:hideMark/>
          </w:tcPr>
          <w:p w14:paraId="1182E54C" w14:textId="77777777" w:rsidR="004A0074" w:rsidRPr="006919A9" w:rsidRDefault="004A0074" w:rsidP="00096F11">
            <w:pPr>
              <w:pStyle w:val="Tabletext"/>
              <w:keepNext/>
              <w:keepLines/>
              <w:spacing w:after="0" w:line="240" w:lineRule="auto"/>
            </w:pPr>
            <w:r w:rsidRPr="006919A9">
              <w:t>Item description</w:t>
            </w:r>
          </w:p>
        </w:tc>
        <w:tc>
          <w:tcPr>
            <w:tcW w:w="1464" w:type="dxa"/>
            <w:shd w:val="clear" w:color="auto" w:fill="auto"/>
          </w:tcPr>
          <w:p w14:paraId="65A355A5" w14:textId="77777777" w:rsidR="004A0074" w:rsidRPr="006919A9" w:rsidRDefault="004A0074" w:rsidP="00B736E5">
            <w:pPr>
              <w:pStyle w:val="Tabletext"/>
              <w:keepNext/>
              <w:keepLines/>
              <w:spacing w:after="0" w:line="240" w:lineRule="auto"/>
              <w:jc w:val="center"/>
              <w:cnfStyle w:val="100000000000" w:firstRow="1" w:lastRow="0" w:firstColumn="0" w:lastColumn="0" w:oddVBand="0" w:evenVBand="0" w:oddHBand="0" w:evenHBand="0" w:firstRowFirstColumn="0" w:firstRowLastColumn="0" w:lastRowFirstColumn="0" w:lastRowLastColumn="0"/>
              <w:rPr>
                <w:b w:val="0"/>
              </w:rPr>
            </w:pPr>
            <w:r w:rsidRPr="006919A9">
              <w:t>Pembrolizumab</w:t>
            </w:r>
          </w:p>
        </w:tc>
        <w:tc>
          <w:tcPr>
            <w:tcW w:w="1465" w:type="dxa"/>
            <w:shd w:val="clear" w:color="auto" w:fill="auto"/>
            <w:noWrap/>
            <w:hideMark/>
          </w:tcPr>
          <w:p w14:paraId="46198E42" w14:textId="77777777" w:rsidR="004A0074" w:rsidRPr="006919A9" w:rsidRDefault="004A0074" w:rsidP="00B736E5">
            <w:pPr>
              <w:pStyle w:val="Tabletext"/>
              <w:keepNext/>
              <w:keepLines/>
              <w:spacing w:after="0" w:line="240" w:lineRule="auto"/>
              <w:jc w:val="center"/>
              <w:cnfStyle w:val="100000000000" w:firstRow="1" w:lastRow="0" w:firstColumn="0" w:lastColumn="0" w:oddVBand="0" w:evenVBand="0" w:oddHBand="0" w:evenHBand="0" w:firstRowFirstColumn="0" w:firstRowLastColumn="0" w:lastRowFirstColumn="0" w:lastRowLastColumn="0"/>
              <w:rPr>
                <w:b w:val="0"/>
              </w:rPr>
            </w:pPr>
            <w:r w:rsidRPr="006919A9">
              <w:t>Chemotherapy</w:t>
            </w:r>
          </w:p>
        </w:tc>
        <w:tc>
          <w:tcPr>
            <w:tcW w:w="1465" w:type="dxa"/>
            <w:shd w:val="clear" w:color="auto" w:fill="auto"/>
            <w:noWrap/>
            <w:hideMark/>
          </w:tcPr>
          <w:p w14:paraId="5D73425B" w14:textId="77777777" w:rsidR="004A0074" w:rsidRPr="006919A9" w:rsidRDefault="004A0074" w:rsidP="00B736E5">
            <w:pPr>
              <w:pStyle w:val="Tabletext"/>
              <w:keepNext/>
              <w:keepLines/>
              <w:spacing w:after="0" w:line="240" w:lineRule="auto"/>
              <w:jc w:val="center"/>
              <w:cnfStyle w:val="100000000000" w:firstRow="1" w:lastRow="0" w:firstColumn="0" w:lastColumn="0" w:oddVBand="0" w:evenVBand="0" w:oddHBand="0" w:evenHBand="0" w:firstRowFirstColumn="0" w:firstRowLastColumn="0" w:lastRowFirstColumn="0" w:lastRowLastColumn="0"/>
              <w:rPr>
                <w:b w:val="0"/>
              </w:rPr>
            </w:pPr>
            <w:r w:rsidRPr="006919A9">
              <w:t>Incremental</w:t>
            </w:r>
          </w:p>
        </w:tc>
        <w:tc>
          <w:tcPr>
            <w:tcW w:w="1651" w:type="dxa"/>
            <w:shd w:val="clear" w:color="auto" w:fill="auto"/>
            <w:noWrap/>
            <w:hideMark/>
          </w:tcPr>
          <w:p w14:paraId="29C588BB" w14:textId="77777777" w:rsidR="004A0074" w:rsidRPr="006919A9" w:rsidRDefault="004A0074" w:rsidP="00096F11">
            <w:pPr>
              <w:pStyle w:val="Tabletext"/>
              <w:keepNext/>
              <w:keepLines/>
              <w:spacing w:after="0" w:line="240" w:lineRule="auto"/>
              <w:cnfStyle w:val="100000000000" w:firstRow="1" w:lastRow="0" w:firstColumn="0" w:lastColumn="0" w:oddVBand="0" w:evenVBand="0" w:oddHBand="0" w:evenHBand="0" w:firstRowFirstColumn="0" w:firstRowLastColumn="0" w:lastRowFirstColumn="0" w:lastRowLastColumn="0"/>
              <w:rPr>
                <w:b w:val="0"/>
              </w:rPr>
            </w:pPr>
            <w:r w:rsidRPr="006919A9">
              <w:t>% of incremental</w:t>
            </w:r>
          </w:p>
        </w:tc>
      </w:tr>
      <w:tr w:rsidR="00C123C7" w:rsidRPr="00C123C7" w14:paraId="2D41AE18" w14:textId="77777777" w:rsidTr="00AB4133">
        <w:trPr>
          <w:cnfStyle w:val="100000000000" w:firstRow="1" w:lastRow="0" w:firstColumn="0" w:lastColumn="0" w:oddVBand="0" w:evenVBand="0" w:oddHBand="0"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9017" w:type="dxa"/>
            <w:gridSpan w:val="5"/>
            <w:shd w:val="clear" w:color="auto" w:fill="auto"/>
            <w:noWrap/>
            <w:vAlign w:val="center"/>
          </w:tcPr>
          <w:p w14:paraId="754D3045" w14:textId="1A6EACA8" w:rsidR="00C123C7" w:rsidRPr="00C123C7" w:rsidRDefault="00C123C7" w:rsidP="00096F11">
            <w:pPr>
              <w:pStyle w:val="Tabletext"/>
              <w:keepNext/>
              <w:keepLines/>
              <w:spacing w:after="0" w:line="240" w:lineRule="auto"/>
            </w:pPr>
            <w:r>
              <w:t>Treatment costs</w:t>
            </w:r>
          </w:p>
        </w:tc>
      </w:tr>
      <w:tr w:rsidR="004A0074" w:rsidRPr="006919A9" w14:paraId="26DC0C21" w14:textId="77777777" w:rsidTr="00AB4133">
        <w:tc>
          <w:tcPr>
            <w:cnfStyle w:val="001000000000" w:firstRow="0" w:lastRow="0" w:firstColumn="1" w:lastColumn="0" w:oddVBand="0" w:evenVBand="0" w:oddHBand="0" w:evenHBand="0" w:firstRowFirstColumn="0" w:firstRowLastColumn="0" w:lastRowFirstColumn="0" w:lastRowLastColumn="0"/>
            <w:tcW w:w="2972" w:type="dxa"/>
            <w:shd w:val="clear" w:color="auto" w:fill="auto"/>
            <w:noWrap/>
            <w:vAlign w:val="center"/>
          </w:tcPr>
          <w:p w14:paraId="36A9244B" w14:textId="3929F7F5" w:rsidR="004A0074" w:rsidRPr="006919A9" w:rsidRDefault="004A0074" w:rsidP="00096F11">
            <w:pPr>
              <w:pStyle w:val="Tabletext"/>
              <w:keepNext/>
              <w:keepLines/>
              <w:spacing w:after="0" w:line="240" w:lineRule="auto"/>
              <w:rPr>
                <w:b w:val="0"/>
                <w:bCs/>
              </w:rPr>
            </w:pPr>
            <w:r w:rsidRPr="006919A9">
              <w:rPr>
                <w:b w:val="0"/>
                <w:bCs/>
              </w:rPr>
              <w:t>Drug acquisition costs</w:t>
            </w:r>
            <w:r w:rsidR="00C123C7">
              <w:rPr>
                <w:b w:val="0"/>
                <w:bCs/>
              </w:rPr>
              <w:t xml:space="preserve"> (neoadjuvant)</w:t>
            </w:r>
          </w:p>
        </w:tc>
        <w:tc>
          <w:tcPr>
            <w:tcW w:w="1464" w:type="dxa"/>
            <w:shd w:val="clear" w:color="auto" w:fill="auto"/>
          </w:tcPr>
          <w:p w14:paraId="11E223AC" w14:textId="5BA9EC76" w:rsidR="004A0074" w:rsidRPr="00DD04B7" w:rsidRDefault="004A0074" w:rsidP="00096F11">
            <w:pPr>
              <w:pStyle w:val="Tabletext"/>
              <w:keepNext/>
              <w:keepLines/>
              <w:spacing w:after="0" w:line="240" w:lineRule="auto"/>
              <w:jc w:val="center"/>
              <w:cnfStyle w:val="000000000000" w:firstRow="0" w:lastRow="0" w:firstColumn="0" w:lastColumn="0" w:oddVBand="0" w:evenVBand="0" w:oddHBand="0" w:evenHBand="0" w:firstRowFirstColumn="0" w:firstRowLastColumn="0" w:lastRowFirstColumn="0" w:lastRowLastColumn="0"/>
              <w:rPr>
                <w:highlight w:val="yellow"/>
              </w:rPr>
            </w:pPr>
            <w:r w:rsidRPr="005767EF">
              <w:t>$</w:t>
            </w:r>
            <w:r w:rsidR="00BB281C" w:rsidRPr="00AB4133">
              <w:rPr>
                <w:rFonts w:hint="eastAsia"/>
                <w:color w:val="000000"/>
                <w:w w:val="18"/>
                <w:shd w:val="solid" w:color="000000" w:fill="000000"/>
                <w:fitText w:val="80" w:id="-1234422524"/>
                <w14:textFill>
                  <w14:solidFill>
                    <w14:srgbClr w14:val="000000">
                      <w14:alpha w14:val="100000"/>
                    </w14:srgbClr>
                  </w14:solidFill>
                </w14:textFill>
              </w:rPr>
              <w:t xml:space="preserve">　</w:t>
            </w:r>
            <w:r w:rsidR="00BB281C" w:rsidRPr="00AB4133">
              <w:rPr>
                <w:color w:val="000000"/>
                <w:w w:val="18"/>
                <w:shd w:val="solid" w:color="000000" w:fill="000000"/>
                <w:fitText w:val="80" w:id="-1234422524"/>
                <w14:textFill>
                  <w14:solidFill>
                    <w14:srgbClr w14:val="000000">
                      <w14:alpha w14:val="100000"/>
                    </w14:srgbClr>
                  </w14:solidFill>
                </w14:textFill>
              </w:rPr>
              <w:t>|</w:t>
            </w:r>
            <w:r w:rsidR="00BB281C" w:rsidRPr="00AB4133">
              <w:rPr>
                <w:rFonts w:hint="eastAsia"/>
                <w:color w:val="000000"/>
                <w:w w:val="18"/>
                <w:shd w:val="solid" w:color="000000" w:fill="000000"/>
                <w:fitText w:val="80" w:id="-1234422524"/>
                <w14:textFill>
                  <w14:solidFill>
                    <w14:srgbClr w14:val="000000">
                      <w14:alpha w14:val="100000"/>
                    </w14:srgbClr>
                  </w14:solidFill>
                </w14:textFill>
              </w:rPr>
              <w:t xml:space="preserve">　</w:t>
            </w:r>
          </w:p>
        </w:tc>
        <w:tc>
          <w:tcPr>
            <w:tcW w:w="1465" w:type="dxa"/>
            <w:shd w:val="clear" w:color="auto" w:fill="auto"/>
            <w:noWrap/>
          </w:tcPr>
          <w:p w14:paraId="2B7F2978" w14:textId="77777777" w:rsidR="004A0074" w:rsidRPr="005767EF" w:rsidRDefault="004A0074" w:rsidP="00096F11">
            <w:pPr>
              <w:pStyle w:val="Tabletext"/>
              <w:keepNext/>
              <w:keepLines/>
              <w:spacing w:after="0" w:line="240" w:lineRule="auto"/>
              <w:jc w:val="center"/>
              <w:cnfStyle w:val="000000000000" w:firstRow="0" w:lastRow="0" w:firstColumn="0" w:lastColumn="0" w:oddVBand="0" w:evenVBand="0" w:oddHBand="0" w:evenHBand="0" w:firstRowFirstColumn="0" w:firstRowLastColumn="0" w:lastRowFirstColumn="0" w:lastRowLastColumn="0"/>
            </w:pPr>
            <w:r w:rsidRPr="005767EF">
              <w:t>$2,979</w:t>
            </w:r>
          </w:p>
        </w:tc>
        <w:tc>
          <w:tcPr>
            <w:tcW w:w="1465" w:type="dxa"/>
            <w:shd w:val="clear" w:color="auto" w:fill="auto"/>
            <w:noWrap/>
          </w:tcPr>
          <w:p w14:paraId="4866ABF9" w14:textId="500395B3" w:rsidR="004A0074" w:rsidRPr="006919A9" w:rsidRDefault="004A0074" w:rsidP="00096F11">
            <w:pPr>
              <w:pStyle w:val="Tabletext"/>
              <w:keepNext/>
              <w:keepLines/>
              <w:spacing w:after="0" w:line="240" w:lineRule="auto"/>
              <w:jc w:val="center"/>
              <w:cnfStyle w:val="000000000000" w:firstRow="0" w:lastRow="0" w:firstColumn="0" w:lastColumn="0" w:oddVBand="0" w:evenVBand="0" w:oddHBand="0" w:evenHBand="0" w:firstRowFirstColumn="0" w:firstRowLastColumn="0" w:lastRowFirstColumn="0" w:lastRowLastColumn="0"/>
            </w:pPr>
            <w:r w:rsidRPr="006919A9">
              <w:t>$</w:t>
            </w:r>
            <w:r w:rsidR="00BB281C" w:rsidRPr="00BB281C">
              <w:rPr>
                <w:rFonts w:hint="eastAsia"/>
                <w:color w:val="000000"/>
                <w:w w:val="18"/>
                <w:shd w:val="solid" w:color="000000" w:fill="000000"/>
                <w:fitText w:val="81" w:id="-1234422523"/>
                <w14:textFill>
                  <w14:solidFill>
                    <w14:srgbClr w14:val="000000">
                      <w14:alpha w14:val="100000"/>
                    </w14:srgbClr>
                  </w14:solidFill>
                </w14:textFill>
              </w:rPr>
              <w:t xml:space="preserve">　</w:t>
            </w:r>
            <w:r w:rsidR="00BB281C" w:rsidRPr="00BB281C">
              <w:rPr>
                <w:color w:val="000000"/>
                <w:w w:val="18"/>
                <w:shd w:val="solid" w:color="000000" w:fill="000000"/>
                <w:fitText w:val="81" w:id="-1234422523"/>
                <w14:textFill>
                  <w14:solidFill>
                    <w14:srgbClr w14:val="000000">
                      <w14:alpha w14:val="100000"/>
                    </w14:srgbClr>
                  </w14:solidFill>
                </w14:textFill>
              </w:rPr>
              <w:t>|</w:t>
            </w:r>
            <w:r w:rsidR="00BB281C" w:rsidRPr="00BB281C">
              <w:rPr>
                <w:rFonts w:hint="eastAsia"/>
                <w:color w:val="000000"/>
                <w:spacing w:val="1"/>
                <w:w w:val="18"/>
                <w:shd w:val="solid" w:color="000000" w:fill="000000"/>
                <w:fitText w:val="81" w:id="-1234422523"/>
                <w14:textFill>
                  <w14:solidFill>
                    <w14:srgbClr w14:val="000000">
                      <w14:alpha w14:val="100000"/>
                    </w14:srgbClr>
                  </w14:solidFill>
                </w14:textFill>
              </w:rPr>
              <w:t xml:space="preserve">　</w:t>
            </w:r>
          </w:p>
        </w:tc>
        <w:tc>
          <w:tcPr>
            <w:tcW w:w="1651" w:type="dxa"/>
            <w:shd w:val="clear" w:color="auto" w:fill="auto"/>
            <w:noWrap/>
          </w:tcPr>
          <w:p w14:paraId="25E03EF5" w14:textId="77777777" w:rsidR="004A0074" w:rsidRPr="006919A9" w:rsidRDefault="004A0074" w:rsidP="00096F11">
            <w:pPr>
              <w:pStyle w:val="Tabletext"/>
              <w:keepNext/>
              <w:keepLines/>
              <w:spacing w:after="0" w:line="240" w:lineRule="auto"/>
              <w:jc w:val="center"/>
              <w:cnfStyle w:val="000000000000" w:firstRow="0" w:lastRow="0" w:firstColumn="0" w:lastColumn="0" w:oddVBand="0" w:evenVBand="0" w:oddHBand="0" w:evenHBand="0" w:firstRowFirstColumn="0" w:firstRowLastColumn="0" w:lastRowFirstColumn="0" w:lastRowLastColumn="0"/>
            </w:pPr>
            <w:r w:rsidRPr="006919A9">
              <w:t>66.5%</w:t>
            </w:r>
          </w:p>
        </w:tc>
      </w:tr>
      <w:tr w:rsidR="004A0074" w:rsidRPr="006919A9" w14:paraId="22758614" w14:textId="77777777" w:rsidTr="00AB41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shd w:val="clear" w:color="auto" w:fill="auto"/>
            <w:noWrap/>
            <w:vAlign w:val="center"/>
          </w:tcPr>
          <w:p w14:paraId="4B1286CF" w14:textId="263B1792" w:rsidR="004A0074" w:rsidRPr="006919A9" w:rsidRDefault="004A0074" w:rsidP="00096F11">
            <w:pPr>
              <w:pStyle w:val="Tabletext"/>
              <w:keepNext/>
              <w:keepLines/>
              <w:spacing w:after="0" w:line="240" w:lineRule="auto"/>
              <w:rPr>
                <w:b w:val="0"/>
                <w:bCs/>
              </w:rPr>
            </w:pPr>
            <w:r w:rsidRPr="006919A9">
              <w:rPr>
                <w:b w:val="0"/>
                <w:bCs/>
              </w:rPr>
              <w:t>Drug acquisition costs</w:t>
            </w:r>
            <w:r w:rsidR="00C123C7">
              <w:rPr>
                <w:b w:val="0"/>
                <w:bCs/>
              </w:rPr>
              <w:t xml:space="preserve"> (adjuvant)</w:t>
            </w:r>
          </w:p>
        </w:tc>
        <w:tc>
          <w:tcPr>
            <w:tcW w:w="1464" w:type="dxa"/>
            <w:shd w:val="clear" w:color="auto" w:fill="auto"/>
          </w:tcPr>
          <w:p w14:paraId="20CA8D7D" w14:textId="574A9CAD" w:rsidR="004A0074" w:rsidRPr="00DD04B7" w:rsidRDefault="004A0074" w:rsidP="00096F11">
            <w:pPr>
              <w:pStyle w:val="Tabletext"/>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rPr>
                <w:highlight w:val="yellow"/>
              </w:rPr>
            </w:pPr>
            <w:r w:rsidRPr="005767EF">
              <w:t>$</w:t>
            </w:r>
            <w:r w:rsidR="00BB281C" w:rsidRPr="00BB281C">
              <w:rPr>
                <w:rFonts w:hint="eastAsia"/>
                <w:color w:val="000000"/>
                <w:w w:val="18"/>
                <w:shd w:val="solid" w:color="000000" w:fill="000000"/>
                <w:fitText w:val="80" w:id="-1234422522"/>
                <w14:textFill>
                  <w14:solidFill>
                    <w14:srgbClr w14:val="000000">
                      <w14:alpha w14:val="100000"/>
                    </w14:srgbClr>
                  </w14:solidFill>
                </w14:textFill>
              </w:rPr>
              <w:t xml:space="preserve">　</w:t>
            </w:r>
            <w:r w:rsidR="00BB281C" w:rsidRPr="00BB281C">
              <w:rPr>
                <w:color w:val="000000"/>
                <w:w w:val="18"/>
                <w:shd w:val="solid" w:color="000000" w:fill="000000"/>
                <w:fitText w:val="80" w:id="-1234422522"/>
                <w14:textFill>
                  <w14:solidFill>
                    <w14:srgbClr w14:val="000000">
                      <w14:alpha w14:val="100000"/>
                    </w14:srgbClr>
                  </w14:solidFill>
                </w14:textFill>
              </w:rPr>
              <w:t>|</w:t>
            </w:r>
            <w:r w:rsidR="00BB281C" w:rsidRPr="00BB281C">
              <w:rPr>
                <w:rFonts w:hint="eastAsia"/>
                <w:color w:val="000000"/>
                <w:w w:val="18"/>
                <w:shd w:val="solid" w:color="000000" w:fill="000000"/>
                <w:fitText w:val="80" w:id="-1234422522"/>
                <w14:textFill>
                  <w14:solidFill>
                    <w14:srgbClr w14:val="000000">
                      <w14:alpha w14:val="100000"/>
                    </w14:srgbClr>
                  </w14:solidFill>
                </w14:textFill>
              </w:rPr>
              <w:t xml:space="preserve">　</w:t>
            </w:r>
          </w:p>
        </w:tc>
        <w:tc>
          <w:tcPr>
            <w:tcW w:w="1465" w:type="dxa"/>
            <w:shd w:val="clear" w:color="auto" w:fill="auto"/>
            <w:noWrap/>
          </w:tcPr>
          <w:p w14:paraId="15A2C988" w14:textId="77777777" w:rsidR="004A0074" w:rsidRPr="005767EF" w:rsidRDefault="004A0074" w:rsidP="00096F11">
            <w:pPr>
              <w:pStyle w:val="Tabletext"/>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pPr>
            <w:r w:rsidRPr="005767EF">
              <w:t>$0</w:t>
            </w:r>
          </w:p>
        </w:tc>
        <w:tc>
          <w:tcPr>
            <w:tcW w:w="1465" w:type="dxa"/>
            <w:shd w:val="clear" w:color="auto" w:fill="auto"/>
            <w:noWrap/>
          </w:tcPr>
          <w:p w14:paraId="211A2712" w14:textId="3197F2C6" w:rsidR="004A0074" w:rsidRPr="006919A9" w:rsidRDefault="004A0074" w:rsidP="00096F11">
            <w:pPr>
              <w:pStyle w:val="Tabletext"/>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pPr>
            <w:r w:rsidRPr="006919A9">
              <w:t>$</w:t>
            </w:r>
            <w:r w:rsidR="00BB281C" w:rsidRPr="00BB281C">
              <w:rPr>
                <w:rFonts w:hint="eastAsia"/>
                <w:color w:val="000000"/>
                <w:w w:val="18"/>
                <w:shd w:val="solid" w:color="000000" w:fill="000000"/>
                <w:fitText w:val="81" w:id="-1234422521"/>
                <w14:textFill>
                  <w14:solidFill>
                    <w14:srgbClr w14:val="000000">
                      <w14:alpha w14:val="100000"/>
                    </w14:srgbClr>
                  </w14:solidFill>
                </w14:textFill>
              </w:rPr>
              <w:t xml:space="preserve">　</w:t>
            </w:r>
            <w:r w:rsidR="00BB281C" w:rsidRPr="00BB281C">
              <w:rPr>
                <w:color w:val="000000"/>
                <w:w w:val="18"/>
                <w:shd w:val="solid" w:color="000000" w:fill="000000"/>
                <w:fitText w:val="81" w:id="-1234422521"/>
                <w14:textFill>
                  <w14:solidFill>
                    <w14:srgbClr w14:val="000000">
                      <w14:alpha w14:val="100000"/>
                    </w14:srgbClr>
                  </w14:solidFill>
                </w14:textFill>
              </w:rPr>
              <w:t>|</w:t>
            </w:r>
            <w:r w:rsidR="00BB281C" w:rsidRPr="00BB281C">
              <w:rPr>
                <w:rFonts w:hint="eastAsia"/>
                <w:color w:val="000000"/>
                <w:spacing w:val="1"/>
                <w:w w:val="18"/>
                <w:shd w:val="solid" w:color="000000" w:fill="000000"/>
                <w:fitText w:val="81" w:id="-1234422521"/>
                <w14:textFill>
                  <w14:solidFill>
                    <w14:srgbClr w14:val="000000">
                      <w14:alpha w14:val="100000"/>
                    </w14:srgbClr>
                  </w14:solidFill>
                </w14:textFill>
              </w:rPr>
              <w:t xml:space="preserve">　</w:t>
            </w:r>
          </w:p>
        </w:tc>
        <w:tc>
          <w:tcPr>
            <w:tcW w:w="1651" w:type="dxa"/>
            <w:shd w:val="clear" w:color="auto" w:fill="auto"/>
            <w:noWrap/>
          </w:tcPr>
          <w:p w14:paraId="0359AE04" w14:textId="77777777" w:rsidR="004A0074" w:rsidRPr="006919A9" w:rsidRDefault="004A0074" w:rsidP="00096F11">
            <w:pPr>
              <w:pStyle w:val="Tabletext"/>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pPr>
            <w:r w:rsidRPr="006919A9">
              <w:t>50.6%</w:t>
            </w:r>
          </w:p>
        </w:tc>
      </w:tr>
      <w:tr w:rsidR="004A0074" w:rsidRPr="006919A9" w14:paraId="080F8118" w14:textId="77777777" w:rsidTr="00AB4133">
        <w:tc>
          <w:tcPr>
            <w:cnfStyle w:val="001000000000" w:firstRow="0" w:lastRow="0" w:firstColumn="1" w:lastColumn="0" w:oddVBand="0" w:evenVBand="0" w:oddHBand="0" w:evenHBand="0" w:firstRowFirstColumn="0" w:firstRowLastColumn="0" w:lastRowFirstColumn="0" w:lastRowLastColumn="0"/>
            <w:tcW w:w="2972" w:type="dxa"/>
            <w:shd w:val="clear" w:color="auto" w:fill="auto"/>
            <w:noWrap/>
            <w:vAlign w:val="center"/>
          </w:tcPr>
          <w:p w14:paraId="046CF08E" w14:textId="77777777" w:rsidR="004A0074" w:rsidRPr="006919A9" w:rsidRDefault="004A0074" w:rsidP="00096F11">
            <w:pPr>
              <w:pStyle w:val="Tabletext"/>
              <w:keepNext/>
              <w:keepLines/>
              <w:spacing w:after="0" w:line="240" w:lineRule="auto"/>
              <w:rPr>
                <w:b w:val="0"/>
                <w:bCs/>
              </w:rPr>
            </w:pPr>
            <w:r w:rsidRPr="006919A9">
              <w:rPr>
                <w:b w:val="0"/>
                <w:bCs/>
              </w:rPr>
              <w:t>Metastatic treatment costs</w:t>
            </w:r>
          </w:p>
        </w:tc>
        <w:tc>
          <w:tcPr>
            <w:tcW w:w="1464" w:type="dxa"/>
            <w:shd w:val="clear" w:color="auto" w:fill="auto"/>
          </w:tcPr>
          <w:p w14:paraId="62552238" w14:textId="5B6FA600" w:rsidR="004A0074" w:rsidRPr="00DD04B7" w:rsidRDefault="004A0074" w:rsidP="00096F11">
            <w:pPr>
              <w:pStyle w:val="Tabletext"/>
              <w:keepNext/>
              <w:keepLines/>
              <w:spacing w:after="0" w:line="240" w:lineRule="auto"/>
              <w:jc w:val="center"/>
              <w:cnfStyle w:val="000000000000" w:firstRow="0" w:lastRow="0" w:firstColumn="0" w:lastColumn="0" w:oddVBand="0" w:evenVBand="0" w:oddHBand="0" w:evenHBand="0" w:firstRowFirstColumn="0" w:firstRowLastColumn="0" w:lastRowFirstColumn="0" w:lastRowLastColumn="0"/>
              <w:rPr>
                <w:highlight w:val="yellow"/>
              </w:rPr>
            </w:pPr>
            <w:r w:rsidRPr="005767EF">
              <w:t>$</w:t>
            </w:r>
            <w:r w:rsidR="00BB281C" w:rsidRPr="00BB281C">
              <w:rPr>
                <w:rFonts w:hint="eastAsia"/>
                <w:color w:val="000000"/>
                <w:w w:val="18"/>
                <w:shd w:val="solid" w:color="000000" w:fill="000000"/>
                <w:fitText w:val="80" w:id="-1234422520"/>
                <w14:textFill>
                  <w14:solidFill>
                    <w14:srgbClr w14:val="000000">
                      <w14:alpha w14:val="100000"/>
                    </w14:srgbClr>
                  </w14:solidFill>
                </w14:textFill>
              </w:rPr>
              <w:t xml:space="preserve">　</w:t>
            </w:r>
            <w:r w:rsidR="00BB281C" w:rsidRPr="00BB281C">
              <w:rPr>
                <w:color w:val="000000"/>
                <w:w w:val="18"/>
                <w:shd w:val="solid" w:color="000000" w:fill="000000"/>
                <w:fitText w:val="80" w:id="-1234422520"/>
                <w14:textFill>
                  <w14:solidFill>
                    <w14:srgbClr w14:val="000000">
                      <w14:alpha w14:val="100000"/>
                    </w14:srgbClr>
                  </w14:solidFill>
                </w14:textFill>
              </w:rPr>
              <w:t>|</w:t>
            </w:r>
            <w:r w:rsidR="00BB281C" w:rsidRPr="00BB281C">
              <w:rPr>
                <w:rFonts w:hint="eastAsia"/>
                <w:color w:val="000000"/>
                <w:w w:val="18"/>
                <w:shd w:val="solid" w:color="000000" w:fill="000000"/>
                <w:fitText w:val="80" w:id="-1234422520"/>
                <w14:textFill>
                  <w14:solidFill>
                    <w14:srgbClr w14:val="000000">
                      <w14:alpha w14:val="100000"/>
                    </w14:srgbClr>
                  </w14:solidFill>
                </w14:textFill>
              </w:rPr>
              <w:t xml:space="preserve">　</w:t>
            </w:r>
          </w:p>
        </w:tc>
        <w:tc>
          <w:tcPr>
            <w:tcW w:w="1465" w:type="dxa"/>
            <w:shd w:val="clear" w:color="auto" w:fill="auto"/>
            <w:noWrap/>
          </w:tcPr>
          <w:p w14:paraId="770EA5BE" w14:textId="77777777" w:rsidR="004A0074" w:rsidRPr="005767EF" w:rsidRDefault="004A0074" w:rsidP="00096F11">
            <w:pPr>
              <w:pStyle w:val="Tabletext"/>
              <w:keepNext/>
              <w:keepLines/>
              <w:spacing w:after="0" w:line="240" w:lineRule="auto"/>
              <w:jc w:val="center"/>
              <w:cnfStyle w:val="000000000000" w:firstRow="0" w:lastRow="0" w:firstColumn="0" w:lastColumn="0" w:oddVBand="0" w:evenVBand="0" w:oddHBand="0" w:evenHBand="0" w:firstRowFirstColumn="0" w:firstRowLastColumn="0" w:lastRowFirstColumn="0" w:lastRowLastColumn="0"/>
            </w:pPr>
            <w:r w:rsidRPr="005767EF">
              <w:t>$11,154</w:t>
            </w:r>
          </w:p>
        </w:tc>
        <w:tc>
          <w:tcPr>
            <w:tcW w:w="1465" w:type="dxa"/>
            <w:shd w:val="clear" w:color="auto" w:fill="auto"/>
            <w:noWrap/>
          </w:tcPr>
          <w:p w14:paraId="07F95D58" w14:textId="675D56BD" w:rsidR="004A0074" w:rsidRPr="006919A9" w:rsidRDefault="004A0074" w:rsidP="00096F11">
            <w:pPr>
              <w:pStyle w:val="Tabletext"/>
              <w:keepNext/>
              <w:keepLines/>
              <w:spacing w:after="0" w:line="240" w:lineRule="auto"/>
              <w:jc w:val="center"/>
              <w:cnfStyle w:val="000000000000" w:firstRow="0" w:lastRow="0" w:firstColumn="0" w:lastColumn="0" w:oddVBand="0" w:evenVBand="0" w:oddHBand="0" w:evenHBand="0" w:firstRowFirstColumn="0" w:firstRowLastColumn="0" w:lastRowFirstColumn="0" w:lastRowLastColumn="0"/>
            </w:pPr>
            <w:r w:rsidRPr="006919A9">
              <w:t>-$</w:t>
            </w:r>
            <w:r w:rsidR="00BB281C" w:rsidRPr="00BB281C">
              <w:rPr>
                <w:rFonts w:hint="eastAsia"/>
                <w:color w:val="000000"/>
                <w:w w:val="23"/>
                <w:shd w:val="solid" w:color="000000" w:fill="000000"/>
                <w:fitText w:val="104" w:id="-1234422519"/>
                <w14:textFill>
                  <w14:solidFill>
                    <w14:srgbClr w14:val="000000">
                      <w14:alpha w14:val="100000"/>
                    </w14:srgbClr>
                  </w14:solidFill>
                </w14:textFill>
              </w:rPr>
              <w:t xml:space="preserve">　</w:t>
            </w:r>
            <w:r w:rsidR="00BB281C" w:rsidRPr="00BB281C">
              <w:rPr>
                <w:color w:val="000000"/>
                <w:w w:val="23"/>
                <w:shd w:val="solid" w:color="000000" w:fill="000000"/>
                <w:fitText w:val="104" w:id="-1234422519"/>
                <w14:textFill>
                  <w14:solidFill>
                    <w14:srgbClr w14:val="000000">
                      <w14:alpha w14:val="100000"/>
                    </w14:srgbClr>
                  </w14:solidFill>
                </w14:textFill>
              </w:rPr>
              <w:t>|</w:t>
            </w:r>
            <w:r w:rsidR="00BB281C" w:rsidRPr="00BB281C">
              <w:rPr>
                <w:rFonts w:hint="eastAsia"/>
                <w:color w:val="000000"/>
                <w:spacing w:val="3"/>
                <w:w w:val="23"/>
                <w:shd w:val="solid" w:color="000000" w:fill="000000"/>
                <w:fitText w:val="104" w:id="-1234422519"/>
                <w14:textFill>
                  <w14:solidFill>
                    <w14:srgbClr w14:val="000000">
                      <w14:alpha w14:val="100000"/>
                    </w14:srgbClr>
                  </w14:solidFill>
                </w14:textFill>
              </w:rPr>
              <w:t xml:space="preserve">　</w:t>
            </w:r>
          </w:p>
        </w:tc>
        <w:tc>
          <w:tcPr>
            <w:tcW w:w="1651" w:type="dxa"/>
            <w:shd w:val="clear" w:color="auto" w:fill="auto"/>
            <w:noWrap/>
          </w:tcPr>
          <w:p w14:paraId="047E9B11" w14:textId="77777777" w:rsidR="004A0074" w:rsidRPr="006919A9" w:rsidRDefault="004A0074" w:rsidP="00096F11">
            <w:pPr>
              <w:pStyle w:val="Tabletext"/>
              <w:keepNext/>
              <w:keepLines/>
              <w:spacing w:after="0" w:line="240" w:lineRule="auto"/>
              <w:jc w:val="center"/>
              <w:cnfStyle w:val="000000000000" w:firstRow="0" w:lastRow="0" w:firstColumn="0" w:lastColumn="0" w:oddVBand="0" w:evenVBand="0" w:oddHBand="0" w:evenHBand="0" w:firstRowFirstColumn="0" w:firstRowLastColumn="0" w:lastRowFirstColumn="0" w:lastRowLastColumn="0"/>
            </w:pPr>
            <w:r w:rsidRPr="006919A9">
              <w:t>-5.5%</w:t>
            </w:r>
          </w:p>
        </w:tc>
      </w:tr>
      <w:tr w:rsidR="004A0074" w:rsidRPr="006919A9" w14:paraId="602CFAC9" w14:textId="77777777" w:rsidTr="00AB41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7" w:type="dxa"/>
            <w:gridSpan w:val="5"/>
            <w:shd w:val="clear" w:color="auto" w:fill="auto"/>
            <w:noWrap/>
            <w:vAlign w:val="center"/>
          </w:tcPr>
          <w:p w14:paraId="55D825BF" w14:textId="6006C447" w:rsidR="004A0074" w:rsidRPr="006919A9" w:rsidRDefault="004A0074" w:rsidP="00096F11">
            <w:pPr>
              <w:pStyle w:val="Tabletext"/>
              <w:keepNext/>
              <w:keepLines/>
              <w:spacing w:after="0" w:line="240" w:lineRule="auto"/>
            </w:pPr>
            <w:r w:rsidRPr="006919A9">
              <w:t>Disease management costs</w:t>
            </w:r>
          </w:p>
        </w:tc>
      </w:tr>
      <w:tr w:rsidR="004A0074" w:rsidRPr="006919A9" w14:paraId="3790EA0C" w14:textId="77777777" w:rsidTr="00AB4133">
        <w:tc>
          <w:tcPr>
            <w:cnfStyle w:val="001000000000" w:firstRow="0" w:lastRow="0" w:firstColumn="1" w:lastColumn="0" w:oddVBand="0" w:evenVBand="0" w:oddHBand="0" w:evenHBand="0" w:firstRowFirstColumn="0" w:firstRowLastColumn="0" w:lastRowFirstColumn="0" w:lastRowLastColumn="0"/>
            <w:tcW w:w="2972" w:type="dxa"/>
            <w:shd w:val="clear" w:color="auto" w:fill="auto"/>
            <w:noWrap/>
            <w:vAlign w:val="center"/>
          </w:tcPr>
          <w:p w14:paraId="389DC829" w14:textId="77777777" w:rsidR="004A0074" w:rsidRPr="006919A9" w:rsidRDefault="004A0074" w:rsidP="00096F11">
            <w:pPr>
              <w:pStyle w:val="Tabletext"/>
              <w:keepNext/>
              <w:keepLines/>
              <w:spacing w:after="0" w:line="240" w:lineRule="auto"/>
              <w:rPr>
                <w:b w:val="0"/>
                <w:bCs/>
              </w:rPr>
            </w:pPr>
            <w:r w:rsidRPr="006919A9">
              <w:rPr>
                <w:b w:val="0"/>
                <w:bCs/>
              </w:rPr>
              <w:t>EFS</w:t>
            </w:r>
          </w:p>
        </w:tc>
        <w:tc>
          <w:tcPr>
            <w:tcW w:w="1464" w:type="dxa"/>
            <w:shd w:val="clear" w:color="auto" w:fill="auto"/>
          </w:tcPr>
          <w:p w14:paraId="1814B041" w14:textId="7ED9B6F7" w:rsidR="004A0074" w:rsidRPr="006919A9" w:rsidRDefault="004A0074" w:rsidP="00096F11">
            <w:pPr>
              <w:pStyle w:val="Tabletext"/>
              <w:keepNext/>
              <w:keepLines/>
              <w:spacing w:after="0" w:line="240" w:lineRule="auto"/>
              <w:jc w:val="center"/>
              <w:cnfStyle w:val="000000000000" w:firstRow="0" w:lastRow="0" w:firstColumn="0" w:lastColumn="0" w:oddVBand="0" w:evenVBand="0" w:oddHBand="0" w:evenHBand="0" w:firstRowFirstColumn="0" w:firstRowLastColumn="0" w:lastRowFirstColumn="0" w:lastRowLastColumn="0"/>
            </w:pPr>
            <w:r w:rsidRPr="006919A9">
              <w:t>$</w:t>
            </w:r>
            <w:r w:rsidR="00BB281C" w:rsidRPr="00BB281C">
              <w:rPr>
                <w:rFonts w:hint="eastAsia"/>
                <w:color w:val="000000"/>
                <w:w w:val="18"/>
                <w:shd w:val="solid" w:color="000000" w:fill="000000"/>
                <w:fitText w:val="80" w:id="-1234422518"/>
                <w14:textFill>
                  <w14:solidFill>
                    <w14:srgbClr w14:val="000000">
                      <w14:alpha w14:val="100000"/>
                    </w14:srgbClr>
                  </w14:solidFill>
                </w14:textFill>
              </w:rPr>
              <w:t xml:space="preserve">　</w:t>
            </w:r>
            <w:r w:rsidR="00BB281C" w:rsidRPr="00BB281C">
              <w:rPr>
                <w:color w:val="000000"/>
                <w:w w:val="18"/>
                <w:shd w:val="solid" w:color="000000" w:fill="000000"/>
                <w:fitText w:val="80" w:id="-1234422518"/>
                <w14:textFill>
                  <w14:solidFill>
                    <w14:srgbClr w14:val="000000">
                      <w14:alpha w14:val="100000"/>
                    </w14:srgbClr>
                  </w14:solidFill>
                </w14:textFill>
              </w:rPr>
              <w:t>|</w:t>
            </w:r>
            <w:r w:rsidR="00BB281C" w:rsidRPr="00BB281C">
              <w:rPr>
                <w:rFonts w:hint="eastAsia"/>
                <w:color w:val="000000"/>
                <w:w w:val="18"/>
                <w:shd w:val="solid" w:color="000000" w:fill="000000"/>
                <w:fitText w:val="80" w:id="-1234422518"/>
                <w14:textFill>
                  <w14:solidFill>
                    <w14:srgbClr w14:val="000000">
                      <w14:alpha w14:val="100000"/>
                    </w14:srgbClr>
                  </w14:solidFill>
                </w14:textFill>
              </w:rPr>
              <w:t xml:space="preserve">　</w:t>
            </w:r>
          </w:p>
        </w:tc>
        <w:tc>
          <w:tcPr>
            <w:tcW w:w="1465" w:type="dxa"/>
            <w:shd w:val="clear" w:color="auto" w:fill="auto"/>
            <w:noWrap/>
          </w:tcPr>
          <w:p w14:paraId="6CBA5B8B" w14:textId="77777777" w:rsidR="004A0074" w:rsidRPr="006919A9" w:rsidRDefault="004A0074" w:rsidP="00096F11">
            <w:pPr>
              <w:pStyle w:val="Tabletext"/>
              <w:keepNext/>
              <w:keepLines/>
              <w:spacing w:after="0" w:line="240" w:lineRule="auto"/>
              <w:jc w:val="center"/>
              <w:cnfStyle w:val="000000000000" w:firstRow="0" w:lastRow="0" w:firstColumn="0" w:lastColumn="0" w:oddVBand="0" w:evenVBand="0" w:oddHBand="0" w:evenHBand="0" w:firstRowFirstColumn="0" w:firstRowLastColumn="0" w:lastRowFirstColumn="0" w:lastRowLastColumn="0"/>
            </w:pPr>
            <w:r w:rsidRPr="006919A9">
              <w:t>$1,909</w:t>
            </w:r>
          </w:p>
        </w:tc>
        <w:tc>
          <w:tcPr>
            <w:tcW w:w="1465" w:type="dxa"/>
            <w:shd w:val="clear" w:color="auto" w:fill="auto"/>
            <w:noWrap/>
          </w:tcPr>
          <w:p w14:paraId="4456CA99" w14:textId="7D653921" w:rsidR="004A0074" w:rsidRPr="006919A9" w:rsidRDefault="004A0074" w:rsidP="00096F11">
            <w:pPr>
              <w:pStyle w:val="Tabletext"/>
              <w:keepNext/>
              <w:keepLines/>
              <w:spacing w:after="0" w:line="240" w:lineRule="auto"/>
              <w:jc w:val="center"/>
              <w:cnfStyle w:val="000000000000" w:firstRow="0" w:lastRow="0" w:firstColumn="0" w:lastColumn="0" w:oddVBand="0" w:evenVBand="0" w:oddHBand="0" w:evenHBand="0" w:firstRowFirstColumn="0" w:firstRowLastColumn="0" w:lastRowFirstColumn="0" w:lastRowLastColumn="0"/>
            </w:pPr>
            <w:r w:rsidRPr="006919A9">
              <w:t>$</w:t>
            </w:r>
            <w:r w:rsidR="00BB281C" w:rsidRPr="00BB281C">
              <w:rPr>
                <w:rFonts w:hint="eastAsia"/>
                <w:color w:val="000000"/>
                <w:w w:val="18"/>
                <w:shd w:val="solid" w:color="000000" w:fill="000000"/>
                <w:fitText w:val="81" w:id="-1234422517"/>
                <w14:textFill>
                  <w14:solidFill>
                    <w14:srgbClr w14:val="000000">
                      <w14:alpha w14:val="100000"/>
                    </w14:srgbClr>
                  </w14:solidFill>
                </w14:textFill>
              </w:rPr>
              <w:t xml:space="preserve">　</w:t>
            </w:r>
            <w:r w:rsidR="00BB281C" w:rsidRPr="00BB281C">
              <w:rPr>
                <w:color w:val="000000"/>
                <w:w w:val="18"/>
                <w:shd w:val="solid" w:color="000000" w:fill="000000"/>
                <w:fitText w:val="81" w:id="-1234422517"/>
                <w14:textFill>
                  <w14:solidFill>
                    <w14:srgbClr w14:val="000000">
                      <w14:alpha w14:val="100000"/>
                    </w14:srgbClr>
                  </w14:solidFill>
                </w14:textFill>
              </w:rPr>
              <w:t>|</w:t>
            </w:r>
            <w:r w:rsidR="00BB281C" w:rsidRPr="00BB281C">
              <w:rPr>
                <w:rFonts w:hint="eastAsia"/>
                <w:color w:val="000000"/>
                <w:spacing w:val="1"/>
                <w:w w:val="18"/>
                <w:shd w:val="solid" w:color="000000" w:fill="000000"/>
                <w:fitText w:val="81" w:id="-1234422517"/>
                <w14:textFill>
                  <w14:solidFill>
                    <w14:srgbClr w14:val="000000">
                      <w14:alpha w14:val="100000"/>
                    </w14:srgbClr>
                  </w14:solidFill>
                </w14:textFill>
              </w:rPr>
              <w:t xml:space="preserve">　</w:t>
            </w:r>
          </w:p>
        </w:tc>
        <w:tc>
          <w:tcPr>
            <w:tcW w:w="1651" w:type="dxa"/>
            <w:shd w:val="clear" w:color="auto" w:fill="auto"/>
            <w:noWrap/>
          </w:tcPr>
          <w:p w14:paraId="50A72706" w14:textId="77777777" w:rsidR="004A0074" w:rsidRPr="006919A9" w:rsidRDefault="004A0074" w:rsidP="00096F11">
            <w:pPr>
              <w:pStyle w:val="Tabletext"/>
              <w:keepNext/>
              <w:keepLines/>
              <w:spacing w:after="0" w:line="240" w:lineRule="auto"/>
              <w:jc w:val="center"/>
              <w:cnfStyle w:val="000000000000" w:firstRow="0" w:lastRow="0" w:firstColumn="0" w:lastColumn="0" w:oddVBand="0" w:evenVBand="0" w:oddHBand="0" w:evenHBand="0" w:firstRowFirstColumn="0" w:firstRowLastColumn="0" w:lastRowFirstColumn="0" w:lastRowLastColumn="0"/>
            </w:pPr>
            <w:r w:rsidRPr="006919A9">
              <w:t>0.4%</w:t>
            </w:r>
          </w:p>
        </w:tc>
      </w:tr>
      <w:tr w:rsidR="004A0074" w:rsidRPr="006919A9" w14:paraId="2D7949BA" w14:textId="77777777" w:rsidTr="00AB41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shd w:val="clear" w:color="auto" w:fill="auto"/>
            <w:noWrap/>
            <w:vAlign w:val="center"/>
          </w:tcPr>
          <w:p w14:paraId="4D6F922B" w14:textId="77777777" w:rsidR="004A0074" w:rsidRPr="006919A9" w:rsidRDefault="004A0074" w:rsidP="00096F11">
            <w:pPr>
              <w:pStyle w:val="Tabletext"/>
              <w:keepNext/>
              <w:keepLines/>
              <w:spacing w:after="0" w:line="240" w:lineRule="auto"/>
              <w:rPr>
                <w:b w:val="0"/>
                <w:bCs/>
              </w:rPr>
            </w:pPr>
            <w:r w:rsidRPr="006919A9">
              <w:rPr>
                <w:b w:val="0"/>
                <w:bCs/>
              </w:rPr>
              <w:t>LR</w:t>
            </w:r>
          </w:p>
        </w:tc>
        <w:tc>
          <w:tcPr>
            <w:tcW w:w="1464" w:type="dxa"/>
            <w:shd w:val="clear" w:color="auto" w:fill="auto"/>
          </w:tcPr>
          <w:p w14:paraId="4C476438" w14:textId="71C3008C" w:rsidR="004A0074" w:rsidRPr="006919A9" w:rsidRDefault="004A0074" w:rsidP="00096F11">
            <w:pPr>
              <w:pStyle w:val="Tabletext"/>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pPr>
            <w:r w:rsidRPr="006919A9">
              <w:t>$</w:t>
            </w:r>
            <w:r w:rsidR="00BB281C" w:rsidRPr="00BB281C">
              <w:rPr>
                <w:rFonts w:hint="eastAsia"/>
                <w:color w:val="000000"/>
                <w:w w:val="18"/>
                <w:shd w:val="solid" w:color="000000" w:fill="000000"/>
                <w:fitText w:val="80" w:id="-1234422516"/>
                <w14:textFill>
                  <w14:solidFill>
                    <w14:srgbClr w14:val="000000">
                      <w14:alpha w14:val="100000"/>
                    </w14:srgbClr>
                  </w14:solidFill>
                </w14:textFill>
              </w:rPr>
              <w:t xml:space="preserve">　</w:t>
            </w:r>
            <w:r w:rsidR="00BB281C" w:rsidRPr="00BB281C">
              <w:rPr>
                <w:color w:val="000000"/>
                <w:w w:val="18"/>
                <w:shd w:val="solid" w:color="000000" w:fill="000000"/>
                <w:fitText w:val="80" w:id="-1234422516"/>
                <w14:textFill>
                  <w14:solidFill>
                    <w14:srgbClr w14:val="000000">
                      <w14:alpha w14:val="100000"/>
                    </w14:srgbClr>
                  </w14:solidFill>
                </w14:textFill>
              </w:rPr>
              <w:t>|</w:t>
            </w:r>
            <w:r w:rsidR="00BB281C" w:rsidRPr="00BB281C">
              <w:rPr>
                <w:rFonts w:hint="eastAsia"/>
                <w:color w:val="000000"/>
                <w:w w:val="18"/>
                <w:shd w:val="solid" w:color="000000" w:fill="000000"/>
                <w:fitText w:val="80" w:id="-1234422516"/>
                <w14:textFill>
                  <w14:solidFill>
                    <w14:srgbClr w14:val="000000">
                      <w14:alpha w14:val="100000"/>
                    </w14:srgbClr>
                  </w14:solidFill>
                </w14:textFill>
              </w:rPr>
              <w:t xml:space="preserve">　</w:t>
            </w:r>
          </w:p>
        </w:tc>
        <w:tc>
          <w:tcPr>
            <w:tcW w:w="1465" w:type="dxa"/>
            <w:shd w:val="clear" w:color="auto" w:fill="auto"/>
            <w:noWrap/>
          </w:tcPr>
          <w:p w14:paraId="69DCA80F" w14:textId="77777777" w:rsidR="004A0074" w:rsidRPr="006919A9" w:rsidRDefault="004A0074" w:rsidP="00096F11">
            <w:pPr>
              <w:pStyle w:val="Tabletext"/>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pPr>
            <w:r w:rsidRPr="006919A9">
              <w:t>$1,754</w:t>
            </w:r>
          </w:p>
        </w:tc>
        <w:tc>
          <w:tcPr>
            <w:tcW w:w="1465" w:type="dxa"/>
            <w:shd w:val="clear" w:color="auto" w:fill="auto"/>
            <w:noWrap/>
          </w:tcPr>
          <w:p w14:paraId="512840FB" w14:textId="3878A36A" w:rsidR="004A0074" w:rsidRPr="006919A9" w:rsidRDefault="004A0074" w:rsidP="00096F11">
            <w:pPr>
              <w:pStyle w:val="Tabletext"/>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pPr>
            <w:r w:rsidRPr="006919A9">
              <w:t>-$</w:t>
            </w:r>
            <w:r w:rsidR="00BB281C" w:rsidRPr="00BB281C">
              <w:rPr>
                <w:rFonts w:hint="eastAsia"/>
                <w:color w:val="000000"/>
                <w:w w:val="23"/>
                <w:shd w:val="solid" w:color="000000" w:fill="000000"/>
                <w:fitText w:val="104" w:id="-1234422515"/>
                <w14:textFill>
                  <w14:solidFill>
                    <w14:srgbClr w14:val="000000">
                      <w14:alpha w14:val="100000"/>
                    </w14:srgbClr>
                  </w14:solidFill>
                </w14:textFill>
              </w:rPr>
              <w:t xml:space="preserve">　</w:t>
            </w:r>
            <w:r w:rsidR="00BB281C" w:rsidRPr="00BB281C">
              <w:rPr>
                <w:color w:val="000000"/>
                <w:w w:val="23"/>
                <w:shd w:val="solid" w:color="000000" w:fill="000000"/>
                <w:fitText w:val="104" w:id="-1234422515"/>
                <w14:textFill>
                  <w14:solidFill>
                    <w14:srgbClr w14:val="000000">
                      <w14:alpha w14:val="100000"/>
                    </w14:srgbClr>
                  </w14:solidFill>
                </w14:textFill>
              </w:rPr>
              <w:t>|</w:t>
            </w:r>
            <w:r w:rsidR="00BB281C" w:rsidRPr="00BB281C">
              <w:rPr>
                <w:rFonts w:hint="eastAsia"/>
                <w:color w:val="000000"/>
                <w:spacing w:val="3"/>
                <w:w w:val="23"/>
                <w:shd w:val="solid" w:color="000000" w:fill="000000"/>
                <w:fitText w:val="104" w:id="-1234422515"/>
                <w14:textFill>
                  <w14:solidFill>
                    <w14:srgbClr w14:val="000000">
                      <w14:alpha w14:val="100000"/>
                    </w14:srgbClr>
                  </w14:solidFill>
                </w14:textFill>
              </w:rPr>
              <w:t xml:space="preserve">　</w:t>
            </w:r>
          </w:p>
        </w:tc>
        <w:tc>
          <w:tcPr>
            <w:tcW w:w="1651" w:type="dxa"/>
            <w:shd w:val="clear" w:color="auto" w:fill="auto"/>
            <w:noWrap/>
          </w:tcPr>
          <w:p w14:paraId="1051CEDA" w14:textId="77777777" w:rsidR="004A0074" w:rsidRPr="006919A9" w:rsidRDefault="004A0074" w:rsidP="00096F11">
            <w:pPr>
              <w:pStyle w:val="Tabletext"/>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pPr>
            <w:r w:rsidRPr="006919A9">
              <w:t>-1.1%</w:t>
            </w:r>
          </w:p>
        </w:tc>
      </w:tr>
      <w:tr w:rsidR="004A0074" w:rsidRPr="006919A9" w14:paraId="1E97EF73" w14:textId="77777777" w:rsidTr="00AB4133">
        <w:tc>
          <w:tcPr>
            <w:cnfStyle w:val="001000000000" w:firstRow="0" w:lastRow="0" w:firstColumn="1" w:lastColumn="0" w:oddVBand="0" w:evenVBand="0" w:oddHBand="0" w:evenHBand="0" w:firstRowFirstColumn="0" w:firstRowLastColumn="0" w:lastRowFirstColumn="0" w:lastRowLastColumn="0"/>
            <w:tcW w:w="2972" w:type="dxa"/>
            <w:shd w:val="clear" w:color="auto" w:fill="auto"/>
            <w:noWrap/>
            <w:vAlign w:val="center"/>
          </w:tcPr>
          <w:p w14:paraId="210E37D1" w14:textId="77777777" w:rsidR="004A0074" w:rsidRPr="006919A9" w:rsidRDefault="004A0074" w:rsidP="00096F11">
            <w:pPr>
              <w:pStyle w:val="Tabletext"/>
              <w:keepNext/>
              <w:keepLines/>
              <w:spacing w:after="0" w:line="240" w:lineRule="auto"/>
              <w:rPr>
                <w:b w:val="0"/>
                <w:bCs/>
              </w:rPr>
            </w:pPr>
            <w:r w:rsidRPr="006919A9">
              <w:rPr>
                <w:b w:val="0"/>
                <w:bCs/>
              </w:rPr>
              <w:t>DM</w:t>
            </w:r>
          </w:p>
        </w:tc>
        <w:tc>
          <w:tcPr>
            <w:tcW w:w="1464" w:type="dxa"/>
            <w:shd w:val="clear" w:color="auto" w:fill="auto"/>
          </w:tcPr>
          <w:p w14:paraId="39801F33" w14:textId="4B989D4F" w:rsidR="004A0074" w:rsidRPr="006919A9" w:rsidRDefault="004A0074" w:rsidP="00096F11">
            <w:pPr>
              <w:pStyle w:val="Tabletext"/>
              <w:keepNext/>
              <w:keepLines/>
              <w:spacing w:after="0" w:line="240" w:lineRule="auto"/>
              <w:jc w:val="center"/>
              <w:cnfStyle w:val="000000000000" w:firstRow="0" w:lastRow="0" w:firstColumn="0" w:lastColumn="0" w:oddVBand="0" w:evenVBand="0" w:oddHBand="0" w:evenHBand="0" w:firstRowFirstColumn="0" w:firstRowLastColumn="0" w:lastRowFirstColumn="0" w:lastRowLastColumn="0"/>
            </w:pPr>
            <w:r w:rsidRPr="006919A9">
              <w:t>$</w:t>
            </w:r>
            <w:r w:rsidR="00BB281C" w:rsidRPr="00BB281C">
              <w:rPr>
                <w:rFonts w:hint="eastAsia"/>
                <w:color w:val="000000"/>
                <w:w w:val="18"/>
                <w:shd w:val="solid" w:color="000000" w:fill="000000"/>
                <w:fitText w:val="80" w:id="-1234422514"/>
                <w14:textFill>
                  <w14:solidFill>
                    <w14:srgbClr w14:val="000000">
                      <w14:alpha w14:val="100000"/>
                    </w14:srgbClr>
                  </w14:solidFill>
                </w14:textFill>
              </w:rPr>
              <w:t xml:space="preserve">　</w:t>
            </w:r>
            <w:r w:rsidR="00BB281C" w:rsidRPr="00BB281C">
              <w:rPr>
                <w:color w:val="000000"/>
                <w:w w:val="18"/>
                <w:shd w:val="solid" w:color="000000" w:fill="000000"/>
                <w:fitText w:val="80" w:id="-1234422514"/>
                <w14:textFill>
                  <w14:solidFill>
                    <w14:srgbClr w14:val="000000">
                      <w14:alpha w14:val="100000"/>
                    </w14:srgbClr>
                  </w14:solidFill>
                </w14:textFill>
              </w:rPr>
              <w:t>|</w:t>
            </w:r>
            <w:r w:rsidR="00BB281C" w:rsidRPr="00BB281C">
              <w:rPr>
                <w:rFonts w:hint="eastAsia"/>
                <w:color w:val="000000"/>
                <w:w w:val="18"/>
                <w:shd w:val="solid" w:color="000000" w:fill="000000"/>
                <w:fitText w:val="80" w:id="-1234422514"/>
                <w14:textFill>
                  <w14:solidFill>
                    <w14:srgbClr w14:val="000000">
                      <w14:alpha w14:val="100000"/>
                    </w14:srgbClr>
                  </w14:solidFill>
                </w14:textFill>
              </w:rPr>
              <w:t xml:space="preserve">　</w:t>
            </w:r>
          </w:p>
        </w:tc>
        <w:tc>
          <w:tcPr>
            <w:tcW w:w="1465" w:type="dxa"/>
            <w:shd w:val="clear" w:color="auto" w:fill="auto"/>
            <w:noWrap/>
          </w:tcPr>
          <w:p w14:paraId="0339ABF1" w14:textId="77777777" w:rsidR="004A0074" w:rsidRPr="006919A9" w:rsidRDefault="004A0074" w:rsidP="00096F11">
            <w:pPr>
              <w:pStyle w:val="Tabletext"/>
              <w:keepNext/>
              <w:keepLines/>
              <w:spacing w:after="0" w:line="240" w:lineRule="auto"/>
              <w:jc w:val="center"/>
              <w:cnfStyle w:val="000000000000" w:firstRow="0" w:lastRow="0" w:firstColumn="0" w:lastColumn="0" w:oddVBand="0" w:evenVBand="0" w:oddHBand="0" w:evenHBand="0" w:firstRowFirstColumn="0" w:firstRowLastColumn="0" w:lastRowFirstColumn="0" w:lastRowLastColumn="0"/>
            </w:pPr>
            <w:r w:rsidRPr="006919A9">
              <w:t>$6,749</w:t>
            </w:r>
          </w:p>
        </w:tc>
        <w:tc>
          <w:tcPr>
            <w:tcW w:w="1465" w:type="dxa"/>
            <w:shd w:val="clear" w:color="auto" w:fill="auto"/>
            <w:noWrap/>
          </w:tcPr>
          <w:p w14:paraId="5685E9CE" w14:textId="22C46F6B" w:rsidR="004A0074" w:rsidRPr="006919A9" w:rsidRDefault="004A0074" w:rsidP="00096F11">
            <w:pPr>
              <w:pStyle w:val="Tabletext"/>
              <w:keepNext/>
              <w:keepLines/>
              <w:spacing w:after="0" w:line="240" w:lineRule="auto"/>
              <w:jc w:val="center"/>
              <w:cnfStyle w:val="000000000000" w:firstRow="0" w:lastRow="0" w:firstColumn="0" w:lastColumn="0" w:oddVBand="0" w:evenVBand="0" w:oddHBand="0" w:evenHBand="0" w:firstRowFirstColumn="0" w:firstRowLastColumn="0" w:lastRowFirstColumn="0" w:lastRowLastColumn="0"/>
            </w:pPr>
            <w:r w:rsidRPr="006919A9">
              <w:t>-$</w:t>
            </w:r>
            <w:r w:rsidR="00BB281C" w:rsidRPr="00BB281C">
              <w:rPr>
                <w:rFonts w:hint="eastAsia"/>
                <w:color w:val="000000"/>
                <w:w w:val="23"/>
                <w:shd w:val="solid" w:color="000000" w:fill="000000"/>
                <w:fitText w:val="104" w:id="-1234422513"/>
                <w14:textFill>
                  <w14:solidFill>
                    <w14:srgbClr w14:val="000000">
                      <w14:alpha w14:val="100000"/>
                    </w14:srgbClr>
                  </w14:solidFill>
                </w14:textFill>
              </w:rPr>
              <w:t xml:space="preserve">　</w:t>
            </w:r>
            <w:r w:rsidR="00BB281C" w:rsidRPr="00BB281C">
              <w:rPr>
                <w:color w:val="000000"/>
                <w:w w:val="23"/>
                <w:shd w:val="solid" w:color="000000" w:fill="000000"/>
                <w:fitText w:val="104" w:id="-1234422513"/>
                <w14:textFill>
                  <w14:solidFill>
                    <w14:srgbClr w14:val="000000">
                      <w14:alpha w14:val="100000"/>
                    </w14:srgbClr>
                  </w14:solidFill>
                </w14:textFill>
              </w:rPr>
              <w:t>|</w:t>
            </w:r>
            <w:r w:rsidR="00BB281C" w:rsidRPr="00BB281C">
              <w:rPr>
                <w:rFonts w:hint="eastAsia"/>
                <w:color w:val="000000"/>
                <w:spacing w:val="3"/>
                <w:w w:val="23"/>
                <w:shd w:val="solid" w:color="000000" w:fill="000000"/>
                <w:fitText w:val="104" w:id="-1234422513"/>
                <w14:textFill>
                  <w14:solidFill>
                    <w14:srgbClr w14:val="000000">
                      <w14:alpha w14:val="100000"/>
                    </w14:srgbClr>
                  </w14:solidFill>
                </w14:textFill>
              </w:rPr>
              <w:t xml:space="preserve">　</w:t>
            </w:r>
          </w:p>
        </w:tc>
        <w:tc>
          <w:tcPr>
            <w:tcW w:w="1651" w:type="dxa"/>
            <w:shd w:val="clear" w:color="auto" w:fill="auto"/>
            <w:noWrap/>
          </w:tcPr>
          <w:p w14:paraId="6A6778F3" w14:textId="77777777" w:rsidR="004A0074" w:rsidRPr="006919A9" w:rsidRDefault="004A0074" w:rsidP="00096F11">
            <w:pPr>
              <w:pStyle w:val="Tabletext"/>
              <w:keepNext/>
              <w:keepLines/>
              <w:spacing w:after="0" w:line="240" w:lineRule="auto"/>
              <w:jc w:val="center"/>
              <w:cnfStyle w:val="000000000000" w:firstRow="0" w:lastRow="0" w:firstColumn="0" w:lastColumn="0" w:oddVBand="0" w:evenVBand="0" w:oddHBand="0" w:evenHBand="0" w:firstRowFirstColumn="0" w:firstRowLastColumn="0" w:lastRowFirstColumn="0" w:lastRowLastColumn="0"/>
            </w:pPr>
            <w:r w:rsidRPr="006919A9">
              <w:t>-4.8%</w:t>
            </w:r>
          </w:p>
        </w:tc>
      </w:tr>
      <w:tr w:rsidR="004A0074" w:rsidRPr="006919A9" w14:paraId="368C62CF" w14:textId="77777777" w:rsidTr="00AB41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shd w:val="clear" w:color="auto" w:fill="auto"/>
            <w:noWrap/>
            <w:vAlign w:val="center"/>
          </w:tcPr>
          <w:p w14:paraId="45C9DB34" w14:textId="77777777" w:rsidR="004A0074" w:rsidRPr="006919A9" w:rsidRDefault="004A0074" w:rsidP="00096F11">
            <w:pPr>
              <w:pStyle w:val="Tabletext"/>
              <w:keepNext/>
              <w:keepLines/>
              <w:spacing w:after="0" w:line="240" w:lineRule="auto"/>
              <w:rPr>
                <w:b w:val="0"/>
                <w:bCs/>
              </w:rPr>
            </w:pPr>
            <w:r w:rsidRPr="006919A9">
              <w:rPr>
                <w:b w:val="0"/>
                <w:bCs/>
              </w:rPr>
              <w:t>Terminal care costs</w:t>
            </w:r>
          </w:p>
        </w:tc>
        <w:tc>
          <w:tcPr>
            <w:tcW w:w="1464" w:type="dxa"/>
            <w:shd w:val="clear" w:color="auto" w:fill="auto"/>
          </w:tcPr>
          <w:p w14:paraId="6BEB3E38" w14:textId="59595310" w:rsidR="004A0074" w:rsidRPr="006919A9" w:rsidRDefault="004A0074" w:rsidP="00096F11">
            <w:pPr>
              <w:pStyle w:val="Tabletext"/>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pPr>
            <w:r w:rsidRPr="006919A9">
              <w:t>$</w:t>
            </w:r>
            <w:r w:rsidR="00BB281C" w:rsidRPr="00BB281C">
              <w:rPr>
                <w:rFonts w:hint="eastAsia"/>
                <w:color w:val="000000"/>
                <w:w w:val="18"/>
                <w:shd w:val="solid" w:color="000000" w:fill="000000"/>
                <w:fitText w:val="80" w:id="-1234422512"/>
                <w14:textFill>
                  <w14:solidFill>
                    <w14:srgbClr w14:val="000000">
                      <w14:alpha w14:val="100000"/>
                    </w14:srgbClr>
                  </w14:solidFill>
                </w14:textFill>
              </w:rPr>
              <w:t xml:space="preserve">　</w:t>
            </w:r>
            <w:r w:rsidR="00BB281C" w:rsidRPr="00BB281C">
              <w:rPr>
                <w:color w:val="000000"/>
                <w:w w:val="18"/>
                <w:shd w:val="solid" w:color="000000" w:fill="000000"/>
                <w:fitText w:val="80" w:id="-1234422512"/>
                <w14:textFill>
                  <w14:solidFill>
                    <w14:srgbClr w14:val="000000">
                      <w14:alpha w14:val="100000"/>
                    </w14:srgbClr>
                  </w14:solidFill>
                </w14:textFill>
              </w:rPr>
              <w:t>|</w:t>
            </w:r>
            <w:r w:rsidR="00BB281C" w:rsidRPr="00BB281C">
              <w:rPr>
                <w:rFonts w:hint="eastAsia"/>
                <w:color w:val="000000"/>
                <w:w w:val="18"/>
                <w:shd w:val="solid" w:color="000000" w:fill="000000"/>
                <w:fitText w:val="80" w:id="-1234422512"/>
                <w14:textFill>
                  <w14:solidFill>
                    <w14:srgbClr w14:val="000000">
                      <w14:alpha w14:val="100000"/>
                    </w14:srgbClr>
                  </w14:solidFill>
                </w14:textFill>
              </w:rPr>
              <w:t xml:space="preserve">　</w:t>
            </w:r>
          </w:p>
        </w:tc>
        <w:tc>
          <w:tcPr>
            <w:tcW w:w="1465" w:type="dxa"/>
            <w:shd w:val="clear" w:color="auto" w:fill="auto"/>
            <w:noWrap/>
          </w:tcPr>
          <w:p w14:paraId="3ABECC80" w14:textId="77777777" w:rsidR="004A0074" w:rsidRPr="006919A9" w:rsidRDefault="004A0074" w:rsidP="00096F11">
            <w:pPr>
              <w:pStyle w:val="Tabletext"/>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pPr>
            <w:r w:rsidRPr="006919A9">
              <w:t>$11,607</w:t>
            </w:r>
          </w:p>
        </w:tc>
        <w:tc>
          <w:tcPr>
            <w:tcW w:w="1465" w:type="dxa"/>
            <w:shd w:val="clear" w:color="auto" w:fill="auto"/>
            <w:noWrap/>
          </w:tcPr>
          <w:p w14:paraId="44B8228A" w14:textId="313A0799" w:rsidR="004A0074" w:rsidRPr="006919A9" w:rsidRDefault="004A0074" w:rsidP="00096F11">
            <w:pPr>
              <w:pStyle w:val="Tabletext"/>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pPr>
            <w:r w:rsidRPr="006919A9">
              <w:t>-$</w:t>
            </w:r>
            <w:r w:rsidR="00BB281C" w:rsidRPr="00BB281C">
              <w:rPr>
                <w:rFonts w:hint="eastAsia"/>
                <w:color w:val="000000"/>
                <w:w w:val="23"/>
                <w:shd w:val="solid" w:color="000000" w:fill="000000"/>
                <w:fitText w:val="104" w:id="-1234422528"/>
                <w14:textFill>
                  <w14:solidFill>
                    <w14:srgbClr w14:val="000000">
                      <w14:alpha w14:val="100000"/>
                    </w14:srgbClr>
                  </w14:solidFill>
                </w14:textFill>
              </w:rPr>
              <w:t xml:space="preserve">　</w:t>
            </w:r>
            <w:r w:rsidR="00BB281C" w:rsidRPr="00BB281C">
              <w:rPr>
                <w:color w:val="000000"/>
                <w:w w:val="23"/>
                <w:shd w:val="solid" w:color="000000" w:fill="000000"/>
                <w:fitText w:val="104" w:id="-1234422528"/>
                <w14:textFill>
                  <w14:solidFill>
                    <w14:srgbClr w14:val="000000">
                      <w14:alpha w14:val="100000"/>
                    </w14:srgbClr>
                  </w14:solidFill>
                </w14:textFill>
              </w:rPr>
              <w:t>|</w:t>
            </w:r>
            <w:r w:rsidR="00BB281C" w:rsidRPr="00BB281C">
              <w:rPr>
                <w:rFonts w:hint="eastAsia"/>
                <w:color w:val="000000"/>
                <w:spacing w:val="3"/>
                <w:w w:val="23"/>
                <w:shd w:val="solid" w:color="000000" w:fill="000000"/>
                <w:fitText w:val="104" w:id="-1234422528"/>
                <w14:textFill>
                  <w14:solidFill>
                    <w14:srgbClr w14:val="000000">
                      <w14:alpha w14:val="100000"/>
                    </w14:srgbClr>
                  </w14:solidFill>
                </w14:textFill>
              </w:rPr>
              <w:t xml:space="preserve">　</w:t>
            </w:r>
          </w:p>
        </w:tc>
        <w:tc>
          <w:tcPr>
            <w:tcW w:w="1651" w:type="dxa"/>
            <w:shd w:val="clear" w:color="auto" w:fill="auto"/>
            <w:noWrap/>
          </w:tcPr>
          <w:p w14:paraId="6711F261" w14:textId="77777777" w:rsidR="004A0074" w:rsidRPr="006919A9" w:rsidRDefault="004A0074" w:rsidP="00096F11">
            <w:pPr>
              <w:pStyle w:val="Tabletext"/>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pPr>
            <w:r w:rsidRPr="006919A9">
              <w:t>-7.0%</w:t>
            </w:r>
          </w:p>
        </w:tc>
      </w:tr>
      <w:tr w:rsidR="004A0074" w:rsidRPr="006919A9" w14:paraId="670C7BFD" w14:textId="77777777" w:rsidTr="00AB4133">
        <w:tc>
          <w:tcPr>
            <w:cnfStyle w:val="001000000000" w:firstRow="0" w:lastRow="0" w:firstColumn="1" w:lastColumn="0" w:oddVBand="0" w:evenVBand="0" w:oddHBand="0" w:evenHBand="0" w:firstRowFirstColumn="0" w:firstRowLastColumn="0" w:lastRowFirstColumn="0" w:lastRowLastColumn="0"/>
            <w:tcW w:w="2972" w:type="dxa"/>
            <w:shd w:val="clear" w:color="auto" w:fill="auto"/>
            <w:noWrap/>
            <w:vAlign w:val="center"/>
          </w:tcPr>
          <w:p w14:paraId="42B7646F" w14:textId="77777777" w:rsidR="004A0074" w:rsidRPr="006919A9" w:rsidRDefault="004A0074" w:rsidP="00096F11">
            <w:pPr>
              <w:pStyle w:val="Tabletext"/>
              <w:keepNext/>
              <w:keepLines/>
              <w:spacing w:after="0" w:line="240" w:lineRule="auto"/>
              <w:rPr>
                <w:b w:val="0"/>
                <w:bCs/>
              </w:rPr>
            </w:pPr>
            <w:r w:rsidRPr="006919A9">
              <w:rPr>
                <w:b w:val="0"/>
                <w:bCs/>
              </w:rPr>
              <w:t>Adverse event costs</w:t>
            </w:r>
          </w:p>
        </w:tc>
        <w:tc>
          <w:tcPr>
            <w:tcW w:w="1464" w:type="dxa"/>
            <w:shd w:val="clear" w:color="auto" w:fill="auto"/>
          </w:tcPr>
          <w:p w14:paraId="1094C9DF" w14:textId="6BD55C43" w:rsidR="004A0074" w:rsidRPr="006919A9" w:rsidRDefault="004A0074" w:rsidP="00096F11">
            <w:pPr>
              <w:pStyle w:val="Tabletext"/>
              <w:keepNext/>
              <w:keepLines/>
              <w:spacing w:after="0" w:line="240" w:lineRule="auto"/>
              <w:jc w:val="center"/>
              <w:cnfStyle w:val="000000000000" w:firstRow="0" w:lastRow="0" w:firstColumn="0" w:lastColumn="0" w:oddVBand="0" w:evenVBand="0" w:oddHBand="0" w:evenHBand="0" w:firstRowFirstColumn="0" w:firstRowLastColumn="0" w:lastRowFirstColumn="0" w:lastRowLastColumn="0"/>
            </w:pPr>
            <w:r w:rsidRPr="006919A9">
              <w:t>$</w:t>
            </w:r>
            <w:r w:rsidR="00BB281C" w:rsidRPr="00BB281C">
              <w:rPr>
                <w:rFonts w:hint="eastAsia"/>
                <w:color w:val="000000"/>
                <w:w w:val="18"/>
                <w:shd w:val="solid" w:color="000000" w:fill="000000"/>
                <w:fitText w:val="80" w:id="-1234422527"/>
                <w14:textFill>
                  <w14:solidFill>
                    <w14:srgbClr w14:val="000000">
                      <w14:alpha w14:val="100000"/>
                    </w14:srgbClr>
                  </w14:solidFill>
                </w14:textFill>
              </w:rPr>
              <w:t xml:space="preserve">　</w:t>
            </w:r>
            <w:r w:rsidR="00BB281C" w:rsidRPr="00BB281C">
              <w:rPr>
                <w:color w:val="000000"/>
                <w:w w:val="18"/>
                <w:shd w:val="solid" w:color="000000" w:fill="000000"/>
                <w:fitText w:val="80" w:id="-1234422527"/>
                <w14:textFill>
                  <w14:solidFill>
                    <w14:srgbClr w14:val="000000">
                      <w14:alpha w14:val="100000"/>
                    </w14:srgbClr>
                  </w14:solidFill>
                </w14:textFill>
              </w:rPr>
              <w:t>|</w:t>
            </w:r>
            <w:r w:rsidR="00BB281C" w:rsidRPr="00BB281C">
              <w:rPr>
                <w:rFonts w:hint="eastAsia"/>
                <w:color w:val="000000"/>
                <w:w w:val="18"/>
                <w:shd w:val="solid" w:color="000000" w:fill="000000"/>
                <w:fitText w:val="80" w:id="-1234422527"/>
                <w14:textFill>
                  <w14:solidFill>
                    <w14:srgbClr w14:val="000000">
                      <w14:alpha w14:val="100000"/>
                    </w14:srgbClr>
                  </w14:solidFill>
                </w14:textFill>
              </w:rPr>
              <w:t xml:space="preserve">　</w:t>
            </w:r>
          </w:p>
        </w:tc>
        <w:tc>
          <w:tcPr>
            <w:tcW w:w="1465" w:type="dxa"/>
            <w:shd w:val="clear" w:color="auto" w:fill="auto"/>
            <w:noWrap/>
          </w:tcPr>
          <w:p w14:paraId="371137CB" w14:textId="77777777" w:rsidR="004A0074" w:rsidRPr="006919A9" w:rsidRDefault="004A0074" w:rsidP="00096F11">
            <w:pPr>
              <w:pStyle w:val="Tabletext"/>
              <w:keepNext/>
              <w:keepLines/>
              <w:spacing w:after="0" w:line="240" w:lineRule="auto"/>
              <w:jc w:val="center"/>
              <w:cnfStyle w:val="000000000000" w:firstRow="0" w:lastRow="0" w:firstColumn="0" w:lastColumn="0" w:oddVBand="0" w:evenVBand="0" w:oddHBand="0" w:evenHBand="0" w:firstRowFirstColumn="0" w:firstRowLastColumn="0" w:lastRowFirstColumn="0" w:lastRowLastColumn="0"/>
            </w:pPr>
            <w:r w:rsidRPr="006919A9">
              <w:t>$818</w:t>
            </w:r>
          </w:p>
        </w:tc>
        <w:tc>
          <w:tcPr>
            <w:tcW w:w="1465" w:type="dxa"/>
            <w:shd w:val="clear" w:color="auto" w:fill="auto"/>
            <w:noWrap/>
          </w:tcPr>
          <w:p w14:paraId="2A964109" w14:textId="64BEBFA1" w:rsidR="004A0074" w:rsidRPr="006919A9" w:rsidRDefault="004A0074" w:rsidP="00096F11">
            <w:pPr>
              <w:pStyle w:val="Tabletext"/>
              <w:keepNext/>
              <w:keepLines/>
              <w:spacing w:after="0" w:line="240" w:lineRule="auto"/>
              <w:jc w:val="center"/>
              <w:cnfStyle w:val="000000000000" w:firstRow="0" w:lastRow="0" w:firstColumn="0" w:lastColumn="0" w:oddVBand="0" w:evenVBand="0" w:oddHBand="0" w:evenHBand="0" w:firstRowFirstColumn="0" w:firstRowLastColumn="0" w:lastRowFirstColumn="0" w:lastRowLastColumn="0"/>
            </w:pPr>
            <w:r w:rsidRPr="006919A9">
              <w:t>$</w:t>
            </w:r>
            <w:r w:rsidR="00BB281C" w:rsidRPr="00AB4133">
              <w:rPr>
                <w:rFonts w:hint="eastAsia"/>
                <w:color w:val="000000"/>
                <w:w w:val="18"/>
                <w:shd w:val="solid" w:color="000000" w:fill="000000"/>
                <w:fitText w:val="81" w:id="-1234422526"/>
                <w14:textFill>
                  <w14:solidFill>
                    <w14:srgbClr w14:val="000000">
                      <w14:alpha w14:val="100000"/>
                    </w14:srgbClr>
                  </w14:solidFill>
                </w14:textFill>
              </w:rPr>
              <w:t xml:space="preserve">　</w:t>
            </w:r>
            <w:r w:rsidR="00BB281C" w:rsidRPr="00AB4133">
              <w:rPr>
                <w:color w:val="000000"/>
                <w:w w:val="18"/>
                <w:shd w:val="solid" w:color="000000" w:fill="000000"/>
                <w:fitText w:val="81" w:id="-1234422526"/>
                <w14:textFill>
                  <w14:solidFill>
                    <w14:srgbClr w14:val="000000">
                      <w14:alpha w14:val="100000"/>
                    </w14:srgbClr>
                  </w14:solidFill>
                </w14:textFill>
              </w:rPr>
              <w:t>|</w:t>
            </w:r>
            <w:r w:rsidR="00BB281C" w:rsidRPr="00AB4133">
              <w:rPr>
                <w:rFonts w:hint="eastAsia"/>
                <w:color w:val="000000"/>
                <w:w w:val="18"/>
                <w:shd w:val="solid" w:color="000000" w:fill="000000"/>
                <w:fitText w:val="81" w:id="-1234422526"/>
                <w14:textFill>
                  <w14:solidFill>
                    <w14:srgbClr w14:val="000000">
                      <w14:alpha w14:val="100000"/>
                    </w14:srgbClr>
                  </w14:solidFill>
                </w14:textFill>
              </w:rPr>
              <w:t xml:space="preserve">　</w:t>
            </w:r>
          </w:p>
        </w:tc>
        <w:tc>
          <w:tcPr>
            <w:tcW w:w="1651" w:type="dxa"/>
            <w:shd w:val="clear" w:color="auto" w:fill="auto"/>
            <w:noWrap/>
          </w:tcPr>
          <w:p w14:paraId="6149CB63" w14:textId="77777777" w:rsidR="004A0074" w:rsidRPr="006919A9" w:rsidRDefault="004A0074" w:rsidP="00096F11">
            <w:pPr>
              <w:pStyle w:val="Tabletext"/>
              <w:keepNext/>
              <w:keepLines/>
              <w:spacing w:after="0" w:line="240" w:lineRule="auto"/>
              <w:jc w:val="center"/>
              <w:cnfStyle w:val="000000000000" w:firstRow="0" w:lastRow="0" w:firstColumn="0" w:lastColumn="0" w:oddVBand="0" w:evenVBand="0" w:oddHBand="0" w:evenHBand="0" w:firstRowFirstColumn="0" w:firstRowLastColumn="0" w:lastRowFirstColumn="0" w:lastRowLastColumn="0"/>
            </w:pPr>
            <w:r w:rsidRPr="006919A9">
              <w:t>0.3%</w:t>
            </w:r>
          </w:p>
        </w:tc>
      </w:tr>
      <w:tr w:rsidR="004A0074" w:rsidRPr="006919A9" w14:paraId="71D64065" w14:textId="77777777" w:rsidTr="00AB41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7" w:type="dxa"/>
            <w:gridSpan w:val="5"/>
            <w:shd w:val="clear" w:color="auto" w:fill="auto"/>
            <w:noWrap/>
            <w:vAlign w:val="center"/>
          </w:tcPr>
          <w:p w14:paraId="23EDB8C6" w14:textId="164ABE3E" w:rsidR="004A0074" w:rsidRPr="006919A9" w:rsidRDefault="004A0074" w:rsidP="00096F11">
            <w:pPr>
              <w:pStyle w:val="Tabletext"/>
              <w:keepNext/>
              <w:keepLines/>
              <w:spacing w:after="0" w:line="240" w:lineRule="auto"/>
            </w:pPr>
            <w:r w:rsidRPr="006919A9">
              <w:t>QALYs</w:t>
            </w:r>
          </w:p>
        </w:tc>
      </w:tr>
      <w:tr w:rsidR="004A0074" w:rsidRPr="006919A9" w14:paraId="1B5391F6" w14:textId="77777777" w:rsidTr="00AB4133">
        <w:tc>
          <w:tcPr>
            <w:cnfStyle w:val="001000000000" w:firstRow="0" w:lastRow="0" w:firstColumn="1" w:lastColumn="0" w:oddVBand="0" w:evenVBand="0" w:oddHBand="0" w:evenHBand="0" w:firstRowFirstColumn="0" w:firstRowLastColumn="0" w:lastRowFirstColumn="0" w:lastRowLastColumn="0"/>
            <w:tcW w:w="2972" w:type="dxa"/>
            <w:shd w:val="clear" w:color="auto" w:fill="auto"/>
            <w:noWrap/>
            <w:vAlign w:val="center"/>
          </w:tcPr>
          <w:p w14:paraId="437152EF" w14:textId="77777777" w:rsidR="004A0074" w:rsidRPr="006919A9" w:rsidRDefault="004A0074" w:rsidP="00096F11">
            <w:pPr>
              <w:pStyle w:val="Tabletext"/>
              <w:keepNext/>
              <w:keepLines/>
              <w:spacing w:after="0" w:line="240" w:lineRule="auto"/>
              <w:rPr>
                <w:b w:val="0"/>
                <w:bCs/>
              </w:rPr>
            </w:pPr>
            <w:r w:rsidRPr="006919A9">
              <w:rPr>
                <w:b w:val="0"/>
                <w:bCs/>
              </w:rPr>
              <w:t>EFS</w:t>
            </w:r>
          </w:p>
        </w:tc>
        <w:tc>
          <w:tcPr>
            <w:tcW w:w="1464" w:type="dxa"/>
            <w:shd w:val="clear" w:color="auto" w:fill="auto"/>
          </w:tcPr>
          <w:p w14:paraId="6D87788F" w14:textId="77777777" w:rsidR="004A0074" w:rsidRPr="005767EF" w:rsidRDefault="004A0074" w:rsidP="00096F11">
            <w:pPr>
              <w:pStyle w:val="Tabletext"/>
              <w:keepNext/>
              <w:keepLines/>
              <w:spacing w:after="0" w:line="240" w:lineRule="auto"/>
              <w:jc w:val="center"/>
              <w:cnfStyle w:val="000000000000" w:firstRow="0" w:lastRow="0" w:firstColumn="0" w:lastColumn="0" w:oddVBand="0" w:evenVBand="0" w:oddHBand="0" w:evenHBand="0" w:firstRowFirstColumn="0" w:firstRowLastColumn="0" w:lastRowFirstColumn="0" w:lastRowLastColumn="0"/>
            </w:pPr>
            <w:r w:rsidRPr="005767EF">
              <w:t>9.64</w:t>
            </w:r>
          </w:p>
        </w:tc>
        <w:tc>
          <w:tcPr>
            <w:tcW w:w="1465" w:type="dxa"/>
            <w:shd w:val="clear" w:color="auto" w:fill="auto"/>
            <w:noWrap/>
          </w:tcPr>
          <w:p w14:paraId="0128E8B5" w14:textId="77777777" w:rsidR="004A0074" w:rsidRPr="005767EF" w:rsidRDefault="004A0074" w:rsidP="00096F11">
            <w:pPr>
              <w:pStyle w:val="Tabletext"/>
              <w:keepNext/>
              <w:keepLines/>
              <w:spacing w:after="0" w:line="240" w:lineRule="auto"/>
              <w:jc w:val="center"/>
              <w:cnfStyle w:val="000000000000" w:firstRow="0" w:lastRow="0" w:firstColumn="0" w:lastColumn="0" w:oddVBand="0" w:evenVBand="0" w:oddHBand="0" w:evenHBand="0" w:firstRowFirstColumn="0" w:firstRowLastColumn="0" w:lastRowFirstColumn="0" w:lastRowLastColumn="0"/>
            </w:pPr>
            <w:r w:rsidRPr="005767EF">
              <w:t>7.75</w:t>
            </w:r>
          </w:p>
        </w:tc>
        <w:tc>
          <w:tcPr>
            <w:tcW w:w="1465" w:type="dxa"/>
            <w:shd w:val="clear" w:color="auto" w:fill="auto"/>
            <w:noWrap/>
          </w:tcPr>
          <w:p w14:paraId="19742AD1" w14:textId="77777777" w:rsidR="004A0074" w:rsidRPr="006919A9" w:rsidRDefault="004A0074" w:rsidP="00096F11">
            <w:pPr>
              <w:pStyle w:val="Tabletext"/>
              <w:keepNext/>
              <w:keepLines/>
              <w:spacing w:after="0" w:line="240" w:lineRule="auto"/>
              <w:jc w:val="center"/>
              <w:cnfStyle w:val="000000000000" w:firstRow="0" w:lastRow="0" w:firstColumn="0" w:lastColumn="0" w:oddVBand="0" w:evenVBand="0" w:oddHBand="0" w:evenHBand="0" w:firstRowFirstColumn="0" w:firstRowLastColumn="0" w:lastRowFirstColumn="0" w:lastRowLastColumn="0"/>
            </w:pPr>
            <w:r w:rsidRPr="006919A9">
              <w:t>1.89</w:t>
            </w:r>
          </w:p>
        </w:tc>
        <w:tc>
          <w:tcPr>
            <w:tcW w:w="1651" w:type="dxa"/>
            <w:shd w:val="clear" w:color="auto" w:fill="auto"/>
            <w:noWrap/>
          </w:tcPr>
          <w:p w14:paraId="189B5D36" w14:textId="77777777" w:rsidR="004A0074" w:rsidRPr="006919A9" w:rsidRDefault="004A0074" w:rsidP="00096F11">
            <w:pPr>
              <w:pStyle w:val="Tabletext"/>
              <w:keepNext/>
              <w:keepLines/>
              <w:spacing w:after="0" w:line="240" w:lineRule="auto"/>
              <w:jc w:val="center"/>
              <w:cnfStyle w:val="000000000000" w:firstRow="0" w:lastRow="0" w:firstColumn="0" w:lastColumn="0" w:oddVBand="0" w:evenVBand="0" w:oddHBand="0" w:evenHBand="0" w:firstRowFirstColumn="0" w:firstRowLastColumn="0" w:lastRowFirstColumn="0" w:lastRowLastColumn="0"/>
            </w:pPr>
            <w:r w:rsidRPr="006919A9">
              <w:t>120.2%</w:t>
            </w:r>
          </w:p>
        </w:tc>
      </w:tr>
      <w:tr w:rsidR="004A0074" w:rsidRPr="006919A9" w14:paraId="60EB127D" w14:textId="77777777" w:rsidTr="00AB41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shd w:val="clear" w:color="auto" w:fill="auto"/>
            <w:noWrap/>
            <w:vAlign w:val="center"/>
          </w:tcPr>
          <w:p w14:paraId="70134213" w14:textId="77777777" w:rsidR="004A0074" w:rsidRPr="006919A9" w:rsidRDefault="004A0074" w:rsidP="00096F11">
            <w:pPr>
              <w:pStyle w:val="Tabletext"/>
              <w:keepNext/>
              <w:keepLines/>
              <w:spacing w:after="0" w:line="240" w:lineRule="auto"/>
              <w:rPr>
                <w:b w:val="0"/>
                <w:bCs/>
              </w:rPr>
            </w:pPr>
            <w:r w:rsidRPr="006919A9">
              <w:rPr>
                <w:b w:val="0"/>
                <w:bCs/>
              </w:rPr>
              <w:t>LR</w:t>
            </w:r>
          </w:p>
        </w:tc>
        <w:tc>
          <w:tcPr>
            <w:tcW w:w="1464" w:type="dxa"/>
            <w:shd w:val="clear" w:color="auto" w:fill="auto"/>
          </w:tcPr>
          <w:p w14:paraId="2DDAC1D6" w14:textId="77777777" w:rsidR="004A0074" w:rsidRPr="005767EF" w:rsidRDefault="004A0074" w:rsidP="00096F11">
            <w:pPr>
              <w:pStyle w:val="Tabletext"/>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pPr>
            <w:r w:rsidRPr="005767EF">
              <w:t>0.07</w:t>
            </w:r>
          </w:p>
        </w:tc>
        <w:tc>
          <w:tcPr>
            <w:tcW w:w="1465" w:type="dxa"/>
            <w:shd w:val="clear" w:color="auto" w:fill="auto"/>
            <w:noWrap/>
          </w:tcPr>
          <w:p w14:paraId="3C4AF267" w14:textId="77777777" w:rsidR="004A0074" w:rsidRPr="005767EF" w:rsidRDefault="004A0074" w:rsidP="00096F11">
            <w:pPr>
              <w:pStyle w:val="Tabletext"/>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pPr>
            <w:r w:rsidRPr="005767EF">
              <w:t>0.13</w:t>
            </w:r>
          </w:p>
        </w:tc>
        <w:tc>
          <w:tcPr>
            <w:tcW w:w="1465" w:type="dxa"/>
            <w:shd w:val="clear" w:color="auto" w:fill="auto"/>
            <w:noWrap/>
          </w:tcPr>
          <w:p w14:paraId="22423415" w14:textId="77777777" w:rsidR="004A0074" w:rsidRPr="006919A9" w:rsidRDefault="004A0074" w:rsidP="00096F11">
            <w:pPr>
              <w:pStyle w:val="Tabletext"/>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pPr>
            <w:r w:rsidRPr="006919A9">
              <w:t>-0.06</w:t>
            </w:r>
          </w:p>
        </w:tc>
        <w:tc>
          <w:tcPr>
            <w:tcW w:w="1651" w:type="dxa"/>
            <w:shd w:val="clear" w:color="auto" w:fill="auto"/>
            <w:noWrap/>
          </w:tcPr>
          <w:p w14:paraId="60D4DB39" w14:textId="77777777" w:rsidR="004A0074" w:rsidRPr="006919A9" w:rsidRDefault="004A0074" w:rsidP="00096F11">
            <w:pPr>
              <w:pStyle w:val="Tabletext"/>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pPr>
            <w:r w:rsidRPr="006919A9">
              <w:t>-3.6%</w:t>
            </w:r>
          </w:p>
        </w:tc>
      </w:tr>
      <w:tr w:rsidR="004A0074" w:rsidRPr="006919A9" w14:paraId="30DC90B6" w14:textId="77777777" w:rsidTr="00AB4133">
        <w:tc>
          <w:tcPr>
            <w:cnfStyle w:val="001000000000" w:firstRow="0" w:lastRow="0" w:firstColumn="1" w:lastColumn="0" w:oddVBand="0" w:evenVBand="0" w:oddHBand="0" w:evenHBand="0" w:firstRowFirstColumn="0" w:firstRowLastColumn="0" w:lastRowFirstColumn="0" w:lastRowLastColumn="0"/>
            <w:tcW w:w="2972" w:type="dxa"/>
            <w:shd w:val="clear" w:color="auto" w:fill="auto"/>
            <w:noWrap/>
            <w:vAlign w:val="center"/>
          </w:tcPr>
          <w:p w14:paraId="35313E1F" w14:textId="77777777" w:rsidR="004A0074" w:rsidRPr="006919A9" w:rsidRDefault="004A0074" w:rsidP="00096F11">
            <w:pPr>
              <w:pStyle w:val="Tabletext"/>
              <w:keepNext/>
              <w:keepLines/>
              <w:spacing w:after="0" w:line="240" w:lineRule="auto"/>
              <w:rPr>
                <w:b w:val="0"/>
                <w:bCs/>
              </w:rPr>
            </w:pPr>
            <w:r w:rsidRPr="006919A9">
              <w:rPr>
                <w:b w:val="0"/>
                <w:bCs/>
              </w:rPr>
              <w:t>DM</w:t>
            </w:r>
          </w:p>
        </w:tc>
        <w:tc>
          <w:tcPr>
            <w:tcW w:w="1464" w:type="dxa"/>
            <w:shd w:val="clear" w:color="auto" w:fill="auto"/>
          </w:tcPr>
          <w:p w14:paraId="3D28F6A4" w14:textId="77777777" w:rsidR="004A0074" w:rsidRPr="005767EF" w:rsidRDefault="004A0074" w:rsidP="00096F11">
            <w:pPr>
              <w:pStyle w:val="Tabletext"/>
              <w:keepNext/>
              <w:keepLines/>
              <w:spacing w:after="0" w:line="240" w:lineRule="auto"/>
              <w:jc w:val="center"/>
              <w:cnfStyle w:val="000000000000" w:firstRow="0" w:lastRow="0" w:firstColumn="0" w:lastColumn="0" w:oddVBand="0" w:evenVBand="0" w:oddHBand="0" w:evenHBand="0" w:firstRowFirstColumn="0" w:firstRowLastColumn="0" w:lastRowFirstColumn="0" w:lastRowLastColumn="0"/>
            </w:pPr>
            <w:r w:rsidRPr="005767EF">
              <w:t>0.13</w:t>
            </w:r>
          </w:p>
        </w:tc>
        <w:tc>
          <w:tcPr>
            <w:tcW w:w="1465" w:type="dxa"/>
            <w:shd w:val="clear" w:color="auto" w:fill="auto"/>
            <w:noWrap/>
          </w:tcPr>
          <w:p w14:paraId="678AC113" w14:textId="77777777" w:rsidR="004A0074" w:rsidRPr="005767EF" w:rsidRDefault="004A0074" w:rsidP="00096F11">
            <w:pPr>
              <w:pStyle w:val="Tabletext"/>
              <w:keepNext/>
              <w:keepLines/>
              <w:spacing w:after="0" w:line="240" w:lineRule="auto"/>
              <w:jc w:val="center"/>
              <w:cnfStyle w:val="000000000000" w:firstRow="0" w:lastRow="0" w:firstColumn="0" w:lastColumn="0" w:oddVBand="0" w:evenVBand="0" w:oddHBand="0" w:evenHBand="0" w:firstRowFirstColumn="0" w:firstRowLastColumn="0" w:lastRowFirstColumn="0" w:lastRowLastColumn="0"/>
            </w:pPr>
            <w:r w:rsidRPr="005767EF">
              <w:t>0.26</w:t>
            </w:r>
          </w:p>
        </w:tc>
        <w:tc>
          <w:tcPr>
            <w:tcW w:w="1465" w:type="dxa"/>
            <w:shd w:val="clear" w:color="auto" w:fill="auto"/>
            <w:noWrap/>
          </w:tcPr>
          <w:p w14:paraId="511DEB64" w14:textId="77777777" w:rsidR="004A0074" w:rsidRPr="006919A9" w:rsidRDefault="004A0074" w:rsidP="00096F11">
            <w:pPr>
              <w:pStyle w:val="Tabletext"/>
              <w:keepNext/>
              <w:keepLines/>
              <w:spacing w:after="0" w:line="240" w:lineRule="auto"/>
              <w:jc w:val="center"/>
              <w:cnfStyle w:val="000000000000" w:firstRow="0" w:lastRow="0" w:firstColumn="0" w:lastColumn="0" w:oddVBand="0" w:evenVBand="0" w:oddHBand="0" w:evenHBand="0" w:firstRowFirstColumn="0" w:firstRowLastColumn="0" w:lastRowFirstColumn="0" w:lastRowLastColumn="0"/>
            </w:pPr>
            <w:r w:rsidRPr="006919A9">
              <w:t>-0.13</w:t>
            </w:r>
          </w:p>
        </w:tc>
        <w:tc>
          <w:tcPr>
            <w:tcW w:w="1651" w:type="dxa"/>
            <w:shd w:val="clear" w:color="auto" w:fill="auto"/>
            <w:noWrap/>
          </w:tcPr>
          <w:p w14:paraId="03DC2DFA" w14:textId="77777777" w:rsidR="004A0074" w:rsidRPr="006919A9" w:rsidRDefault="004A0074" w:rsidP="00096F11">
            <w:pPr>
              <w:pStyle w:val="Tabletext"/>
              <w:keepNext/>
              <w:keepLines/>
              <w:spacing w:after="0" w:line="240" w:lineRule="auto"/>
              <w:jc w:val="center"/>
              <w:cnfStyle w:val="000000000000" w:firstRow="0" w:lastRow="0" w:firstColumn="0" w:lastColumn="0" w:oddVBand="0" w:evenVBand="0" w:oddHBand="0" w:evenHBand="0" w:firstRowFirstColumn="0" w:firstRowLastColumn="0" w:lastRowFirstColumn="0" w:lastRowLastColumn="0"/>
            </w:pPr>
            <w:r w:rsidRPr="006919A9">
              <w:t>-8.3%</w:t>
            </w:r>
          </w:p>
        </w:tc>
      </w:tr>
      <w:tr w:rsidR="004A0074" w:rsidRPr="006919A9" w14:paraId="7207F650" w14:textId="77777777" w:rsidTr="00AB41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shd w:val="clear" w:color="auto" w:fill="auto"/>
            <w:noWrap/>
            <w:vAlign w:val="center"/>
          </w:tcPr>
          <w:p w14:paraId="18A85522" w14:textId="77777777" w:rsidR="004A0074" w:rsidRPr="006919A9" w:rsidRDefault="004A0074" w:rsidP="00096F11">
            <w:pPr>
              <w:pStyle w:val="Tabletext"/>
              <w:keepNext/>
              <w:keepLines/>
              <w:spacing w:after="0" w:line="240" w:lineRule="auto"/>
              <w:rPr>
                <w:b w:val="0"/>
                <w:bCs/>
              </w:rPr>
            </w:pPr>
            <w:r w:rsidRPr="006919A9">
              <w:rPr>
                <w:b w:val="0"/>
                <w:bCs/>
              </w:rPr>
              <w:t>Age-related decrement</w:t>
            </w:r>
          </w:p>
        </w:tc>
        <w:tc>
          <w:tcPr>
            <w:tcW w:w="1464" w:type="dxa"/>
            <w:shd w:val="clear" w:color="auto" w:fill="auto"/>
          </w:tcPr>
          <w:p w14:paraId="0CD6C9FA" w14:textId="77777777" w:rsidR="004A0074" w:rsidRPr="005767EF" w:rsidRDefault="004A0074" w:rsidP="00096F11">
            <w:pPr>
              <w:pStyle w:val="Tabletext"/>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pPr>
            <w:r w:rsidRPr="005767EF">
              <w:t>-0.51</w:t>
            </w:r>
          </w:p>
        </w:tc>
        <w:tc>
          <w:tcPr>
            <w:tcW w:w="1465" w:type="dxa"/>
            <w:shd w:val="clear" w:color="auto" w:fill="auto"/>
            <w:noWrap/>
          </w:tcPr>
          <w:p w14:paraId="270F4062" w14:textId="77777777" w:rsidR="004A0074" w:rsidRPr="005767EF" w:rsidRDefault="004A0074" w:rsidP="00096F11">
            <w:pPr>
              <w:pStyle w:val="Tabletext"/>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pPr>
            <w:r w:rsidRPr="005767EF">
              <w:t>-0.38</w:t>
            </w:r>
          </w:p>
        </w:tc>
        <w:tc>
          <w:tcPr>
            <w:tcW w:w="1465" w:type="dxa"/>
            <w:shd w:val="clear" w:color="auto" w:fill="auto"/>
            <w:noWrap/>
          </w:tcPr>
          <w:p w14:paraId="0F25AACC" w14:textId="77777777" w:rsidR="004A0074" w:rsidRPr="006919A9" w:rsidRDefault="004A0074" w:rsidP="00096F11">
            <w:pPr>
              <w:pStyle w:val="Tabletext"/>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pPr>
            <w:r w:rsidRPr="006919A9">
              <w:t>-0.13</w:t>
            </w:r>
          </w:p>
        </w:tc>
        <w:tc>
          <w:tcPr>
            <w:tcW w:w="1651" w:type="dxa"/>
            <w:shd w:val="clear" w:color="auto" w:fill="auto"/>
            <w:noWrap/>
          </w:tcPr>
          <w:p w14:paraId="33161A9E" w14:textId="77777777" w:rsidR="004A0074" w:rsidRPr="006919A9" w:rsidRDefault="004A0074" w:rsidP="00096F11">
            <w:pPr>
              <w:pStyle w:val="Tabletext"/>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pPr>
            <w:r w:rsidRPr="006919A9">
              <w:t>-8.3%</w:t>
            </w:r>
          </w:p>
        </w:tc>
      </w:tr>
      <w:tr w:rsidR="004A0074" w:rsidRPr="006919A9" w14:paraId="2844808D" w14:textId="77777777" w:rsidTr="00AB4133">
        <w:tc>
          <w:tcPr>
            <w:cnfStyle w:val="001000000000" w:firstRow="0" w:lastRow="0" w:firstColumn="1" w:lastColumn="0" w:oddVBand="0" w:evenVBand="0" w:oddHBand="0" w:evenHBand="0" w:firstRowFirstColumn="0" w:firstRowLastColumn="0" w:lastRowFirstColumn="0" w:lastRowLastColumn="0"/>
            <w:tcW w:w="2972" w:type="dxa"/>
            <w:shd w:val="clear" w:color="auto" w:fill="auto"/>
            <w:noWrap/>
            <w:vAlign w:val="center"/>
          </w:tcPr>
          <w:p w14:paraId="36814FE0" w14:textId="77777777" w:rsidR="004A0074" w:rsidRPr="006919A9" w:rsidRDefault="004A0074" w:rsidP="00096F11">
            <w:pPr>
              <w:pStyle w:val="Tabletext"/>
              <w:keepNext/>
              <w:keepLines/>
              <w:spacing w:after="0" w:line="240" w:lineRule="auto"/>
              <w:rPr>
                <w:b w:val="0"/>
                <w:bCs/>
              </w:rPr>
            </w:pPr>
            <w:r w:rsidRPr="006919A9">
              <w:rPr>
                <w:b w:val="0"/>
                <w:bCs/>
              </w:rPr>
              <w:t>Total</w:t>
            </w:r>
          </w:p>
        </w:tc>
        <w:tc>
          <w:tcPr>
            <w:tcW w:w="1464" w:type="dxa"/>
            <w:shd w:val="clear" w:color="auto" w:fill="auto"/>
          </w:tcPr>
          <w:p w14:paraId="19E2251C" w14:textId="77777777" w:rsidR="004A0074" w:rsidRPr="005767EF" w:rsidRDefault="004A0074" w:rsidP="00096F11">
            <w:pPr>
              <w:pStyle w:val="Tabletext"/>
              <w:keepNext/>
              <w:keepLines/>
              <w:spacing w:after="0" w:line="240" w:lineRule="auto"/>
              <w:jc w:val="center"/>
              <w:cnfStyle w:val="000000000000" w:firstRow="0" w:lastRow="0" w:firstColumn="0" w:lastColumn="0" w:oddVBand="0" w:evenVBand="0" w:oddHBand="0" w:evenHBand="0" w:firstRowFirstColumn="0" w:firstRowLastColumn="0" w:lastRowFirstColumn="0" w:lastRowLastColumn="0"/>
            </w:pPr>
            <w:r w:rsidRPr="005767EF">
              <w:t>9.33</w:t>
            </w:r>
          </w:p>
        </w:tc>
        <w:tc>
          <w:tcPr>
            <w:tcW w:w="1465" w:type="dxa"/>
            <w:shd w:val="clear" w:color="auto" w:fill="auto"/>
            <w:noWrap/>
          </w:tcPr>
          <w:p w14:paraId="13B669C2" w14:textId="77777777" w:rsidR="004A0074" w:rsidRPr="005767EF" w:rsidRDefault="004A0074" w:rsidP="00096F11">
            <w:pPr>
              <w:pStyle w:val="Tabletext"/>
              <w:keepNext/>
              <w:keepLines/>
              <w:spacing w:after="0" w:line="240" w:lineRule="auto"/>
              <w:jc w:val="center"/>
              <w:cnfStyle w:val="000000000000" w:firstRow="0" w:lastRow="0" w:firstColumn="0" w:lastColumn="0" w:oddVBand="0" w:evenVBand="0" w:oddHBand="0" w:evenHBand="0" w:firstRowFirstColumn="0" w:firstRowLastColumn="0" w:lastRowFirstColumn="0" w:lastRowLastColumn="0"/>
            </w:pPr>
            <w:r w:rsidRPr="005767EF">
              <w:t>7.76</w:t>
            </w:r>
          </w:p>
        </w:tc>
        <w:tc>
          <w:tcPr>
            <w:tcW w:w="1465" w:type="dxa"/>
            <w:shd w:val="clear" w:color="auto" w:fill="auto"/>
            <w:noWrap/>
          </w:tcPr>
          <w:p w14:paraId="5803EEFF" w14:textId="77777777" w:rsidR="004A0074" w:rsidRPr="006919A9" w:rsidRDefault="004A0074" w:rsidP="00096F11">
            <w:pPr>
              <w:pStyle w:val="Tabletext"/>
              <w:keepNext/>
              <w:keepLines/>
              <w:spacing w:after="0" w:line="240" w:lineRule="auto"/>
              <w:jc w:val="center"/>
              <w:cnfStyle w:val="000000000000" w:firstRow="0" w:lastRow="0" w:firstColumn="0" w:lastColumn="0" w:oddVBand="0" w:evenVBand="0" w:oddHBand="0" w:evenHBand="0" w:firstRowFirstColumn="0" w:firstRowLastColumn="0" w:lastRowFirstColumn="0" w:lastRowLastColumn="0"/>
            </w:pPr>
            <w:r w:rsidRPr="006919A9">
              <w:t>1.57</w:t>
            </w:r>
          </w:p>
        </w:tc>
        <w:tc>
          <w:tcPr>
            <w:tcW w:w="1651" w:type="dxa"/>
            <w:shd w:val="clear" w:color="auto" w:fill="auto"/>
            <w:noWrap/>
          </w:tcPr>
          <w:p w14:paraId="29F49D55" w14:textId="77777777" w:rsidR="004A0074" w:rsidRPr="006919A9" w:rsidRDefault="004A0074" w:rsidP="00096F11">
            <w:pPr>
              <w:pStyle w:val="Tabletext"/>
              <w:keepNext/>
              <w:keepLines/>
              <w:spacing w:after="0" w:line="240" w:lineRule="auto"/>
              <w:jc w:val="center"/>
              <w:cnfStyle w:val="000000000000" w:firstRow="0" w:lastRow="0" w:firstColumn="0" w:lastColumn="0" w:oddVBand="0" w:evenVBand="0" w:oddHBand="0" w:evenHBand="0" w:firstRowFirstColumn="0" w:firstRowLastColumn="0" w:lastRowFirstColumn="0" w:lastRowLastColumn="0"/>
            </w:pPr>
            <w:r w:rsidRPr="006919A9">
              <w:t>100.0%</w:t>
            </w:r>
          </w:p>
        </w:tc>
      </w:tr>
      <w:tr w:rsidR="004A0074" w:rsidRPr="006919A9" w14:paraId="23411896" w14:textId="77777777" w:rsidTr="00AB41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7" w:type="dxa"/>
            <w:gridSpan w:val="5"/>
            <w:shd w:val="clear" w:color="auto" w:fill="auto"/>
            <w:noWrap/>
            <w:vAlign w:val="center"/>
          </w:tcPr>
          <w:p w14:paraId="23843DBC" w14:textId="1748B6C0" w:rsidR="004A0074" w:rsidRPr="005767EF" w:rsidRDefault="004A0074" w:rsidP="00096F11">
            <w:pPr>
              <w:pStyle w:val="Tabletext"/>
              <w:keepNext/>
              <w:keepLines/>
              <w:spacing w:after="0" w:line="240" w:lineRule="auto"/>
            </w:pPr>
            <w:r w:rsidRPr="005767EF">
              <w:t>LYs (discounted)</w:t>
            </w:r>
          </w:p>
        </w:tc>
      </w:tr>
      <w:tr w:rsidR="004A0074" w:rsidRPr="006919A9" w14:paraId="16A8E499" w14:textId="77777777" w:rsidTr="00AB4133">
        <w:tc>
          <w:tcPr>
            <w:cnfStyle w:val="001000000000" w:firstRow="0" w:lastRow="0" w:firstColumn="1" w:lastColumn="0" w:oddVBand="0" w:evenVBand="0" w:oddHBand="0" w:evenHBand="0" w:firstRowFirstColumn="0" w:firstRowLastColumn="0" w:lastRowFirstColumn="0" w:lastRowLastColumn="0"/>
            <w:tcW w:w="2972" w:type="dxa"/>
            <w:shd w:val="clear" w:color="auto" w:fill="auto"/>
            <w:noWrap/>
            <w:vAlign w:val="center"/>
          </w:tcPr>
          <w:p w14:paraId="46E6866C" w14:textId="77777777" w:rsidR="004A0074" w:rsidRPr="006919A9" w:rsidRDefault="004A0074" w:rsidP="00096F11">
            <w:pPr>
              <w:pStyle w:val="Tabletext"/>
              <w:keepNext/>
              <w:keepLines/>
              <w:spacing w:after="0" w:line="240" w:lineRule="auto"/>
              <w:rPr>
                <w:b w:val="0"/>
              </w:rPr>
            </w:pPr>
            <w:r w:rsidRPr="006919A9">
              <w:rPr>
                <w:b w:val="0"/>
              </w:rPr>
              <w:t>EFS</w:t>
            </w:r>
          </w:p>
        </w:tc>
        <w:tc>
          <w:tcPr>
            <w:tcW w:w="1464" w:type="dxa"/>
            <w:shd w:val="clear" w:color="auto" w:fill="auto"/>
          </w:tcPr>
          <w:p w14:paraId="14BFC04B" w14:textId="77777777" w:rsidR="004A0074" w:rsidRPr="005767EF" w:rsidRDefault="004A0074" w:rsidP="00096F11">
            <w:pPr>
              <w:pStyle w:val="Tabletext"/>
              <w:keepNext/>
              <w:keepLines/>
              <w:spacing w:after="0" w:line="240" w:lineRule="auto"/>
              <w:jc w:val="center"/>
              <w:cnfStyle w:val="000000000000" w:firstRow="0" w:lastRow="0" w:firstColumn="0" w:lastColumn="0" w:oddVBand="0" w:evenVBand="0" w:oddHBand="0" w:evenHBand="0" w:firstRowFirstColumn="0" w:firstRowLastColumn="0" w:lastRowFirstColumn="0" w:lastRowLastColumn="0"/>
            </w:pPr>
            <w:r w:rsidRPr="005767EF">
              <w:t>12.30</w:t>
            </w:r>
          </w:p>
        </w:tc>
        <w:tc>
          <w:tcPr>
            <w:tcW w:w="1465" w:type="dxa"/>
            <w:shd w:val="clear" w:color="auto" w:fill="auto"/>
            <w:noWrap/>
          </w:tcPr>
          <w:p w14:paraId="1B40B5AB" w14:textId="77777777" w:rsidR="004A0074" w:rsidRPr="005767EF" w:rsidRDefault="004A0074" w:rsidP="00096F11">
            <w:pPr>
              <w:pStyle w:val="Tabletext"/>
              <w:keepNext/>
              <w:keepLines/>
              <w:spacing w:after="0" w:line="240" w:lineRule="auto"/>
              <w:jc w:val="center"/>
              <w:cnfStyle w:val="000000000000" w:firstRow="0" w:lastRow="0" w:firstColumn="0" w:lastColumn="0" w:oddVBand="0" w:evenVBand="0" w:oddHBand="0" w:evenHBand="0" w:firstRowFirstColumn="0" w:firstRowLastColumn="0" w:lastRowFirstColumn="0" w:lastRowLastColumn="0"/>
            </w:pPr>
            <w:r w:rsidRPr="005767EF">
              <w:t>9.89</w:t>
            </w:r>
          </w:p>
        </w:tc>
        <w:tc>
          <w:tcPr>
            <w:tcW w:w="1465" w:type="dxa"/>
            <w:shd w:val="clear" w:color="auto" w:fill="auto"/>
            <w:noWrap/>
          </w:tcPr>
          <w:p w14:paraId="1C863259" w14:textId="77777777" w:rsidR="004A0074" w:rsidRPr="006919A9" w:rsidRDefault="004A0074" w:rsidP="00096F11">
            <w:pPr>
              <w:pStyle w:val="Tabletext"/>
              <w:keepNext/>
              <w:keepLines/>
              <w:spacing w:after="0" w:line="240" w:lineRule="auto"/>
              <w:jc w:val="center"/>
              <w:cnfStyle w:val="000000000000" w:firstRow="0" w:lastRow="0" w:firstColumn="0" w:lastColumn="0" w:oddVBand="0" w:evenVBand="0" w:oddHBand="0" w:evenHBand="0" w:firstRowFirstColumn="0" w:firstRowLastColumn="0" w:lastRowFirstColumn="0" w:lastRowLastColumn="0"/>
            </w:pPr>
            <w:r w:rsidRPr="006919A9">
              <w:t>2.41</w:t>
            </w:r>
          </w:p>
        </w:tc>
        <w:tc>
          <w:tcPr>
            <w:tcW w:w="1651" w:type="dxa"/>
            <w:shd w:val="clear" w:color="auto" w:fill="auto"/>
            <w:noWrap/>
            <w:vAlign w:val="bottom"/>
          </w:tcPr>
          <w:p w14:paraId="63462FE9" w14:textId="77777777" w:rsidR="004A0074" w:rsidRPr="006919A9" w:rsidRDefault="004A0074" w:rsidP="00096F11">
            <w:pPr>
              <w:pStyle w:val="Tabletext"/>
              <w:keepNext/>
              <w:keepLines/>
              <w:spacing w:after="0" w:line="240" w:lineRule="auto"/>
              <w:jc w:val="center"/>
              <w:cnfStyle w:val="000000000000" w:firstRow="0" w:lastRow="0" w:firstColumn="0" w:lastColumn="0" w:oddVBand="0" w:evenVBand="0" w:oddHBand="0" w:evenHBand="0" w:firstRowFirstColumn="0" w:firstRowLastColumn="0" w:lastRowFirstColumn="0" w:lastRowLastColumn="0"/>
            </w:pPr>
            <w:r w:rsidRPr="006919A9">
              <w:rPr>
                <w:rFonts w:cs="Calibri"/>
              </w:rPr>
              <w:t>115.3%</w:t>
            </w:r>
          </w:p>
        </w:tc>
      </w:tr>
      <w:tr w:rsidR="004A0074" w:rsidRPr="006919A9" w14:paraId="78002E62" w14:textId="77777777" w:rsidTr="00AB41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shd w:val="clear" w:color="auto" w:fill="auto"/>
            <w:noWrap/>
            <w:vAlign w:val="center"/>
          </w:tcPr>
          <w:p w14:paraId="68568B16" w14:textId="77777777" w:rsidR="004A0074" w:rsidRPr="006919A9" w:rsidRDefault="004A0074" w:rsidP="00096F11">
            <w:pPr>
              <w:pStyle w:val="Tabletext"/>
              <w:keepNext/>
              <w:keepLines/>
              <w:spacing w:after="0" w:line="240" w:lineRule="auto"/>
              <w:rPr>
                <w:b w:val="0"/>
              </w:rPr>
            </w:pPr>
            <w:r w:rsidRPr="006919A9">
              <w:rPr>
                <w:b w:val="0"/>
              </w:rPr>
              <w:t>LR</w:t>
            </w:r>
          </w:p>
        </w:tc>
        <w:tc>
          <w:tcPr>
            <w:tcW w:w="1464" w:type="dxa"/>
            <w:shd w:val="clear" w:color="auto" w:fill="auto"/>
          </w:tcPr>
          <w:p w14:paraId="5B22AC19" w14:textId="77777777" w:rsidR="004A0074" w:rsidRPr="005767EF" w:rsidRDefault="004A0074" w:rsidP="00096F11">
            <w:pPr>
              <w:pStyle w:val="Tabletext"/>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pPr>
            <w:r w:rsidRPr="005767EF">
              <w:t>0.10</w:t>
            </w:r>
          </w:p>
        </w:tc>
        <w:tc>
          <w:tcPr>
            <w:tcW w:w="1465" w:type="dxa"/>
            <w:shd w:val="clear" w:color="auto" w:fill="auto"/>
            <w:noWrap/>
          </w:tcPr>
          <w:p w14:paraId="5C312481" w14:textId="77777777" w:rsidR="004A0074" w:rsidRPr="005767EF" w:rsidRDefault="004A0074" w:rsidP="00096F11">
            <w:pPr>
              <w:pStyle w:val="Tabletext"/>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pPr>
            <w:r w:rsidRPr="005767EF">
              <w:t>0.18</w:t>
            </w:r>
          </w:p>
        </w:tc>
        <w:tc>
          <w:tcPr>
            <w:tcW w:w="1465" w:type="dxa"/>
            <w:shd w:val="clear" w:color="auto" w:fill="auto"/>
            <w:noWrap/>
          </w:tcPr>
          <w:p w14:paraId="64525881" w14:textId="77777777" w:rsidR="004A0074" w:rsidRPr="006919A9" w:rsidRDefault="004A0074" w:rsidP="00096F11">
            <w:pPr>
              <w:pStyle w:val="Tabletext"/>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pPr>
            <w:r w:rsidRPr="006919A9">
              <w:t>-0.08</w:t>
            </w:r>
          </w:p>
        </w:tc>
        <w:tc>
          <w:tcPr>
            <w:tcW w:w="1651" w:type="dxa"/>
            <w:shd w:val="clear" w:color="auto" w:fill="auto"/>
            <w:noWrap/>
            <w:vAlign w:val="bottom"/>
          </w:tcPr>
          <w:p w14:paraId="461A3F6E" w14:textId="77777777" w:rsidR="004A0074" w:rsidRPr="006919A9" w:rsidRDefault="004A0074" w:rsidP="00096F11">
            <w:pPr>
              <w:pStyle w:val="Tabletext"/>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pPr>
            <w:r w:rsidRPr="006919A9">
              <w:rPr>
                <w:rFonts w:cs="Calibri"/>
              </w:rPr>
              <w:t>-3.8%</w:t>
            </w:r>
          </w:p>
        </w:tc>
      </w:tr>
      <w:tr w:rsidR="004A0074" w:rsidRPr="006919A9" w14:paraId="22DF860A" w14:textId="77777777" w:rsidTr="00AB4133">
        <w:tc>
          <w:tcPr>
            <w:cnfStyle w:val="001000000000" w:firstRow="0" w:lastRow="0" w:firstColumn="1" w:lastColumn="0" w:oddVBand="0" w:evenVBand="0" w:oddHBand="0" w:evenHBand="0" w:firstRowFirstColumn="0" w:firstRowLastColumn="0" w:lastRowFirstColumn="0" w:lastRowLastColumn="0"/>
            <w:tcW w:w="2972" w:type="dxa"/>
            <w:shd w:val="clear" w:color="auto" w:fill="auto"/>
            <w:noWrap/>
            <w:vAlign w:val="center"/>
          </w:tcPr>
          <w:p w14:paraId="3A00541F" w14:textId="77777777" w:rsidR="004A0074" w:rsidRPr="006919A9" w:rsidRDefault="004A0074" w:rsidP="00096F11">
            <w:pPr>
              <w:pStyle w:val="Tabletext"/>
              <w:keepNext/>
              <w:keepLines/>
              <w:spacing w:after="0" w:line="240" w:lineRule="auto"/>
              <w:rPr>
                <w:b w:val="0"/>
              </w:rPr>
            </w:pPr>
            <w:r w:rsidRPr="006919A9">
              <w:rPr>
                <w:b w:val="0"/>
              </w:rPr>
              <w:t>DM</w:t>
            </w:r>
          </w:p>
        </w:tc>
        <w:tc>
          <w:tcPr>
            <w:tcW w:w="1464" w:type="dxa"/>
            <w:shd w:val="clear" w:color="auto" w:fill="auto"/>
          </w:tcPr>
          <w:p w14:paraId="39A8001B" w14:textId="77777777" w:rsidR="004A0074" w:rsidRPr="005767EF" w:rsidRDefault="004A0074" w:rsidP="00096F11">
            <w:pPr>
              <w:pStyle w:val="Tabletext"/>
              <w:keepNext/>
              <w:keepLines/>
              <w:spacing w:after="0" w:line="240" w:lineRule="auto"/>
              <w:jc w:val="center"/>
              <w:cnfStyle w:val="000000000000" w:firstRow="0" w:lastRow="0" w:firstColumn="0" w:lastColumn="0" w:oddVBand="0" w:evenVBand="0" w:oddHBand="0" w:evenHBand="0" w:firstRowFirstColumn="0" w:firstRowLastColumn="0" w:lastRowFirstColumn="0" w:lastRowLastColumn="0"/>
            </w:pPr>
            <w:r w:rsidRPr="005767EF">
              <w:t>0.24</w:t>
            </w:r>
          </w:p>
        </w:tc>
        <w:tc>
          <w:tcPr>
            <w:tcW w:w="1465" w:type="dxa"/>
            <w:shd w:val="clear" w:color="auto" w:fill="auto"/>
            <w:noWrap/>
          </w:tcPr>
          <w:p w14:paraId="7D18D349" w14:textId="77777777" w:rsidR="004A0074" w:rsidRPr="005767EF" w:rsidRDefault="004A0074" w:rsidP="00096F11">
            <w:pPr>
              <w:pStyle w:val="Tabletext"/>
              <w:keepNext/>
              <w:keepLines/>
              <w:spacing w:after="0" w:line="240" w:lineRule="auto"/>
              <w:jc w:val="center"/>
              <w:cnfStyle w:val="000000000000" w:firstRow="0" w:lastRow="0" w:firstColumn="0" w:lastColumn="0" w:oddVBand="0" w:evenVBand="0" w:oddHBand="0" w:evenHBand="0" w:firstRowFirstColumn="0" w:firstRowLastColumn="0" w:lastRowFirstColumn="0" w:lastRowLastColumn="0"/>
            </w:pPr>
            <w:r w:rsidRPr="005767EF">
              <w:t>0.48</w:t>
            </w:r>
          </w:p>
        </w:tc>
        <w:tc>
          <w:tcPr>
            <w:tcW w:w="1465" w:type="dxa"/>
            <w:shd w:val="clear" w:color="auto" w:fill="auto"/>
            <w:noWrap/>
          </w:tcPr>
          <w:p w14:paraId="3C6EA2A9" w14:textId="77777777" w:rsidR="004A0074" w:rsidRPr="006919A9" w:rsidRDefault="004A0074" w:rsidP="00096F11">
            <w:pPr>
              <w:pStyle w:val="Tabletext"/>
              <w:keepNext/>
              <w:keepLines/>
              <w:spacing w:after="0" w:line="240" w:lineRule="auto"/>
              <w:jc w:val="center"/>
              <w:cnfStyle w:val="000000000000" w:firstRow="0" w:lastRow="0" w:firstColumn="0" w:lastColumn="0" w:oddVBand="0" w:evenVBand="0" w:oddHBand="0" w:evenHBand="0" w:firstRowFirstColumn="0" w:firstRowLastColumn="0" w:lastRowFirstColumn="0" w:lastRowLastColumn="0"/>
            </w:pPr>
            <w:r w:rsidRPr="006919A9">
              <w:t>-0.24</w:t>
            </w:r>
          </w:p>
        </w:tc>
        <w:tc>
          <w:tcPr>
            <w:tcW w:w="1651" w:type="dxa"/>
            <w:shd w:val="clear" w:color="auto" w:fill="auto"/>
            <w:noWrap/>
            <w:vAlign w:val="bottom"/>
          </w:tcPr>
          <w:p w14:paraId="7B631312" w14:textId="77777777" w:rsidR="004A0074" w:rsidRPr="006919A9" w:rsidRDefault="004A0074" w:rsidP="00096F11">
            <w:pPr>
              <w:pStyle w:val="Tabletext"/>
              <w:keepNext/>
              <w:keepLines/>
              <w:spacing w:after="0" w:line="240" w:lineRule="auto"/>
              <w:jc w:val="center"/>
              <w:cnfStyle w:val="000000000000" w:firstRow="0" w:lastRow="0" w:firstColumn="0" w:lastColumn="0" w:oddVBand="0" w:evenVBand="0" w:oddHBand="0" w:evenHBand="0" w:firstRowFirstColumn="0" w:firstRowLastColumn="0" w:lastRowFirstColumn="0" w:lastRowLastColumn="0"/>
            </w:pPr>
            <w:r w:rsidRPr="006919A9">
              <w:rPr>
                <w:rFonts w:cs="Calibri"/>
              </w:rPr>
              <w:t>-11.5%</w:t>
            </w:r>
          </w:p>
        </w:tc>
      </w:tr>
      <w:tr w:rsidR="004A0074" w:rsidRPr="006919A9" w14:paraId="0AD9ED59" w14:textId="77777777" w:rsidTr="00AB41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shd w:val="clear" w:color="auto" w:fill="auto"/>
            <w:noWrap/>
            <w:vAlign w:val="center"/>
          </w:tcPr>
          <w:p w14:paraId="7425E1B5" w14:textId="77777777" w:rsidR="004A0074" w:rsidRPr="006919A9" w:rsidRDefault="004A0074" w:rsidP="00096F11">
            <w:pPr>
              <w:pStyle w:val="Tabletext"/>
              <w:keepNext/>
              <w:keepLines/>
              <w:spacing w:after="0" w:line="240" w:lineRule="auto"/>
              <w:rPr>
                <w:b w:val="0"/>
              </w:rPr>
            </w:pPr>
            <w:r w:rsidRPr="006919A9">
              <w:rPr>
                <w:b w:val="0"/>
              </w:rPr>
              <w:t>Total</w:t>
            </w:r>
          </w:p>
        </w:tc>
        <w:tc>
          <w:tcPr>
            <w:tcW w:w="1464" w:type="dxa"/>
            <w:shd w:val="clear" w:color="auto" w:fill="auto"/>
          </w:tcPr>
          <w:p w14:paraId="6C50BFCF" w14:textId="77777777" w:rsidR="004A0074" w:rsidRPr="005767EF" w:rsidRDefault="004A0074" w:rsidP="00096F11">
            <w:pPr>
              <w:pStyle w:val="Tabletext"/>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pPr>
            <w:r w:rsidRPr="005767EF">
              <w:t>12.65</w:t>
            </w:r>
          </w:p>
        </w:tc>
        <w:tc>
          <w:tcPr>
            <w:tcW w:w="1465" w:type="dxa"/>
            <w:shd w:val="clear" w:color="auto" w:fill="auto"/>
            <w:noWrap/>
          </w:tcPr>
          <w:p w14:paraId="70DB4721" w14:textId="77777777" w:rsidR="004A0074" w:rsidRPr="005767EF" w:rsidRDefault="004A0074" w:rsidP="00096F11">
            <w:pPr>
              <w:pStyle w:val="Tabletext"/>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pPr>
            <w:r w:rsidRPr="005767EF">
              <w:t>10.56</w:t>
            </w:r>
          </w:p>
        </w:tc>
        <w:tc>
          <w:tcPr>
            <w:tcW w:w="1465" w:type="dxa"/>
            <w:shd w:val="clear" w:color="auto" w:fill="auto"/>
            <w:noWrap/>
          </w:tcPr>
          <w:p w14:paraId="2744C296" w14:textId="77777777" w:rsidR="004A0074" w:rsidRPr="006919A9" w:rsidRDefault="004A0074" w:rsidP="00096F11">
            <w:pPr>
              <w:pStyle w:val="Tabletext"/>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pPr>
            <w:r w:rsidRPr="006919A9">
              <w:t>2.09</w:t>
            </w:r>
          </w:p>
        </w:tc>
        <w:tc>
          <w:tcPr>
            <w:tcW w:w="1651" w:type="dxa"/>
            <w:shd w:val="clear" w:color="auto" w:fill="auto"/>
            <w:noWrap/>
          </w:tcPr>
          <w:p w14:paraId="13E9C93D" w14:textId="77777777" w:rsidR="004A0074" w:rsidRPr="006919A9" w:rsidRDefault="004A0074" w:rsidP="00096F11">
            <w:pPr>
              <w:pStyle w:val="Tabletext"/>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pPr>
            <w:r w:rsidRPr="006919A9">
              <w:t>100%</w:t>
            </w:r>
          </w:p>
        </w:tc>
      </w:tr>
    </w:tbl>
    <w:p w14:paraId="58A88D60" w14:textId="77777777" w:rsidR="004A0074" w:rsidRDefault="004A0074" w:rsidP="004A0074">
      <w:pPr>
        <w:pStyle w:val="FooterTableFigure"/>
      </w:pPr>
      <w:r w:rsidRPr="006919A9">
        <w:t>Source: Tables 3.8-3 and 3.8-4 (p146-7) of the submission and the ‘Pairwise base case’ worksheet of the ‘eTNBC Section 3 workbook.xlsx’</w:t>
      </w:r>
    </w:p>
    <w:p w14:paraId="55447E2E" w14:textId="29980C77" w:rsidR="004A0074" w:rsidRPr="00581967" w:rsidRDefault="004A0074" w:rsidP="004A0074">
      <w:pPr>
        <w:pStyle w:val="FooterTableFigure"/>
        <w:rPr>
          <w:sz w:val="20"/>
        </w:rPr>
      </w:pPr>
      <w:r>
        <w:t>DM = distant metastasis; EFS = event free survival; ICER = incremental cost effectiveness ratio; LY = Life year; LR = local recurrence; LYG = life year gained; QALY = Quality adjusted life year</w:t>
      </w:r>
      <w:r w:rsidR="00611B3D">
        <w:t>.</w:t>
      </w:r>
      <w:r>
        <w:t xml:space="preserve"> </w:t>
      </w:r>
    </w:p>
    <w:p w14:paraId="6D24402D" w14:textId="251A7F17" w:rsidR="00F97110" w:rsidRDefault="009E5B9B" w:rsidP="00BB732D">
      <w:pPr>
        <w:pStyle w:val="3-BodyText"/>
      </w:pPr>
      <w:r w:rsidRPr="006919A9">
        <w:t xml:space="preserve">A comparison of EFS rates in the KN-522 trial and in the model is presented in </w:t>
      </w:r>
      <w:r w:rsidRPr="006919A9">
        <w:fldChar w:fldCharType="begin" w:fldLock="1"/>
      </w:r>
      <w:r w:rsidRPr="006919A9">
        <w:instrText xml:space="preserve"> REF _Ref123987320 \h </w:instrText>
      </w:r>
      <w:r w:rsidRPr="006919A9">
        <w:fldChar w:fldCharType="separate"/>
      </w:r>
      <w:r w:rsidR="0067416F" w:rsidRPr="006919A9">
        <w:t xml:space="preserve">Table </w:t>
      </w:r>
      <w:r w:rsidR="0067416F">
        <w:rPr>
          <w:noProof/>
        </w:rPr>
        <w:t>14</w:t>
      </w:r>
      <w:r w:rsidRPr="006919A9">
        <w:fldChar w:fldCharType="end"/>
      </w:r>
      <w:r w:rsidRPr="006919A9">
        <w:t>.</w:t>
      </w:r>
      <w:r w:rsidR="00287265">
        <w:t xml:space="preserve"> The </w:t>
      </w:r>
      <w:r w:rsidR="001206BA">
        <w:t>observed and m</w:t>
      </w:r>
      <w:r w:rsidR="00287265">
        <w:t xml:space="preserve">odelled EFS and </w:t>
      </w:r>
      <w:r w:rsidR="001206BA">
        <w:t xml:space="preserve">OS </w:t>
      </w:r>
      <w:r w:rsidR="00287265">
        <w:t xml:space="preserve">KM estimates are presented in </w:t>
      </w:r>
      <w:r w:rsidR="00287265">
        <w:fldChar w:fldCharType="begin" w:fldLock="1"/>
      </w:r>
      <w:r w:rsidR="00287265">
        <w:instrText xml:space="preserve"> REF _Ref124505184 \h  \* MERGEFORMAT </w:instrText>
      </w:r>
      <w:r w:rsidR="00287265">
        <w:fldChar w:fldCharType="separate"/>
      </w:r>
      <w:r w:rsidR="0067416F" w:rsidRPr="0067416F">
        <w:t>Figure 6</w:t>
      </w:r>
      <w:r w:rsidR="00287265">
        <w:fldChar w:fldCharType="end"/>
      </w:r>
      <w:r w:rsidR="00CD73AD">
        <w:t>.</w:t>
      </w:r>
    </w:p>
    <w:p w14:paraId="183B821D" w14:textId="3D2DE014" w:rsidR="00F93B87" w:rsidRPr="00F93B87" w:rsidRDefault="00287265" w:rsidP="00652C95">
      <w:pPr>
        <w:pStyle w:val="TableFigureHeading"/>
      </w:pPr>
      <w:bookmarkStart w:id="58" w:name="_Ref124505184"/>
      <w:r w:rsidRPr="006919A9">
        <w:rPr>
          <w:rStyle w:val="CommentReference"/>
          <w:b/>
          <w:szCs w:val="24"/>
        </w:rPr>
        <w:lastRenderedPageBreak/>
        <w:t xml:space="preserve">Figure </w:t>
      </w:r>
      <w:r w:rsidRPr="006919A9">
        <w:rPr>
          <w:rStyle w:val="CommentReference"/>
          <w:b/>
          <w:szCs w:val="24"/>
        </w:rPr>
        <w:fldChar w:fldCharType="begin" w:fldLock="1"/>
      </w:r>
      <w:r w:rsidRPr="006919A9">
        <w:rPr>
          <w:rStyle w:val="CommentReference"/>
          <w:b/>
          <w:szCs w:val="24"/>
        </w:rPr>
        <w:instrText xml:space="preserve"> SEQ Figure \* ARABIC </w:instrText>
      </w:r>
      <w:r w:rsidRPr="006919A9">
        <w:rPr>
          <w:rStyle w:val="CommentReference"/>
          <w:b/>
          <w:szCs w:val="24"/>
        </w:rPr>
        <w:fldChar w:fldCharType="separate"/>
      </w:r>
      <w:r w:rsidR="0067416F">
        <w:rPr>
          <w:rStyle w:val="CommentReference"/>
          <w:b/>
          <w:noProof/>
          <w:szCs w:val="24"/>
        </w:rPr>
        <w:t>6</w:t>
      </w:r>
      <w:r w:rsidRPr="006919A9">
        <w:rPr>
          <w:rStyle w:val="CommentReference"/>
          <w:b/>
          <w:szCs w:val="24"/>
        </w:rPr>
        <w:fldChar w:fldCharType="end"/>
      </w:r>
      <w:bookmarkEnd w:id="58"/>
      <w:r w:rsidRPr="006919A9">
        <w:t xml:space="preserve">: </w:t>
      </w:r>
      <w:r w:rsidR="00C94374">
        <w:t>Observed and modelled e</w:t>
      </w:r>
      <w:r w:rsidR="00F93B87" w:rsidRPr="00F800B6">
        <w:t xml:space="preserve">vent-free survival </w:t>
      </w:r>
      <w:r w:rsidR="000A3963">
        <w:t xml:space="preserve">and overall survival </w:t>
      </w:r>
      <w:r w:rsidR="00F93B87" w:rsidRPr="00F800B6">
        <w:t xml:space="preserve">for pembrolizumab vs. chemotherapy </w:t>
      </w:r>
    </w:p>
    <w:p w14:paraId="3DFB3F58" w14:textId="38A6DD6B" w:rsidR="00F93B87" w:rsidRPr="00F800B6" w:rsidRDefault="00332FE0" w:rsidP="00F93B87">
      <w:pPr>
        <w:rPr>
          <w:i/>
          <w:iCs/>
        </w:rPr>
      </w:pPr>
      <w:r>
        <w:rPr>
          <w:i/>
          <w:iCs/>
          <w:noProof/>
        </w:rPr>
        <w:drawing>
          <wp:inline distT="0" distB="0" distL="0" distR="0" wp14:anchorId="65307088" wp14:editId="6799230D">
            <wp:extent cx="5687655" cy="3805527"/>
            <wp:effectExtent l="19050" t="19050" r="27940" b="24130"/>
            <wp:docPr id="20" name="Picture 20" descr="Figure 6: Observed and modelled event-free survival and overall survival for pembrolizumab vs. chemotherap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Figure 6: Observed and modelled event-free survival and overall survival for pembrolizumab vs. chemotherapy "/>
                    <pic:cNvPicPr>
                      <a:picLocks noChangeAspect="1" noChangeArrowheads="1"/>
                    </pic:cNvPicPr>
                  </pic:nvPicPr>
                  <pic:blipFill>
                    <a:blip r:embed="rId13" cstate="print">
                      <a:extLst>
                        <a:ext uri="{28A0092B-C50C-407E-A947-70E740481C1C}">
                          <a14:useLocalDpi xmlns:a14="http://schemas.microsoft.com/office/drawing/2010/main"/>
                        </a:ext>
                      </a:extLst>
                    </a:blip>
                    <a:srcRect/>
                    <a:stretch>
                      <a:fillRect/>
                    </a:stretch>
                  </pic:blipFill>
                  <pic:spPr bwMode="auto">
                    <a:xfrm>
                      <a:off x="0" y="0"/>
                      <a:ext cx="5705476" cy="3817451"/>
                    </a:xfrm>
                    <a:prstGeom prst="rect">
                      <a:avLst/>
                    </a:prstGeom>
                    <a:noFill/>
                    <a:ln>
                      <a:solidFill>
                        <a:schemeClr val="tx1"/>
                      </a:solidFill>
                    </a:ln>
                  </pic:spPr>
                </pic:pic>
              </a:graphicData>
            </a:graphic>
          </wp:inline>
        </w:drawing>
      </w:r>
    </w:p>
    <w:p w14:paraId="6AB9DE45" w14:textId="77777777" w:rsidR="00F93B87" w:rsidRPr="00F800B6" w:rsidRDefault="00F93B87" w:rsidP="00CD73AD">
      <w:pPr>
        <w:pStyle w:val="FooterTableFigure"/>
        <w:jc w:val="left"/>
      </w:pPr>
      <w:r w:rsidRPr="00F800B6">
        <w:t>Source: ‘EFS extrapolation’ worksheet of ‘eTNBC Section 3 workbook.xlsx’</w:t>
      </w:r>
    </w:p>
    <w:p w14:paraId="3C18BBFF" w14:textId="5F6742BA" w:rsidR="00F93B87" w:rsidRDefault="00F93B87" w:rsidP="00CD73AD">
      <w:pPr>
        <w:pStyle w:val="FooterTableFigure"/>
        <w:jc w:val="left"/>
      </w:pPr>
      <w:r>
        <w:t xml:space="preserve">Chemo = chemotherapy; </w:t>
      </w:r>
      <w:r w:rsidRPr="00F800B6">
        <w:t>KM = Kaplan Meier;</w:t>
      </w:r>
      <w:r>
        <w:t xml:space="preserve"> Pembro = pembrolizumab</w:t>
      </w:r>
    </w:p>
    <w:p w14:paraId="77E4D4BA" w14:textId="59A1D96A" w:rsidR="00F97110" w:rsidRPr="006919A9" w:rsidRDefault="009E5B9B" w:rsidP="00F97110">
      <w:pPr>
        <w:pStyle w:val="TableFigureHeading"/>
        <w:rPr>
          <w:iCs/>
        </w:rPr>
      </w:pPr>
      <w:bookmarkStart w:id="59" w:name="_Ref123987320"/>
      <w:r w:rsidRPr="006919A9">
        <w:t xml:space="preserve">Table </w:t>
      </w:r>
      <w:fldSimple w:instr=" SEQ Table \* ARABIC " w:fldLock="1">
        <w:r w:rsidR="0067416F">
          <w:rPr>
            <w:noProof/>
          </w:rPr>
          <w:t>14</w:t>
        </w:r>
      </w:fldSimple>
      <w:bookmarkEnd w:id="59"/>
      <w:r w:rsidRPr="006919A9">
        <w:rPr>
          <w:noProof/>
        </w:rPr>
        <w:t xml:space="preserve">: </w:t>
      </w:r>
      <w:r w:rsidRPr="006919A9">
        <w:rPr>
          <w:iCs/>
        </w:rPr>
        <w:t xml:space="preserve">Event free survival in KN-522 and in the model </w:t>
      </w:r>
    </w:p>
    <w:tbl>
      <w:tblPr>
        <w:tblStyle w:val="TableGrid"/>
        <w:tblW w:w="0" w:type="auto"/>
        <w:tblLook w:val="04A0" w:firstRow="1" w:lastRow="0" w:firstColumn="1" w:lastColumn="0" w:noHBand="0" w:noVBand="1"/>
      </w:tblPr>
      <w:tblGrid>
        <w:gridCol w:w="4390"/>
        <w:gridCol w:w="1346"/>
        <w:gridCol w:w="1347"/>
        <w:gridCol w:w="1933"/>
      </w:tblGrid>
      <w:tr w:rsidR="006919A9" w:rsidRPr="006919A9" w14:paraId="24DBF4C3" w14:textId="77777777" w:rsidTr="00F97110">
        <w:trPr>
          <w:trHeight w:val="296"/>
        </w:trPr>
        <w:tc>
          <w:tcPr>
            <w:tcW w:w="4390" w:type="dxa"/>
            <w:vAlign w:val="center"/>
          </w:tcPr>
          <w:p w14:paraId="20C1EA85" w14:textId="77777777" w:rsidR="00F97110" w:rsidRPr="006919A9" w:rsidRDefault="00F97110" w:rsidP="009452B6">
            <w:pPr>
              <w:pStyle w:val="TableText0"/>
              <w:rPr>
                <w:b/>
                <w:iCs/>
              </w:rPr>
            </w:pPr>
            <w:r w:rsidRPr="006919A9">
              <w:rPr>
                <w:b/>
                <w:iCs/>
              </w:rPr>
              <w:t>Recurrence event</w:t>
            </w:r>
          </w:p>
        </w:tc>
        <w:tc>
          <w:tcPr>
            <w:tcW w:w="1346" w:type="dxa"/>
            <w:vAlign w:val="center"/>
          </w:tcPr>
          <w:p w14:paraId="4A4EA909" w14:textId="453939FD" w:rsidR="00F97110" w:rsidRPr="006919A9" w:rsidRDefault="00E53F5B" w:rsidP="009452B6">
            <w:pPr>
              <w:pStyle w:val="TableText0"/>
              <w:jc w:val="center"/>
              <w:rPr>
                <w:b/>
                <w:iCs/>
              </w:rPr>
            </w:pPr>
            <w:r w:rsidRPr="006919A9">
              <w:rPr>
                <w:b/>
                <w:iCs/>
              </w:rPr>
              <w:t>Pembro plus chemo</w:t>
            </w:r>
          </w:p>
        </w:tc>
        <w:tc>
          <w:tcPr>
            <w:tcW w:w="1347" w:type="dxa"/>
            <w:vAlign w:val="center"/>
          </w:tcPr>
          <w:p w14:paraId="46B7AB5D" w14:textId="6DB72D29" w:rsidR="00F97110" w:rsidRPr="006919A9" w:rsidRDefault="00E53F5B" w:rsidP="009452B6">
            <w:pPr>
              <w:pStyle w:val="TableText0"/>
              <w:jc w:val="center"/>
              <w:rPr>
                <w:b/>
                <w:iCs/>
              </w:rPr>
            </w:pPr>
            <w:r w:rsidRPr="006919A9">
              <w:rPr>
                <w:b/>
                <w:iCs/>
              </w:rPr>
              <w:t>Chemo</w:t>
            </w:r>
          </w:p>
        </w:tc>
        <w:tc>
          <w:tcPr>
            <w:tcW w:w="1933" w:type="dxa"/>
            <w:vAlign w:val="center"/>
          </w:tcPr>
          <w:p w14:paraId="0F35FA9C" w14:textId="0001036E" w:rsidR="00F97110" w:rsidRPr="006919A9" w:rsidRDefault="00F97110" w:rsidP="009452B6">
            <w:pPr>
              <w:pStyle w:val="TableText0"/>
              <w:jc w:val="center"/>
              <w:rPr>
                <w:b/>
                <w:iCs/>
              </w:rPr>
            </w:pPr>
            <w:r w:rsidRPr="006919A9">
              <w:rPr>
                <w:b/>
                <w:iCs/>
              </w:rPr>
              <w:t xml:space="preserve">Incremental outcome </w:t>
            </w:r>
          </w:p>
        </w:tc>
      </w:tr>
      <w:tr w:rsidR="006919A9" w:rsidRPr="006919A9" w14:paraId="62F78E9E" w14:textId="77777777" w:rsidTr="009452B6">
        <w:tc>
          <w:tcPr>
            <w:tcW w:w="4390" w:type="dxa"/>
            <w:tcBorders>
              <w:right w:val="nil"/>
            </w:tcBorders>
          </w:tcPr>
          <w:p w14:paraId="0AD7C014" w14:textId="6E68E888" w:rsidR="00F97110" w:rsidRPr="006919A9" w:rsidRDefault="00F97110" w:rsidP="009452B6">
            <w:pPr>
              <w:pStyle w:val="TableText0"/>
              <w:rPr>
                <w:b/>
                <w:iCs/>
              </w:rPr>
            </w:pPr>
            <w:r w:rsidRPr="006919A9">
              <w:rPr>
                <w:b/>
                <w:iCs/>
              </w:rPr>
              <w:t xml:space="preserve">KN-522 </w:t>
            </w:r>
          </w:p>
        </w:tc>
        <w:tc>
          <w:tcPr>
            <w:tcW w:w="1346" w:type="dxa"/>
            <w:tcBorders>
              <w:left w:val="nil"/>
              <w:right w:val="nil"/>
            </w:tcBorders>
          </w:tcPr>
          <w:p w14:paraId="11F08088" w14:textId="77777777" w:rsidR="00F97110" w:rsidRPr="006919A9" w:rsidRDefault="00F97110" w:rsidP="009452B6">
            <w:pPr>
              <w:pStyle w:val="TableText0"/>
              <w:jc w:val="center"/>
              <w:rPr>
                <w:b/>
                <w:iCs/>
              </w:rPr>
            </w:pPr>
          </w:p>
        </w:tc>
        <w:tc>
          <w:tcPr>
            <w:tcW w:w="1347" w:type="dxa"/>
            <w:tcBorders>
              <w:left w:val="nil"/>
              <w:right w:val="nil"/>
            </w:tcBorders>
          </w:tcPr>
          <w:p w14:paraId="527F9CE6" w14:textId="77777777" w:rsidR="00F97110" w:rsidRPr="006919A9" w:rsidRDefault="00F97110" w:rsidP="009452B6">
            <w:pPr>
              <w:pStyle w:val="TableText0"/>
              <w:jc w:val="center"/>
              <w:rPr>
                <w:b/>
                <w:iCs/>
              </w:rPr>
            </w:pPr>
          </w:p>
        </w:tc>
        <w:tc>
          <w:tcPr>
            <w:tcW w:w="1933" w:type="dxa"/>
            <w:tcBorders>
              <w:left w:val="nil"/>
            </w:tcBorders>
          </w:tcPr>
          <w:p w14:paraId="04B305F1" w14:textId="62FA9AA9" w:rsidR="00F97110" w:rsidRPr="006919A9" w:rsidRDefault="00745821" w:rsidP="009452B6">
            <w:pPr>
              <w:pStyle w:val="TableText0"/>
              <w:jc w:val="center"/>
              <w:rPr>
                <w:b/>
                <w:iCs/>
              </w:rPr>
            </w:pPr>
            <w:r w:rsidRPr="006919A9">
              <w:rPr>
                <w:b/>
                <w:iCs/>
              </w:rPr>
              <w:t>Increment</w:t>
            </w:r>
          </w:p>
        </w:tc>
      </w:tr>
      <w:tr w:rsidR="006919A9" w:rsidRPr="006919A9" w14:paraId="7FE668B7" w14:textId="77777777" w:rsidTr="009452B6">
        <w:tc>
          <w:tcPr>
            <w:tcW w:w="4390" w:type="dxa"/>
          </w:tcPr>
          <w:p w14:paraId="4E2739B6" w14:textId="3E315FAA" w:rsidR="00F97110" w:rsidRPr="006919A9" w:rsidRDefault="00745821" w:rsidP="009452B6">
            <w:pPr>
              <w:pStyle w:val="TableText0"/>
              <w:rPr>
                <w:iCs/>
              </w:rPr>
            </w:pPr>
            <w:r w:rsidRPr="006919A9">
              <w:rPr>
                <w:iCs/>
              </w:rPr>
              <w:t>EFS</w:t>
            </w:r>
          </w:p>
        </w:tc>
        <w:tc>
          <w:tcPr>
            <w:tcW w:w="1346" w:type="dxa"/>
          </w:tcPr>
          <w:p w14:paraId="51DDCDB0" w14:textId="48BF30D3" w:rsidR="00F97110" w:rsidRPr="006919A9" w:rsidRDefault="00F97110" w:rsidP="009452B6">
            <w:pPr>
              <w:pStyle w:val="TableText0"/>
              <w:jc w:val="center"/>
              <w:rPr>
                <w:iCs/>
              </w:rPr>
            </w:pPr>
          </w:p>
        </w:tc>
        <w:tc>
          <w:tcPr>
            <w:tcW w:w="1347" w:type="dxa"/>
          </w:tcPr>
          <w:p w14:paraId="4528B938" w14:textId="41ED5413" w:rsidR="00F97110" w:rsidRPr="006919A9" w:rsidRDefault="00F97110" w:rsidP="009452B6">
            <w:pPr>
              <w:pStyle w:val="TableText0"/>
              <w:jc w:val="center"/>
              <w:rPr>
                <w:iCs/>
              </w:rPr>
            </w:pPr>
          </w:p>
        </w:tc>
        <w:tc>
          <w:tcPr>
            <w:tcW w:w="1933" w:type="dxa"/>
          </w:tcPr>
          <w:p w14:paraId="465682D8" w14:textId="56551956" w:rsidR="00F97110" w:rsidRPr="006919A9" w:rsidRDefault="00F97110" w:rsidP="009452B6">
            <w:pPr>
              <w:pStyle w:val="TableText0"/>
              <w:jc w:val="center"/>
              <w:rPr>
                <w:iCs/>
              </w:rPr>
            </w:pPr>
          </w:p>
        </w:tc>
      </w:tr>
      <w:tr w:rsidR="006919A9" w:rsidRPr="006919A9" w14:paraId="24A63827" w14:textId="77777777" w:rsidTr="009452B6">
        <w:tc>
          <w:tcPr>
            <w:tcW w:w="4390" w:type="dxa"/>
          </w:tcPr>
          <w:p w14:paraId="40212048" w14:textId="2E937A48" w:rsidR="00E53F5B" w:rsidRPr="006919A9" w:rsidRDefault="00E53F5B" w:rsidP="00E53F5B">
            <w:pPr>
              <w:pStyle w:val="TableText0"/>
              <w:rPr>
                <w:iCs/>
              </w:rPr>
            </w:pPr>
            <w:r w:rsidRPr="006919A9">
              <w:rPr>
                <w:iCs/>
              </w:rPr>
              <w:t xml:space="preserve">At 12 months </w:t>
            </w:r>
            <w:r w:rsidR="00745821" w:rsidRPr="006919A9">
              <w:rPr>
                <w:iCs/>
              </w:rPr>
              <w:t>(%)</w:t>
            </w:r>
          </w:p>
        </w:tc>
        <w:tc>
          <w:tcPr>
            <w:tcW w:w="1346" w:type="dxa"/>
          </w:tcPr>
          <w:p w14:paraId="51E03861" w14:textId="3A7E39CB" w:rsidR="00E53F5B" w:rsidRPr="006919A9" w:rsidRDefault="00E53F5B" w:rsidP="00E53F5B">
            <w:pPr>
              <w:pStyle w:val="TableText0"/>
              <w:jc w:val="center"/>
              <w:rPr>
                <w:iCs/>
              </w:rPr>
            </w:pPr>
            <w:r w:rsidRPr="006919A9">
              <w:rPr>
                <w:iCs/>
              </w:rPr>
              <w:t xml:space="preserve">93.3 </w:t>
            </w:r>
          </w:p>
        </w:tc>
        <w:tc>
          <w:tcPr>
            <w:tcW w:w="1347" w:type="dxa"/>
          </w:tcPr>
          <w:p w14:paraId="21DFD35B" w14:textId="4FA9A726" w:rsidR="00E53F5B" w:rsidRPr="006919A9" w:rsidRDefault="00E53F5B" w:rsidP="00E53F5B">
            <w:pPr>
              <w:pStyle w:val="TableText0"/>
              <w:jc w:val="center"/>
              <w:rPr>
                <w:iCs/>
              </w:rPr>
            </w:pPr>
            <w:r w:rsidRPr="006919A9">
              <w:rPr>
                <w:iCs/>
              </w:rPr>
              <w:t xml:space="preserve">92.5 </w:t>
            </w:r>
          </w:p>
        </w:tc>
        <w:tc>
          <w:tcPr>
            <w:tcW w:w="1933" w:type="dxa"/>
          </w:tcPr>
          <w:p w14:paraId="22BC160A" w14:textId="0479CC92" w:rsidR="00E53F5B" w:rsidRPr="006919A9" w:rsidRDefault="00745821" w:rsidP="00E53F5B">
            <w:pPr>
              <w:pStyle w:val="TableText0"/>
              <w:jc w:val="center"/>
              <w:rPr>
                <w:iCs/>
              </w:rPr>
            </w:pPr>
            <w:r w:rsidRPr="006919A9">
              <w:rPr>
                <w:iCs/>
              </w:rPr>
              <w:t>0.8</w:t>
            </w:r>
          </w:p>
        </w:tc>
      </w:tr>
      <w:tr w:rsidR="006919A9" w:rsidRPr="006919A9" w14:paraId="01F8E1C1" w14:textId="77777777" w:rsidTr="009452B6">
        <w:tc>
          <w:tcPr>
            <w:tcW w:w="4390" w:type="dxa"/>
          </w:tcPr>
          <w:p w14:paraId="478490E9" w14:textId="2939F2B7" w:rsidR="00E53F5B" w:rsidRPr="006919A9" w:rsidRDefault="00E53F5B" w:rsidP="00E53F5B">
            <w:pPr>
              <w:pStyle w:val="TableText0"/>
              <w:rPr>
                <w:iCs/>
              </w:rPr>
            </w:pPr>
            <w:r w:rsidRPr="006919A9">
              <w:rPr>
                <w:iCs/>
              </w:rPr>
              <w:t>At 18 months</w:t>
            </w:r>
            <w:r w:rsidR="00745821" w:rsidRPr="006919A9">
              <w:rPr>
                <w:iCs/>
              </w:rPr>
              <w:t xml:space="preserve"> (%)</w:t>
            </w:r>
          </w:p>
        </w:tc>
        <w:tc>
          <w:tcPr>
            <w:tcW w:w="1346" w:type="dxa"/>
          </w:tcPr>
          <w:p w14:paraId="43B8192B" w14:textId="1E42B1D5" w:rsidR="00E53F5B" w:rsidRPr="006919A9" w:rsidRDefault="00E53F5B" w:rsidP="00E53F5B">
            <w:pPr>
              <w:pStyle w:val="TableText0"/>
              <w:jc w:val="center"/>
              <w:rPr>
                <w:iCs/>
              </w:rPr>
            </w:pPr>
            <w:r w:rsidRPr="006919A9">
              <w:rPr>
                <w:iCs/>
              </w:rPr>
              <w:t xml:space="preserve">90.0 </w:t>
            </w:r>
          </w:p>
        </w:tc>
        <w:tc>
          <w:tcPr>
            <w:tcW w:w="1347" w:type="dxa"/>
          </w:tcPr>
          <w:p w14:paraId="08AA529A" w14:textId="5EDEA3E7" w:rsidR="00E53F5B" w:rsidRPr="006919A9" w:rsidRDefault="00E53F5B" w:rsidP="00E53F5B">
            <w:pPr>
              <w:pStyle w:val="TableText0"/>
              <w:jc w:val="center"/>
              <w:rPr>
                <w:iCs/>
              </w:rPr>
            </w:pPr>
            <w:r w:rsidRPr="006919A9">
              <w:rPr>
                <w:iCs/>
              </w:rPr>
              <w:t xml:space="preserve">85.8 </w:t>
            </w:r>
          </w:p>
        </w:tc>
        <w:tc>
          <w:tcPr>
            <w:tcW w:w="1933" w:type="dxa"/>
          </w:tcPr>
          <w:p w14:paraId="092F9878" w14:textId="65D95D56" w:rsidR="00E53F5B" w:rsidRPr="006919A9" w:rsidRDefault="00745821" w:rsidP="00E53F5B">
            <w:pPr>
              <w:pStyle w:val="TableText0"/>
              <w:jc w:val="center"/>
              <w:rPr>
                <w:iCs/>
              </w:rPr>
            </w:pPr>
            <w:r w:rsidRPr="006919A9">
              <w:rPr>
                <w:iCs/>
              </w:rPr>
              <w:t>4.2</w:t>
            </w:r>
          </w:p>
        </w:tc>
      </w:tr>
      <w:tr w:rsidR="006919A9" w:rsidRPr="006919A9" w14:paraId="2F297E3F" w14:textId="77777777" w:rsidTr="009452B6">
        <w:tc>
          <w:tcPr>
            <w:tcW w:w="4390" w:type="dxa"/>
          </w:tcPr>
          <w:p w14:paraId="4A36A137" w14:textId="2F300235" w:rsidR="00E53F5B" w:rsidRPr="006919A9" w:rsidRDefault="00E53F5B" w:rsidP="00E53F5B">
            <w:pPr>
              <w:pStyle w:val="TableText0"/>
              <w:rPr>
                <w:iCs/>
              </w:rPr>
            </w:pPr>
            <w:r w:rsidRPr="006919A9">
              <w:rPr>
                <w:iCs/>
              </w:rPr>
              <w:t>At 24 months</w:t>
            </w:r>
            <w:r w:rsidR="00745821" w:rsidRPr="006919A9">
              <w:rPr>
                <w:iCs/>
              </w:rPr>
              <w:t xml:space="preserve"> (%)</w:t>
            </w:r>
          </w:p>
        </w:tc>
        <w:tc>
          <w:tcPr>
            <w:tcW w:w="1346" w:type="dxa"/>
          </w:tcPr>
          <w:p w14:paraId="2CD398B8" w14:textId="04CEF1B1" w:rsidR="00E53F5B" w:rsidRPr="006919A9" w:rsidRDefault="00E53F5B" w:rsidP="00E53F5B">
            <w:pPr>
              <w:pStyle w:val="TableText0"/>
              <w:jc w:val="center"/>
              <w:rPr>
                <w:iCs/>
              </w:rPr>
            </w:pPr>
            <w:r w:rsidRPr="006919A9">
              <w:rPr>
                <w:iCs/>
              </w:rPr>
              <w:t xml:space="preserve">87.8 </w:t>
            </w:r>
          </w:p>
        </w:tc>
        <w:tc>
          <w:tcPr>
            <w:tcW w:w="1347" w:type="dxa"/>
          </w:tcPr>
          <w:p w14:paraId="4C96873C" w14:textId="49AE16BF" w:rsidR="00E53F5B" w:rsidRPr="006919A9" w:rsidRDefault="00E53F5B" w:rsidP="00E53F5B">
            <w:pPr>
              <w:pStyle w:val="TableText0"/>
              <w:jc w:val="center"/>
              <w:rPr>
                <w:iCs/>
              </w:rPr>
            </w:pPr>
            <w:r w:rsidRPr="006919A9">
              <w:rPr>
                <w:iCs/>
              </w:rPr>
              <w:t xml:space="preserve">81.0 </w:t>
            </w:r>
          </w:p>
        </w:tc>
        <w:tc>
          <w:tcPr>
            <w:tcW w:w="1933" w:type="dxa"/>
          </w:tcPr>
          <w:p w14:paraId="45CEF212" w14:textId="784DEBBF" w:rsidR="00E53F5B" w:rsidRPr="006919A9" w:rsidRDefault="00745821" w:rsidP="00E53F5B">
            <w:pPr>
              <w:pStyle w:val="TableText0"/>
              <w:jc w:val="center"/>
              <w:rPr>
                <w:iCs/>
              </w:rPr>
            </w:pPr>
            <w:r w:rsidRPr="006919A9">
              <w:rPr>
                <w:iCs/>
              </w:rPr>
              <w:t>6.8</w:t>
            </w:r>
          </w:p>
        </w:tc>
      </w:tr>
      <w:tr w:rsidR="006919A9" w:rsidRPr="006919A9" w14:paraId="7A901B73" w14:textId="77777777" w:rsidTr="009452B6">
        <w:tc>
          <w:tcPr>
            <w:tcW w:w="4390" w:type="dxa"/>
          </w:tcPr>
          <w:p w14:paraId="29503AB9" w14:textId="00736D53" w:rsidR="00E53F5B" w:rsidRPr="006919A9" w:rsidRDefault="00E53F5B" w:rsidP="00E53F5B">
            <w:pPr>
              <w:pStyle w:val="TableText0"/>
              <w:rPr>
                <w:iCs/>
              </w:rPr>
            </w:pPr>
            <w:r w:rsidRPr="006919A9">
              <w:rPr>
                <w:iCs/>
              </w:rPr>
              <w:t xml:space="preserve">At 36 months </w:t>
            </w:r>
            <w:r w:rsidR="00745821" w:rsidRPr="006919A9">
              <w:rPr>
                <w:iCs/>
              </w:rPr>
              <w:t>(%)</w:t>
            </w:r>
          </w:p>
        </w:tc>
        <w:tc>
          <w:tcPr>
            <w:tcW w:w="1346" w:type="dxa"/>
          </w:tcPr>
          <w:p w14:paraId="05E9A187" w14:textId="567155C8" w:rsidR="00E53F5B" w:rsidRPr="006919A9" w:rsidRDefault="00E53F5B" w:rsidP="00E53F5B">
            <w:pPr>
              <w:pStyle w:val="TableText0"/>
              <w:jc w:val="center"/>
              <w:rPr>
                <w:iCs/>
              </w:rPr>
            </w:pPr>
            <w:r w:rsidRPr="006919A9">
              <w:rPr>
                <w:iCs/>
              </w:rPr>
              <w:t xml:space="preserve">84.5 </w:t>
            </w:r>
          </w:p>
        </w:tc>
        <w:tc>
          <w:tcPr>
            <w:tcW w:w="1347" w:type="dxa"/>
          </w:tcPr>
          <w:p w14:paraId="6EE6751B" w14:textId="676ABC84" w:rsidR="00E53F5B" w:rsidRPr="006919A9" w:rsidRDefault="00E53F5B" w:rsidP="00E53F5B">
            <w:pPr>
              <w:pStyle w:val="TableText0"/>
              <w:jc w:val="center"/>
              <w:rPr>
                <w:iCs/>
              </w:rPr>
            </w:pPr>
            <w:r w:rsidRPr="006919A9">
              <w:rPr>
                <w:iCs/>
              </w:rPr>
              <w:t xml:space="preserve">76.8 </w:t>
            </w:r>
          </w:p>
        </w:tc>
        <w:tc>
          <w:tcPr>
            <w:tcW w:w="1933" w:type="dxa"/>
          </w:tcPr>
          <w:p w14:paraId="1A278E70" w14:textId="45CE8FDB" w:rsidR="00E53F5B" w:rsidRPr="006919A9" w:rsidRDefault="00745821" w:rsidP="00E53F5B">
            <w:pPr>
              <w:pStyle w:val="TableText0"/>
              <w:jc w:val="center"/>
              <w:rPr>
                <w:iCs/>
              </w:rPr>
            </w:pPr>
            <w:r w:rsidRPr="006919A9">
              <w:rPr>
                <w:iCs/>
              </w:rPr>
              <w:t>7.7</w:t>
            </w:r>
          </w:p>
        </w:tc>
      </w:tr>
      <w:tr w:rsidR="006919A9" w:rsidRPr="006919A9" w14:paraId="698D490F" w14:textId="77777777" w:rsidTr="009452B6">
        <w:tc>
          <w:tcPr>
            <w:tcW w:w="4390" w:type="dxa"/>
            <w:tcBorders>
              <w:right w:val="nil"/>
            </w:tcBorders>
          </w:tcPr>
          <w:p w14:paraId="7CFD361B" w14:textId="2099AEFE" w:rsidR="00F97110" w:rsidRPr="006919A9" w:rsidRDefault="00F97110" w:rsidP="009452B6">
            <w:pPr>
              <w:pStyle w:val="TableText0"/>
              <w:rPr>
                <w:b/>
                <w:iCs/>
              </w:rPr>
            </w:pPr>
            <w:r w:rsidRPr="006919A9">
              <w:rPr>
                <w:b/>
                <w:iCs/>
              </w:rPr>
              <w:t xml:space="preserve">Model </w:t>
            </w:r>
            <w:r w:rsidR="009E5B9B" w:rsidRPr="006919A9">
              <w:rPr>
                <w:b/>
                <w:iCs/>
              </w:rPr>
              <w:t>(</w:t>
            </w:r>
            <w:r w:rsidRPr="006919A9">
              <w:rPr>
                <w:b/>
                <w:iCs/>
              </w:rPr>
              <w:t>time horizon 30 years)</w:t>
            </w:r>
          </w:p>
        </w:tc>
        <w:tc>
          <w:tcPr>
            <w:tcW w:w="1346" w:type="dxa"/>
            <w:tcBorders>
              <w:left w:val="nil"/>
              <w:right w:val="nil"/>
            </w:tcBorders>
          </w:tcPr>
          <w:p w14:paraId="1911A79E" w14:textId="77777777" w:rsidR="00F97110" w:rsidRPr="006919A9" w:rsidRDefault="00F97110" w:rsidP="009452B6">
            <w:pPr>
              <w:pStyle w:val="TableText0"/>
              <w:jc w:val="center"/>
              <w:rPr>
                <w:b/>
                <w:iCs/>
              </w:rPr>
            </w:pPr>
          </w:p>
        </w:tc>
        <w:tc>
          <w:tcPr>
            <w:tcW w:w="1347" w:type="dxa"/>
            <w:tcBorders>
              <w:left w:val="nil"/>
              <w:right w:val="nil"/>
            </w:tcBorders>
          </w:tcPr>
          <w:p w14:paraId="55580AF9" w14:textId="77777777" w:rsidR="00F97110" w:rsidRPr="006919A9" w:rsidRDefault="00F97110" w:rsidP="009452B6">
            <w:pPr>
              <w:pStyle w:val="TableText0"/>
              <w:jc w:val="center"/>
              <w:rPr>
                <w:b/>
                <w:iCs/>
              </w:rPr>
            </w:pPr>
          </w:p>
        </w:tc>
        <w:tc>
          <w:tcPr>
            <w:tcW w:w="1933" w:type="dxa"/>
            <w:tcBorders>
              <w:left w:val="nil"/>
            </w:tcBorders>
          </w:tcPr>
          <w:p w14:paraId="2DA9E39A" w14:textId="77777777" w:rsidR="00F97110" w:rsidRPr="006919A9" w:rsidRDefault="00F97110" w:rsidP="009452B6">
            <w:pPr>
              <w:pStyle w:val="TableText0"/>
              <w:jc w:val="center"/>
              <w:rPr>
                <w:b/>
                <w:iCs/>
              </w:rPr>
            </w:pPr>
          </w:p>
        </w:tc>
      </w:tr>
      <w:tr w:rsidR="006919A9" w:rsidRPr="006919A9" w14:paraId="3F5D9598" w14:textId="77777777" w:rsidTr="009452B6">
        <w:tc>
          <w:tcPr>
            <w:tcW w:w="4390" w:type="dxa"/>
          </w:tcPr>
          <w:p w14:paraId="6C38B48A" w14:textId="1A94CD1B" w:rsidR="00F97110" w:rsidRPr="006919A9" w:rsidRDefault="00745821" w:rsidP="009452B6">
            <w:pPr>
              <w:pStyle w:val="TableText0"/>
              <w:rPr>
                <w:iCs/>
              </w:rPr>
            </w:pPr>
            <w:r w:rsidRPr="006919A9">
              <w:rPr>
                <w:iCs/>
              </w:rPr>
              <w:t xml:space="preserve">EFS </w:t>
            </w:r>
          </w:p>
        </w:tc>
        <w:tc>
          <w:tcPr>
            <w:tcW w:w="1346" w:type="dxa"/>
          </w:tcPr>
          <w:p w14:paraId="56730825" w14:textId="522ECE4A" w:rsidR="00F97110" w:rsidRPr="006919A9" w:rsidRDefault="00F97110" w:rsidP="009452B6">
            <w:pPr>
              <w:pStyle w:val="TableText0"/>
              <w:jc w:val="center"/>
              <w:rPr>
                <w:iCs/>
              </w:rPr>
            </w:pPr>
          </w:p>
        </w:tc>
        <w:tc>
          <w:tcPr>
            <w:tcW w:w="1347" w:type="dxa"/>
          </w:tcPr>
          <w:p w14:paraId="160C5095" w14:textId="08662890" w:rsidR="00F97110" w:rsidRPr="006919A9" w:rsidRDefault="00F97110" w:rsidP="009452B6">
            <w:pPr>
              <w:pStyle w:val="TableText0"/>
              <w:jc w:val="center"/>
              <w:rPr>
                <w:iCs/>
              </w:rPr>
            </w:pPr>
          </w:p>
        </w:tc>
        <w:tc>
          <w:tcPr>
            <w:tcW w:w="1933" w:type="dxa"/>
          </w:tcPr>
          <w:p w14:paraId="717C0F23" w14:textId="12FC982C" w:rsidR="00F97110" w:rsidRPr="006919A9" w:rsidRDefault="00F97110" w:rsidP="009452B6">
            <w:pPr>
              <w:pStyle w:val="TableText0"/>
              <w:jc w:val="center"/>
              <w:rPr>
                <w:iCs/>
              </w:rPr>
            </w:pPr>
          </w:p>
        </w:tc>
      </w:tr>
      <w:tr w:rsidR="006919A9" w:rsidRPr="006919A9" w14:paraId="0E1E4C73" w14:textId="77777777" w:rsidTr="009452B6">
        <w:tc>
          <w:tcPr>
            <w:tcW w:w="4390" w:type="dxa"/>
          </w:tcPr>
          <w:p w14:paraId="0440C702" w14:textId="69909DA0" w:rsidR="0051621C" w:rsidRPr="006919A9" w:rsidRDefault="0051621C" w:rsidP="0051621C">
            <w:pPr>
              <w:pStyle w:val="TableText0"/>
              <w:rPr>
                <w:iCs/>
              </w:rPr>
            </w:pPr>
            <w:r w:rsidRPr="006919A9">
              <w:rPr>
                <w:iCs/>
              </w:rPr>
              <w:t>At 24 months (%)</w:t>
            </w:r>
          </w:p>
        </w:tc>
        <w:tc>
          <w:tcPr>
            <w:tcW w:w="1346" w:type="dxa"/>
          </w:tcPr>
          <w:p w14:paraId="441F4296" w14:textId="2B49A965" w:rsidR="0051621C" w:rsidRPr="005767EF" w:rsidRDefault="0051621C" w:rsidP="0051621C">
            <w:pPr>
              <w:pStyle w:val="TableText0"/>
              <w:jc w:val="center"/>
              <w:rPr>
                <w:iCs/>
              </w:rPr>
            </w:pPr>
            <w:r w:rsidRPr="005767EF">
              <w:rPr>
                <w:iCs/>
              </w:rPr>
              <w:t>87.8</w:t>
            </w:r>
          </w:p>
        </w:tc>
        <w:tc>
          <w:tcPr>
            <w:tcW w:w="1347" w:type="dxa"/>
          </w:tcPr>
          <w:p w14:paraId="7E4A4A6E" w14:textId="5AD44466" w:rsidR="0051621C" w:rsidRPr="005767EF" w:rsidRDefault="0051621C" w:rsidP="0051621C">
            <w:pPr>
              <w:pStyle w:val="TableText0"/>
              <w:jc w:val="center"/>
              <w:rPr>
                <w:iCs/>
              </w:rPr>
            </w:pPr>
            <w:r w:rsidRPr="005767EF">
              <w:rPr>
                <w:iCs/>
              </w:rPr>
              <w:t>81.0</w:t>
            </w:r>
          </w:p>
        </w:tc>
        <w:tc>
          <w:tcPr>
            <w:tcW w:w="1933" w:type="dxa"/>
          </w:tcPr>
          <w:p w14:paraId="03166B48" w14:textId="3B03326D" w:rsidR="0051621C" w:rsidRPr="005767EF" w:rsidRDefault="0051621C" w:rsidP="0051621C">
            <w:pPr>
              <w:pStyle w:val="TableText0"/>
              <w:jc w:val="center"/>
              <w:rPr>
                <w:iCs/>
              </w:rPr>
            </w:pPr>
            <w:r w:rsidRPr="005767EF">
              <w:rPr>
                <w:iCs/>
              </w:rPr>
              <w:t>6.8</w:t>
            </w:r>
          </w:p>
        </w:tc>
      </w:tr>
      <w:tr w:rsidR="006919A9" w:rsidRPr="006919A9" w14:paraId="31D66971" w14:textId="77777777" w:rsidTr="009452B6">
        <w:tc>
          <w:tcPr>
            <w:tcW w:w="4390" w:type="dxa"/>
          </w:tcPr>
          <w:p w14:paraId="3B67A076" w14:textId="0545C541" w:rsidR="0051621C" w:rsidRPr="006919A9" w:rsidRDefault="0051621C" w:rsidP="0051621C">
            <w:pPr>
              <w:pStyle w:val="TableText0"/>
              <w:rPr>
                <w:iCs/>
              </w:rPr>
            </w:pPr>
            <w:r w:rsidRPr="006919A9">
              <w:rPr>
                <w:iCs/>
              </w:rPr>
              <w:t>At 36 months (%)</w:t>
            </w:r>
          </w:p>
        </w:tc>
        <w:tc>
          <w:tcPr>
            <w:tcW w:w="1346" w:type="dxa"/>
          </w:tcPr>
          <w:p w14:paraId="1183A0B1" w14:textId="532F1C06" w:rsidR="0051621C" w:rsidRPr="005767EF" w:rsidRDefault="0051621C" w:rsidP="0051621C">
            <w:pPr>
              <w:pStyle w:val="TableText0"/>
              <w:jc w:val="center"/>
              <w:rPr>
                <w:iCs/>
              </w:rPr>
            </w:pPr>
            <w:r w:rsidRPr="005767EF">
              <w:rPr>
                <w:iCs/>
              </w:rPr>
              <w:t>84.5</w:t>
            </w:r>
          </w:p>
        </w:tc>
        <w:tc>
          <w:tcPr>
            <w:tcW w:w="1347" w:type="dxa"/>
          </w:tcPr>
          <w:p w14:paraId="01B86745" w14:textId="5A5F7E35" w:rsidR="0051621C" w:rsidRPr="005767EF" w:rsidRDefault="0051621C" w:rsidP="0051621C">
            <w:pPr>
              <w:pStyle w:val="TableText0"/>
              <w:jc w:val="center"/>
              <w:rPr>
                <w:iCs/>
              </w:rPr>
            </w:pPr>
            <w:r w:rsidRPr="005767EF">
              <w:rPr>
                <w:iCs/>
              </w:rPr>
              <w:t>76.8</w:t>
            </w:r>
          </w:p>
        </w:tc>
        <w:tc>
          <w:tcPr>
            <w:tcW w:w="1933" w:type="dxa"/>
          </w:tcPr>
          <w:p w14:paraId="1A5E61B0" w14:textId="49D477B4" w:rsidR="0051621C" w:rsidRPr="005767EF" w:rsidRDefault="0051621C" w:rsidP="0051621C">
            <w:pPr>
              <w:pStyle w:val="TableText0"/>
              <w:jc w:val="center"/>
              <w:rPr>
                <w:iCs/>
              </w:rPr>
            </w:pPr>
            <w:r w:rsidRPr="005767EF">
              <w:rPr>
                <w:iCs/>
              </w:rPr>
              <w:t>7.7</w:t>
            </w:r>
          </w:p>
        </w:tc>
      </w:tr>
      <w:tr w:rsidR="006919A9" w:rsidRPr="006919A9" w14:paraId="5E2BD02B" w14:textId="77777777" w:rsidTr="009452B6">
        <w:tc>
          <w:tcPr>
            <w:tcW w:w="4390" w:type="dxa"/>
          </w:tcPr>
          <w:p w14:paraId="0997EFFE" w14:textId="48AAC466" w:rsidR="00F97110" w:rsidRPr="006919A9" w:rsidRDefault="0051621C" w:rsidP="009452B6">
            <w:pPr>
              <w:pStyle w:val="TableText0"/>
              <w:rPr>
                <w:iCs/>
              </w:rPr>
            </w:pPr>
            <w:r w:rsidRPr="006919A9">
              <w:rPr>
                <w:iCs/>
              </w:rPr>
              <w:t xml:space="preserve">At </w:t>
            </w:r>
            <w:r w:rsidR="00745821" w:rsidRPr="006919A9">
              <w:rPr>
                <w:iCs/>
              </w:rPr>
              <w:t xml:space="preserve">48 months </w:t>
            </w:r>
            <w:r w:rsidRPr="006919A9">
              <w:rPr>
                <w:iCs/>
              </w:rPr>
              <w:t>(%)</w:t>
            </w:r>
          </w:p>
        </w:tc>
        <w:tc>
          <w:tcPr>
            <w:tcW w:w="1346" w:type="dxa"/>
          </w:tcPr>
          <w:p w14:paraId="24DE91E1" w14:textId="6758B203" w:rsidR="00F97110" w:rsidRPr="005767EF" w:rsidRDefault="00D61444" w:rsidP="009452B6">
            <w:pPr>
              <w:pStyle w:val="TableText0"/>
              <w:jc w:val="center"/>
              <w:rPr>
                <w:iCs/>
              </w:rPr>
            </w:pPr>
            <w:r w:rsidRPr="005767EF">
              <w:rPr>
                <w:iCs/>
              </w:rPr>
              <w:t>82.0</w:t>
            </w:r>
          </w:p>
        </w:tc>
        <w:tc>
          <w:tcPr>
            <w:tcW w:w="1347" w:type="dxa"/>
          </w:tcPr>
          <w:p w14:paraId="098F3DD5" w14:textId="635D8A59" w:rsidR="00F97110" w:rsidRPr="005767EF" w:rsidRDefault="00D61444" w:rsidP="009452B6">
            <w:pPr>
              <w:pStyle w:val="TableText0"/>
              <w:jc w:val="center"/>
              <w:rPr>
                <w:iCs/>
              </w:rPr>
            </w:pPr>
            <w:r w:rsidRPr="005767EF">
              <w:rPr>
                <w:iCs/>
              </w:rPr>
              <w:t>72.4</w:t>
            </w:r>
          </w:p>
        </w:tc>
        <w:tc>
          <w:tcPr>
            <w:tcW w:w="1933" w:type="dxa"/>
          </w:tcPr>
          <w:p w14:paraId="5743C6BB" w14:textId="336E304D" w:rsidR="00F97110" w:rsidRPr="005767EF" w:rsidRDefault="00D61444" w:rsidP="009452B6">
            <w:pPr>
              <w:pStyle w:val="TableText0"/>
              <w:jc w:val="center"/>
              <w:rPr>
                <w:iCs/>
              </w:rPr>
            </w:pPr>
            <w:r w:rsidRPr="005767EF">
              <w:rPr>
                <w:iCs/>
              </w:rPr>
              <w:t>9.6</w:t>
            </w:r>
          </w:p>
        </w:tc>
      </w:tr>
      <w:tr w:rsidR="006919A9" w:rsidRPr="006919A9" w14:paraId="66633A50" w14:textId="77777777" w:rsidTr="009452B6">
        <w:tc>
          <w:tcPr>
            <w:tcW w:w="4390" w:type="dxa"/>
          </w:tcPr>
          <w:p w14:paraId="51DDF276" w14:textId="3233D66A" w:rsidR="00F97110" w:rsidRPr="006919A9" w:rsidRDefault="00EE1D91" w:rsidP="009452B6">
            <w:pPr>
              <w:pStyle w:val="TableText0"/>
              <w:rPr>
                <w:iCs/>
              </w:rPr>
            </w:pPr>
            <w:r w:rsidRPr="006919A9">
              <w:rPr>
                <w:iCs/>
              </w:rPr>
              <w:t xml:space="preserve">At </w:t>
            </w:r>
            <w:r w:rsidR="00745821" w:rsidRPr="006919A9">
              <w:rPr>
                <w:iCs/>
              </w:rPr>
              <w:t>5 years</w:t>
            </w:r>
            <w:r w:rsidR="008E0618">
              <w:rPr>
                <w:iCs/>
              </w:rPr>
              <w:t xml:space="preserve"> (%)</w:t>
            </w:r>
          </w:p>
        </w:tc>
        <w:tc>
          <w:tcPr>
            <w:tcW w:w="1346" w:type="dxa"/>
          </w:tcPr>
          <w:p w14:paraId="4AAB87D6" w14:textId="30BBCBD3" w:rsidR="00F97110" w:rsidRPr="005767EF" w:rsidRDefault="00D61444" w:rsidP="009452B6">
            <w:pPr>
              <w:pStyle w:val="TableText0"/>
              <w:jc w:val="center"/>
              <w:rPr>
                <w:iCs/>
              </w:rPr>
            </w:pPr>
            <w:r w:rsidRPr="005767EF">
              <w:rPr>
                <w:iCs/>
              </w:rPr>
              <w:t>80.2</w:t>
            </w:r>
          </w:p>
        </w:tc>
        <w:tc>
          <w:tcPr>
            <w:tcW w:w="1347" w:type="dxa"/>
          </w:tcPr>
          <w:p w14:paraId="3186F6F5" w14:textId="44E28527" w:rsidR="00F97110" w:rsidRPr="005767EF" w:rsidRDefault="00D61444" w:rsidP="009452B6">
            <w:pPr>
              <w:pStyle w:val="TableText0"/>
              <w:jc w:val="center"/>
              <w:rPr>
                <w:iCs/>
              </w:rPr>
            </w:pPr>
            <w:r w:rsidRPr="005767EF">
              <w:rPr>
                <w:iCs/>
              </w:rPr>
              <w:t>68.8</w:t>
            </w:r>
          </w:p>
        </w:tc>
        <w:tc>
          <w:tcPr>
            <w:tcW w:w="1933" w:type="dxa"/>
          </w:tcPr>
          <w:p w14:paraId="21BCE328" w14:textId="6199C3E5" w:rsidR="00F97110" w:rsidRPr="005767EF" w:rsidRDefault="00D61444" w:rsidP="009452B6">
            <w:pPr>
              <w:pStyle w:val="TableText0"/>
              <w:jc w:val="center"/>
              <w:rPr>
                <w:iCs/>
              </w:rPr>
            </w:pPr>
            <w:r w:rsidRPr="005767EF">
              <w:rPr>
                <w:iCs/>
              </w:rPr>
              <w:t>11.4</w:t>
            </w:r>
          </w:p>
        </w:tc>
      </w:tr>
      <w:tr w:rsidR="006919A9" w:rsidRPr="006919A9" w14:paraId="4D84C3E0" w14:textId="77777777" w:rsidTr="009452B6">
        <w:tc>
          <w:tcPr>
            <w:tcW w:w="4390" w:type="dxa"/>
          </w:tcPr>
          <w:p w14:paraId="079851F5" w14:textId="522C07FA" w:rsidR="00745821" w:rsidRPr="006919A9" w:rsidRDefault="0051621C" w:rsidP="009452B6">
            <w:pPr>
              <w:pStyle w:val="TableText0"/>
              <w:rPr>
                <w:iCs/>
              </w:rPr>
            </w:pPr>
            <w:r w:rsidRPr="006919A9">
              <w:rPr>
                <w:iCs/>
              </w:rPr>
              <w:t xml:space="preserve">At </w:t>
            </w:r>
            <w:r w:rsidR="00745821" w:rsidRPr="006919A9">
              <w:rPr>
                <w:iCs/>
              </w:rPr>
              <w:t>10 years</w:t>
            </w:r>
            <w:r w:rsidRPr="006919A9">
              <w:rPr>
                <w:iCs/>
              </w:rPr>
              <w:t xml:space="preserve"> (%)</w:t>
            </w:r>
          </w:p>
        </w:tc>
        <w:tc>
          <w:tcPr>
            <w:tcW w:w="1346" w:type="dxa"/>
          </w:tcPr>
          <w:p w14:paraId="798CD5AE" w14:textId="7D01F4D0" w:rsidR="00745821" w:rsidRPr="005767EF" w:rsidRDefault="00D61444" w:rsidP="009452B6">
            <w:pPr>
              <w:pStyle w:val="TableText0"/>
              <w:jc w:val="center"/>
              <w:rPr>
                <w:iCs/>
              </w:rPr>
            </w:pPr>
            <w:r w:rsidRPr="005767EF">
              <w:rPr>
                <w:iCs/>
              </w:rPr>
              <w:t>74.6</w:t>
            </w:r>
          </w:p>
        </w:tc>
        <w:tc>
          <w:tcPr>
            <w:tcW w:w="1347" w:type="dxa"/>
          </w:tcPr>
          <w:p w14:paraId="2AEE5E76" w14:textId="79EF9D3D" w:rsidR="00745821" w:rsidRPr="005767EF" w:rsidRDefault="00D61444" w:rsidP="009452B6">
            <w:pPr>
              <w:pStyle w:val="TableText0"/>
              <w:jc w:val="center"/>
              <w:rPr>
                <w:iCs/>
              </w:rPr>
            </w:pPr>
            <w:r w:rsidRPr="005767EF">
              <w:rPr>
                <w:iCs/>
              </w:rPr>
              <w:t>57.6</w:t>
            </w:r>
          </w:p>
        </w:tc>
        <w:tc>
          <w:tcPr>
            <w:tcW w:w="1933" w:type="dxa"/>
          </w:tcPr>
          <w:p w14:paraId="15AA9E3A" w14:textId="75F50D20" w:rsidR="00745821" w:rsidRPr="005767EF" w:rsidRDefault="00D61444" w:rsidP="009452B6">
            <w:pPr>
              <w:pStyle w:val="TableText0"/>
              <w:jc w:val="center"/>
              <w:rPr>
                <w:iCs/>
              </w:rPr>
            </w:pPr>
            <w:r w:rsidRPr="005767EF">
              <w:rPr>
                <w:iCs/>
              </w:rPr>
              <w:t>17.0</w:t>
            </w:r>
          </w:p>
        </w:tc>
      </w:tr>
      <w:tr w:rsidR="006919A9" w:rsidRPr="006919A9" w14:paraId="7138BE2A" w14:textId="77777777" w:rsidTr="009452B6">
        <w:tc>
          <w:tcPr>
            <w:tcW w:w="4390" w:type="dxa"/>
          </w:tcPr>
          <w:p w14:paraId="412AADE0" w14:textId="42C97EB0" w:rsidR="00745821" w:rsidRPr="006919A9" w:rsidRDefault="0051621C" w:rsidP="009452B6">
            <w:pPr>
              <w:pStyle w:val="TableText0"/>
              <w:rPr>
                <w:iCs/>
              </w:rPr>
            </w:pPr>
            <w:r w:rsidRPr="006919A9">
              <w:rPr>
                <w:iCs/>
              </w:rPr>
              <w:t xml:space="preserve">At </w:t>
            </w:r>
            <w:r w:rsidR="00745821" w:rsidRPr="006919A9">
              <w:rPr>
                <w:iCs/>
              </w:rPr>
              <w:t>20 years</w:t>
            </w:r>
            <w:r w:rsidRPr="006919A9">
              <w:rPr>
                <w:iCs/>
              </w:rPr>
              <w:t xml:space="preserve"> (%)</w:t>
            </w:r>
          </w:p>
        </w:tc>
        <w:tc>
          <w:tcPr>
            <w:tcW w:w="1346" w:type="dxa"/>
          </w:tcPr>
          <w:p w14:paraId="1D5D4C29" w14:textId="171E4D60" w:rsidR="00745821" w:rsidRPr="005767EF" w:rsidRDefault="00D61444" w:rsidP="009452B6">
            <w:pPr>
              <w:pStyle w:val="TableText0"/>
              <w:jc w:val="center"/>
              <w:rPr>
                <w:iCs/>
              </w:rPr>
            </w:pPr>
            <w:r w:rsidRPr="005767EF">
              <w:rPr>
                <w:iCs/>
              </w:rPr>
              <w:t>69.4</w:t>
            </w:r>
          </w:p>
        </w:tc>
        <w:tc>
          <w:tcPr>
            <w:tcW w:w="1347" w:type="dxa"/>
          </w:tcPr>
          <w:p w14:paraId="1F3F75F2" w14:textId="17E386CB" w:rsidR="00745821" w:rsidRPr="005767EF" w:rsidRDefault="00D61444" w:rsidP="009452B6">
            <w:pPr>
              <w:pStyle w:val="TableText0"/>
              <w:jc w:val="center"/>
              <w:rPr>
                <w:iCs/>
              </w:rPr>
            </w:pPr>
            <w:r w:rsidRPr="005767EF">
              <w:rPr>
                <w:iCs/>
              </w:rPr>
              <w:t>47.4</w:t>
            </w:r>
          </w:p>
        </w:tc>
        <w:tc>
          <w:tcPr>
            <w:tcW w:w="1933" w:type="dxa"/>
          </w:tcPr>
          <w:p w14:paraId="609C8F77" w14:textId="2B94322C" w:rsidR="00745821" w:rsidRPr="005767EF" w:rsidRDefault="009E5B9B" w:rsidP="009452B6">
            <w:pPr>
              <w:pStyle w:val="TableText0"/>
              <w:jc w:val="center"/>
              <w:rPr>
                <w:iCs/>
              </w:rPr>
            </w:pPr>
            <w:r w:rsidRPr="005767EF">
              <w:rPr>
                <w:iCs/>
              </w:rPr>
              <w:t>22.0</w:t>
            </w:r>
          </w:p>
        </w:tc>
      </w:tr>
      <w:tr w:rsidR="006919A9" w:rsidRPr="006919A9" w14:paraId="4D0FAA4B" w14:textId="77777777" w:rsidTr="009452B6">
        <w:tc>
          <w:tcPr>
            <w:tcW w:w="4390" w:type="dxa"/>
          </w:tcPr>
          <w:p w14:paraId="50368E59" w14:textId="210287E6" w:rsidR="00745821" w:rsidRPr="006919A9" w:rsidRDefault="0051621C" w:rsidP="009452B6">
            <w:pPr>
              <w:pStyle w:val="TableText0"/>
              <w:rPr>
                <w:iCs/>
              </w:rPr>
            </w:pPr>
            <w:r w:rsidRPr="006919A9">
              <w:rPr>
                <w:iCs/>
              </w:rPr>
              <w:t xml:space="preserve">At </w:t>
            </w:r>
            <w:r w:rsidR="00745821" w:rsidRPr="006919A9">
              <w:rPr>
                <w:iCs/>
              </w:rPr>
              <w:t>30 years</w:t>
            </w:r>
            <w:r w:rsidRPr="006919A9">
              <w:rPr>
                <w:iCs/>
              </w:rPr>
              <w:t xml:space="preserve"> (%)</w:t>
            </w:r>
          </w:p>
        </w:tc>
        <w:tc>
          <w:tcPr>
            <w:tcW w:w="1346" w:type="dxa"/>
          </w:tcPr>
          <w:p w14:paraId="57FFD1EF" w14:textId="31B4CEC2" w:rsidR="00745821" w:rsidRPr="005767EF" w:rsidRDefault="009E5B9B" w:rsidP="009452B6">
            <w:pPr>
              <w:pStyle w:val="TableText0"/>
              <w:jc w:val="center"/>
              <w:rPr>
                <w:iCs/>
              </w:rPr>
            </w:pPr>
            <w:r w:rsidRPr="005767EF">
              <w:rPr>
                <w:iCs/>
              </w:rPr>
              <w:t>66.5</w:t>
            </w:r>
          </w:p>
        </w:tc>
        <w:tc>
          <w:tcPr>
            <w:tcW w:w="1347" w:type="dxa"/>
          </w:tcPr>
          <w:p w14:paraId="0C25A35B" w14:textId="5B555428" w:rsidR="00745821" w:rsidRPr="005767EF" w:rsidRDefault="009E5B9B" w:rsidP="009452B6">
            <w:pPr>
              <w:pStyle w:val="TableText0"/>
              <w:jc w:val="center"/>
              <w:rPr>
                <w:iCs/>
              </w:rPr>
            </w:pPr>
            <w:r w:rsidRPr="005767EF">
              <w:rPr>
                <w:iCs/>
              </w:rPr>
              <w:t>42.0</w:t>
            </w:r>
          </w:p>
        </w:tc>
        <w:tc>
          <w:tcPr>
            <w:tcW w:w="1933" w:type="dxa"/>
          </w:tcPr>
          <w:p w14:paraId="1AF89242" w14:textId="2D0DE6DA" w:rsidR="00745821" w:rsidRPr="005767EF" w:rsidRDefault="009E5B9B" w:rsidP="009452B6">
            <w:pPr>
              <w:pStyle w:val="TableText0"/>
              <w:jc w:val="center"/>
              <w:rPr>
                <w:iCs/>
              </w:rPr>
            </w:pPr>
            <w:r w:rsidRPr="005767EF">
              <w:rPr>
                <w:iCs/>
              </w:rPr>
              <w:t>24.5</w:t>
            </w:r>
          </w:p>
        </w:tc>
      </w:tr>
    </w:tbl>
    <w:p w14:paraId="69182B85" w14:textId="52A1D97D" w:rsidR="00F97110" w:rsidRPr="006919A9" w:rsidRDefault="00F97110" w:rsidP="009E5B9B">
      <w:pPr>
        <w:pStyle w:val="FooterTableFigure"/>
      </w:pPr>
      <w:r w:rsidRPr="006919A9">
        <w:t>Source:</w:t>
      </w:r>
      <w:r w:rsidR="009E5B9B" w:rsidRPr="006919A9">
        <w:t xml:space="preserve"> Table 2.5-7, p43 of the submission and columns AV and AW of the ‘EFS Summary sheet of ‘eTNBC Section 3 workbook.xlsx’</w:t>
      </w:r>
    </w:p>
    <w:p w14:paraId="262178DD" w14:textId="4DB6B0E3" w:rsidR="009E5B9B" w:rsidRPr="006919A9" w:rsidRDefault="009E5B9B" w:rsidP="009E5B9B">
      <w:pPr>
        <w:pStyle w:val="FooterTableFigure"/>
      </w:pPr>
      <w:r w:rsidRPr="006919A9">
        <w:t xml:space="preserve">EFS = event free survival. </w:t>
      </w:r>
    </w:p>
    <w:p w14:paraId="215982AA" w14:textId="5B267DE5" w:rsidR="00AB337D" w:rsidRDefault="00F84B2D" w:rsidP="00652706">
      <w:pPr>
        <w:pStyle w:val="3-BodyText"/>
      </w:pPr>
      <w:bookmarkStart w:id="60" w:name="_Ref127183340"/>
      <w:bookmarkStart w:id="61" w:name="_Hlk124201392"/>
      <w:r w:rsidRPr="00652C95">
        <w:t xml:space="preserve">The </w:t>
      </w:r>
      <w:r w:rsidR="00CF207A" w:rsidRPr="00652C95">
        <w:t>model generate</w:t>
      </w:r>
      <w:r w:rsidR="00AB337D">
        <w:t>d</w:t>
      </w:r>
      <w:r w:rsidR="00CF207A" w:rsidRPr="00652C95">
        <w:t xml:space="preserve"> a greater increment in EFS (and consequently OS) as the time progresses</w:t>
      </w:r>
      <w:r w:rsidRPr="00F84B2D">
        <w:t xml:space="preserve"> </w:t>
      </w:r>
      <w:r>
        <w:t>and</w:t>
      </w:r>
      <w:r w:rsidRPr="00652C95">
        <w:t xml:space="preserve"> estimated treatment effects in OS and EFS at any given point beyond 5 years were substantially greater than any increment in the KM data</w:t>
      </w:r>
      <w:r w:rsidR="00CF207A" w:rsidRPr="00652C95">
        <w:t xml:space="preserve">. By the end of </w:t>
      </w:r>
      <w:r w:rsidR="00CF207A" w:rsidRPr="00652C95">
        <w:lastRenderedPageBreak/>
        <w:t xml:space="preserve">the </w:t>
      </w:r>
      <w:r w:rsidR="00D875C9" w:rsidRPr="00652C95">
        <w:t>30-year</w:t>
      </w:r>
      <w:r w:rsidR="00CF207A" w:rsidRPr="00652C95">
        <w:t xml:space="preserve"> time horizon, the model estimated an increment </w:t>
      </w:r>
      <w:r w:rsidR="00CF207A" w:rsidRPr="005767EF">
        <w:t>of 24.5% of</w:t>
      </w:r>
      <w:r w:rsidR="00CF207A" w:rsidRPr="00652C95">
        <w:t xml:space="preserve"> EFS events as </w:t>
      </w:r>
      <w:r w:rsidR="00617476">
        <w:t>compared with</w:t>
      </w:r>
      <w:r w:rsidR="00CF207A" w:rsidRPr="00652C95">
        <w:t xml:space="preserve"> 7.7% at the last landmark EFS estimate of KN-522 (36 months).</w:t>
      </w:r>
      <w:r w:rsidR="006C4E75" w:rsidRPr="006C4E75">
        <w:t xml:space="preserve"> </w:t>
      </w:r>
    </w:p>
    <w:p w14:paraId="07E4BCFB" w14:textId="1533657F" w:rsidR="006C4E75" w:rsidRPr="00F756C7" w:rsidRDefault="006C4E75" w:rsidP="00556753">
      <w:pPr>
        <w:pStyle w:val="3-BodyText"/>
      </w:pPr>
      <w:r w:rsidRPr="006919A9">
        <w:t xml:space="preserve">The model settings allowed for varying assumptions of treatment waning, which assumed the EFS hazard rate of the pembrolizumab arm would </w:t>
      </w:r>
      <w:r>
        <w:t xml:space="preserve">be </w:t>
      </w:r>
      <w:r w:rsidRPr="006919A9">
        <w:t xml:space="preserve">equal to the EFS hazard of the chemotherapy arm after a specified time-point. The submission assumed no treatment waning effect in the base case </w:t>
      </w:r>
      <w:r>
        <w:t>and argued that this was justified based</w:t>
      </w:r>
      <w:r w:rsidRPr="006919A9">
        <w:t xml:space="preserve"> on the mechanism of action for immunotherapies such as pembrolizumab, especially in the early stage setting with curative intent. </w:t>
      </w:r>
      <w:r w:rsidRPr="00652C95">
        <w:t>The model was highly sensitive to this assumption.</w:t>
      </w:r>
      <w:r w:rsidR="009540AB">
        <w:t xml:space="preserve"> </w:t>
      </w:r>
      <w:r w:rsidR="009540AB" w:rsidRPr="00F756C7">
        <w:t>The PSCR noted that for each subsequent data cut throughout KN</w:t>
      </w:r>
      <w:r w:rsidR="00FF0984">
        <w:t>-</w:t>
      </w:r>
      <w:r w:rsidR="009540AB" w:rsidRPr="00F756C7">
        <w:t xml:space="preserve">522, the OS HR consistently moved in a direction that favours pembrolizumab + chemotherapy (1.09 at IA2, 0.80 at IA3, and 0.72 at IA4), with the curves continuing to separate. The PSCR argued that the application of treatment waning was therefore not appropriate. The ESC </w:t>
      </w:r>
      <w:r w:rsidR="00652706" w:rsidRPr="00F756C7">
        <w:t xml:space="preserve">noted that the trial data was immature and limited to a median follow up of 37.8 months. The ESC </w:t>
      </w:r>
      <w:r w:rsidR="009540AB" w:rsidRPr="00F756C7">
        <w:t>considered that it was not clinically plausible that the increment in EFS would continue to increase throughout the full time horizon of the model and hence application of treatment waning would be appropriate.</w:t>
      </w:r>
      <w:bookmarkEnd w:id="60"/>
      <w:r w:rsidR="009540AB" w:rsidRPr="00F756C7">
        <w:t xml:space="preserve"> </w:t>
      </w:r>
      <w:r w:rsidR="001A7AA6" w:rsidRPr="00F756C7">
        <w:t>The ESC noted that the</w:t>
      </w:r>
      <w:r w:rsidR="00E52328" w:rsidRPr="00F756C7">
        <w:t xml:space="preserve"> model structure did not allow for the impact of </w:t>
      </w:r>
      <w:r w:rsidR="001A7AA6" w:rsidRPr="00F756C7">
        <w:t xml:space="preserve">curve convergence </w:t>
      </w:r>
      <w:r w:rsidR="00E52328" w:rsidRPr="00F756C7">
        <w:t xml:space="preserve">to be tested. </w:t>
      </w:r>
      <w:r w:rsidR="00556753">
        <w:t xml:space="preserve">The pre-PBAC response argued that </w:t>
      </w:r>
      <w:r w:rsidR="00556753" w:rsidRPr="00556753">
        <w:t xml:space="preserve">it is clinically implausible that treatment benefit ceases completely at 5 years </w:t>
      </w:r>
      <w:r w:rsidR="00556753">
        <w:t xml:space="preserve">and </w:t>
      </w:r>
      <w:r w:rsidR="005C6D93">
        <w:t xml:space="preserve">is </w:t>
      </w:r>
      <w:r w:rsidR="00556753" w:rsidRPr="00556753">
        <w:t>not supported by the available data</w:t>
      </w:r>
      <w:r w:rsidR="00556753">
        <w:t xml:space="preserve"> and</w:t>
      </w:r>
      <w:r w:rsidR="00556753" w:rsidRPr="00556753">
        <w:t xml:space="preserve"> maintain</w:t>
      </w:r>
      <w:r w:rsidR="00556753">
        <w:t>ed</w:t>
      </w:r>
      <w:r w:rsidR="00556753" w:rsidRPr="00556753">
        <w:t xml:space="preserve"> that the long-term treatment benefit of pembrolizumab modelled from KN</w:t>
      </w:r>
      <w:r w:rsidR="00FF0984">
        <w:t>-</w:t>
      </w:r>
      <w:r w:rsidR="00556753" w:rsidRPr="00556753">
        <w:t>522 is unlikely to diminish significantly over time</w:t>
      </w:r>
      <w:r w:rsidR="00556753">
        <w:t xml:space="preserve">. The PBAC noted that with application of treatment waning in the model, the incremental </w:t>
      </w:r>
      <w:r w:rsidR="005C6D93">
        <w:t xml:space="preserve">EFS and </w:t>
      </w:r>
      <w:r w:rsidR="00556753">
        <w:t xml:space="preserve">OS benefit from treatment was </w:t>
      </w:r>
      <w:r w:rsidR="005C6D93">
        <w:t xml:space="preserve">assumed to be </w:t>
      </w:r>
      <w:r w:rsidR="00556753">
        <w:t>maintained, rather than continuing to increase, which it considered to be reasonable. The PBAC noted that the majority of patients who relapse would be expected to do so within 5 years and therefore this was an appropriate timepoint at which to apply treatment waning.</w:t>
      </w:r>
    </w:p>
    <w:bookmarkStart w:id="62" w:name="_Ref127956661"/>
    <w:p w14:paraId="53E56872" w14:textId="4D5188EA" w:rsidR="0090266C" w:rsidRPr="00F756C7" w:rsidRDefault="0090266C" w:rsidP="00652706">
      <w:pPr>
        <w:pStyle w:val="3-BodyText"/>
      </w:pPr>
      <w:r w:rsidRPr="00F756C7">
        <w:fldChar w:fldCharType="begin" w:fldLock="1"/>
      </w:r>
      <w:r w:rsidRPr="00F756C7">
        <w:instrText xml:space="preserve"> REF _Ref127261608 \h  \* MERGEFORMAT </w:instrText>
      </w:r>
      <w:r w:rsidRPr="00F756C7">
        <w:fldChar w:fldCharType="separate"/>
      </w:r>
      <w:r w:rsidR="0067416F" w:rsidRPr="00F756C7">
        <w:t xml:space="preserve">Figure </w:t>
      </w:r>
      <w:r w:rsidR="0067416F">
        <w:rPr>
          <w:noProof/>
        </w:rPr>
        <w:t>7</w:t>
      </w:r>
      <w:r w:rsidRPr="00F756C7">
        <w:fldChar w:fldCharType="end"/>
      </w:r>
      <w:r w:rsidRPr="00F756C7">
        <w:t xml:space="preserve"> shows the impact on modelled OS of applying treatment waning for pembrolizumab at different timepoints.</w:t>
      </w:r>
      <w:bookmarkEnd w:id="62"/>
    </w:p>
    <w:p w14:paraId="0F1BCD65" w14:textId="4D9CADE7" w:rsidR="00965DA0" w:rsidRPr="00F756C7" w:rsidRDefault="00965DA0" w:rsidP="00965DA0">
      <w:pPr>
        <w:pStyle w:val="Caption"/>
      </w:pPr>
      <w:bookmarkStart w:id="63" w:name="_Ref127261608"/>
      <w:r w:rsidRPr="00F756C7">
        <w:lastRenderedPageBreak/>
        <w:t xml:space="preserve">Figure </w:t>
      </w:r>
      <w:fldSimple w:instr=" SEQ Figure \* ARABIC " w:fldLock="1">
        <w:r w:rsidR="0067416F">
          <w:rPr>
            <w:noProof/>
          </w:rPr>
          <w:t>7</w:t>
        </w:r>
      </w:fldSimple>
      <w:bookmarkEnd w:id="63"/>
      <w:r w:rsidRPr="00F756C7">
        <w:t xml:space="preserve">: </w:t>
      </w:r>
      <w:r w:rsidR="007731D7" w:rsidRPr="00F756C7">
        <w:t>Overall survival using t</w:t>
      </w:r>
      <w:r w:rsidRPr="00F756C7">
        <w:t>reatment waning assumptions at various timepoints</w:t>
      </w:r>
    </w:p>
    <w:p w14:paraId="26133ED0" w14:textId="1ADD3A69" w:rsidR="00965DA0" w:rsidRPr="00965DA0" w:rsidRDefault="007731D7" w:rsidP="00965DA0">
      <w:r>
        <w:rPr>
          <w:noProof/>
        </w:rPr>
        <w:drawing>
          <wp:inline distT="0" distB="0" distL="0" distR="0" wp14:anchorId="64EC8856" wp14:editId="482487A9">
            <wp:extent cx="5657850" cy="3247578"/>
            <wp:effectExtent l="0" t="0" r="0" b="0"/>
            <wp:docPr id="2" name="Picture 2" descr="Figure 7: Overall survival using treatment waning assumptions at various timepoi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igure 7: Overall survival using treatment waning assumptions at various timepoints"/>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5667373" cy="3253044"/>
                    </a:xfrm>
                    <a:prstGeom prst="rect">
                      <a:avLst/>
                    </a:prstGeom>
                    <a:noFill/>
                  </pic:spPr>
                </pic:pic>
              </a:graphicData>
            </a:graphic>
          </wp:inline>
        </w:drawing>
      </w:r>
    </w:p>
    <w:p w14:paraId="2EDAB48B" w14:textId="77777777" w:rsidR="007731D7" w:rsidRPr="00AB337D" w:rsidRDefault="007731D7" w:rsidP="007731D7">
      <w:pPr>
        <w:pStyle w:val="FooterTableFigure"/>
        <w:jc w:val="left"/>
      </w:pPr>
      <w:bookmarkStart w:id="64" w:name="_Ref127183219"/>
      <w:r w:rsidRPr="00AB337D">
        <w:t>Source: ‘EFS extrapolation’ worksheet of ‘eTNBC Section 3 workbook.xlsx’</w:t>
      </w:r>
    </w:p>
    <w:p w14:paraId="174D04DA" w14:textId="540EFDAF" w:rsidR="007731D7" w:rsidRPr="00AB337D" w:rsidRDefault="007731D7" w:rsidP="007731D7">
      <w:pPr>
        <w:pStyle w:val="FooterTableFigure"/>
        <w:jc w:val="left"/>
      </w:pPr>
      <w:r w:rsidRPr="00AB337D">
        <w:t>Chemo = chemotherapy; KM = Kaplan Meier; Pembro = pembrolizumab; OS = overall survival</w:t>
      </w:r>
    </w:p>
    <w:p w14:paraId="0A519871" w14:textId="52FB7AC5" w:rsidR="00965DA0" w:rsidRPr="00965DA0" w:rsidRDefault="002848A5" w:rsidP="00965DA0">
      <w:pPr>
        <w:pStyle w:val="3-BodyText"/>
      </w:pPr>
      <w:r w:rsidRPr="00965DA0">
        <w:t>The submission acknowledged that there was a proportion of capecitabine use as adjuvant therapy for early stage TNBC in Australia despite its toxicity profile, given the absence of alternative effective treatments, though capecitabine was not used in KN</w:t>
      </w:r>
      <w:r w:rsidRPr="00965DA0">
        <w:noBreakHyphen/>
        <w:t xml:space="preserve">522. In a sensitivity analysis, the submission assumed 44.5% of patients would receive capecitabine based on the proportion of chemotherapy arm patients who did not achieve pCR after the </w:t>
      </w:r>
      <w:r w:rsidR="00617476" w:rsidRPr="00965DA0">
        <w:t>neo</w:t>
      </w:r>
      <w:r w:rsidRPr="00965DA0">
        <w:t>adjuvant phase in KN</w:t>
      </w:r>
      <w:r w:rsidR="00AB337D">
        <w:t>-</w:t>
      </w:r>
      <w:r w:rsidRPr="00965DA0">
        <w:t>522.</w:t>
      </w:r>
      <w:bookmarkEnd w:id="64"/>
      <w:r w:rsidRPr="00965DA0">
        <w:t xml:space="preserve"> </w:t>
      </w:r>
    </w:p>
    <w:p w14:paraId="60ACAA72" w14:textId="63A9C839" w:rsidR="00FB69DE" w:rsidRPr="00F756C7" w:rsidRDefault="002848A5" w:rsidP="00965DA0">
      <w:pPr>
        <w:pStyle w:val="3-BodyText"/>
      </w:pPr>
      <w:bookmarkStart w:id="65" w:name="_Ref127537498"/>
      <w:r w:rsidRPr="00965DA0">
        <w:t xml:space="preserve">A HR of 0.886 from a meta-analysis by van </w:t>
      </w:r>
      <w:proofErr w:type="spellStart"/>
      <w:r w:rsidRPr="00965DA0">
        <w:t>Mackelenbergh</w:t>
      </w:r>
      <w:proofErr w:type="spellEnd"/>
      <w:r w:rsidRPr="00965DA0">
        <w:t xml:space="preserve"> (2022) was applied to the chemotherapy arm for the proportion of patients (44.5%) assumed in the adjuvant phase of the trial to have used capecitabine. Van </w:t>
      </w:r>
      <w:proofErr w:type="spellStart"/>
      <w:r w:rsidRPr="00965DA0">
        <w:t>Mackelenbergh</w:t>
      </w:r>
      <w:proofErr w:type="spellEnd"/>
      <w:r w:rsidRPr="00965DA0">
        <w:t xml:space="preserve"> (2022) was a meta-analysis of patient level data from 13 trials (n=15,993) to examine the effect of capecitabine on disease free survival (DFS) in early breast cancer. In the subgroup of TNBC patients (n=3</w:t>
      </w:r>
      <w:r w:rsidR="006C1CF1">
        <w:t>,</w:t>
      </w:r>
      <w:r w:rsidRPr="00965DA0">
        <w:t xml:space="preserve">854), the DFS HR for capecitabine compared to the control arms (primarily chemotherapy) from the meta-analysis in TNBC patients was 0.886 (95%CI 0.789, 0.994). The DFS definition in van </w:t>
      </w:r>
      <w:proofErr w:type="spellStart"/>
      <w:r w:rsidRPr="00965DA0">
        <w:t>Mackelenbergh</w:t>
      </w:r>
      <w:proofErr w:type="spellEnd"/>
      <w:r w:rsidRPr="00965DA0">
        <w:t xml:space="preserve"> (2022) was not completely aligned with EFS in KN-522 and it may not have been appropriate to apply the DFS HR to the EFS curve in KN-522. </w:t>
      </w:r>
      <w:r w:rsidRPr="00F756C7">
        <w:t xml:space="preserve">The </w:t>
      </w:r>
      <w:r w:rsidR="00652706" w:rsidRPr="00F756C7">
        <w:t xml:space="preserve">ESC agreed with the Commentary that the </w:t>
      </w:r>
      <w:r w:rsidRPr="00F756C7">
        <w:t xml:space="preserve">base-case likely underestimated the EFS and OS in the chemotherapy arm by not accounting for </w:t>
      </w:r>
      <w:r w:rsidR="00652706" w:rsidRPr="00F756C7">
        <w:t>the benefit of adjuvant capecitabine for patients with residual disease</w:t>
      </w:r>
      <w:r w:rsidRPr="00F756C7">
        <w:t xml:space="preserve">. </w:t>
      </w:r>
      <w:r w:rsidR="00652706" w:rsidRPr="00F756C7">
        <w:t>The ESC considered that it would be appropriate for the model to include adjustment to account for capecitabine use in these patients, but also noted that i</w:t>
      </w:r>
      <w:r w:rsidR="001942EA" w:rsidRPr="00F756C7">
        <w:t>t</w:t>
      </w:r>
      <w:r w:rsidR="00652706" w:rsidRPr="00F756C7">
        <w:t xml:space="preserve"> was uncertain whether the adjustment applied in the sensitivity analysis appropriately captured the </w:t>
      </w:r>
      <w:r w:rsidR="001942EA" w:rsidRPr="00F756C7">
        <w:t>benefit for capecitabine.</w:t>
      </w:r>
      <w:r w:rsidR="00A05179" w:rsidRPr="00F756C7">
        <w:t xml:space="preserve"> </w:t>
      </w:r>
      <w:bookmarkStart w:id="66" w:name="_Ref127182696"/>
      <w:bookmarkEnd w:id="61"/>
    </w:p>
    <w:p w14:paraId="1BAC1159" w14:textId="76F3BE0B" w:rsidR="00A86E8B" w:rsidRPr="00965DA0" w:rsidRDefault="00D23D11" w:rsidP="00965DA0">
      <w:pPr>
        <w:pStyle w:val="3-BodyText"/>
      </w:pPr>
      <w:r w:rsidRPr="00965DA0">
        <w:lastRenderedPageBreak/>
        <w:t xml:space="preserve">The results of key univariate </w:t>
      </w:r>
      <w:r w:rsidR="00EE1D91" w:rsidRPr="00965DA0">
        <w:t xml:space="preserve">and </w:t>
      </w:r>
      <w:r w:rsidRPr="00965DA0">
        <w:t xml:space="preserve">multivariate sensitivity analyses are summarised </w:t>
      </w:r>
      <w:r w:rsidR="00E16AD8" w:rsidRPr="00965DA0">
        <w:t xml:space="preserve">in </w:t>
      </w:r>
      <w:r w:rsidR="00E16AD8" w:rsidRPr="00965DA0">
        <w:fldChar w:fldCharType="begin" w:fldLock="1"/>
      </w:r>
      <w:r w:rsidR="00E16AD8" w:rsidRPr="00965DA0">
        <w:instrText xml:space="preserve"> REF _Ref104804865 \h </w:instrText>
      </w:r>
      <w:r w:rsidR="00965DA0" w:rsidRPr="00965DA0">
        <w:instrText xml:space="preserve"> \* MERGEFORMAT </w:instrText>
      </w:r>
      <w:r w:rsidR="00E16AD8" w:rsidRPr="00965DA0">
        <w:fldChar w:fldCharType="separate"/>
      </w:r>
      <w:r w:rsidR="0067416F" w:rsidRPr="006919A9">
        <w:t xml:space="preserve">Table </w:t>
      </w:r>
      <w:r w:rsidR="0067416F">
        <w:t>15</w:t>
      </w:r>
      <w:r w:rsidR="00E16AD8" w:rsidRPr="00965DA0">
        <w:fldChar w:fldCharType="end"/>
      </w:r>
      <w:r w:rsidRPr="00965DA0">
        <w:t>.</w:t>
      </w:r>
      <w:bookmarkEnd w:id="65"/>
      <w:bookmarkEnd w:id="66"/>
      <w:r w:rsidRPr="00965DA0">
        <w:t xml:space="preserve"> </w:t>
      </w:r>
    </w:p>
    <w:p w14:paraId="3E330E47" w14:textId="55A05F4C" w:rsidR="00593C98" w:rsidRPr="006919A9" w:rsidRDefault="00E16AD8" w:rsidP="00AA43F3">
      <w:pPr>
        <w:pStyle w:val="TableFigureHeading"/>
        <w:keepNext w:val="0"/>
        <w:rPr>
          <w:rStyle w:val="CommentReference"/>
          <w:b/>
          <w:bCs w:val="0"/>
        </w:rPr>
      </w:pPr>
      <w:bookmarkStart w:id="67" w:name="_Ref104804865"/>
      <w:r w:rsidRPr="006919A9">
        <w:t xml:space="preserve">Table </w:t>
      </w:r>
      <w:fldSimple w:instr=" SEQ Table \* ARABIC " w:fldLock="1">
        <w:r w:rsidR="0067416F">
          <w:rPr>
            <w:noProof/>
          </w:rPr>
          <w:t>15</w:t>
        </w:r>
      </w:fldSimple>
      <w:bookmarkEnd w:id="67"/>
      <w:r w:rsidRPr="006919A9">
        <w:t>:</w:t>
      </w:r>
      <w:r w:rsidR="00354F64" w:rsidRPr="006919A9">
        <w:rPr>
          <w:rStyle w:val="CommentReference"/>
          <w:b/>
          <w:szCs w:val="24"/>
        </w:rPr>
        <w:t xml:space="preserve"> </w:t>
      </w:r>
      <w:r w:rsidR="00593C98" w:rsidRPr="006919A9">
        <w:rPr>
          <w:rStyle w:val="CommentReference"/>
          <w:b/>
        </w:rPr>
        <w:t>Sensitivity analysis results</w:t>
      </w:r>
    </w:p>
    <w:tbl>
      <w:tblPr>
        <w:tblStyle w:val="TableGrid"/>
        <w:tblW w:w="5000" w:type="pct"/>
        <w:tblLook w:val="04A0" w:firstRow="1" w:lastRow="0" w:firstColumn="1" w:lastColumn="0" w:noHBand="0" w:noVBand="1"/>
      </w:tblPr>
      <w:tblGrid>
        <w:gridCol w:w="4950"/>
        <w:gridCol w:w="1137"/>
        <w:gridCol w:w="1137"/>
        <w:gridCol w:w="933"/>
        <w:gridCol w:w="860"/>
      </w:tblGrid>
      <w:tr w:rsidR="007D2D00" w:rsidRPr="00652C95" w14:paraId="768E2630" w14:textId="77777777" w:rsidTr="00CA3EE2">
        <w:trPr>
          <w:tblHeader/>
        </w:trPr>
        <w:tc>
          <w:tcPr>
            <w:tcW w:w="2749" w:type="pct"/>
            <w:vAlign w:val="center"/>
          </w:tcPr>
          <w:p w14:paraId="47B78373" w14:textId="77777777" w:rsidR="00593C98" w:rsidRPr="00652C95" w:rsidRDefault="00593C98" w:rsidP="00AA43F3">
            <w:pPr>
              <w:pStyle w:val="Tabletext"/>
              <w:rPr>
                <w:b/>
                <w:bCs/>
              </w:rPr>
            </w:pPr>
            <w:r w:rsidRPr="00652C95">
              <w:rPr>
                <w:b/>
                <w:bCs/>
              </w:rPr>
              <w:t>Description</w:t>
            </w:r>
          </w:p>
        </w:tc>
        <w:tc>
          <w:tcPr>
            <w:tcW w:w="619" w:type="pct"/>
            <w:tcBorders>
              <w:bottom w:val="single" w:sz="4" w:space="0" w:color="auto"/>
            </w:tcBorders>
            <w:vAlign w:val="center"/>
          </w:tcPr>
          <w:p w14:paraId="663A9B75" w14:textId="77777777" w:rsidR="00593C98" w:rsidRPr="00652C95" w:rsidRDefault="00593C98" w:rsidP="00AA43F3">
            <w:pPr>
              <w:pStyle w:val="Tabletext"/>
              <w:jc w:val="center"/>
              <w:rPr>
                <w:b/>
                <w:bCs/>
              </w:rPr>
            </w:pPr>
            <w:r w:rsidRPr="00652C95">
              <w:rPr>
                <w:b/>
                <w:bCs/>
              </w:rPr>
              <w:t>Incremental cost ($)</w:t>
            </w:r>
          </w:p>
        </w:tc>
        <w:tc>
          <w:tcPr>
            <w:tcW w:w="630" w:type="pct"/>
            <w:vAlign w:val="center"/>
          </w:tcPr>
          <w:p w14:paraId="716AB8AF" w14:textId="77777777" w:rsidR="00593C98" w:rsidRPr="00652C95" w:rsidRDefault="00593C98" w:rsidP="00AA43F3">
            <w:pPr>
              <w:pStyle w:val="Tabletext"/>
              <w:jc w:val="center"/>
              <w:rPr>
                <w:b/>
                <w:bCs/>
              </w:rPr>
            </w:pPr>
            <w:r w:rsidRPr="00652C95">
              <w:rPr>
                <w:b/>
                <w:bCs/>
              </w:rPr>
              <w:t>Incremental QALYs</w:t>
            </w:r>
          </w:p>
        </w:tc>
        <w:tc>
          <w:tcPr>
            <w:tcW w:w="521" w:type="pct"/>
            <w:vAlign w:val="center"/>
          </w:tcPr>
          <w:p w14:paraId="263C01F8" w14:textId="76E6AEA7" w:rsidR="00593C98" w:rsidRPr="00652C95" w:rsidRDefault="00593C98" w:rsidP="00AA43F3">
            <w:pPr>
              <w:pStyle w:val="Tabletext"/>
              <w:jc w:val="center"/>
              <w:rPr>
                <w:b/>
                <w:bCs/>
              </w:rPr>
            </w:pPr>
            <w:r w:rsidRPr="00652C95">
              <w:rPr>
                <w:b/>
                <w:bCs/>
              </w:rPr>
              <w:t>ICER</w:t>
            </w:r>
            <w:r w:rsidR="006C5FAF">
              <w:rPr>
                <w:b/>
                <w:bCs/>
              </w:rPr>
              <w:t xml:space="preserve"> ($)</w:t>
            </w:r>
          </w:p>
        </w:tc>
        <w:tc>
          <w:tcPr>
            <w:tcW w:w="481" w:type="pct"/>
            <w:vAlign w:val="center"/>
          </w:tcPr>
          <w:p w14:paraId="67244C40" w14:textId="77777777" w:rsidR="00593C98" w:rsidRPr="00652C95" w:rsidRDefault="00593C98" w:rsidP="00AA43F3">
            <w:pPr>
              <w:pStyle w:val="Tabletext"/>
              <w:jc w:val="center"/>
              <w:rPr>
                <w:b/>
                <w:bCs/>
              </w:rPr>
            </w:pPr>
            <w:r w:rsidRPr="00652C95">
              <w:rPr>
                <w:b/>
                <w:bCs/>
              </w:rPr>
              <w:t>%</w:t>
            </w:r>
            <w:r w:rsidRPr="00652C95">
              <w:rPr>
                <w:b/>
                <w:bCs/>
              </w:rPr>
              <w:sym w:font="Symbol" w:char="F044"/>
            </w:r>
          </w:p>
        </w:tc>
      </w:tr>
      <w:tr w:rsidR="007D2D00" w:rsidRPr="00652C95" w14:paraId="62104A9B" w14:textId="77777777" w:rsidTr="00CA3EE2">
        <w:trPr>
          <w:trHeight w:val="60"/>
        </w:trPr>
        <w:tc>
          <w:tcPr>
            <w:tcW w:w="2749" w:type="pct"/>
            <w:vAlign w:val="center"/>
          </w:tcPr>
          <w:p w14:paraId="465BF1B4" w14:textId="77777777" w:rsidR="00593C98" w:rsidRPr="00652C95" w:rsidRDefault="00593C98" w:rsidP="00AA43F3">
            <w:pPr>
              <w:pStyle w:val="Tabletext"/>
              <w:rPr>
                <w:b/>
                <w:bCs/>
              </w:rPr>
            </w:pPr>
            <w:r w:rsidRPr="00652C95">
              <w:rPr>
                <w:b/>
                <w:bCs/>
              </w:rPr>
              <w:t>Base-case</w:t>
            </w:r>
          </w:p>
        </w:tc>
        <w:tc>
          <w:tcPr>
            <w:tcW w:w="619" w:type="pct"/>
            <w:shd w:val="solid" w:color="000000" w:fill="000000"/>
            <w:vAlign w:val="center"/>
          </w:tcPr>
          <w:p w14:paraId="50546061" w14:textId="5426E7F6" w:rsidR="00593C98" w:rsidRPr="00652C95" w:rsidRDefault="00BB281C" w:rsidP="00AA43F3">
            <w:pPr>
              <w:pStyle w:val="Tabletext"/>
              <w:jc w:val="center"/>
              <w:rPr>
                <w:b/>
                <w:bCs/>
              </w:rPr>
            </w:pPr>
            <w:r w:rsidRPr="00BB281C">
              <w:rPr>
                <w:b/>
                <w:bCs/>
                <w:color w:val="000000"/>
                <w:spacing w:val="208"/>
                <w:fitText w:val="300" w:id="-1234422525"/>
                <w14:textFill>
                  <w14:solidFill>
                    <w14:srgbClr w14:val="000000">
                      <w14:alpha w14:val="100000"/>
                    </w14:srgbClr>
                  </w14:solidFill>
                </w14:textFill>
              </w:rPr>
              <w:t>|</w:t>
            </w:r>
            <w:r w:rsidRPr="00BB281C">
              <w:rPr>
                <w:b/>
                <w:bCs/>
                <w:color w:val="000000"/>
                <w:fitText w:val="300" w:id="-1234422525"/>
                <w14:textFill>
                  <w14:solidFill>
                    <w14:srgbClr w14:val="000000">
                      <w14:alpha w14:val="100000"/>
                    </w14:srgbClr>
                  </w14:solidFill>
                </w14:textFill>
              </w:rPr>
              <w:t>|</w:t>
            </w:r>
          </w:p>
        </w:tc>
        <w:tc>
          <w:tcPr>
            <w:tcW w:w="630" w:type="pct"/>
            <w:vAlign w:val="center"/>
          </w:tcPr>
          <w:p w14:paraId="500248D9" w14:textId="77777777" w:rsidR="00593C98" w:rsidRPr="00652C95" w:rsidRDefault="00593C98" w:rsidP="00AA43F3">
            <w:pPr>
              <w:pStyle w:val="Tabletext"/>
              <w:jc w:val="center"/>
              <w:rPr>
                <w:b/>
                <w:bCs/>
              </w:rPr>
            </w:pPr>
            <w:r w:rsidRPr="00652C95">
              <w:rPr>
                <w:b/>
                <w:bCs/>
              </w:rPr>
              <w:t>1.57</w:t>
            </w:r>
          </w:p>
        </w:tc>
        <w:tc>
          <w:tcPr>
            <w:tcW w:w="521" w:type="pct"/>
            <w:vAlign w:val="center"/>
          </w:tcPr>
          <w:p w14:paraId="02B17DFC" w14:textId="5C0BCFC5" w:rsidR="00593C98" w:rsidRPr="00652C95" w:rsidRDefault="00BB281C" w:rsidP="00AA43F3">
            <w:pPr>
              <w:pStyle w:val="Tabletext"/>
              <w:jc w:val="center"/>
              <w:rPr>
                <w:b/>
                <w:bCs/>
              </w:rPr>
            </w:pPr>
            <w:r w:rsidRPr="00BB281C">
              <w:rPr>
                <w:b/>
                <w:bCs/>
                <w:color w:val="000000"/>
                <w:spacing w:val="32"/>
                <w:shd w:val="solid" w:color="000000" w:fill="000000"/>
                <w:fitText w:val="438" w:id="-1234422524"/>
                <w14:textFill>
                  <w14:solidFill>
                    <w14:srgbClr w14:val="000000">
                      <w14:alpha w14:val="100000"/>
                    </w14:srgbClr>
                  </w14:solidFill>
                </w14:textFill>
              </w:rPr>
              <w:t>|||||</w:t>
            </w:r>
            <w:r w:rsidRPr="00BB281C">
              <w:rPr>
                <w:b/>
                <w:bCs/>
                <w:color w:val="000000"/>
                <w:spacing w:val="3"/>
                <w:shd w:val="solid" w:color="000000" w:fill="000000"/>
                <w:fitText w:val="438" w:id="-1234422524"/>
                <w14:textFill>
                  <w14:solidFill>
                    <w14:srgbClr w14:val="000000">
                      <w14:alpha w14:val="100000"/>
                    </w14:srgbClr>
                  </w14:solidFill>
                </w14:textFill>
              </w:rPr>
              <w:t>|</w:t>
            </w:r>
            <w:r w:rsidR="006C5FAF" w:rsidRPr="006C5FAF">
              <w:rPr>
                <w:b/>
                <w:bCs/>
                <w:vertAlign w:val="superscript"/>
              </w:rPr>
              <w:t>1</w:t>
            </w:r>
          </w:p>
        </w:tc>
        <w:tc>
          <w:tcPr>
            <w:tcW w:w="481" w:type="pct"/>
            <w:vAlign w:val="center"/>
          </w:tcPr>
          <w:p w14:paraId="6E3AD528" w14:textId="77777777" w:rsidR="00593C98" w:rsidRPr="00652C95" w:rsidRDefault="00593C98" w:rsidP="00AA43F3">
            <w:pPr>
              <w:pStyle w:val="Tabletext"/>
              <w:jc w:val="center"/>
              <w:rPr>
                <w:b/>
                <w:bCs/>
              </w:rPr>
            </w:pPr>
            <w:r w:rsidRPr="00652C95">
              <w:rPr>
                <w:b/>
                <w:bCs/>
              </w:rPr>
              <w:t>-</w:t>
            </w:r>
          </w:p>
        </w:tc>
      </w:tr>
      <w:tr w:rsidR="002A7059" w:rsidRPr="00652C95" w14:paraId="5D2C8C1B" w14:textId="77777777" w:rsidTr="00CA3EE2">
        <w:tc>
          <w:tcPr>
            <w:tcW w:w="2749" w:type="pct"/>
            <w:vAlign w:val="center"/>
          </w:tcPr>
          <w:p w14:paraId="77287DFE" w14:textId="136E408D" w:rsidR="00581967" w:rsidRPr="00652C95" w:rsidRDefault="00581967" w:rsidP="00AA43F3">
            <w:pPr>
              <w:pStyle w:val="Tabletext"/>
            </w:pPr>
            <w:r w:rsidRPr="00652C95">
              <w:t xml:space="preserve">Time horizon (30 years in </w:t>
            </w:r>
            <w:r w:rsidR="00617476">
              <w:t>base case</w:t>
            </w:r>
            <w:r w:rsidR="008775C9" w:rsidRPr="00652C95">
              <w:t>)</w:t>
            </w:r>
          </w:p>
        </w:tc>
        <w:tc>
          <w:tcPr>
            <w:tcW w:w="619" w:type="pct"/>
            <w:tcBorders>
              <w:bottom w:val="single" w:sz="4" w:space="0" w:color="auto"/>
            </w:tcBorders>
            <w:vAlign w:val="center"/>
          </w:tcPr>
          <w:p w14:paraId="677675CE" w14:textId="77777777" w:rsidR="00581967" w:rsidRPr="00652C95" w:rsidRDefault="00581967" w:rsidP="00AA43F3">
            <w:pPr>
              <w:pStyle w:val="Tabletext"/>
              <w:jc w:val="center"/>
            </w:pPr>
          </w:p>
        </w:tc>
        <w:tc>
          <w:tcPr>
            <w:tcW w:w="630" w:type="pct"/>
            <w:vAlign w:val="center"/>
          </w:tcPr>
          <w:p w14:paraId="469243B7" w14:textId="77777777" w:rsidR="00581967" w:rsidRPr="00652C95" w:rsidRDefault="00581967" w:rsidP="00AA43F3">
            <w:pPr>
              <w:pStyle w:val="Tabletext"/>
              <w:jc w:val="center"/>
            </w:pPr>
          </w:p>
        </w:tc>
        <w:tc>
          <w:tcPr>
            <w:tcW w:w="521" w:type="pct"/>
            <w:vAlign w:val="center"/>
          </w:tcPr>
          <w:p w14:paraId="743CA230" w14:textId="77777777" w:rsidR="00581967" w:rsidRPr="00652C95" w:rsidRDefault="00581967" w:rsidP="00AA43F3">
            <w:pPr>
              <w:pStyle w:val="Tabletext"/>
              <w:jc w:val="center"/>
            </w:pPr>
          </w:p>
        </w:tc>
        <w:tc>
          <w:tcPr>
            <w:tcW w:w="481" w:type="pct"/>
            <w:vAlign w:val="center"/>
          </w:tcPr>
          <w:p w14:paraId="5526FC0E" w14:textId="77777777" w:rsidR="00581967" w:rsidRPr="00652C95" w:rsidRDefault="00581967" w:rsidP="00AA43F3">
            <w:pPr>
              <w:pStyle w:val="Tabletext"/>
              <w:jc w:val="center"/>
            </w:pPr>
          </w:p>
        </w:tc>
      </w:tr>
      <w:tr w:rsidR="007D2D00" w:rsidRPr="00652C95" w14:paraId="6312877E" w14:textId="77777777" w:rsidTr="00CA3EE2">
        <w:tc>
          <w:tcPr>
            <w:tcW w:w="2749" w:type="pct"/>
            <w:vAlign w:val="center"/>
          </w:tcPr>
          <w:p w14:paraId="5770FEEE" w14:textId="2F5B8336" w:rsidR="00593C98" w:rsidRPr="00652C95" w:rsidRDefault="002E644F" w:rsidP="00AA43F3">
            <w:pPr>
              <w:pStyle w:val="Tabletext"/>
              <w:tabs>
                <w:tab w:val="left" w:pos="164"/>
              </w:tabs>
              <w:ind w:right="58"/>
              <w:rPr>
                <w:b/>
              </w:rPr>
            </w:pPr>
            <w:r>
              <w:tab/>
            </w:r>
            <w:r w:rsidR="00D875C9" w:rsidRPr="00652C95">
              <w:t>20-year</w:t>
            </w:r>
          </w:p>
        </w:tc>
        <w:tc>
          <w:tcPr>
            <w:tcW w:w="619" w:type="pct"/>
            <w:shd w:val="solid" w:color="000000" w:fill="000000"/>
            <w:vAlign w:val="center"/>
          </w:tcPr>
          <w:p w14:paraId="24F0D611" w14:textId="2172C4F5" w:rsidR="00593C98" w:rsidRPr="00652C95" w:rsidRDefault="00BB281C" w:rsidP="00AA43F3">
            <w:pPr>
              <w:pStyle w:val="Tabletext"/>
              <w:ind w:right="58"/>
              <w:jc w:val="center"/>
              <w:rPr>
                <w:bCs/>
              </w:rPr>
            </w:pPr>
            <w:r w:rsidRPr="00BB281C">
              <w:rPr>
                <w:bCs/>
                <w:color w:val="000000"/>
                <w:spacing w:val="179"/>
                <w:fitText w:val="265" w:id="-1234422523"/>
                <w14:textFill>
                  <w14:solidFill>
                    <w14:srgbClr w14:val="000000">
                      <w14:alpha w14:val="100000"/>
                    </w14:srgbClr>
                  </w14:solidFill>
                </w14:textFill>
              </w:rPr>
              <w:t>|</w:t>
            </w:r>
            <w:r w:rsidRPr="00BB281C">
              <w:rPr>
                <w:bCs/>
                <w:color w:val="000000"/>
                <w:fitText w:val="265" w:id="-1234422523"/>
                <w14:textFill>
                  <w14:solidFill>
                    <w14:srgbClr w14:val="000000">
                      <w14:alpha w14:val="100000"/>
                    </w14:srgbClr>
                  </w14:solidFill>
                </w14:textFill>
              </w:rPr>
              <w:t>|</w:t>
            </w:r>
          </w:p>
        </w:tc>
        <w:tc>
          <w:tcPr>
            <w:tcW w:w="630" w:type="pct"/>
            <w:vAlign w:val="center"/>
          </w:tcPr>
          <w:p w14:paraId="46510957" w14:textId="77777777" w:rsidR="00593C98" w:rsidRPr="00652C95" w:rsidRDefault="00593C98" w:rsidP="00AA43F3">
            <w:pPr>
              <w:pStyle w:val="Tabletext"/>
              <w:ind w:right="58"/>
              <w:jc w:val="center"/>
              <w:rPr>
                <w:bCs/>
              </w:rPr>
            </w:pPr>
            <w:r w:rsidRPr="00652C95">
              <w:rPr>
                <w:bCs/>
              </w:rPr>
              <w:t>1.114</w:t>
            </w:r>
          </w:p>
        </w:tc>
        <w:tc>
          <w:tcPr>
            <w:tcW w:w="521" w:type="pct"/>
            <w:vAlign w:val="center"/>
          </w:tcPr>
          <w:p w14:paraId="2DE02D2B" w14:textId="77928F77" w:rsidR="00593C98" w:rsidRPr="00652C95" w:rsidRDefault="00BB281C" w:rsidP="00AA43F3">
            <w:pPr>
              <w:pStyle w:val="Tabletext"/>
              <w:ind w:right="58"/>
              <w:jc w:val="center"/>
              <w:rPr>
                <w:bCs/>
              </w:rPr>
            </w:pPr>
            <w:r w:rsidRPr="00BB281C">
              <w:rPr>
                <w:bCs/>
                <w:color w:val="000000"/>
                <w:spacing w:val="77"/>
                <w:shd w:val="solid" w:color="000000" w:fill="000000"/>
                <w:fitText w:val="403" w:id="-1234422522"/>
                <w14:textFill>
                  <w14:solidFill>
                    <w14:srgbClr w14:val="000000">
                      <w14:alpha w14:val="100000"/>
                    </w14:srgbClr>
                  </w14:solidFill>
                </w14:textFill>
              </w:rPr>
              <w:t>|||</w:t>
            </w:r>
            <w:r w:rsidRPr="00BB281C">
              <w:rPr>
                <w:bCs/>
                <w:color w:val="000000"/>
                <w:spacing w:val="2"/>
                <w:shd w:val="solid" w:color="000000" w:fill="000000"/>
                <w:fitText w:val="403" w:id="-1234422522"/>
                <w14:textFill>
                  <w14:solidFill>
                    <w14:srgbClr w14:val="000000">
                      <w14:alpha w14:val="100000"/>
                    </w14:srgbClr>
                  </w14:solidFill>
                </w14:textFill>
              </w:rPr>
              <w:t>|</w:t>
            </w:r>
            <w:r w:rsidR="004E2962" w:rsidRPr="004E2962">
              <w:rPr>
                <w:bCs/>
                <w:vertAlign w:val="superscript"/>
              </w:rPr>
              <w:t>2</w:t>
            </w:r>
          </w:p>
        </w:tc>
        <w:tc>
          <w:tcPr>
            <w:tcW w:w="481" w:type="pct"/>
            <w:vAlign w:val="center"/>
          </w:tcPr>
          <w:p w14:paraId="0C3186F1" w14:textId="77777777" w:rsidR="00593C98" w:rsidRPr="00652C95" w:rsidRDefault="00593C98" w:rsidP="00AA43F3">
            <w:pPr>
              <w:pStyle w:val="Tabletext"/>
              <w:ind w:right="58"/>
              <w:jc w:val="center"/>
              <w:rPr>
                <w:bCs/>
              </w:rPr>
            </w:pPr>
            <w:r w:rsidRPr="00652C95">
              <w:rPr>
                <w:bCs/>
              </w:rPr>
              <w:t>39.1%</w:t>
            </w:r>
          </w:p>
        </w:tc>
      </w:tr>
      <w:tr w:rsidR="002A7059" w:rsidRPr="00652C95" w14:paraId="13033447" w14:textId="77777777" w:rsidTr="00CA3EE2">
        <w:tc>
          <w:tcPr>
            <w:tcW w:w="2749" w:type="pct"/>
            <w:vAlign w:val="center"/>
          </w:tcPr>
          <w:p w14:paraId="5952D46E" w14:textId="2CFFD4DF" w:rsidR="00581967" w:rsidRPr="00652C95" w:rsidRDefault="00581967" w:rsidP="00AA43F3">
            <w:pPr>
              <w:pStyle w:val="Tabletext"/>
              <w:ind w:right="58"/>
            </w:pPr>
            <w:r w:rsidRPr="00652C95">
              <w:t>Discounting (5% in BC)</w:t>
            </w:r>
          </w:p>
        </w:tc>
        <w:tc>
          <w:tcPr>
            <w:tcW w:w="619" w:type="pct"/>
            <w:tcBorders>
              <w:bottom w:val="single" w:sz="4" w:space="0" w:color="auto"/>
            </w:tcBorders>
            <w:vAlign w:val="center"/>
          </w:tcPr>
          <w:p w14:paraId="59AC6CFB" w14:textId="77777777" w:rsidR="00581967" w:rsidRPr="00652C95" w:rsidRDefault="00581967" w:rsidP="00AA43F3">
            <w:pPr>
              <w:pStyle w:val="Tabletext"/>
              <w:ind w:right="58"/>
              <w:jc w:val="center"/>
              <w:rPr>
                <w:bCs/>
              </w:rPr>
            </w:pPr>
          </w:p>
        </w:tc>
        <w:tc>
          <w:tcPr>
            <w:tcW w:w="630" w:type="pct"/>
            <w:vAlign w:val="center"/>
          </w:tcPr>
          <w:p w14:paraId="46DDBE09" w14:textId="77777777" w:rsidR="00581967" w:rsidRPr="00652C95" w:rsidRDefault="00581967" w:rsidP="00AA43F3">
            <w:pPr>
              <w:pStyle w:val="Tabletext"/>
              <w:ind w:right="58"/>
              <w:jc w:val="center"/>
              <w:rPr>
                <w:bCs/>
              </w:rPr>
            </w:pPr>
          </w:p>
        </w:tc>
        <w:tc>
          <w:tcPr>
            <w:tcW w:w="521" w:type="pct"/>
            <w:vAlign w:val="center"/>
          </w:tcPr>
          <w:p w14:paraId="43D04BD7" w14:textId="77777777" w:rsidR="00581967" w:rsidRPr="00652C95" w:rsidRDefault="00581967" w:rsidP="00AA43F3">
            <w:pPr>
              <w:pStyle w:val="Tabletext"/>
              <w:ind w:right="58"/>
              <w:jc w:val="center"/>
              <w:rPr>
                <w:bCs/>
              </w:rPr>
            </w:pPr>
          </w:p>
        </w:tc>
        <w:tc>
          <w:tcPr>
            <w:tcW w:w="481" w:type="pct"/>
            <w:vAlign w:val="center"/>
          </w:tcPr>
          <w:p w14:paraId="28FA5884" w14:textId="77777777" w:rsidR="00581967" w:rsidRPr="00652C95" w:rsidRDefault="00581967" w:rsidP="00AA43F3">
            <w:pPr>
              <w:pStyle w:val="Tabletext"/>
              <w:ind w:right="58"/>
              <w:jc w:val="center"/>
              <w:rPr>
                <w:bCs/>
              </w:rPr>
            </w:pPr>
          </w:p>
        </w:tc>
      </w:tr>
      <w:tr w:rsidR="007D2D00" w:rsidRPr="00652C95" w14:paraId="2A48A729" w14:textId="77777777" w:rsidTr="00CA3EE2">
        <w:tc>
          <w:tcPr>
            <w:tcW w:w="2749" w:type="pct"/>
            <w:vAlign w:val="center"/>
          </w:tcPr>
          <w:p w14:paraId="14280D44" w14:textId="7F99BE05" w:rsidR="00593C98" w:rsidRPr="002E644F" w:rsidRDefault="002E644F" w:rsidP="00AA43F3">
            <w:pPr>
              <w:pStyle w:val="Tabletext"/>
              <w:tabs>
                <w:tab w:val="left" w:pos="164"/>
              </w:tabs>
              <w:ind w:right="58"/>
            </w:pPr>
            <w:r>
              <w:tab/>
            </w:r>
            <w:r w:rsidR="00593C98" w:rsidRPr="002E644F">
              <w:t>0% discounting per year for costs and outcomes</w:t>
            </w:r>
          </w:p>
        </w:tc>
        <w:tc>
          <w:tcPr>
            <w:tcW w:w="619" w:type="pct"/>
            <w:tcBorders>
              <w:bottom w:val="single" w:sz="4" w:space="0" w:color="auto"/>
            </w:tcBorders>
            <w:shd w:val="solid" w:color="000000" w:fill="000000"/>
            <w:vAlign w:val="center"/>
          </w:tcPr>
          <w:p w14:paraId="5F91B288" w14:textId="4E61659B" w:rsidR="00593C98" w:rsidRPr="006C5FAF" w:rsidRDefault="00BB281C" w:rsidP="00AA43F3">
            <w:pPr>
              <w:pStyle w:val="Tabletext"/>
              <w:jc w:val="center"/>
              <w:rPr>
                <w:bCs/>
                <w:highlight w:val="darkGray"/>
              </w:rPr>
            </w:pPr>
            <w:r w:rsidRPr="00BB281C">
              <w:rPr>
                <w:bCs/>
                <w:color w:val="000000"/>
                <w:spacing w:val="155"/>
                <w:fitText w:val="241" w:id="-1234422521"/>
                <w14:textFill>
                  <w14:solidFill>
                    <w14:srgbClr w14:val="000000">
                      <w14:alpha w14:val="100000"/>
                    </w14:srgbClr>
                  </w14:solidFill>
                </w14:textFill>
              </w:rPr>
              <w:t>|</w:t>
            </w:r>
            <w:r w:rsidRPr="00BB281C">
              <w:rPr>
                <w:bCs/>
                <w:color w:val="000000"/>
                <w:fitText w:val="241" w:id="-1234422521"/>
                <w14:textFill>
                  <w14:solidFill>
                    <w14:srgbClr w14:val="000000">
                      <w14:alpha w14:val="100000"/>
                    </w14:srgbClr>
                  </w14:solidFill>
                </w14:textFill>
              </w:rPr>
              <w:t>|</w:t>
            </w:r>
          </w:p>
        </w:tc>
        <w:tc>
          <w:tcPr>
            <w:tcW w:w="630" w:type="pct"/>
            <w:vAlign w:val="center"/>
          </w:tcPr>
          <w:p w14:paraId="737AFA86" w14:textId="77777777" w:rsidR="00593C98" w:rsidRPr="00652C95" w:rsidRDefault="00593C98" w:rsidP="00AA43F3">
            <w:pPr>
              <w:pStyle w:val="Tabletext"/>
              <w:jc w:val="center"/>
              <w:rPr>
                <w:bCs/>
              </w:rPr>
            </w:pPr>
            <w:r w:rsidRPr="00652C95">
              <w:rPr>
                <w:bCs/>
              </w:rPr>
              <w:t>3.40</w:t>
            </w:r>
          </w:p>
        </w:tc>
        <w:tc>
          <w:tcPr>
            <w:tcW w:w="521" w:type="pct"/>
            <w:vAlign w:val="center"/>
          </w:tcPr>
          <w:p w14:paraId="4FE9CED4" w14:textId="2561E14E" w:rsidR="00593C98" w:rsidRPr="006C5FAF" w:rsidRDefault="00BB281C" w:rsidP="00AA43F3">
            <w:pPr>
              <w:pStyle w:val="Tabletext"/>
              <w:jc w:val="center"/>
              <w:rPr>
                <w:bCs/>
                <w:highlight w:val="darkGray"/>
              </w:rPr>
            </w:pPr>
            <w:r w:rsidRPr="00BB281C">
              <w:rPr>
                <w:bCs/>
                <w:color w:val="000000"/>
                <w:spacing w:val="70"/>
                <w:shd w:val="solid" w:color="000000" w:fill="000000"/>
                <w:fitText w:val="381" w:id="-1234422520"/>
                <w14:textFill>
                  <w14:solidFill>
                    <w14:srgbClr w14:val="000000">
                      <w14:alpha w14:val="100000"/>
                    </w14:srgbClr>
                  </w14:solidFill>
                </w14:textFill>
              </w:rPr>
              <w:t>|||</w:t>
            </w:r>
            <w:r w:rsidRPr="00BB281C">
              <w:rPr>
                <w:bCs/>
                <w:color w:val="000000"/>
                <w:spacing w:val="1"/>
                <w:shd w:val="solid" w:color="000000" w:fill="000000"/>
                <w:fitText w:val="381" w:id="-1234422520"/>
                <w14:textFill>
                  <w14:solidFill>
                    <w14:srgbClr w14:val="000000">
                      <w14:alpha w14:val="100000"/>
                    </w14:srgbClr>
                  </w14:solidFill>
                </w14:textFill>
              </w:rPr>
              <w:t>|</w:t>
            </w:r>
            <w:r w:rsidR="004E2962">
              <w:rPr>
                <w:bCs/>
                <w:vertAlign w:val="superscript"/>
              </w:rPr>
              <w:t>3</w:t>
            </w:r>
          </w:p>
        </w:tc>
        <w:tc>
          <w:tcPr>
            <w:tcW w:w="481" w:type="pct"/>
            <w:vAlign w:val="center"/>
          </w:tcPr>
          <w:p w14:paraId="57B08770" w14:textId="77777777" w:rsidR="00593C98" w:rsidRPr="00652C95" w:rsidRDefault="00593C98" w:rsidP="00AA43F3">
            <w:pPr>
              <w:pStyle w:val="Tabletext"/>
              <w:jc w:val="center"/>
              <w:rPr>
                <w:bCs/>
              </w:rPr>
            </w:pPr>
            <w:r w:rsidRPr="00652C95">
              <w:rPr>
                <w:bCs/>
              </w:rPr>
              <w:t>-57.0%</w:t>
            </w:r>
          </w:p>
        </w:tc>
      </w:tr>
      <w:tr w:rsidR="007D2D00" w:rsidRPr="00652C95" w14:paraId="3728DD4D" w14:textId="77777777" w:rsidTr="00CA3EE2">
        <w:tc>
          <w:tcPr>
            <w:tcW w:w="2749" w:type="pct"/>
            <w:vAlign w:val="center"/>
          </w:tcPr>
          <w:p w14:paraId="404190B5" w14:textId="481BC0C6" w:rsidR="00593C98" w:rsidRPr="002E644F" w:rsidRDefault="002E644F" w:rsidP="00AA43F3">
            <w:pPr>
              <w:pStyle w:val="Tabletext"/>
              <w:tabs>
                <w:tab w:val="left" w:pos="164"/>
              </w:tabs>
              <w:ind w:right="58"/>
            </w:pPr>
            <w:r>
              <w:tab/>
            </w:r>
            <w:r w:rsidR="00593C98" w:rsidRPr="002E644F">
              <w:t>3% discounting per year for costs and outcomes</w:t>
            </w:r>
          </w:p>
        </w:tc>
        <w:tc>
          <w:tcPr>
            <w:tcW w:w="619" w:type="pct"/>
            <w:shd w:val="solid" w:color="000000" w:fill="000000"/>
            <w:vAlign w:val="center"/>
          </w:tcPr>
          <w:p w14:paraId="2E594E2A" w14:textId="2D2CC9E2" w:rsidR="00593C98" w:rsidRPr="006C5FAF" w:rsidRDefault="00BB281C" w:rsidP="00AA43F3">
            <w:pPr>
              <w:pStyle w:val="Tabletext"/>
              <w:jc w:val="center"/>
              <w:rPr>
                <w:bCs/>
                <w:highlight w:val="darkGray"/>
              </w:rPr>
            </w:pPr>
            <w:r w:rsidRPr="00BB281C">
              <w:rPr>
                <w:bCs/>
                <w:color w:val="000000"/>
                <w:spacing w:val="155"/>
                <w:fitText w:val="241" w:id="-1234422519"/>
                <w14:textFill>
                  <w14:solidFill>
                    <w14:srgbClr w14:val="000000">
                      <w14:alpha w14:val="100000"/>
                    </w14:srgbClr>
                  </w14:solidFill>
                </w14:textFill>
              </w:rPr>
              <w:t>|</w:t>
            </w:r>
            <w:r w:rsidRPr="00BB281C">
              <w:rPr>
                <w:bCs/>
                <w:color w:val="000000"/>
                <w:fitText w:val="241" w:id="-1234422519"/>
                <w14:textFill>
                  <w14:solidFill>
                    <w14:srgbClr w14:val="000000">
                      <w14:alpha w14:val="100000"/>
                    </w14:srgbClr>
                  </w14:solidFill>
                </w14:textFill>
              </w:rPr>
              <w:t>|</w:t>
            </w:r>
          </w:p>
        </w:tc>
        <w:tc>
          <w:tcPr>
            <w:tcW w:w="630" w:type="pct"/>
            <w:vAlign w:val="center"/>
          </w:tcPr>
          <w:p w14:paraId="33187601" w14:textId="77777777" w:rsidR="00593C98" w:rsidRPr="00652C95" w:rsidRDefault="00593C98" w:rsidP="00AA43F3">
            <w:pPr>
              <w:pStyle w:val="Tabletext"/>
              <w:jc w:val="center"/>
              <w:rPr>
                <w:bCs/>
              </w:rPr>
            </w:pPr>
            <w:r w:rsidRPr="00652C95">
              <w:rPr>
                <w:bCs/>
              </w:rPr>
              <w:t>2.10</w:t>
            </w:r>
          </w:p>
        </w:tc>
        <w:tc>
          <w:tcPr>
            <w:tcW w:w="521" w:type="pct"/>
            <w:vAlign w:val="center"/>
          </w:tcPr>
          <w:p w14:paraId="4C73C88C" w14:textId="53F73920" w:rsidR="00593C98" w:rsidRPr="006C5FAF" w:rsidRDefault="00BB281C" w:rsidP="00AA43F3">
            <w:pPr>
              <w:pStyle w:val="Tabletext"/>
              <w:jc w:val="center"/>
              <w:rPr>
                <w:bCs/>
                <w:highlight w:val="darkGray"/>
              </w:rPr>
            </w:pPr>
            <w:r w:rsidRPr="00BB281C">
              <w:rPr>
                <w:bCs/>
                <w:color w:val="000000"/>
                <w:spacing w:val="70"/>
                <w:shd w:val="solid" w:color="000000" w:fill="000000"/>
                <w:fitText w:val="381" w:id="-1234422518"/>
                <w14:textFill>
                  <w14:solidFill>
                    <w14:srgbClr w14:val="000000">
                      <w14:alpha w14:val="100000"/>
                    </w14:srgbClr>
                  </w14:solidFill>
                </w14:textFill>
              </w:rPr>
              <w:t>|||</w:t>
            </w:r>
            <w:r w:rsidRPr="00BB281C">
              <w:rPr>
                <w:bCs/>
                <w:color w:val="000000"/>
                <w:spacing w:val="1"/>
                <w:shd w:val="solid" w:color="000000" w:fill="000000"/>
                <w:fitText w:val="381" w:id="-1234422518"/>
                <w14:textFill>
                  <w14:solidFill>
                    <w14:srgbClr w14:val="000000">
                      <w14:alpha w14:val="100000"/>
                    </w14:srgbClr>
                  </w14:solidFill>
                </w14:textFill>
              </w:rPr>
              <w:t>|</w:t>
            </w:r>
            <w:r w:rsidR="006C5FAF" w:rsidRPr="006C5FAF">
              <w:rPr>
                <w:b/>
                <w:bCs/>
                <w:vertAlign w:val="superscript"/>
              </w:rPr>
              <w:t>1</w:t>
            </w:r>
          </w:p>
        </w:tc>
        <w:tc>
          <w:tcPr>
            <w:tcW w:w="481" w:type="pct"/>
            <w:vAlign w:val="center"/>
          </w:tcPr>
          <w:p w14:paraId="10E187F1" w14:textId="77777777" w:rsidR="00593C98" w:rsidRPr="00652C95" w:rsidRDefault="00593C98" w:rsidP="00AA43F3">
            <w:pPr>
              <w:pStyle w:val="Tabletext"/>
              <w:jc w:val="center"/>
              <w:rPr>
                <w:bCs/>
              </w:rPr>
            </w:pPr>
            <w:r w:rsidRPr="00652C95">
              <w:rPr>
                <w:bCs/>
              </w:rPr>
              <w:t>-26.7%</w:t>
            </w:r>
          </w:p>
        </w:tc>
      </w:tr>
      <w:tr w:rsidR="002A7059" w:rsidRPr="00652C95" w14:paraId="188FB4E4" w14:textId="77777777" w:rsidTr="00CA3EE2">
        <w:tc>
          <w:tcPr>
            <w:tcW w:w="2749" w:type="pct"/>
            <w:vAlign w:val="center"/>
          </w:tcPr>
          <w:p w14:paraId="3A99F9F3" w14:textId="07AF2483" w:rsidR="00581967" w:rsidRPr="00652C95" w:rsidRDefault="00581967" w:rsidP="00AA43F3">
            <w:pPr>
              <w:pStyle w:val="Tabletext"/>
              <w:rPr>
                <w:bCs/>
              </w:rPr>
            </w:pPr>
            <w:r w:rsidRPr="00652C95">
              <w:rPr>
                <w:bCs/>
              </w:rPr>
              <w:t xml:space="preserve">Starting age (49 in </w:t>
            </w:r>
            <w:r w:rsidR="00617476">
              <w:rPr>
                <w:bCs/>
              </w:rPr>
              <w:t>base case</w:t>
            </w:r>
            <w:r w:rsidRPr="00652C95">
              <w:rPr>
                <w:bCs/>
              </w:rPr>
              <w:t>)</w:t>
            </w:r>
          </w:p>
        </w:tc>
        <w:tc>
          <w:tcPr>
            <w:tcW w:w="619" w:type="pct"/>
            <w:tcBorders>
              <w:bottom w:val="single" w:sz="4" w:space="0" w:color="auto"/>
            </w:tcBorders>
            <w:vAlign w:val="center"/>
          </w:tcPr>
          <w:p w14:paraId="4016A170" w14:textId="77777777" w:rsidR="00581967" w:rsidRPr="00652C95" w:rsidRDefault="00581967" w:rsidP="00AA43F3">
            <w:pPr>
              <w:pStyle w:val="Tabletext"/>
              <w:jc w:val="center"/>
              <w:rPr>
                <w:bCs/>
              </w:rPr>
            </w:pPr>
          </w:p>
        </w:tc>
        <w:tc>
          <w:tcPr>
            <w:tcW w:w="630" w:type="pct"/>
            <w:vAlign w:val="center"/>
          </w:tcPr>
          <w:p w14:paraId="3F3C2E70" w14:textId="77777777" w:rsidR="00581967" w:rsidRPr="00652C95" w:rsidRDefault="00581967" w:rsidP="00AA43F3">
            <w:pPr>
              <w:pStyle w:val="Tabletext"/>
              <w:jc w:val="center"/>
              <w:rPr>
                <w:bCs/>
              </w:rPr>
            </w:pPr>
          </w:p>
        </w:tc>
        <w:tc>
          <w:tcPr>
            <w:tcW w:w="521" w:type="pct"/>
            <w:vAlign w:val="center"/>
          </w:tcPr>
          <w:p w14:paraId="02CE55FC" w14:textId="77777777" w:rsidR="00581967" w:rsidRPr="00652C95" w:rsidRDefault="00581967" w:rsidP="00AA43F3">
            <w:pPr>
              <w:pStyle w:val="Tabletext"/>
              <w:jc w:val="center"/>
              <w:rPr>
                <w:bCs/>
              </w:rPr>
            </w:pPr>
          </w:p>
        </w:tc>
        <w:tc>
          <w:tcPr>
            <w:tcW w:w="481" w:type="pct"/>
            <w:vAlign w:val="center"/>
          </w:tcPr>
          <w:p w14:paraId="40C5491D" w14:textId="77777777" w:rsidR="00581967" w:rsidRPr="00652C95" w:rsidRDefault="00581967" w:rsidP="00AA43F3">
            <w:pPr>
              <w:pStyle w:val="Tabletext"/>
              <w:jc w:val="center"/>
              <w:rPr>
                <w:bCs/>
              </w:rPr>
            </w:pPr>
          </w:p>
        </w:tc>
      </w:tr>
      <w:tr w:rsidR="007D2D00" w:rsidRPr="00652C95" w14:paraId="3FE06172" w14:textId="77777777" w:rsidTr="00CA3EE2">
        <w:tc>
          <w:tcPr>
            <w:tcW w:w="2749" w:type="pct"/>
            <w:vAlign w:val="center"/>
          </w:tcPr>
          <w:p w14:paraId="35BEA804" w14:textId="6BBF5427" w:rsidR="00593C98" w:rsidRPr="00652C95" w:rsidRDefault="002E644F" w:rsidP="00AA43F3">
            <w:pPr>
              <w:pStyle w:val="Tabletext"/>
              <w:tabs>
                <w:tab w:val="left" w:pos="164"/>
              </w:tabs>
              <w:rPr>
                <w:bCs/>
              </w:rPr>
            </w:pPr>
            <w:r>
              <w:rPr>
                <w:bCs/>
              </w:rPr>
              <w:tab/>
            </w:r>
            <w:r w:rsidR="00593C98" w:rsidRPr="00652C95">
              <w:rPr>
                <w:bCs/>
              </w:rPr>
              <w:t xml:space="preserve">55 </w:t>
            </w:r>
            <w:r w:rsidR="00581967" w:rsidRPr="00652C95">
              <w:rPr>
                <w:bCs/>
              </w:rPr>
              <w:t xml:space="preserve">based on </w:t>
            </w:r>
            <w:r w:rsidR="00593C98" w:rsidRPr="00652C95">
              <w:rPr>
                <w:bCs/>
              </w:rPr>
              <w:t xml:space="preserve">Naher </w:t>
            </w:r>
            <w:r w:rsidR="00581967" w:rsidRPr="00652C95">
              <w:rPr>
                <w:bCs/>
              </w:rPr>
              <w:t>(</w:t>
            </w:r>
            <w:r w:rsidR="00593C98" w:rsidRPr="00652C95">
              <w:rPr>
                <w:bCs/>
              </w:rPr>
              <w:t>2018)</w:t>
            </w:r>
          </w:p>
        </w:tc>
        <w:tc>
          <w:tcPr>
            <w:tcW w:w="619" w:type="pct"/>
            <w:shd w:val="solid" w:color="000000" w:fill="000000"/>
            <w:vAlign w:val="center"/>
          </w:tcPr>
          <w:p w14:paraId="6E408182" w14:textId="7A9E1F55" w:rsidR="00593C98" w:rsidRPr="00652C95" w:rsidRDefault="00BB281C" w:rsidP="00AA43F3">
            <w:pPr>
              <w:pStyle w:val="Tabletext"/>
              <w:jc w:val="center"/>
              <w:rPr>
                <w:bCs/>
              </w:rPr>
            </w:pPr>
            <w:r w:rsidRPr="00BB281C">
              <w:rPr>
                <w:bCs/>
                <w:color w:val="000000"/>
                <w:spacing w:val="155"/>
                <w:fitText w:val="241" w:id="-1234422517"/>
                <w14:textFill>
                  <w14:solidFill>
                    <w14:srgbClr w14:val="000000">
                      <w14:alpha w14:val="100000"/>
                    </w14:srgbClr>
                  </w14:solidFill>
                </w14:textFill>
              </w:rPr>
              <w:t>|</w:t>
            </w:r>
            <w:r w:rsidRPr="00BB281C">
              <w:rPr>
                <w:bCs/>
                <w:color w:val="000000"/>
                <w:fitText w:val="241" w:id="-1234422517"/>
                <w14:textFill>
                  <w14:solidFill>
                    <w14:srgbClr w14:val="000000">
                      <w14:alpha w14:val="100000"/>
                    </w14:srgbClr>
                  </w14:solidFill>
                </w14:textFill>
              </w:rPr>
              <w:t>|</w:t>
            </w:r>
          </w:p>
        </w:tc>
        <w:tc>
          <w:tcPr>
            <w:tcW w:w="630" w:type="pct"/>
            <w:vAlign w:val="center"/>
          </w:tcPr>
          <w:p w14:paraId="3BB5532F" w14:textId="77777777" w:rsidR="00593C98" w:rsidRPr="00652C95" w:rsidRDefault="00593C98" w:rsidP="00AA43F3">
            <w:pPr>
              <w:pStyle w:val="Tabletext"/>
              <w:jc w:val="center"/>
              <w:rPr>
                <w:bCs/>
              </w:rPr>
            </w:pPr>
            <w:r w:rsidRPr="00652C95">
              <w:rPr>
                <w:bCs/>
              </w:rPr>
              <w:t>1.48</w:t>
            </w:r>
          </w:p>
        </w:tc>
        <w:tc>
          <w:tcPr>
            <w:tcW w:w="521" w:type="pct"/>
            <w:vAlign w:val="center"/>
          </w:tcPr>
          <w:p w14:paraId="36450EC3" w14:textId="070557AE" w:rsidR="00593C98" w:rsidRPr="00652C95" w:rsidRDefault="00BB281C" w:rsidP="00AA43F3">
            <w:pPr>
              <w:pStyle w:val="Tabletext"/>
              <w:jc w:val="center"/>
              <w:rPr>
                <w:bCs/>
              </w:rPr>
            </w:pPr>
            <w:r w:rsidRPr="00BB281C">
              <w:rPr>
                <w:bCs/>
                <w:color w:val="000000"/>
                <w:spacing w:val="70"/>
                <w:shd w:val="solid" w:color="000000" w:fill="000000"/>
                <w:fitText w:val="381" w:id="-1234422516"/>
                <w14:textFill>
                  <w14:solidFill>
                    <w14:srgbClr w14:val="000000">
                      <w14:alpha w14:val="100000"/>
                    </w14:srgbClr>
                  </w14:solidFill>
                </w14:textFill>
              </w:rPr>
              <w:t>|||</w:t>
            </w:r>
            <w:r w:rsidRPr="00BB281C">
              <w:rPr>
                <w:bCs/>
                <w:color w:val="000000"/>
                <w:spacing w:val="1"/>
                <w:shd w:val="solid" w:color="000000" w:fill="000000"/>
                <w:fitText w:val="381" w:id="-1234422516"/>
                <w14:textFill>
                  <w14:solidFill>
                    <w14:srgbClr w14:val="000000">
                      <w14:alpha w14:val="100000"/>
                    </w14:srgbClr>
                  </w14:solidFill>
                </w14:textFill>
              </w:rPr>
              <w:t>|</w:t>
            </w:r>
            <w:r w:rsidR="004E2962" w:rsidRPr="004E2962">
              <w:rPr>
                <w:bCs/>
                <w:vertAlign w:val="superscript"/>
              </w:rPr>
              <w:t>4</w:t>
            </w:r>
          </w:p>
        </w:tc>
        <w:tc>
          <w:tcPr>
            <w:tcW w:w="481" w:type="pct"/>
            <w:vAlign w:val="center"/>
          </w:tcPr>
          <w:p w14:paraId="12541CC5" w14:textId="77777777" w:rsidR="00593C98" w:rsidRPr="00652C95" w:rsidRDefault="00593C98" w:rsidP="00AA43F3">
            <w:pPr>
              <w:pStyle w:val="Tabletext"/>
              <w:jc w:val="center"/>
              <w:rPr>
                <w:bCs/>
              </w:rPr>
            </w:pPr>
            <w:r w:rsidRPr="00652C95">
              <w:rPr>
                <w:bCs/>
              </w:rPr>
              <w:t>6.1%</w:t>
            </w:r>
          </w:p>
        </w:tc>
      </w:tr>
      <w:tr w:rsidR="004245AA" w:rsidRPr="00652C95" w14:paraId="149E26C3" w14:textId="77777777" w:rsidTr="00C61D2E">
        <w:tc>
          <w:tcPr>
            <w:tcW w:w="5000" w:type="pct"/>
            <w:gridSpan w:val="5"/>
            <w:vAlign w:val="center"/>
          </w:tcPr>
          <w:p w14:paraId="1E072EE1" w14:textId="3DB87AAB" w:rsidR="00593C98" w:rsidRPr="00652C95" w:rsidRDefault="00581967" w:rsidP="00AA43F3">
            <w:pPr>
              <w:pStyle w:val="Tabletext"/>
              <w:rPr>
                <w:b/>
              </w:rPr>
            </w:pPr>
            <w:r w:rsidRPr="00652C95">
              <w:t>Adjustment of costs and outcomes to account for DM use of Sacituzumab gov</w:t>
            </w:r>
            <w:r w:rsidR="00AA43F3">
              <w:t>i</w:t>
            </w:r>
            <w:r w:rsidRPr="00652C95">
              <w:t>t</w:t>
            </w:r>
            <w:r w:rsidR="00AA43F3">
              <w:t>e</w:t>
            </w:r>
            <w:r w:rsidRPr="00652C95">
              <w:t xml:space="preserve">can (included in </w:t>
            </w:r>
            <w:r w:rsidR="00617476">
              <w:t>base case</w:t>
            </w:r>
            <w:r w:rsidRPr="00652C95">
              <w:t>)</w:t>
            </w:r>
          </w:p>
        </w:tc>
      </w:tr>
      <w:tr w:rsidR="007D2D00" w:rsidRPr="00652C95" w14:paraId="5FC539FA" w14:textId="77777777" w:rsidTr="00CA3EE2">
        <w:tc>
          <w:tcPr>
            <w:tcW w:w="2749" w:type="pct"/>
            <w:vAlign w:val="center"/>
          </w:tcPr>
          <w:p w14:paraId="7AC97CA1" w14:textId="746DA72B" w:rsidR="00593C98" w:rsidRPr="00652C95" w:rsidRDefault="002E644F" w:rsidP="00AA43F3">
            <w:pPr>
              <w:pStyle w:val="Tabletext"/>
              <w:tabs>
                <w:tab w:val="left" w:pos="164"/>
              </w:tabs>
              <w:ind w:left="164" w:hanging="164"/>
              <w:rPr>
                <w:b/>
                <w:bCs/>
              </w:rPr>
            </w:pPr>
            <w:r>
              <w:rPr>
                <w:bCs/>
              </w:rPr>
              <w:tab/>
            </w:r>
            <w:r w:rsidR="00593C98" w:rsidRPr="00652C95">
              <w:rPr>
                <w:bCs/>
              </w:rPr>
              <w:t>Turn off sacituzumab govitecan adjustment (both outcomes and costs)</w:t>
            </w:r>
          </w:p>
        </w:tc>
        <w:tc>
          <w:tcPr>
            <w:tcW w:w="619" w:type="pct"/>
            <w:shd w:val="solid" w:color="000000" w:fill="000000"/>
            <w:vAlign w:val="center"/>
          </w:tcPr>
          <w:p w14:paraId="1EBF2BCB" w14:textId="0D3A1006" w:rsidR="00593C98" w:rsidRPr="00652C95" w:rsidRDefault="00BB281C" w:rsidP="00AA43F3">
            <w:pPr>
              <w:pStyle w:val="Tabletext"/>
              <w:jc w:val="center"/>
              <w:rPr>
                <w:bCs/>
              </w:rPr>
            </w:pPr>
            <w:r w:rsidRPr="00BB281C">
              <w:rPr>
                <w:bCs/>
                <w:color w:val="000000"/>
                <w:spacing w:val="155"/>
                <w:fitText w:val="241" w:id="-1234422515"/>
                <w14:textFill>
                  <w14:solidFill>
                    <w14:srgbClr w14:val="000000">
                      <w14:alpha w14:val="100000"/>
                    </w14:srgbClr>
                  </w14:solidFill>
                </w14:textFill>
              </w:rPr>
              <w:t>|</w:t>
            </w:r>
            <w:r w:rsidRPr="00BB281C">
              <w:rPr>
                <w:bCs/>
                <w:color w:val="000000"/>
                <w:fitText w:val="241" w:id="-1234422515"/>
                <w14:textFill>
                  <w14:solidFill>
                    <w14:srgbClr w14:val="000000">
                      <w14:alpha w14:val="100000"/>
                    </w14:srgbClr>
                  </w14:solidFill>
                </w14:textFill>
              </w:rPr>
              <w:t>|</w:t>
            </w:r>
          </w:p>
        </w:tc>
        <w:tc>
          <w:tcPr>
            <w:tcW w:w="630" w:type="pct"/>
            <w:vAlign w:val="center"/>
          </w:tcPr>
          <w:p w14:paraId="26FFD59A" w14:textId="77777777" w:rsidR="00593C98" w:rsidRPr="00652C95" w:rsidRDefault="00593C98" w:rsidP="00AA43F3">
            <w:pPr>
              <w:pStyle w:val="Tabletext"/>
              <w:jc w:val="center"/>
              <w:rPr>
                <w:bCs/>
              </w:rPr>
            </w:pPr>
            <w:r w:rsidRPr="00652C95">
              <w:rPr>
                <w:bCs/>
              </w:rPr>
              <w:t>1.58</w:t>
            </w:r>
          </w:p>
        </w:tc>
        <w:tc>
          <w:tcPr>
            <w:tcW w:w="521" w:type="pct"/>
            <w:vAlign w:val="center"/>
          </w:tcPr>
          <w:p w14:paraId="3FB23A08" w14:textId="487A4BA5" w:rsidR="00593C98" w:rsidRPr="00652C95" w:rsidRDefault="00BB281C" w:rsidP="00AA43F3">
            <w:pPr>
              <w:pStyle w:val="Tabletext"/>
              <w:jc w:val="center"/>
              <w:rPr>
                <w:bCs/>
              </w:rPr>
            </w:pPr>
            <w:r w:rsidRPr="00BB281C">
              <w:rPr>
                <w:bCs/>
                <w:color w:val="000000"/>
                <w:spacing w:val="70"/>
                <w:shd w:val="solid" w:color="000000" w:fill="000000"/>
                <w:fitText w:val="381" w:id="-1234422514"/>
                <w14:textFill>
                  <w14:solidFill>
                    <w14:srgbClr w14:val="000000">
                      <w14:alpha w14:val="100000"/>
                    </w14:srgbClr>
                  </w14:solidFill>
                </w14:textFill>
              </w:rPr>
              <w:t>|||</w:t>
            </w:r>
            <w:r w:rsidRPr="00BB281C">
              <w:rPr>
                <w:bCs/>
                <w:color w:val="000000"/>
                <w:spacing w:val="1"/>
                <w:shd w:val="solid" w:color="000000" w:fill="000000"/>
                <w:fitText w:val="381" w:id="-1234422514"/>
                <w14:textFill>
                  <w14:solidFill>
                    <w14:srgbClr w14:val="000000">
                      <w14:alpha w14:val="100000"/>
                    </w14:srgbClr>
                  </w14:solidFill>
                </w14:textFill>
              </w:rPr>
              <w:t>|</w:t>
            </w:r>
            <w:r w:rsidR="004E2962" w:rsidRPr="004E2962">
              <w:rPr>
                <w:bCs/>
                <w:vertAlign w:val="superscript"/>
              </w:rPr>
              <w:t>4</w:t>
            </w:r>
          </w:p>
        </w:tc>
        <w:tc>
          <w:tcPr>
            <w:tcW w:w="481" w:type="pct"/>
            <w:vAlign w:val="center"/>
          </w:tcPr>
          <w:p w14:paraId="33690A84" w14:textId="77777777" w:rsidR="00593C98" w:rsidRPr="00652C95" w:rsidRDefault="00593C98" w:rsidP="00AA43F3">
            <w:pPr>
              <w:pStyle w:val="Tabletext"/>
              <w:jc w:val="center"/>
              <w:rPr>
                <w:bCs/>
              </w:rPr>
            </w:pPr>
            <w:r w:rsidRPr="00652C95">
              <w:rPr>
                <w:bCs/>
              </w:rPr>
              <w:t>6.2%</w:t>
            </w:r>
          </w:p>
        </w:tc>
      </w:tr>
      <w:tr w:rsidR="004245AA" w:rsidRPr="00652C95" w14:paraId="48307695" w14:textId="77777777" w:rsidTr="00C61D2E">
        <w:tc>
          <w:tcPr>
            <w:tcW w:w="5000" w:type="pct"/>
            <w:gridSpan w:val="5"/>
            <w:vAlign w:val="center"/>
          </w:tcPr>
          <w:p w14:paraId="2C4E055C" w14:textId="1B8F9C6A" w:rsidR="00593C98" w:rsidRPr="00652C95" w:rsidRDefault="00593C98" w:rsidP="00AA43F3">
            <w:pPr>
              <w:pStyle w:val="Tabletext"/>
              <w:rPr>
                <w:b/>
              </w:rPr>
            </w:pPr>
            <w:r w:rsidRPr="00652C95">
              <w:t>Adjustment for adjuvant capecitabine</w:t>
            </w:r>
            <w:r w:rsidR="00581967" w:rsidRPr="00652C95">
              <w:t xml:space="preserve"> (not included in base case)</w:t>
            </w:r>
          </w:p>
        </w:tc>
      </w:tr>
      <w:tr w:rsidR="007D2D00" w:rsidRPr="00652C95" w14:paraId="495CD751" w14:textId="77777777" w:rsidTr="00CA3EE2">
        <w:tc>
          <w:tcPr>
            <w:tcW w:w="2749" w:type="pct"/>
            <w:vAlign w:val="center"/>
          </w:tcPr>
          <w:p w14:paraId="06421C02" w14:textId="77061D76" w:rsidR="00593C98" w:rsidRPr="00652C95" w:rsidRDefault="002E644F" w:rsidP="00AA43F3">
            <w:pPr>
              <w:pStyle w:val="Tabletext"/>
              <w:tabs>
                <w:tab w:val="left" w:pos="164"/>
              </w:tabs>
              <w:ind w:left="164" w:hanging="164"/>
              <w:rPr>
                <w:b/>
                <w:bCs/>
              </w:rPr>
            </w:pPr>
            <w:r>
              <w:rPr>
                <w:bCs/>
              </w:rPr>
              <w:tab/>
            </w:r>
            <w:r w:rsidR="00593C98" w:rsidRPr="00652C95">
              <w:rPr>
                <w:bCs/>
              </w:rPr>
              <w:t xml:space="preserve">Adjustment for adjuvant capecitabine (HR of 0.886 and proportion of adjuvant capecitabine use of 44.5%) </w:t>
            </w:r>
          </w:p>
        </w:tc>
        <w:tc>
          <w:tcPr>
            <w:tcW w:w="619" w:type="pct"/>
            <w:shd w:val="solid" w:color="000000" w:fill="000000"/>
            <w:vAlign w:val="center"/>
          </w:tcPr>
          <w:p w14:paraId="31391F17" w14:textId="491A7B20" w:rsidR="00593C98" w:rsidRPr="00652C95" w:rsidRDefault="00BB281C" w:rsidP="00AA43F3">
            <w:pPr>
              <w:pStyle w:val="Tabletext"/>
              <w:jc w:val="center"/>
              <w:rPr>
                <w:bCs/>
              </w:rPr>
            </w:pPr>
            <w:r w:rsidRPr="00BB281C">
              <w:rPr>
                <w:bCs/>
                <w:color w:val="000000"/>
                <w:spacing w:val="155"/>
                <w:fitText w:val="241" w:id="-1234422513"/>
                <w14:textFill>
                  <w14:solidFill>
                    <w14:srgbClr w14:val="000000">
                      <w14:alpha w14:val="100000"/>
                    </w14:srgbClr>
                  </w14:solidFill>
                </w14:textFill>
              </w:rPr>
              <w:t>|</w:t>
            </w:r>
            <w:r w:rsidRPr="00BB281C">
              <w:rPr>
                <w:bCs/>
                <w:color w:val="000000"/>
                <w:fitText w:val="241" w:id="-1234422513"/>
                <w14:textFill>
                  <w14:solidFill>
                    <w14:srgbClr w14:val="000000">
                      <w14:alpha w14:val="100000"/>
                    </w14:srgbClr>
                  </w14:solidFill>
                </w14:textFill>
              </w:rPr>
              <w:t>|</w:t>
            </w:r>
          </w:p>
        </w:tc>
        <w:tc>
          <w:tcPr>
            <w:tcW w:w="630" w:type="pct"/>
            <w:vAlign w:val="center"/>
          </w:tcPr>
          <w:p w14:paraId="776A8F31" w14:textId="77777777" w:rsidR="00593C98" w:rsidRPr="00652C95" w:rsidRDefault="00593C98" w:rsidP="00AA43F3">
            <w:pPr>
              <w:pStyle w:val="Tabletext"/>
              <w:jc w:val="center"/>
              <w:rPr>
                <w:bCs/>
              </w:rPr>
            </w:pPr>
            <w:r w:rsidRPr="00652C95">
              <w:rPr>
                <w:bCs/>
              </w:rPr>
              <w:t>1.41</w:t>
            </w:r>
          </w:p>
        </w:tc>
        <w:tc>
          <w:tcPr>
            <w:tcW w:w="521" w:type="pct"/>
            <w:vAlign w:val="center"/>
          </w:tcPr>
          <w:p w14:paraId="4E0442D6" w14:textId="06F8B699" w:rsidR="00593C98" w:rsidRPr="00652C95" w:rsidRDefault="00BB281C" w:rsidP="00AA43F3">
            <w:pPr>
              <w:pStyle w:val="Tabletext"/>
              <w:jc w:val="center"/>
              <w:rPr>
                <w:bCs/>
              </w:rPr>
            </w:pPr>
            <w:r w:rsidRPr="00BB281C">
              <w:rPr>
                <w:bCs/>
                <w:color w:val="000000"/>
                <w:spacing w:val="70"/>
                <w:shd w:val="solid" w:color="000000" w:fill="000000"/>
                <w:fitText w:val="381" w:id="-1234422512"/>
                <w14:textFill>
                  <w14:solidFill>
                    <w14:srgbClr w14:val="000000">
                      <w14:alpha w14:val="100000"/>
                    </w14:srgbClr>
                  </w14:solidFill>
                </w14:textFill>
              </w:rPr>
              <w:t>|||</w:t>
            </w:r>
            <w:r w:rsidRPr="00BB281C">
              <w:rPr>
                <w:bCs/>
                <w:color w:val="000000"/>
                <w:spacing w:val="1"/>
                <w:shd w:val="solid" w:color="000000" w:fill="000000"/>
                <w:fitText w:val="381" w:id="-1234422512"/>
                <w14:textFill>
                  <w14:solidFill>
                    <w14:srgbClr w14:val="000000">
                      <w14:alpha w14:val="100000"/>
                    </w14:srgbClr>
                  </w14:solidFill>
                </w14:textFill>
              </w:rPr>
              <w:t>|</w:t>
            </w:r>
            <w:r w:rsidR="004E2962" w:rsidRPr="004E2962">
              <w:rPr>
                <w:bCs/>
                <w:vertAlign w:val="superscript"/>
              </w:rPr>
              <w:t>4</w:t>
            </w:r>
          </w:p>
        </w:tc>
        <w:tc>
          <w:tcPr>
            <w:tcW w:w="481" w:type="pct"/>
            <w:vAlign w:val="center"/>
          </w:tcPr>
          <w:p w14:paraId="1484E549" w14:textId="77777777" w:rsidR="00593C98" w:rsidRPr="00652C95" w:rsidRDefault="00593C98" w:rsidP="00AA43F3">
            <w:pPr>
              <w:pStyle w:val="Tabletext"/>
              <w:jc w:val="center"/>
              <w:rPr>
                <w:bCs/>
              </w:rPr>
            </w:pPr>
            <w:r w:rsidRPr="00652C95">
              <w:rPr>
                <w:bCs/>
              </w:rPr>
              <w:t>12.6%</w:t>
            </w:r>
          </w:p>
        </w:tc>
      </w:tr>
      <w:tr w:rsidR="004245AA" w:rsidRPr="00652C95" w14:paraId="38BFDEB3" w14:textId="77777777" w:rsidTr="00C61D2E">
        <w:tc>
          <w:tcPr>
            <w:tcW w:w="5000" w:type="pct"/>
            <w:gridSpan w:val="5"/>
            <w:vAlign w:val="center"/>
          </w:tcPr>
          <w:p w14:paraId="09BD284E" w14:textId="33FB3CD9" w:rsidR="00593C98" w:rsidRPr="00652C95" w:rsidRDefault="00593C98" w:rsidP="00AA43F3">
            <w:pPr>
              <w:pStyle w:val="Tabletext"/>
              <w:rPr>
                <w:bCs/>
              </w:rPr>
            </w:pPr>
            <w:r w:rsidRPr="00652C95">
              <w:rPr>
                <w:bCs/>
              </w:rPr>
              <w:t>EFS extrapolation</w:t>
            </w:r>
            <w:r w:rsidR="00581967" w:rsidRPr="00652C95">
              <w:rPr>
                <w:bCs/>
              </w:rPr>
              <w:t xml:space="preserve"> (generalised gamma in both arms</w:t>
            </w:r>
            <w:r w:rsidR="002E644F">
              <w:rPr>
                <w:bCs/>
              </w:rPr>
              <w:t xml:space="preserve"> in base case</w:t>
            </w:r>
            <w:r w:rsidR="00581967" w:rsidRPr="00652C95">
              <w:rPr>
                <w:bCs/>
              </w:rPr>
              <w:t>)</w:t>
            </w:r>
          </w:p>
        </w:tc>
      </w:tr>
      <w:tr w:rsidR="007D2D00" w:rsidRPr="00652C95" w14:paraId="460AB487" w14:textId="77777777" w:rsidTr="00CA3EE2">
        <w:tc>
          <w:tcPr>
            <w:tcW w:w="2749" w:type="pct"/>
            <w:vAlign w:val="center"/>
          </w:tcPr>
          <w:p w14:paraId="33CF52DE" w14:textId="1621D389" w:rsidR="00593C98" w:rsidRPr="00652C95" w:rsidRDefault="002E644F" w:rsidP="00AA43F3">
            <w:pPr>
              <w:pStyle w:val="Tabletext"/>
              <w:tabs>
                <w:tab w:val="left" w:pos="164"/>
              </w:tabs>
              <w:ind w:left="164" w:hanging="164"/>
              <w:rPr>
                <w:b/>
                <w:bCs/>
              </w:rPr>
            </w:pPr>
            <w:r>
              <w:rPr>
                <w:bCs/>
              </w:rPr>
              <w:tab/>
            </w:r>
            <w:r w:rsidR="00593C98" w:rsidRPr="00652C95">
              <w:rPr>
                <w:bCs/>
              </w:rPr>
              <w:t>Next best fitting one-piece curves (log-normal for both pembrolizumab and chemotherapy)</w:t>
            </w:r>
          </w:p>
        </w:tc>
        <w:tc>
          <w:tcPr>
            <w:tcW w:w="619" w:type="pct"/>
            <w:shd w:val="solid" w:color="000000" w:fill="000000"/>
            <w:vAlign w:val="center"/>
          </w:tcPr>
          <w:p w14:paraId="33AAE052" w14:textId="535A481E" w:rsidR="00593C98" w:rsidRPr="00652C95" w:rsidRDefault="00BB281C" w:rsidP="00AA43F3">
            <w:pPr>
              <w:pStyle w:val="Tabletext"/>
              <w:jc w:val="center"/>
              <w:rPr>
                <w:bCs/>
              </w:rPr>
            </w:pPr>
            <w:r w:rsidRPr="00BB281C">
              <w:rPr>
                <w:bCs/>
                <w:color w:val="000000"/>
                <w:spacing w:val="155"/>
                <w:fitText w:val="241" w:id="-1234422528"/>
                <w14:textFill>
                  <w14:solidFill>
                    <w14:srgbClr w14:val="000000">
                      <w14:alpha w14:val="100000"/>
                    </w14:srgbClr>
                  </w14:solidFill>
                </w14:textFill>
              </w:rPr>
              <w:t>|</w:t>
            </w:r>
            <w:r w:rsidRPr="00BB281C">
              <w:rPr>
                <w:bCs/>
                <w:color w:val="000000"/>
                <w:fitText w:val="241" w:id="-1234422528"/>
                <w14:textFill>
                  <w14:solidFill>
                    <w14:srgbClr w14:val="000000">
                      <w14:alpha w14:val="100000"/>
                    </w14:srgbClr>
                  </w14:solidFill>
                </w14:textFill>
              </w:rPr>
              <w:t>|</w:t>
            </w:r>
          </w:p>
        </w:tc>
        <w:tc>
          <w:tcPr>
            <w:tcW w:w="630" w:type="pct"/>
            <w:vAlign w:val="center"/>
          </w:tcPr>
          <w:p w14:paraId="3D6C832E" w14:textId="77777777" w:rsidR="00593C98" w:rsidRPr="00652C95" w:rsidRDefault="00593C98" w:rsidP="00AA43F3">
            <w:pPr>
              <w:pStyle w:val="Tabletext"/>
              <w:jc w:val="center"/>
              <w:rPr>
                <w:bCs/>
              </w:rPr>
            </w:pPr>
            <w:r w:rsidRPr="00652C95">
              <w:rPr>
                <w:bCs/>
              </w:rPr>
              <w:t>1.44</w:t>
            </w:r>
          </w:p>
        </w:tc>
        <w:tc>
          <w:tcPr>
            <w:tcW w:w="521" w:type="pct"/>
            <w:vAlign w:val="center"/>
          </w:tcPr>
          <w:p w14:paraId="06F149F1" w14:textId="7C6997F7" w:rsidR="00593C98" w:rsidRPr="00652C95" w:rsidRDefault="00BB281C" w:rsidP="00AA43F3">
            <w:pPr>
              <w:pStyle w:val="Tabletext"/>
              <w:jc w:val="center"/>
              <w:rPr>
                <w:bCs/>
              </w:rPr>
            </w:pPr>
            <w:r w:rsidRPr="00BB281C">
              <w:rPr>
                <w:bCs/>
                <w:color w:val="000000"/>
                <w:spacing w:val="70"/>
                <w:shd w:val="solid" w:color="000000" w:fill="000000"/>
                <w:fitText w:val="381" w:id="-1234422527"/>
                <w14:textFill>
                  <w14:solidFill>
                    <w14:srgbClr w14:val="000000">
                      <w14:alpha w14:val="100000"/>
                    </w14:srgbClr>
                  </w14:solidFill>
                </w14:textFill>
              </w:rPr>
              <w:t>|||</w:t>
            </w:r>
            <w:r w:rsidRPr="00BB281C">
              <w:rPr>
                <w:bCs/>
                <w:color w:val="000000"/>
                <w:spacing w:val="1"/>
                <w:shd w:val="solid" w:color="000000" w:fill="000000"/>
                <w:fitText w:val="381" w:id="-1234422527"/>
                <w14:textFill>
                  <w14:solidFill>
                    <w14:srgbClr w14:val="000000">
                      <w14:alpha w14:val="100000"/>
                    </w14:srgbClr>
                  </w14:solidFill>
                </w14:textFill>
              </w:rPr>
              <w:t>|</w:t>
            </w:r>
            <w:r w:rsidR="004E2962" w:rsidRPr="004E2962">
              <w:rPr>
                <w:bCs/>
                <w:vertAlign w:val="superscript"/>
              </w:rPr>
              <w:t>4</w:t>
            </w:r>
          </w:p>
        </w:tc>
        <w:tc>
          <w:tcPr>
            <w:tcW w:w="481" w:type="pct"/>
            <w:vAlign w:val="center"/>
          </w:tcPr>
          <w:p w14:paraId="71AE47F0" w14:textId="77777777" w:rsidR="00593C98" w:rsidRPr="00652C95" w:rsidRDefault="00593C98" w:rsidP="00AA43F3">
            <w:pPr>
              <w:pStyle w:val="Tabletext"/>
              <w:jc w:val="center"/>
              <w:rPr>
                <w:bCs/>
              </w:rPr>
            </w:pPr>
            <w:r w:rsidRPr="00652C95">
              <w:rPr>
                <w:bCs/>
              </w:rPr>
              <w:t>12.4%</w:t>
            </w:r>
          </w:p>
        </w:tc>
      </w:tr>
      <w:tr w:rsidR="004245AA" w:rsidRPr="00652C95" w14:paraId="753CCEDC" w14:textId="77777777" w:rsidTr="00C61D2E">
        <w:tc>
          <w:tcPr>
            <w:tcW w:w="5000" w:type="pct"/>
            <w:gridSpan w:val="5"/>
            <w:vAlign w:val="center"/>
          </w:tcPr>
          <w:p w14:paraId="1A602374" w14:textId="0620B8D7" w:rsidR="00593C98" w:rsidRPr="00652C95" w:rsidRDefault="00593C98" w:rsidP="00AA43F3">
            <w:pPr>
              <w:pStyle w:val="Tabletext"/>
              <w:rPr>
                <w:b/>
              </w:rPr>
            </w:pPr>
            <w:r w:rsidRPr="00652C95">
              <w:t>Disease management costs</w:t>
            </w:r>
            <w:r w:rsidR="00581967" w:rsidRPr="00652C95">
              <w:t xml:space="preserve"> (base</w:t>
            </w:r>
            <w:r w:rsidR="002E644F">
              <w:t>d</w:t>
            </w:r>
            <w:r w:rsidR="00581967" w:rsidRPr="00652C95">
              <w:t xml:space="preserve"> on Verry 2012</w:t>
            </w:r>
            <w:r w:rsidR="002E644F">
              <w:t xml:space="preserve"> in base case</w:t>
            </w:r>
            <w:r w:rsidR="00581967" w:rsidRPr="00652C95">
              <w:t>)</w:t>
            </w:r>
          </w:p>
        </w:tc>
      </w:tr>
      <w:tr w:rsidR="007D2D00" w:rsidRPr="00652C95" w14:paraId="71D15ACE" w14:textId="77777777" w:rsidTr="00CA3EE2">
        <w:tc>
          <w:tcPr>
            <w:tcW w:w="2749" w:type="pct"/>
            <w:vAlign w:val="center"/>
          </w:tcPr>
          <w:p w14:paraId="0334BAA8" w14:textId="6FF489FF" w:rsidR="006719A9" w:rsidRPr="00652C95" w:rsidRDefault="002E644F" w:rsidP="00AA43F3">
            <w:pPr>
              <w:pStyle w:val="Tabletext"/>
              <w:tabs>
                <w:tab w:val="left" w:pos="164"/>
              </w:tabs>
              <w:ind w:left="164" w:right="57" w:hanging="164"/>
              <w:rPr>
                <w:b/>
              </w:rPr>
            </w:pPr>
            <w:r>
              <w:rPr>
                <w:bCs/>
              </w:rPr>
              <w:tab/>
            </w:r>
            <w:r w:rsidR="006719A9" w:rsidRPr="00652C95">
              <w:rPr>
                <w:bCs/>
              </w:rPr>
              <w:t>Schilling (2019) for both</w:t>
            </w:r>
            <w:r w:rsidR="00864260" w:rsidRPr="00652C95">
              <w:rPr>
                <w:bCs/>
              </w:rPr>
              <w:t xml:space="preserve"> </w:t>
            </w:r>
            <w:r w:rsidR="006719A9" w:rsidRPr="00652C95">
              <w:rPr>
                <w:bCs/>
              </w:rPr>
              <w:t>LR and DM disease management costs ($48.91 per week)</w:t>
            </w:r>
          </w:p>
        </w:tc>
        <w:tc>
          <w:tcPr>
            <w:tcW w:w="619" w:type="pct"/>
            <w:shd w:val="solid" w:color="000000" w:fill="000000"/>
            <w:vAlign w:val="center"/>
          </w:tcPr>
          <w:p w14:paraId="18E97B5A" w14:textId="7D639B70" w:rsidR="006719A9" w:rsidRPr="00652C95" w:rsidRDefault="00BB281C" w:rsidP="00AA43F3">
            <w:pPr>
              <w:pStyle w:val="Tabletext"/>
              <w:jc w:val="center"/>
            </w:pPr>
            <w:r w:rsidRPr="00BB281C">
              <w:rPr>
                <w:bCs/>
                <w:color w:val="000000"/>
                <w:spacing w:val="155"/>
                <w:fitText w:val="241" w:id="-1234422526"/>
                <w14:textFill>
                  <w14:solidFill>
                    <w14:srgbClr w14:val="000000">
                      <w14:alpha w14:val="100000"/>
                    </w14:srgbClr>
                  </w14:solidFill>
                </w14:textFill>
              </w:rPr>
              <w:t>|</w:t>
            </w:r>
            <w:r w:rsidRPr="00BB281C">
              <w:rPr>
                <w:bCs/>
                <w:color w:val="000000"/>
                <w:fitText w:val="241" w:id="-1234422526"/>
                <w14:textFill>
                  <w14:solidFill>
                    <w14:srgbClr w14:val="000000">
                      <w14:alpha w14:val="100000"/>
                    </w14:srgbClr>
                  </w14:solidFill>
                </w14:textFill>
              </w:rPr>
              <w:t>|</w:t>
            </w:r>
          </w:p>
        </w:tc>
        <w:tc>
          <w:tcPr>
            <w:tcW w:w="630" w:type="pct"/>
            <w:vAlign w:val="center"/>
          </w:tcPr>
          <w:p w14:paraId="502DE7A4" w14:textId="230EC34A" w:rsidR="006719A9" w:rsidRPr="00652C95" w:rsidRDefault="006719A9" w:rsidP="00AA43F3">
            <w:pPr>
              <w:pStyle w:val="Tabletext"/>
              <w:jc w:val="center"/>
            </w:pPr>
            <w:r w:rsidRPr="00652C95">
              <w:rPr>
                <w:bCs/>
              </w:rPr>
              <w:t>1.57</w:t>
            </w:r>
          </w:p>
        </w:tc>
        <w:tc>
          <w:tcPr>
            <w:tcW w:w="521" w:type="pct"/>
            <w:vAlign w:val="center"/>
          </w:tcPr>
          <w:p w14:paraId="0C1C550D" w14:textId="0C092C80" w:rsidR="006719A9" w:rsidRPr="00652C95" w:rsidRDefault="00BB281C" w:rsidP="00AA43F3">
            <w:pPr>
              <w:pStyle w:val="Tabletext"/>
              <w:jc w:val="center"/>
            </w:pPr>
            <w:r w:rsidRPr="00BB281C">
              <w:rPr>
                <w:bCs/>
                <w:color w:val="000000"/>
                <w:spacing w:val="70"/>
                <w:shd w:val="solid" w:color="000000" w:fill="000000"/>
                <w:fitText w:val="381" w:id="-1234422525"/>
                <w14:textFill>
                  <w14:solidFill>
                    <w14:srgbClr w14:val="000000">
                      <w14:alpha w14:val="100000"/>
                    </w14:srgbClr>
                  </w14:solidFill>
                </w14:textFill>
              </w:rPr>
              <w:t>|||</w:t>
            </w:r>
            <w:r w:rsidRPr="00BB281C">
              <w:rPr>
                <w:bCs/>
                <w:color w:val="000000"/>
                <w:spacing w:val="1"/>
                <w:shd w:val="solid" w:color="000000" w:fill="000000"/>
                <w:fitText w:val="381" w:id="-1234422525"/>
                <w14:textFill>
                  <w14:solidFill>
                    <w14:srgbClr w14:val="000000">
                      <w14:alpha w14:val="100000"/>
                    </w14:srgbClr>
                  </w14:solidFill>
                </w14:textFill>
              </w:rPr>
              <w:t>|</w:t>
            </w:r>
            <w:r w:rsidR="004E2962" w:rsidRPr="004E2962">
              <w:rPr>
                <w:bCs/>
                <w:vertAlign w:val="superscript"/>
              </w:rPr>
              <w:t>4</w:t>
            </w:r>
          </w:p>
        </w:tc>
        <w:tc>
          <w:tcPr>
            <w:tcW w:w="481" w:type="pct"/>
            <w:vAlign w:val="center"/>
          </w:tcPr>
          <w:p w14:paraId="35F7785D" w14:textId="65EFA515" w:rsidR="006719A9" w:rsidRPr="00652C95" w:rsidRDefault="006719A9" w:rsidP="00AA43F3">
            <w:pPr>
              <w:pStyle w:val="Tabletext"/>
              <w:jc w:val="center"/>
            </w:pPr>
            <w:r w:rsidRPr="00652C95">
              <w:rPr>
                <w:bCs/>
              </w:rPr>
              <w:t>4.8%</w:t>
            </w:r>
          </w:p>
        </w:tc>
      </w:tr>
      <w:tr w:rsidR="007D2D00" w:rsidRPr="00652C95" w14:paraId="65344159" w14:textId="77777777" w:rsidTr="00CA3EE2">
        <w:tc>
          <w:tcPr>
            <w:tcW w:w="2749" w:type="pct"/>
            <w:vAlign w:val="center"/>
          </w:tcPr>
          <w:p w14:paraId="7C432D41" w14:textId="752A3B58" w:rsidR="006A6BB8" w:rsidRPr="00652C95" w:rsidRDefault="006A6BB8" w:rsidP="00AA43F3">
            <w:pPr>
              <w:pStyle w:val="Tabletext"/>
              <w:ind w:right="58"/>
              <w:rPr>
                <w:bCs/>
              </w:rPr>
            </w:pPr>
            <w:r w:rsidRPr="00652C95">
              <w:rPr>
                <w:bCs/>
              </w:rPr>
              <w:t>Terminal care costs (</w:t>
            </w:r>
            <w:r w:rsidR="006719A9" w:rsidRPr="00652C95">
              <w:rPr>
                <w:bCs/>
              </w:rPr>
              <w:t>$31,</w:t>
            </w:r>
            <w:r w:rsidR="00864260" w:rsidRPr="00652C95">
              <w:rPr>
                <w:bCs/>
              </w:rPr>
              <w:t xml:space="preserve">638.76 in </w:t>
            </w:r>
            <w:r w:rsidR="002E644F">
              <w:rPr>
                <w:bCs/>
              </w:rPr>
              <w:t>base case</w:t>
            </w:r>
            <w:r w:rsidR="00864260" w:rsidRPr="00652C95">
              <w:rPr>
                <w:bCs/>
              </w:rPr>
              <w:t>)</w:t>
            </w:r>
          </w:p>
        </w:tc>
        <w:tc>
          <w:tcPr>
            <w:tcW w:w="619" w:type="pct"/>
            <w:tcBorders>
              <w:bottom w:val="single" w:sz="4" w:space="0" w:color="auto"/>
            </w:tcBorders>
            <w:vAlign w:val="center"/>
          </w:tcPr>
          <w:p w14:paraId="382C0655" w14:textId="77777777" w:rsidR="006A6BB8" w:rsidRPr="00652C95" w:rsidRDefault="006A6BB8" w:rsidP="00AA43F3">
            <w:pPr>
              <w:pStyle w:val="Tabletext"/>
              <w:jc w:val="center"/>
              <w:rPr>
                <w:bCs/>
              </w:rPr>
            </w:pPr>
          </w:p>
        </w:tc>
        <w:tc>
          <w:tcPr>
            <w:tcW w:w="630" w:type="pct"/>
            <w:vAlign w:val="center"/>
          </w:tcPr>
          <w:p w14:paraId="0BFBBE21" w14:textId="77777777" w:rsidR="006A6BB8" w:rsidRPr="00652C95" w:rsidRDefault="006A6BB8" w:rsidP="00AA43F3">
            <w:pPr>
              <w:pStyle w:val="Tabletext"/>
              <w:jc w:val="center"/>
              <w:rPr>
                <w:bCs/>
              </w:rPr>
            </w:pPr>
          </w:p>
        </w:tc>
        <w:tc>
          <w:tcPr>
            <w:tcW w:w="521" w:type="pct"/>
            <w:vAlign w:val="center"/>
          </w:tcPr>
          <w:p w14:paraId="53B9A3E5" w14:textId="77777777" w:rsidR="006A6BB8" w:rsidRPr="00652C95" w:rsidRDefault="006A6BB8" w:rsidP="00AA43F3">
            <w:pPr>
              <w:pStyle w:val="Tabletext"/>
              <w:jc w:val="center"/>
              <w:rPr>
                <w:bCs/>
              </w:rPr>
            </w:pPr>
          </w:p>
        </w:tc>
        <w:tc>
          <w:tcPr>
            <w:tcW w:w="481" w:type="pct"/>
            <w:vAlign w:val="center"/>
          </w:tcPr>
          <w:p w14:paraId="13D172F8" w14:textId="77777777" w:rsidR="006A6BB8" w:rsidRPr="00652C95" w:rsidRDefault="006A6BB8" w:rsidP="00AA43F3">
            <w:pPr>
              <w:pStyle w:val="Tabletext"/>
              <w:jc w:val="center"/>
              <w:rPr>
                <w:bCs/>
              </w:rPr>
            </w:pPr>
          </w:p>
        </w:tc>
      </w:tr>
      <w:tr w:rsidR="007D2D00" w:rsidRPr="00652C95" w14:paraId="33FD6A25" w14:textId="77777777" w:rsidTr="00CA3EE2">
        <w:tc>
          <w:tcPr>
            <w:tcW w:w="2749" w:type="pct"/>
            <w:vAlign w:val="center"/>
          </w:tcPr>
          <w:p w14:paraId="3C7447C4" w14:textId="71FEE874" w:rsidR="006A6BB8" w:rsidRPr="00652C95" w:rsidRDefault="002E644F" w:rsidP="00AA43F3">
            <w:pPr>
              <w:pStyle w:val="Tabletext"/>
              <w:tabs>
                <w:tab w:val="left" w:pos="164"/>
              </w:tabs>
              <w:ind w:right="58"/>
              <w:rPr>
                <w:bCs/>
              </w:rPr>
            </w:pPr>
            <w:r>
              <w:rPr>
                <w:bCs/>
              </w:rPr>
              <w:tab/>
            </w:r>
            <w:r w:rsidR="006A6BB8" w:rsidRPr="00652C95">
              <w:rPr>
                <w:bCs/>
              </w:rPr>
              <w:t>Assume $6,050 terminal cost as in sacituzumab govitecan</w:t>
            </w:r>
          </w:p>
        </w:tc>
        <w:tc>
          <w:tcPr>
            <w:tcW w:w="619" w:type="pct"/>
            <w:shd w:val="solid" w:color="000000" w:fill="000000"/>
            <w:vAlign w:val="center"/>
          </w:tcPr>
          <w:p w14:paraId="53F202EB" w14:textId="4793AD5D" w:rsidR="006A6BB8" w:rsidRPr="00652C95" w:rsidRDefault="00BB281C" w:rsidP="00AA43F3">
            <w:pPr>
              <w:pStyle w:val="Tabletext"/>
              <w:jc w:val="center"/>
              <w:rPr>
                <w:bCs/>
              </w:rPr>
            </w:pPr>
            <w:r w:rsidRPr="00BB281C">
              <w:rPr>
                <w:bCs/>
                <w:color w:val="000000"/>
                <w:spacing w:val="155"/>
                <w:fitText w:val="241" w:id="-1234422524"/>
                <w14:textFill>
                  <w14:solidFill>
                    <w14:srgbClr w14:val="000000">
                      <w14:alpha w14:val="100000"/>
                    </w14:srgbClr>
                  </w14:solidFill>
                </w14:textFill>
              </w:rPr>
              <w:t>|</w:t>
            </w:r>
            <w:r w:rsidRPr="00BB281C">
              <w:rPr>
                <w:bCs/>
                <w:color w:val="000000"/>
                <w:fitText w:val="241" w:id="-1234422524"/>
                <w14:textFill>
                  <w14:solidFill>
                    <w14:srgbClr w14:val="000000">
                      <w14:alpha w14:val="100000"/>
                    </w14:srgbClr>
                  </w14:solidFill>
                </w14:textFill>
              </w:rPr>
              <w:t>|</w:t>
            </w:r>
          </w:p>
        </w:tc>
        <w:tc>
          <w:tcPr>
            <w:tcW w:w="630" w:type="pct"/>
            <w:vAlign w:val="center"/>
          </w:tcPr>
          <w:p w14:paraId="0666CD9D" w14:textId="75D9F182" w:rsidR="006A6BB8" w:rsidRPr="00652C95" w:rsidRDefault="006A6BB8" w:rsidP="00AA43F3">
            <w:pPr>
              <w:pStyle w:val="Tabletext"/>
              <w:jc w:val="center"/>
              <w:rPr>
                <w:bCs/>
              </w:rPr>
            </w:pPr>
            <w:r w:rsidRPr="00652C95">
              <w:rPr>
                <w:bCs/>
              </w:rPr>
              <w:t>1.57</w:t>
            </w:r>
          </w:p>
        </w:tc>
        <w:tc>
          <w:tcPr>
            <w:tcW w:w="521" w:type="pct"/>
            <w:vAlign w:val="center"/>
          </w:tcPr>
          <w:p w14:paraId="30EAA427" w14:textId="750491F3" w:rsidR="006A6BB8" w:rsidRPr="00652C95" w:rsidRDefault="00BB281C" w:rsidP="00AA43F3">
            <w:pPr>
              <w:pStyle w:val="Tabletext"/>
              <w:jc w:val="center"/>
              <w:rPr>
                <w:bCs/>
              </w:rPr>
            </w:pPr>
            <w:r w:rsidRPr="00BB281C">
              <w:rPr>
                <w:bCs/>
                <w:color w:val="000000"/>
                <w:spacing w:val="70"/>
                <w:shd w:val="solid" w:color="000000" w:fill="000000"/>
                <w:fitText w:val="381" w:id="-1234422523"/>
                <w14:textFill>
                  <w14:solidFill>
                    <w14:srgbClr w14:val="000000">
                      <w14:alpha w14:val="100000"/>
                    </w14:srgbClr>
                  </w14:solidFill>
                </w14:textFill>
              </w:rPr>
              <w:t>|||</w:t>
            </w:r>
            <w:r w:rsidRPr="00BB281C">
              <w:rPr>
                <w:bCs/>
                <w:color w:val="000000"/>
                <w:spacing w:val="1"/>
                <w:shd w:val="solid" w:color="000000" w:fill="000000"/>
                <w:fitText w:val="381" w:id="-1234422523"/>
                <w14:textFill>
                  <w14:solidFill>
                    <w14:srgbClr w14:val="000000">
                      <w14:alpha w14:val="100000"/>
                    </w14:srgbClr>
                  </w14:solidFill>
                </w14:textFill>
              </w:rPr>
              <w:t>|</w:t>
            </w:r>
            <w:r w:rsidR="004E2962" w:rsidRPr="004E2962">
              <w:rPr>
                <w:bCs/>
                <w:vertAlign w:val="superscript"/>
              </w:rPr>
              <w:t>4</w:t>
            </w:r>
          </w:p>
        </w:tc>
        <w:tc>
          <w:tcPr>
            <w:tcW w:w="481" w:type="pct"/>
            <w:vAlign w:val="center"/>
          </w:tcPr>
          <w:p w14:paraId="34A834C6" w14:textId="06CF8EC8" w:rsidR="006A6BB8" w:rsidRPr="00652C95" w:rsidRDefault="006A6BB8" w:rsidP="00AA43F3">
            <w:pPr>
              <w:pStyle w:val="Tabletext"/>
              <w:jc w:val="center"/>
              <w:rPr>
                <w:bCs/>
              </w:rPr>
            </w:pPr>
            <w:r w:rsidRPr="00652C95">
              <w:rPr>
                <w:bCs/>
              </w:rPr>
              <w:t>5.7%</w:t>
            </w:r>
          </w:p>
        </w:tc>
      </w:tr>
      <w:tr w:rsidR="004245AA" w:rsidRPr="00652C95" w14:paraId="53138ACE" w14:textId="77777777" w:rsidTr="00C61D2E">
        <w:tc>
          <w:tcPr>
            <w:tcW w:w="5000" w:type="pct"/>
            <w:gridSpan w:val="5"/>
            <w:vAlign w:val="center"/>
          </w:tcPr>
          <w:p w14:paraId="4557C453" w14:textId="703395E1" w:rsidR="006A6BB8" w:rsidRPr="00652C95" w:rsidRDefault="006A6BB8" w:rsidP="00AA43F3">
            <w:pPr>
              <w:pStyle w:val="Tabletext"/>
              <w:ind w:right="57"/>
            </w:pPr>
            <w:r w:rsidRPr="00652C95">
              <w:t xml:space="preserve">Treatment effect waning (not applied in </w:t>
            </w:r>
            <w:r w:rsidR="002E644F">
              <w:t>base case</w:t>
            </w:r>
            <w:r w:rsidRPr="00652C95">
              <w:t>)</w:t>
            </w:r>
          </w:p>
        </w:tc>
      </w:tr>
      <w:tr w:rsidR="007D2D00" w:rsidRPr="00652C95" w14:paraId="32EB1077" w14:textId="77777777" w:rsidTr="00CA3EE2">
        <w:tc>
          <w:tcPr>
            <w:tcW w:w="2749" w:type="pct"/>
            <w:vAlign w:val="center"/>
          </w:tcPr>
          <w:p w14:paraId="2FC0D4D5" w14:textId="05C85DE6" w:rsidR="006A6BB8" w:rsidRPr="00652C95" w:rsidRDefault="002E644F" w:rsidP="00AA43F3">
            <w:pPr>
              <w:pStyle w:val="Tabletext"/>
              <w:tabs>
                <w:tab w:val="left" w:pos="164"/>
              </w:tabs>
              <w:ind w:right="57"/>
              <w:rPr>
                <w:b/>
              </w:rPr>
            </w:pPr>
            <w:r>
              <w:tab/>
            </w:r>
            <w:r w:rsidR="006A6BB8" w:rsidRPr="00652C95">
              <w:t>Applied after 8 years</w:t>
            </w:r>
          </w:p>
        </w:tc>
        <w:tc>
          <w:tcPr>
            <w:tcW w:w="619" w:type="pct"/>
            <w:tcBorders>
              <w:bottom w:val="single" w:sz="4" w:space="0" w:color="auto"/>
            </w:tcBorders>
            <w:shd w:val="solid" w:color="000000" w:fill="000000"/>
            <w:vAlign w:val="center"/>
          </w:tcPr>
          <w:p w14:paraId="13B1BA9C" w14:textId="1ABF9A2A" w:rsidR="006A6BB8" w:rsidRPr="006C5FAF" w:rsidRDefault="00BB281C" w:rsidP="00AA43F3">
            <w:pPr>
              <w:pStyle w:val="Tabletext"/>
              <w:ind w:right="57"/>
              <w:jc w:val="center"/>
              <w:rPr>
                <w:highlight w:val="darkGray"/>
              </w:rPr>
            </w:pPr>
            <w:r w:rsidRPr="00BB281C">
              <w:rPr>
                <w:color w:val="000000"/>
                <w:spacing w:val="179"/>
                <w:fitText w:val="265" w:id="-1234422522"/>
                <w14:textFill>
                  <w14:solidFill>
                    <w14:srgbClr w14:val="000000">
                      <w14:alpha w14:val="100000"/>
                    </w14:srgbClr>
                  </w14:solidFill>
                </w14:textFill>
              </w:rPr>
              <w:t>|</w:t>
            </w:r>
            <w:r w:rsidRPr="00BB281C">
              <w:rPr>
                <w:color w:val="000000"/>
                <w:fitText w:val="265" w:id="-1234422522"/>
                <w14:textFill>
                  <w14:solidFill>
                    <w14:srgbClr w14:val="000000">
                      <w14:alpha w14:val="100000"/>
                    </w14:srgbClr>
                  </w14:solidFill>
                </w14:textFill>
              </w:rPr>
              <w:t>|</w:t>
            </w:r>
          </w:p>
        </w:tc>
        <w:tc>
          <w:tcPr>
            <w:tcW w:w="630" w:type="pct"/>
            <w:vAlign w:val="center"/>
          </w:tcPr>
          <w:p w14:paraId="2450B43C" w14:textId="77777777" w:rsidR="006A6BB8" w:rsidRPr="00652C95" w:rsidRDefault="006A6BB8" w:rsidP="00AA43F3">
            <w:pPr>
              <w:pStyle w:val="Tabletext"/>
              <w:ind w:right="57"/>
              <w:jc w:val="center"/>
            </w:pPr>
            <w:r w:rsidRPr="00652C95">
              <w:t>1.16</w:t>
            </w:r>
          </w:p>
        </w:tc>
        <w:tc>
          <w:tcPr>
            <w:tcW w:w="521" w:type="pct"/>
            <w:vAlign w:val="center"/>
          </w:tcPr>
          <w:p w14:paraId="471F392A" w14:textId="5F441F54" w:rsidR="006A6BB8" w:rsidRPr="006C5FAF" w:rsidRDefault="00BB281C" w:rsidP="00AA43F3">
            <w:pPr>
              <w:pStyle w:val="Tabletext"/>
              <w:ind w:right="57"/>
              <w:jc w:val="center"/>
              <w:rPr>
                <w:highlight w:val="darkGray"/>
              </w:rPr>
            </w:pPr>
            <w:r w:rsidRPr="00BB281C">
              <w:rPr>
                <w:color w:val="000000"/>
                <w:spacing w:val="77"/>
                <w:shd w:val="solid" w:color="000000" w:fill="000000"/>
                <w:fitText w:val="403" w:id="-1234422521"/>
                <w14:textFill>
                  <w14:solidFill>
                    <w14:srgbClr w14:val="000000">
                      <w14:alpha w14:val="100000"/>
                    </w14:srgbClr>
                  </w14:solidFill>
                </w14:textFill>
              </w:rPr>
              <w:t>|||</w:t>
            </w:r>
            <w:r w:rsidRPr="00BB281C">
              <w:rPr>
                <w:color w:val="000000"/>
                <w:spacing w:val="2"/>
                <w:shd w:val="solid" w:color="000000" w:fill="000000"/>
                <w:fitText w:val="403" w:id="-1234422521"/>
                <w14:textFill>
                  <w14:solidFill>
                    <w14:srgbClr w14:val="000000">
                      <w14:alpha w14:val="100000"/>
                    </w14:srgbClr>
                  </w14:solidFill>
                </w14:textFill>
              </w:rPr>
              <w:t>|</w:t>
            </w:r>
            <w:r w:rsidR="004E2962" w:rsidRPr="004E2962">
              <w:rPr>
                <w:bCs/>
                <w:vertAlign w:val="superscript"/>
              </w:rPr>
              <w:t>2</w:t>
            </w:r>
          </w:p>
        </w:tc>
        <w:tc>
          <w:tcPr>
            <w:tcW w:w="481" w:type="pct"/>
            <w:vAlign w:val="center"/>
          </w:tcPr>
          <w:p w14:paraId="13E0D228" w14:textId="77777777" w:rsidR="006A6BB8" w:rsidRPr="00652C95" w:rsidRDefault="006A6BB8" w:rsidP="00AA43F3">
            <w:pPr>
              <w:pStyle w:val="Tabletext"/>
              <w:ind w:right="57"/>
              <w:jc w:val="center"/>
            </w:pPr>
            <w:r w:rsidRPr="00652C95">
              <w:t>20.0%</w:t>
            </w:r>
          </w:p>
        </w:tc>
      </w:tr>
      <w:tr w:rsidR="007D2D00" w:rsidRPr="00652C95" w14:paraId="4C9138E8" w14:textId="77777777" w:rsidTr="00CA3EE2">
        <w:tc>
          <w:tcPr>
            <w:tcW w:w="2749" w:type="pct"/>
            <w:vAlign w:val="center"/>
          </w:tcPr>
          <w:p w14:paraId="7EE36717" w14:textId="72C6FB25" w:rsidR="006A6BB8" w:rsidRPr="00652C95" w:rsidRDefault="002E644F" w:rsidP="00AA43F3">
            <w:pPr>
              <w:pStyle w:val="Tabletext"/>
              <w:tabs>
                <w:tab w:val="left" w:pos="164"/>
              </w:tabs>
              <w:ind w:right="57"/>
              <w:rPr>
                <w:b/>
              </w:rPr>
            </w:pPr>
            <w:r>
              <w:tab/>
            </w:r>
            <w:r w:rsidR="006A6BB8" w:rsidRPr="00652C95">
              <w:t>Applied after 6 years</w:t>
            </w:r>
          </w:p>
        </w:tc>
        <w:tc>
          <w:tcPr>
            <w:tcW w:w="619" w:type="pct"/>
            <w:tcBorders>
              <w:bottom w:val="single" w:sz="4" w:space="0" w:color="auto"/>
            </w:tcBorders>
            <w:shd w:val="solid" w:color="000000" w:fill="000000"/>
            <w:vAlign w:val="center"/>
          </w:tcPr>
          <w:p w14:paraId="74F6D098" w14:textId="6539CA93" w:rsidR="006A6BB8" w:rsidRPr="006C5FAF" w:rsidRDefault="00BB281C" w:rsidP="00AA43F3">
            <w:pPr>
              <w:pStyle w:val="Tabletext"/>
              <w:ind w:right="57"/>
              <w:jc w:val="center"/>
              <w:rPr>
                <w:highlight w:val="darkGray"/>
              </w:rPr>
            </w:pPr>
            <w:r w:rsidRPr="00BB281C">
              <w:rPr>
                <w:color w:val="000000"/>
                <w:spacing w:val="179"/>
                <w:fitText w:val="265" w:id="-1234422520"/>
                <w14:textFill>
                  <w14:solidFill>
                    <w14:srgbClr w14:val="000000">
                      <w14:alpha w14:val="100000"/>
                    </w14:srgbClr>
                  </w14:solidFill>
                </w14:textFill>
              </w:rPr>
              <w:t>|</w:t>
            </w:r>
            <w:r w:rsidRPr="00BB281C">
              <w:rPr>
                <w:color w:val="000000"/>
                <w:fitText w:val="265" w:id="-1234422520"/>
                <w14:textFill>
                  <w14:solidFill>
                    <w14:srgbClr w14:val="000000">
                      <w14:alpha w14:val="100000"/>
                    </w14:srgbClr>
                  </w14:solidFill>
                </w14:textFill>
              </w:rPr>
              <w:t>|</w:t>
            </w:r>
          </w:p>
        </w:tc>
        <w:tc>
          <w:tcPr>
            <w:tcW w:w="630" w:type="pct"/>
            <w:vAlign w:val="center"/>
          </w:tcPr>
          <w:p w14:paraId="3BAD3F25" w14:textId="77777777" w:rsidR="006A6BB8" w:rsidRPr="00652C95" w:rsidRDefault="006A6BB8" w:rsidP="00AA43F3">
            <w:pPr>
              <w:pStyle w:val="Tabletext"/>
              <w:ind w:right="57"/>
              <w:jc w:val="center"/>
            </w:pPr>
            <w:r w:rsidRPr="00652C95">
              <w:t>0.97</w:t>
            </w:r>
          </w:p>
        </w:tc>
        <w:tc>
          <w:tcPr>
            <w:tcW w:w="521" w:type="pct"/>
            <w:vAlign w:val="center"/>
          </w:tcPr>
          <w:p w14:paraId="005C45E3" w14:textId="24F90A72" w:rsidR="006A6BB8" w:rsidRPr="006C5FAF" w:rsidRDefault="00BB281C" w:rsidP="00AA43F3">
            <w:pPr>
              <w:pStyle w:val="Tabletext"/>
              <w:ind w:right="57"/>
              <w:jc w:val="center"/>
              <w:rPr>
                <w:highlight w:val="darkGray"/>
              </w:rPr>
            </w:pPr>
            <w:r w:rsidRPr="00BB281C">
              <w:rPr>
                <w:color w:val="000000"/>
                <w:spacing w:val="77"/>
                <w:shd w:val="solid" w:color="000000" w:fill="000000"/>
                <w:fitText w:val="403" w:id="-1234422519"/>
                <w14:textFill>
                  <w14:solidFill>
                    <w14:srgbClr w14:val="000000">
                      <w14:alpha w14:val="100000"/>
                    </w14:srgbClr>
                  </w14:solidFill>
                </w14:textFill>
              </w:rPr>
              <w:t>|||</w:t>
            </w:r>
            <w:r w:rsidRPr="00BB281C">
              <w:rPr>
                <w:color w:val="000000"/>
                <w:spacing w:val="2"/>
                <w:shd w:val="solid" w:color="000000" w:fill="000000"/>
                <w:fitText w:val="403" w:id="-1234422519"/>
                <w14:textFill>
                  <w14:solidFill>
                    <w14:srgbClr w14:val="000000">
                      <w14:alpha w14:val="100000"/>
                    </w14:srgbClr>
                  </w14:solidFill>
                </w14:textFill>
              </w:rPr>
              <w:t>|</w:t>
            </w:r>
            <w:r w:rsidR="004E2962" w:rsidRPr="004E2962">
              <w:rPr>
                <w:vertAlign w:val="superscript"/>
              </w:rPr>
              <w:t>5</w:t>
            </w:r>
          </w:p>
        </w:tc>
        <w:tc>
          <w:tcPr>
            <w:tcW w:w="481" w:type="pct"/>
            <w:vAlign w:val="center"/>
          </w:tcPr>
          <w:p w14:paraId="6EF1C7F7" w14:textId="77777777" w:rsidR="006A6BB8" w:rsidRPr="00652C95" w:rsidRDefault="006A6BB8" w:rsidP="00AA43F3">
            <w:pPr>
              <w:pStyle w:val="Tabletext"/>
              <w:ind w:right="57"/>
              <w:jc w:val="center"/>
            </w:pPr>
            <w:r w:rsidRPr="00652C95">
              <w:t>75.6%</w:t>
            </w:r>
          </w:p>
        </w:tc>
      </w:tr>
      <w:tr w:rsidR="007D2D00" w:rsidRPr="00652C95" w14:paraId="679A70DB" w14:textId="77777777" w:rsidTr="00CA3EE2">
        <w:tc>
          <w:tcPr>
            <w:tcW w:w="2749" w:type="pct"/>
            <w:vAlign w:val="center"/>
          </w:tcPr>
          <w:p w14:paraId="7A40ECFA" w14:textId="569DBC4B" w:rsidR="006A6BB8" w:rsidRPr="00652C95" w:rsidRDefault="002E644F" w:rsidP="00AA43F3">
            <w:pPr>
              <w:pStyle w:val="Tabletext"/>
              <w:tabs>
                <w:tab w:val="left" w:pos="164"/>
              </w:tabs>
              <w:ind w:left="164" w:right="57" w:hanging="164"/>
              <w:rPr>
                <w:b/>
              </w:rPr>
            </w:pPr>
            <w:r>
              <w:tab/>
            </w:r>
            <w:r w:rsidR="006A6BB8" w:rsidRPr="00652C95">
              <w:t>Applied after 5 years</w:t>
            </w:r>
          </w:p>
        </w:tc>
        <w:tc>
          <w:tcPr>
            <w:tcW w:w="619" w:type="pct"/>
            <w:tcBorders>
              <w:bottom w:val="single" w:sz="4" w:space="0" w:color="auto"/>
            </w:tcBorders>
            <w:shd w:val="solid" w:color="000000" w:fill="000000"/>
            <w:vAlign w:val="center"/>
          </w:tcPr>
          <w:p w14:paraId="27D024B7" w14:textId="1CBB6810" w:rsidR="006A6BB8" w:rsidRPr="006C5FAF" w:rsidRDefault="00BB281C" w:rsidP="00AA43F3">
            <w:pPr>
              <w:pStyle w:val="Tabletext"/>
              <w:ind w:right="57"/>
              <w:jc w:val="center"/>
              <w:rPr>
                <w:highlight w:val="darkGray"/>
              </w:rPr>
            </w:pPr>
            <w:r w:rsidRPr="00BB281C">
              <w:rPr>
                <w:color w:val="000000"/>
                <w:spacing w:val="179"/>
                <w:fitText w:val="265" w:id="-1234422518"/>
                <w14:textFill>
                  <w14:solidFill>
                    <w14:srgbClr w14:val="000000">
                      <w14:alpha w14:val="100000"/>
                    </w14:srgbClr>
                  </w14:solidFill>
                </w14:textFill>
              </w:rPr>
              <w:t>|</w:t>
            </w:r>
            <w:r w:rsidRPr="00BB281C">
              <w:rPr>
                <w:color w:val="000000"/>
                <w:fitText w:val="265" w:id="-1234422518"/>
                <w14:textFill>
                  <w14:solidFill>
                    <w14:srgbClr w14:val="000000">
                      <w14:alpha w14:val="100000"/>
                    </w14:srgbClr>
                  </w14:solidFill>
                </w14:textFill>
              </w:rPr>
              <w:t>|</w:t>
            </w:r>
          </w:p>
        </w:tc>
        <w:tc>
          <w:tcPr>
            <w:tcW w:w="630" w:type="pct"/>
            <w:vAlign w:val="center"/>
          </w:tcPr>
          <w:p w14:paraId="771D378D" w14:textId="77777777" w:rsidR="006A6BB8" w:rsidRPr="00652C95" w:rsidRDefault="006A6BB8" w:rsidP="00AA43F3">
            <w:pPr>
              <w:pStyle w:val="Tabletext"/>
              <w:ind w:right="57"/>
              <w:jc w:val="center"/>
            </w:pPr>
            <w:r w:rsidRPr="00652C95">
              <w:t>0.85</w:t>
            </w:r>
          </w:p>
        </w:tc>
        <w:tc>
          <w:tcPr>
            <w:tcW w:w="521" w:type="pct"/>
            <w:vAlign w:val="center"/>
          </w:tcPr>
          <w:p w14:paraId="36E90978" w14:textId="3C5AF588" w:rsidR="006A6BB8" w:rsidRPr="006C5FAF" w:rsidRDefault="00BB281C" w:rsidP="00AA43F3">
            <w:pPr>
              <w:pStyle w:val="Tabletext"/>
              <w:ind w:right="57"/>
              <w:jc w:val="center"/>
              <w:rPr>
                <w:highlight w:val="darkGray"/>
              </w:rPr>
            </w:pPr>
            <w:r w:rsidRPr="00BB281C">
              <w:rPr>
                <w:color w:val="000000"/>
                <w:spacing w:val="77"/>
                <w:shd w:val="solid" w:color="000000" w:fill="000000"/>
                <w:fitText w:val="403" w:id="-1234422517"/>
                <w14:textFill>
                  <w14:solidFill>
                    <w14:srgbClr w14:val="000000">
                      <w14:alpha w14:val="100000"/>
                    </w14:srgbClr>
                  </w14:solidFill>
                </w14:textFill>
              </w:rPr>
              <w:t>|||</w:t>
            </w:r>
            <w:r w:rsidRPr="00BB281C">
              <w:rPr>
                <w:color w:val="000000"/>
                <w:spacing w:val="2"/>
                <w:shd w:val="solid" w:color="000000" w:fill="000000"/>
                <w:fitText w:val="403" w:id="-1234422517"/>
                <w14:textFill>
                  <w14:solidFill>
                    <w14:srgbClr w14:val="000000">
                      <w14:alpha w14:val="100000"/>
                    </w14:srgbClr>
                  </w14:solidFill>
                </w14:textFill>
              </w:rPr>
              <w:t>|</w:t>
            </w:r>
            <w:r w:rsidR="004E2962" w:rsidRPr="004E2962">
              <w:rPr>
                <w:vertAlign w:val="superscript"/>
              </w:rPr>
              <w:t>5</w:t>
            </w:r>
          </w:p>
        </w:tc>
        <w:tc>
          <w:tcPr>
            <w:tcW w:w="481" w:type="pct"/>
            <w:vAlign w:val="center"/>
          </w:tcPr>
          <w:p w14:paraId="251D1424" w14:textId="77777777" w:rsidR="006A6BB8" w:rsidRPr="00652C95" w:rsidRDefault="006A6BB8" w:rsidP="00AA43F3">
            <w:pPr>
              <w:pStyle w:val="Tabletext"/>
              <w:ind w:right="57"/>
              <w:jc w:val="center"/>
            </w:pPr>
            <w:r w:rsidRPr="00652C95">
              <w:t>102.7%</w:t>
            </w:r>
          </w:p>
        </w:tc>
      </w:tr>
      <w:tr w:rsidR="007D2D00" w:rsidRPr="00652C95" w14:paraId="3DD6DC0C" w14:textId="77777777" w:rsidTr="00CA3EE2">
        <w:tc>
          <w:tcPr>
            <w:tcW w:w="2749" w:type="pct"/>
            <w:vAlign w:val="center"/>
          </w:tcPr>
          <w:p w14:paraId="2AE88236" w14:textId="7C4D5AD7" w:rsidR="006A6BB8" w:rsidRPr="00652C95" w:rsidRDefault="002E644F" w:rsidP="00AA43F3">
            <w:pPr>
              <w:pStyle w:val="Tabletext"/>
              <w:tabs>
                <w:tab w:val="left" w:pos="164"/>
              </w:tabs>
              <w:ind w:right="57"/>
              <w:rPr>
                <w:bCs/>
              </w:rPr>
            </w:pPr>
            <w:r>
              <w:tab/>
            </w:r>
            <w:r w:rsidR="006A6BB8" w:rsidRPr="00652C95">
              <w:t>Applied after 4 years</w:t>
            </w:r>
          </w:p>
        </w:tc>
        <w:tc>
          <w:tcPr>
            <w:tcW w:w="619" w:type="pct"/>
            <w:shd w:val="solid" w:color="000000" w:fill="000000"/>
            <w:vAlign w:val="center"/>
          </w:tcPr>
          <w:p w14:paraId="34D826BD" w14:textId="21D54552" w:rsidR="006A6BB8" w:rsidRPr="006C5FAF" w:rsidRDefault="00BB281C" w:rsidP="00AA43F3">
            <w:pPr>
              <w:pStyle w:val="Tabletext"/>
              <w:ind w:right="57"/>
              <w:jc w:val="center"/>
              <w:rPr>
                <w:bCs/>
                <w:highlight w:val="darkGray"/>
              </w:rPr>
            </w:pPr>
            <w:r w:rsidRPr="00BB281C">
              <w:rPr>
                <w:color w:val="000000"/>
                <w:spacing w:val="179"/>
                <w:fitText w:val="265" w:id="-1234422516"/>
                <w14:textFill>
                  <w14:solidFill>
                    <w14:srgbClr w14:val="000000">
                      <w14:alpha w14:val="100000"/>
                    </w14:srgbClr>
                  </w14:solidFill>
                </w14:textFill>
              </w:rPr>
              <w:t>|</w:t>
            </w:r>
            <w:r w:rsidRPr="00BB281C">
              <w:rPr>
                <w:color w:val="000000"/>
                <w:fitText w:val="265" w:id="-1234422516"/>
                <w14:textFill>
                  <w14:solidFill>
                    <w14:srgbClr w14:val="000000">
                      <w14:alpha w14:val="100000"/>
                    </w14:srgbClr>
                  </w14:solidFill>
                </w14:textFill>
              </w:rPr>
              <w:t>|</w:t>
            </w:r>
          </w:p>
        </w:tc>
        <w:tc>
          <w:tcPr>
            <w:tcW w:w="630" w:type="pct"/>
            <w:vAlign w:val="center"/>
          </w:tcPr>
          <w:p w14:paraId="6352E152" w14:textId="77777777" w:rsidR="006A6BB8" w:rsidRPr="00652C95" w:rsidRDefault="006A6BB8" w:rsidP="00AA43F3">
            <w:pPr>
              <w:pStyle w:val="Tabletext"/>
              <w:ind w:right="57"/>
              <w:jc w:val="center"/>
              <w:rPr>
                <w:bCs/>
              </w:rPr>
            </w:pPr>
            <w:r w:rsidRPr="00652C95">
              <w:t>0.71</w:t>
            </w:r>
          </w:p>
        </w:tc>
        <w:tc>
          <w:tcPr>
            <w:tcW w:w="521" w:type="pct"/>
            <w:vAlign w:val="center"/>
          </w:tcPr>
          <w:p w14:paraId="7D9AFD9F" w14:textId="2099B0E5" w:rsidR="006A6BB8" w:rsidRPr="006C5FAF" w:rsidRDefault="00BB281C" w:rsidP="00AA43F3">
            <w:pPr>
              <w:pStyle w:val="Tabletext"/>
              <w:ind w:right="57"/>
              <w:jc w:val="center"/>
              <w:rPr>
                <w:bCs/>
                <w:highlight w:val="darkGray"/>
              </w:rPr>
            </w:pPr>
            <w:r w:rsidRPr="00BB281C">
              <w:rPr>
                <w:color w:val="000000"/>
                <w:spacing w:val="77"/>
                <w:shd w:val="solid" w:color="000000" w:fill="000000"/>
                <w:fitText w:val="403" w:id="-1234422515"/>
                <w14:textFill>
                  <w14:solidFill>
                    <w14:srgbClr w14:val="000000">
                      <w14:alpha w14:val="100000"/>
                    </w14:srgbClr>
                  </w14:solidFill>
                </w14:textFill>
              </w:rPr>
              <w:t>|||</w:t>
            </w:r>
            <w:r w:rsidRPr="00BB281C">
              <w:rPr>
                <w:color w:val="000000"/>
                <w:spacing w:val="2"/>
                <w:shd w:val="solid" w:color="000000" w:fill="000000"/>
                <w:fitText w:val="403" w:id="-1234422515"/>
                <w14:textFill>
                  <w14:solidFill>
                    <w14:srgbClr w14:val="000000">
                      <w14:alpha w14:val="100000"/>
                    </w14:srgbClr>
                  </w14:solidFill>
                </w14:textFill>
              </w:rPr>
              <w:t>|</w:t>
            </w:r>
            <w:r w:rsidR="004E2962">
              <w:rPr>
                <w:vertAlign w:val="superscript"/>
              </w:rPr>
              <w:t>6</w:t>
            </w:r>
          </w:p>
        </w:tc>
        <w:tc>
          <w:tcPr>
            <w:tcW w:w="481" w:type="pct"/>
            <w:vAlign w:val="center"/>
          </w:tcPr>
          <w:p w14:paraId="3E00C01D" w14:textId="77777777" w:rsidR="006A6BB8" w:rsidRPr="00652C95" w:rsidRDefault="006A6BB8" w:rsidP="00AA43F3">
            <w:pPr>
              <w:pStyle w:val="Tabletext"/>
              <w:ind w:right="57"/>
              <w:jc w:val="center"/>
              <w:rPr>
                <w:bCs/>
              </w:rPr>
            </w:pPr>
            <w:r w:rsidRPr="00652C95">
              <w:rPr>
                <w:bCs/>
              </w:rPr>
              <w:t>147.8%</w:t>
            </w:r>
          </w:p>
        </w:tc>
      </w:tr>
      <w:tr w:rsidR="007D2D00" w:rsidRPr="003A56EC" w14:paraId="7209BFAF" w14:textId="77777777" w:rsidTr="00CA3EE2">
        <w:trPr>
          <w:trHeight w:val="60"/>
        </w:trPr>
        <w:tc>
          <w:tcPr>
            <w:tcW w:w="2749" w:type="pct"/>
            <w:vAlign w:val="center"/>
          </w:tcPr>
          <w:p w14:paraId="76C48515" w14:textId="77777777" w:rsidR="006A6BB8" w:rsidRPr="003A56EC" w:rsidRDefault="006A6BB8" w:rsidP="00AA43F3">
            <w:pPr>
              <w:pStyle w:val="Tabletext"/>
              <w:ind w:right="57"/>
              <w:rPr>
                <w:b/>
                <w:bCs/>
              </w:rPr>
            </w:pPr>
            <w:r w:rsidRPr="003A56EC">
              <w:rPr>
                <w:b/>
                <w:bCs/>
              </w:rPr>
              <w:t>Multivariate sensitivity analyses</w:t>
            </w:r>
          </w:p>
        </w:tc>
        <w:tc>
          <w:tcPr>
            <w:tcW w:w="619" w:type="pct"/>
            <w:tcBorders>
              <w:bottom w:val="single" w:sz="4" w:space="0" w:color="auto"/>
            </w:tcBorders>
            <w:vAlign w:val="center"/>
          </w:tcPr>
          <w:p w14:paraId="6C3276D4" w14:textId="77777777" w:rsidR="006A6BB8" w:rsidRPr="006C5FAF" w:rsidRDefault="006A6BB8" w:rsidP="00AA43F3">
            <w:pPr>
              <w:pStyle w:val="Tabletext"/>
              <w:ind w:right="57"/>
              <w:rPr>
                <w:b/>
                <w:bCs/>
                <w:highlight w:val="darkGray"/>
              </w:rPr>
            </w:pPr>
          </w:p>
        </w:tc>
        <w:tc>
          <w:tcPr>
            <w:tcW w:w="630" w:type="pct"/>
            <w:vAlign w:val="center"/>
          </w:tcPr>
          <w:p w14:paraId="67059B20" w14:textId="77777777" w:rsidR="006A6BB8" w:rsidRPr="003A56EC" w:rsidRDefault="006A6BB8" w:rsidP="00AA43F3">
            <w:pPr>
              <w:pStyle w:val="Tabletext"/>
              <w:ind w:right="57"/>
              <w:rPr>
                <w:b/>
                <w:bCs/>
              </w:rPr>
            </w:pPr>
          </w:p>
        </w:tc>
        <w:tc>
          <w:tcPr>
            <w:tcW w:w="521" w:type="pct"/>
            <w:vAlign w:val="center"/>
          </w:tcPr>
          <w:p w14:paraId="5D1CFB0E" w14:textId="77777777" w:rsidR="006A6BB8" w:rsidRPr="003A56EC" w:rsidRDefault="006A6BB8" w:rsidP="00AA43F3">
            <w:pPr>
              <w:pStyle w:val="Tabletext"/>
              <w:ind w:right="57"/>
              <w:rPr>
                <w:b/>
                <w:bCs/>
              </w:rPr>
            </w:pPr>
          </w:p>
        </w:tc>
        <w:tc>
          <w:tcPr>
            <w:tcW w:w="481" w:type="pct"/>
            <w:vAlign w:val="center"/>
          </w:tcPr>
          <w:p w14:paraId="3BD83F86" w14:textId="77777777" w:rsidR="006A6BB8" w:rsidRPr="003A56EC" w:rsidRDefault="006A6BB8" w:rsidP="00AA43F3">
            <w:pPr>
              <w:pStyle w:val="Tabletext"/>
              <w:ind w:right="57"/>
              <w:rPr>
                <w:b/>
                <w:bCs/>
              </w:rPr>
            </w:pPr>
          </w:p>
        </w:tc>
      </w:tr>
      <w:tr w:rsidR="003A56EC" w:rsidRPr="00096B52" w14:paraId="33E68079" w14:textId="77777777" w:rsidTr="00CA3EE2">
        <w:tc>
          <w:tcPr>
            <w:tcW w:w="2749" w:type="pct"/>
            <w:vAlign w:val="center"/>
          </w:tcPr>
          <w:p w14:paraId="4B0EDA17" w14:textId="443B21A0" w:rsidR="003A56EC" w:rsidRPr="00096B52" w:rsidRDefault="003A56EC" w:rsidP="00AA43F3">
            <w:pPr>
              <w:pStyle w:val="Tabletext"/>
              <w:tabs>
                <w:tab w:val="left" w:pos="447"/>
              </w:tabs>
              <w:ind w:right="57"/>
            </w:pPr>
            <w:r w:rsidRPr="00096B52">
              <w:t>20 year time horizon, adjustment for adjuvant capecitabine, SG terminal care costs, treatment waning after 5 years</w:t>
            </w:r>
          </w:p>
        </w:tc>
        <w:tc>
          <w:tcPr>
            <w:tcW w:w="619" w:type="pct"/>
            <w:shd w:val="solid" w:color="000000" w:fill="000000"/>
            <w:vAlign w:val="center"/>
          </w:tcPr>
          <w:p w14:paraId="13D18CCF" w14:textId="6D3B108A" w:rsidR="003A56EC" w:rsidRPr="006C5FAF" w:rsidRDefault="00BB281C" w:rsidP="00AA43F3">
            <w:pPr>
              <w:pStyle w:val="Tabletext"/>
              <w:ind w:right="57"/>
              <w:jc w:val="center"/>
              <w:rPr>
                <w:highlight w:val="darkGray"/>
              </w:rPr>
            </w:pPr>
            <w:r w:rsidRPr="00BB281C">
              <w:rPr>
                <w:color w:val="000000"/>
                <w:spacing w:val="179"/>
                <w:fitText w:val="265" w:id="-1234422514"/>
                <w14:textFill>
                  <w14:solidFill>
                    <w14:srgbClr w14:val="000000">
                      <w14:alpha w14:val="100000"/>
                    </w14:srgbClr>
                  </w14:solidFill>
                </w14:textFill>
              </w:rPr>
              <w:t>|</w:t>
            </w:r>
            <w:r w:rsidRPr="00BB281C">
              <w:rPr>
                <w:color w:val="000000"/>
                <w:fitText w:val="265" w:id="-1234422514"/>
                <w14:textFill>
                  <w14:solidFill>
                    <w14:srgbClr w14:val="000000">
                      <w14:alpha w14:val="100000"/>
                    </w14:srgbClr>
                  </w14:solidFill>
                </w14:textFill>
              </w:rPr>
              <w:t>|</w:t>
            </w:r>
          </w:p>
        </w:tc>
        <w:tc>
          <w:tcPr>
            <w:tcW w:w="630" w:type="pct"/>
            <w:vAlign w:val="center"/>
          </w:tcPr>
          <w:p w14:paraId="69139C9D" w14:textId="489FDA8A" w:rsidR="003A56EC" w:rsidRPr="00096B52" w:rsidRDefault="003A56EC" w:rsidP="00AA43F3">
            <w:pPr>
              <w:pStyle w:val="Tabletext"/>
              <w:ind w:right="57"/>
              <w:jc w:val="center"/>
            </w:pPr>
            <w:r w:rsidRPr="00096B52">
              <w:t>0.61</w:t>
            </w:r>
          </w:p>
        </w:tc>
        <w:tc>
          <w:tcPr>
            <w:tcW w:w="521" w:type="pct"/>
            <w:vAlign w:val="center"/>
          </w:tcPr>
          <w:p w14:paraId="306C34D0" w14:textId="6F360CDE" w:rsidR="003A56EC" w:rsidRPr="00096B52" w:rsidRDefault="00BB281C" w:rsidP="00AA43F3">
            <w:pPr>
              <w:pStyle w:val="Tabletext"/>
              <w:ind w:right="57"/>
              <w:jc w:val="center"/>
            </w:pPr>
            <w:r w:rsidRPr="00BB281C">
              <w:rPr>
                <w:color w:val="000000"/>
                <w:spacing w:val="77"/>
                <w:shd w:val="solid" w:color="000000" w:fill="000000"/>
                <w:fitText w:val="403" w:id="-1234422513"/>
                <w14:textFill>
                  <w14:solidFill>
                    <w14:srgbClr w14:val="000000">
                      <w14:alpha w14:val="100000"/>
                    </w14:srgbClr>
                  </w14:solidFill>
                </w14:textFill>
              </w:rPr>
              <w:t>|||</w:t>
            </w:r>
            <w:r w:rsidRPr="00BB281C">
              <w:rPr>
                <w:color w:val="000000"/>
                <w:spacing w:val="2"/>
                <w:shd w:val="solid" w:color="000000" w:fill="000000"/>
                <w:fitText w:val="403" w:id="-1234422513"/>
                <w14:textFill>
                  <w14:solidFill>
                    <w14:srgbClr w14:val="000000">
                      <w14:alpha w14:val="100000"/>
                    </w14:srgbClr>
                  </w14:solidFill>
                </w14:textFill>
              </w:rPr>
              <w:t>|</w:t>
            </w:r>
            <w:r w:rsidR="004E2962">
              <w:rPr>
                <w:vertAlign w:val="superscript"/>
              </w:rPr>
              <w:t>7</w:t>
            </w:r>
          </w:p>
        </w:tc>
        <w:tc>
          <w:tcPr>
            <w:tcW w:w="481" w:type="pct"/>
            <w:vAlign w:val="center"/>
          </w:tcPr>
          <w:p w14:paraId="4232DA1E" w14:textId="1FAA9976" w:rsidR="003A56EC" w:rsidRPr="00096B52" w:rsidRDefault="003A56EC" w:rsidP="00AA43F3">
            <w:pPr>
              <w:pStyle w:val="Tabletext"/>
              <w:ind w:right="57"/>
              <w:jc w:val="center"/>
              <w:rPr>
                <w:bCs/>
              </w:rPr>
            </w:pPr>
            <w:r w:rsidRPr="00096B52">
              <w:rPr>
                <w:bCs/>
              </w:rPr>
              <w:t>188.4%</w:t>
            </w:r>
          </w:p>
        </w:tc>
      </w:tr>
      <w:tr w:rsidR="00096B52" w:rsidRPr="00096B52" w14:paraId="3D9F830A" w14:textId="77777777" w:rsidTr="00CA3EE2">
        <w:trPr>
          <w:trHeight w:val="60"/>
        </w:trPr>
        <w:tc>
          <w:tcPr>
            <w:tcW w:w="2749" w:type="pct"/>
            <w:vAlign w:val="center"/>
          </w:tcPr>
          <w:p w14:paraId="312A5C21" w14:textId="5A2DE6FE" w:rsidR="00096B52" w:rsidRPr="00096B52" w:rsidRDefault="00096B52" w:rsidP="00AA43F3">
            <w:pPr>
              <w:pStyle w:val="Tabletext"/>
              <w:tabs>
                <w:tab w:val="left" w:pos="447"/>
              </w:tabs>
              <w:ind w:right="57"/>
              <w:rPr>
                <w:b/>
                <w:bCs/>
              </w:rPr>
            </w:pPr>
            <w:r w:rsidRPr="00096B52">
              <w:rPr>
                <w:b/>
                <w:bCs/>
              </w:rPr>
              <w:t>Pre-PBAC response revised base case</w:t>
            </w:r>
          </w:p>
        </w:tc>
        <w:tc>
          <w:tcPr>
            <w:tcW w:w="619" w:type="pct"/>
            <w:tcBorders>
              <w:bottom w:val="single" w:sz="4" w:space="0" w:color="auto"/>
            </w:tcBorders>
            <w:vAlign w:val="center"/>
          </w:tcPr>
          <w:p w14:paraId="411D235F" w14:textId="77777777" w:rsidR="00096B52" w:rsidRPr="006C5FAF" w:rsidRDefault="00096B52" w:rsidP="00AA43F3">
            <w:pPr>
              <w:pStyle w:val="Tabletext"/>
              <w:ind w:right="57"/>
              <w:jc w:val="center"/>
              <w:rPr>
                <w:b/>
                <w:bCs/>
                <w:highlight w:val="darkGray"/>
              </w:rPr>
            </w:pPr>
          </w:p>
        </w:tc>
        <w:tc>
          <w:tcPr>
            <w:tcW w:w="630" w:type="pct"/>
            <w:vAlign w:val="center"/>
          </w:tcPr>
          <w:p w14:paraId="15E2D4FF" w14:textId="77777777" w:rsidR="00096B52" w:rsidRPr="00096B52" w:rsidRDefault="00096B52" w:rsidP="00AA43F3">
            <w:pPr>
              <w:pStyle w:val="Tabletext"/>
              <w:ind w:right="57"/>
              <w:jc w:val="center"/>
              <w:rPr>
                <w:b/>
                <w:bCs/>
              </w:rPr>
            </w:pPr>
          </w:p>
        </w:tc>
        <w:tc>
          <w:tcPr>
            <w:tcW w:w="521" w:type="pct"/>
            <w:vAlign w:val="center"/>
          </w:tcPr>
          <w:p w14:paraId="3A11FA2D" w14:textId="77777777" w:rsidR="00096B52" w:rsidRPr="00096B52" w:rsidRDefault="00096B52" w:rsidP="00AA43F3">
            <w:pPr>
              <w:pStyle w:val="Tabletext"/>
              <w:ind w:right="57"/>
              <w:jc w:val="center"/>
              <w:rPr>
                <w:b/>
                <w:bCs/>
              </w:rPr>
            </w:pPr>
          </w:p>
        </w:tc>
        <w:tc>
          <w:tcPr>
            <w:tcW w:w="481" w:type="pct"/>
            <w:vAlign w:val="center"/>
          </w:tcPr>
          <w:p w14:paraId="5EB76B62" w14:textId="77777777" w:rsidR="00096B52" w:rsidRPr="00096B52" w:rsidRDefault="00096B52" w:rsidP="00AA43F3">
            <w:pPr>
              <w:pStyle w:val="Tabletext"/>
              <w:ind w:right="57"/>
              <w:jc w:val="center"/>
              <w:rPr>
                <w:b/>
                <w:bCs/>
              </w:rPr>
            </w:pPr>
          </w:p>
        </w:tc>
      </w:tr>
      <w:tr w:rsidR="00096B52" w:rsidRPr="00096B52" w14:paraId="7CA62EF9" w14:textId="77777777" w:rsidTr="00CA3EE2">
        <w:tc>
          <w:tcPr>
            <w:tcW w:w="2749" w:type="pct"/>
            <w:vAlign w:val="center"/>
          </w:tcPr>
          <w:p w14:paraId="2001EC02" w14:textId="37EF46D6" w:rsidR="00096B52" w:rsidRPr="00096B52" w:rsidRDefault="00096B52" w:rsidP="00AA43F3">
            <w:pPr>
              <w:pStyle w:val="Tabletext"/>
              <w:tabs>
                <w:tab w:val="left" w:pos="447"/>
              </w:tabs>
              <w:ind w:right="57"/>
            </w:pPr>
            <w:r>
              <w:t>25</w:t>
            </w:r>
            <w:r w:rsidRPr="00096B52">
              <w:t xml:space="preserve"> year time horizon, adjustment for adjuvant capecitabine, SG terminal care costs, treatment waning after </w:t>
            </w:r>
            <w:r>
              <w:t>8</w:t>
            </w:r>
            <w:r w:rsidRPr="00096B52">
              <w:t xml:space="preserve"> years</w:t>
            </w:r>
          </w:p>
        </w:tc>
        <w:tc>
          <w:tcPr>
            <w:tcW w:w="619" w:type="pct"/>
            <w:tcBorders>
              <w:bottom w:val="single" w:sz="4" w:space="0" w:color="auto"/>
            </w:tcBorders>
            <w:shd w:val="solid" w:color="000000" w:fill="000000"/>
            <w:vAlign w:val="center"/>
          </w:tcPr>
          <w:p w14:paraId="04C7B995" w14:textId="13F77B4A" w:rsidR="00096B52" w:rsidRPr="006C5FAF" w:rsidRDefault="00BB281C" w:rsidP="00AA43F3">
            <w:pPr>
              <w:pStyle w:val="Tabletext"/>
              <w:ind w:right="57"/>
              <w:jc w:val="center"/>
              <w:rPr>
                <w:highlight w:val="darkGray"/>
              </w:rPr>
            </w:pPr>
            <w:r w:rsidRPr="00BB281C">
              <w:rPr>
                <w:color w:val="000000"/>
                <w:spacing w:val="179"/>
                <w:fitText w:val="265" w:id="-1234422512"/>
                <w14:textFill>
                  <w14:solidFill>
                    <w14:srgbClr w14:val="000000">
                      <w14:alpha w14:val="100000"/>
                    </w14:srgbClr>
                  </w14:solidFill>
                </w14:textFill>
              </w:rPr>
              <w:t>|</w:t>
            </w:r>
            <w:r w:rsidRPr="00BB281C">
              <w:rPr>
                <w:color w:val="000000"/>
                <w:fitText w:val="265" w:id="-1234422512"/>
                <w14:textFill>
                  <w14:solidFill>
                    <w14:srgbClr w14:val="000000">
                      <w14:alpha w14:val="100000"/>
                    </w14:srgbClr>
                  </w14:solidFill>
                </w14:textFill>
              </w:rPr>
              <w:t>|</w:t>
            </w:r>
          </w:p>
        </w:tc>
        <w:tc>
          <w:tcPr>
            <w:tcW w:w="630" w:type="pct"/>
            <w:vAlign w:val="center"/>
          </w:tcPr>
          <w:p w14:paraId="7D274D16" w14:textId="4CC57CE1" w:rsidR="00096B52" w:rsidRPr="00096B52" w:rsidRDefault="000B46A6" w:rsidP="00AA43F3">
            <w:pPr>
              <w:pStyle w:val="Tabletext"/>
              <w:ind w:right="57"/>
              <w:jc w:val="center"/>
            </w:pPr>
            <w:r>
              <w:t>0.95</w:t>
            </w:r>
          </w:p>
        </w:tc>
        <w:tc>
          <w:tcPr>
            <w:tcW w:w="521" w:type="pct"/>
            <w:vAlign w:val="center"/>
          </w:tcPr>
          <w:p w14:paraId="67C53B87" w14:textId="46C0FBC4" w:rsidR="00096B52" w:rsidRPr="006C5FAF" w:rsidRDefault="00BB281C" w:rsidP="00AA43F3">
            <w:pPr>
              <w:pStyle w:val="Tabletext"/>
              <w:ind w:right="57"/>
              <w:jc w:val="center"/>
              <w:rPr>
                <w:highlight w:val="darkGray"/>
              </w:rPr>
            </w:pPr>
            <w:r w:rsidRPr="00BB281C">
              <w:rPr>
                <w:color w:val="000000"/>
                <w:spacing w:val="77"/>
                <w:shd w:val="solid" w:color="000000" w:fill="000000"/>
                <w:fitText w:val="403" w:id="-1234422528"/>
                <w14:textFill>
                  <w14:solidFill>
                    <w14:srgbClr w14:val="000000">
                      <w14:alpha w14:val="100000"/>
                    </w14:srgbClr>
                  </w14:solidFill>
                </w14:textFill>
              </w:rPr>
              <w:t>|||</w:t>
            </w:r>
            <w:r w:rsidRPr="00BB281C">
              <w:rPr>
                <w:color w:val="000000"/>
                <w:spacing w:val="2"/>
                <w:shd w:val="solid" w:color="000000" w:fill="000000"/>
                <w:fitText w:val="403" w:id="-1234422528"/>
                <w14:textFill>
                  <w14:solidFill>
                    <w14:srgbClr w14:val="000000">
                      <w14:alpha w14:val="100000"/>
                    </w14:srgbClr>
                  </w14:solidFill>
                </w14:textFill>
              </w:rPr>
              <w:t>|</w:t>
            </w:r>
            <w:r w:rsidR="004E2962" w:rsidRPr="004E2962">
              <w:rPr>
                <w:vertAlign w:val="superscript"/>
              </w:rPr>
              <w:t>5</w:t>
            </w:r>
          </w:p>
        </w:tc>
        <w:tc>
          <w:tcPr>
            <w:tcW w:w="481" w:type="pct"/>
            <w:vAlign w:val="center"/>
          </w:tcPr>
          <w:p w14:paraId="148991AC" w14:textId="4FBB02E1" w:rsidR="00096B52" w:rsidRPr="00096B52" w:rsidRDefault="0049685D" w:rsidP="00AA43F3">
            <w:pPr>
              <w:pStyle w:val="Tabletext"/>
              <w:ind w:right="57"/>
              <w:jc w:val="center"/>
              <w:rPr>
                <w:bCs/>
              </w:rPr>
            </w:pPr>
            <w:r>
              <w:rPr>
                <w:bCs/>
              </w:rPr>
              <w:t>83.8%</w:t>
            </w:r>
          </w:p>
        </w:tc>
      </w:tr>
      <w:tr w:rsidR="00096B52" w:rsidRPr="00096B52" w14:paraId="5D21738E" w14:textId="77777777" w:rsidTr="00CA3EE2">
        <w:tc>
          <w:tcPr>
            <w:tcW w:w="2749" w:type="pct"/>
            <w:vAlign w:val="center"/>
          </w:tcPr>
          <w:p w14:paraId="2B84CDE9" w14:textId="04EDC6AC" w:rsidR="00096B52" w:rsidRDefault="00096B52" w:rsidP="00AA43F3">
            <w:pPr>
              <w:pStyle w:val="Tabletext"/>
              <w:tabs>
                <w:tab w:val="left" w:pos="447"/>
              </w:tabs>
              <w:ind w:right="57"/>
            </w:pPr>
            <w:r>
              <w:t>As above, with price revised from $</w:t>
            </w:r>
            <w:r w:rsidR="00BB281C" w:rsidRPr="00BB281C">
              <w:rPr>
                <w:color w:val="000000"/>
                <w:spacing w:val="36"/>
                <w:shd w:val="solid" w:color="000000" w:fill="000000"/>
                <w:fitText w:val="438" w:id="-1234422527"/>
                <w14:textFill>
                  <w14:solidFill>
                    <w14:srgbClr w14:val="000000">
                      <w14:alpha w14:val="100000"/>
                    </w14:srgbClr>
                  </w14:solidFill>
                </w14:textFill>
              </w:rPr>
              <w:t>|||||</w:t>
            </w:r>
            <w:r w:rsidR="00BB281C" w:rsidRPr="00BB281C">
              <w:rPr>
                <w:color w:val="000000"/>
                <w:spacing w:val="3"/>
                <w:shd w:val="solid" w:color="000000" w:fill="000000"/>
                <w:fitText w:val="438" w:id="-1234422527"/>
                <w14:textFill>
                  <w14:solidFill>
                    <w14:srgbClr w14:val="000000">
                      <w14:alpha w14:val="100000"/>
                    </w14:srgbClr>
                  </w14:solidFill>
                </w14:textFill>
              </w:rPr>
              <w:t>|</w:t>
            </w:r>
            <w:r>
              <w:t xml:space="preserve"> to $</w:t>
            </w:r>
            <w:r w:rsidR="00BB281C" w:rsidRPr="00BB281C">
              <w:rPr>
                <w:color w:val="000000"/>
                <w:spacing w:val="36"/>
                <w:shd w:val="solid" w:color="000000" w:fill="000000"/>
                <w:fitText w:val="437" w:id="-1234422526"/>
                <w14:textFill>
                  <w14:solidFill>
                    <w14:srgbClr w14:val="000000">
                      <w14:alpha w14:val="100000"/>
                    </w14:srgbClr>
                  </w14:solidFill>
                </w14:textFill>
              </w:rPr>
              <w:t>|||||</w:t>
            </w:r>
            <w:r w:rsidR="00BB281C" w:rsidRPr="00BB281C">
              <w:rPr>
                <w:color w:val="000000"/>
                <w:spacing w:val="2"/>
                <w:shd w:val="solid" w:color="000000" w:fill="000000"/>
                <w:fitText w:val="437" w:id="-1234422526"/>
                <w14:textFill>
                  <w14:solidFill>
                    <w14:srgbClr w14:val="000000">
                      <w14:alpha w14:val="100000"/>
                    </w14:srgbClr>
                  </w14:solidFill>
                </w14:textFill>
              </w:rPr>
              <w:t>|</w:t>
            </w:r>
            <w:r>
              <w:t xml:space="preserve"> per 100 mg vial EMP.</w:t>
            </w:r>
          </w:p>
        </w:tc>
        <w:tc>
          <w:tcPr>
            <w:tcW w:w="619" w:type="pct"/>
            <w:shd w:val="solid" w:color="000000" w:fill="000000"/>
            <w:vAlign w:val="center"/>
          </w:tcPr>
          <w:p w14:paraId="20DC1B78" w14:textId="34145904" w:rsidR="00096B52" w:rsidRPr="006C5FAF" w:rsidRDefault="00BB281C" w:rsidP="00AA43F3">
            <w:pPr>
              <w:pStyle w:val="Tabletext"/>
              <w:ind w:right="57"/>
              <w:jc w:val="center"/>
              <w:rPr>
                <w:highlight w:val="darkGray"/>
              </w:rPr>
            </w:pPr>
            <w:r w:rsidRPr="00BB281C">
              <w:rPr>
                <w:color w:val="000000"/>
                <w:spacing w:val="179"/>
                <w:fitText w:val="265" w:id="-1234422525"/>
                <w14:textFill>
                  <w14:solidFill>
                    <w14:srgbClr w14:val="000000">
                      <w14:alpha w14:val="100000"/>
                    </w14:srgbClr>
                  </w14:solidFill>
                </w14:textFill>
              </w:rPr>
              <w:t>|</w:t>
            </w:r>
            <w:r w:rsidRPr="00BB281C">
              <w:rPr>
                <w:color w:val="000000"/>
                <w:fitText w:val="265" w:id="-1234422525"/>
                <w14:textFill>
                  <w14:solidFill>
                    <w14:srgbClr w14:val="000000">
                      <w14:alpha w14:val="100000"/>
                    </w14:srgbClr>
                  </w14:solidFill>
                </w14:textFill>
              </w:rPr>
              <w:t>|</w:t>
            </w:r>
          </w:p>
        </w:tc>
        <w:tc>
          <w:tcPr>
            <w:tcW w:w="630" w:type="pct"/>
            <w:vAlign w:val="center"/>
          </w:tcPr>
          <w:p w14:paraId="37168A6F" w14:textId="5228469E" w:rsidR="00096B52" w:rsidRPr="00096B52" w:rsidRDefault="000B46A6" w:rsidP="00AA43F3">
            <w:pPr>
              <w:pStyle w:val="Tabletext"/>
              <w:ind w:right="57"/>
              <w:jc w:val="center"/>
            </w:pPr>
            <w:r>
              <w:t>0.95</w:t>
            </w:r>
          </w:p>
        </w:tc>
        <w:tc>
          <w:tcPr>
            <w:tcW w:w="521" w:type="pct"/>
            <w:vAlign w:val="center"/>
          </w:tcPr>
          <w:p w14:paraId="76C994DE" w14:textId="52C7B3A6" w:rsidR="00096B52" w:rsidRPr="006C5FAF" w:rsidRDefault="00BB281C" w:rsidP="00AA43F3">
            <w:pPr>
              <w:pStyle w:val="Tabletext"/>
              <w:ind w:right="57"/>
              <w:jc w:val="center"/>
              <w:rPr>
                <w:highlight w:val="darkGray"/>
              </w:rPr>
            </w:pPr>
            <w:r w:rsidRPr="00BB281C">
              <w:rPr>
                <w:color w:val="000000"/>
                <w:spacing w:val="77"/>
                <w:shd w:val="solid" w:color="000000" w:fill="000000"/>
                <w:fitText w:val="403" w:id="-1234422524"/>
                <w14:textFill>
                  <w14:solidFill>
                    <w14:srgbClr w14:val="000000">
                      <w14:alpha w14:val="100000"/>
                    </w14:srgbClr>
                  </w14:solidFill>
                </w14:textFill>
              </w:rPr>
              <w:t>|||</w:t>
            </w:r>
            <w:r w:rsidRPr="00BB281C">
              <w:rPr>
                <w:color w:val="000000"/>
                <w:spacing w:val="2"/>
                <w:shd w:val="solid" w:color="000000" w:fill="000000"/>
                <w:fitText w:val="403" w:id="-1234422524"/>
                <w14:textFill>
                  <w14:solidFill>
                    <w14:srgbClr w14:val="000000">
                      <w14:alpha w14:val="100000"/>
                    </w14:srgbClr>
                  </w14:solidFill>
                </w14:textFill>
              </w:rPr>
              <w:t>|</w:t>
            </w:r>
            <w:r w:rsidR="006C5FAF" w:rsidRPr="006C5FAF">
              <w:rPr>
                <w:b/>
                <w:bCs/>
                <w:vertAlign w:val="superscript"/>
              </w:rPr>
              <w:t>1</w:t>
            </w:r>
          </w:p>
        </w:tc>
        <w:tc>
          <w:tcPr>
            <w:tcW w:w="481" w:type="pct"/>
            <w:vAlign w:val="center"/>
          </w:tcPr>
          <w:p w14:paraId="2E6112F8" w14:textId="71D9FB55" w:rsidR="00096B52" w:rsidRPr="00096B52" w:rsidRDefault="00096B52" w:rsidP="00AA43F3">
            <w:pPr>
              <w:pStyle w:val="Tabletext"/>
              <w:ind w:right="57"/>
              <w:jc w:val="center"/>
              <w:rPr>
                <w:bCs/>
              </w:rPr>
            </w:pPr>
            <w:r>
              <w:rPr>
                <w:bCs/>
              </w:rPr>
              <w:t>-</w:t>
            </w:r>
          </w:p>
        </w:tc>
      </w:tr>
      <w:tr w:rsidR="006C710D" w:rsidRPr="006C710D" w14:paraId="4D7E6B41" w14:textId="77777777" w:rsidTr="00CA3EE2">
        <w:trPr>
          <w:trHeight w:val="60"/>
        </w:trPr>
        <w:tc>
          <w:tcPr>
            <w:tcW w:w="2749" w:type="pct"/>
            <w:vAlign w:val="center"/>
          </w:tcPr>
          <w:p w14:paraId="5A54C374" w14:textId="4DBEAFCD" w:rsidR="006C710D" w:rsidRPr="006C710D" w:rsidRDefault="006C710D" w:rsidP="00AA43F3">
            <w:pPr>
              <w:pStyle w:val="Tabletext"/>
              <w:tabs>
                <w:tab w:val="left" w:pos="447"/>
              </w:tabs>
              <w:ind w:right="57"/>
              <w:rPr>
                <w:b/>
                <w:bCs/>
              </w:rPr>
            </w:pPr>
            <w:r w:rsidRPr="006C710D">
              <w:rPr>
                <w:b/>
                <w:bCs/>
              </w:rPr>
              <w:t>PBAC revised analysis</w:t>
            </w:r>
          </w:p>
        </w:tc>
        <w:tc>
          <w:tcPr>
            <w:tcW w:w="619" w:type="pct"/>
            <w:tcBorders>
              <w:bottom w:val="single" w:sz="4" w:space="0" w:color="auto"/>
            </w:tcBorders>
            <w:vAlign w:val="center"/>
          </w:tcPr>
          <w:p w14:paraId="00DB1A07" w14:textId="77777777" w:rsidR="006C710D" w:rsidRPr="006C5FAF" w:rsidRDefault="006C710D" w:rsidP="00AA43F3">
            <w:pPr>
              <w:pStyle w:val="Tabletext"/>
              <w:ind w:right="57"/>
              <w:jc w:val="center"/>
              <w:rPr>
                <w:b/>
                <w:bCs/>
                <w:highlight w:val="darkGray"/>
              </w:rPr>
            </w:pPr>
          </w:p>
        </w:tc>
        <w:tc>
          <w:tcPr>
            <w:tcW w:w="630" w:type="pct"/>
            <w:vAlign w:val="center"/>
          </w:tcPr>
          <w:p w14:paraId="70822CB2" w14:textId="77777777" w:rsidR="006C710D" w:rsidRPr="006C710D" w:rsidRDefault="006C710D" w:rsidP="00AA43F3">
            <w:pPr>
              <w:pStyle w:val="Tabletext"/>
              <w:ind w:right="57"/>
              <w:jc w:val="center"/>
              <w:rPr>
                <w:b/>
                <w:bCs/>
              </w:rPr>
            </w:pPr>
          </w:p>
        </w:tc>
        <w:tc>
          <w:tcPr>
            <w:tcW w:w="521" w:type="pct"/>
            <w:vAlign w:val="center"/>
          </w:tcPr>
          <w:p w14:paraId="4CF9A4AC" w14:textId="77777777" w:rsidR="006C710D" w:rsidRPr="006C710D" w:rsidRDefault="006C710D" w:rsidP="00AA43F3">
            <w:pPr>
              <w:pStyle w:val="Tabletext"/>
              <w:ind w:right="57"/>
              <w:jc w:val="center"/>
              <w:rPr>
                <w:b/>
                <w:bCs/>
              </w:rPr>
            </w:pPr>
          </w:p>
        </w:tc>
        <w:tc>
          <w:tcPr>
            <w:tcW w:w="481" w:type="pct"/>
            <w:vAlign w:val="center"/>
          </w:tcPr>
          <w:p w14:paraId="202F312E" w14:textId="77777777" w:rsidR="006C710D" w:rsidRPr="006C710D" w:rsidRDefault="006C710D" w:rsidP="00AA43F3">
            <w:pPr>
              <w:pStyle w:val="Tabletext"/>
              <w:ind w:right="57"/>
              <w:jc w:val="center"/>
              <w:rPr>
                <w:b/>
                <w:bCs/>
              </w:rPr>
            </w:pPr>
          </w:p>
        </w:tc>
      </w:tr>
      <w:tr w:rsidR="006C710D" w:rsidRPr="00096B52" w14:paraId="61E73AA9" w14:textId="77777777" w:rsidTr="00CA3EE2">
        <w:tc>
          <w:tcPr>
            <w:tcW w:w="2749" w:type="pct"/>
            <w:vAlign w:val="center"/>
          </w:tcPr>
          <w:p w14:paraId="4820C5E1" w14:textId="1802B600" w:rsidR="006C710D" w:rsidRDefault="006C710D" w:rsidP="00AA43F3">
            <w:pPr>
              <w:pStyle w:val="Tabletext"/>
              <w:tabs>
                <w:tab w:val="left" w:pos="447"/>
              </w:tabs>
              <w:ind w:right="57"/>
            </w:pPr>
            <w:r>
              <w:t>30</w:t>
            </w:r>
            <w:r w:rsidRPr="00096B52">
              <w:t xml:space="preserve"> year time horizon, adjustment for adjuvant capecitabine, SG terminal care costs, treatment waning after </w:t>
            </w:r>
            <w:r>
              <w:t>5</w:t>
            </w:r>
            <w:r w:rsidRPr="00096B52">
              <w:t xml:space="preserve"> years</w:t>
            </w:r>
            <w:r>
              <w:t>, price revised from $</w:t>
            </w:r>
            <w:r w:rsidR="00BB281C" w:rsidRPr="00BB281C">
              <w:rPr>
                <w:color w:val="000000"/>
                <w:spacing w:val="36"/>
                <w:shd w:val="solid" w:color="000000" w:fill="000000"/>
                <w:fitText w:val="438" w:id="-1234422523"/>
                <w14:textFill>
                  <w14:solidFill>
                    <w14:srgbClr w14:val="000000">
                      <w14:alpha w14:val="100000"/>
                    </w14:srgbClr>
                  </w14:solidFill>
                </w14:textFill>
              </w:rPr>
              <w:t>|||||</w:t>
            </w:r>
            <w:r w:rsidR="00BB281C" w:rsidRPr="00BB281C">
              <w:rPr>
                <w:color w:val="000000"/>
                <w:spacing w:val="3"/>
                <w:shd w:val="solid" w:color="000000" w:fill="000000"/>
                <w:fitText w:val="438" w:id="-1234422523"/>
                <w14:textFill>
                  <w14:solidFill>
                    <w14:srgbClr w14:val="000000">
                      <w14:alpha w14:val="100000"/>
                    </w14:srgbClr>
                  </w14:solidFill>
                </w14:textFill>
              </w:rPr>
              <w:t>|</w:t>
            </w:r>
            <w:r>
              <w:t xml:space="preserve"> to $</w:t>
            </w:r>
            <w:r w:rsidR="00BB281C" w:rsidRPr="00BB281C">
              <w:rPr>
                <w:color w:val="000000"/>
                <w:spacing w:val="36"/>
                <w:shd w:val="solid" w:color="000000" w:fill="000000"/>
                <w:fitText w:val="438" w:id="-1234422522"/>
                <w14:textFill>
                  <w14:solidFill>
                    <w14:srgbClr w14:val="000000">
                      <w14:alpha w14:val="100000"/>
                    </w14:srgbClr>
                  </w14:solidFill>
                </w14:textFill>
              </w:rPr>
              <w:t>|||||</w:t>
            </w:r>
            <w:r w:rsidR="00BB281C" w:rsidRPr="00BB281C">
              <w:rPr>
                <w:color w:val="000000"/>
                <w:spacing w:val="3"/>
                <w:shd w:val="solid" w:color="000000" w:fill="000000"/>
                <w:fitText w:val="438" w:id="-1234422522"/>
                <w14:textFill>
                  <w14:solidFill>
                    <w14:srgbClr w14:val="000000">
                      <w14:alpha w14:val="100000"/>
                    </w14:srgbClr>
                  </w14:solidFill>
                </w14:textFill>
              </w:rPr>
              <w:t>|</w:t>
            </w:r>
            <w:r>
              <w:t xml:space="preserve"> per 100 mg vial EMP.</w:t>
            </w:r>
          </w:p>
        </w:tc>
        <w:tc>
          <w:tcPr>
            <w:tcW w:w="619" w:type="pct"/>
            <w:shd w:val="solid" w:color="000000" w:fill="000000"/>
            <w:vAlign w:val="center"/>
          </w:tcPr>
          <w:p w14:paraId="2C542D5E" w14:textId="2F356A6C" w:rsidR="006C710D" w:rsidRPr="006C5FAF" w:rsidRDefault="00BB281C" w:rsidP="00AA43F3">
            <w:pPr>
              <w:pStyle w:val="Tabletext"/>
              <w:ind w:right="57"/>
              <w:jc w:val="center"/>
              <w:rPr>
                <w:highlight w:val="darkGray"/>
              </w:rPr>
            </w:pPr>
            <w:r w:rsidRPr="00BB281C">
              <w:rPr>
                <w:color w:val="000000"/>
                <w:spacing w:val="179"/>
                <w:fitText w:val="265" w:id="-1234422521"/>
                <w14:textFill>
                  <w14:solidFill>
                    <w14:srgbClr w14:val="000000">
                      <w14:alpha w14:val="100000"/>
                    </w14:srgbClr>
                  </w14:solidFill>
                </w14:textFill>
              </w:rPr>
              <w:t>|</w:t>
            </w:r>
            <w:r w:rsidRPr="00BB281C">
              <w:rPr>
                <w:color w:val="000000"/>
                <w:fitText w:val="265" w:id="-1234422521"/>
                <w14:textFill>
                  <w14:solidFill>
                    <w14:srgbClr w14:val="000000">
                      <w14:alpha w14:val="100000"/>
                    </w14:srgbClr>
                  </w14:solidFill>
                </w14:textFill>
              </w:rPr>
              <w:t>|</w:t>
            </w:r>
          </w:p>
        </w:tc>
        <w:tc>
          <w:tcPr>
            <w:tcW w:w="630" w:type="pct"/>
            <w:vAlign w:val="center"/>
          </w:tcPr>
          <w:p w14:paraId="345D46D1" w14:textId="0FEEB6C1" w:rsidR="006C710D" w:rsidRDefault="006C710D" w:rsidP="00AA43F3">
            <w:pPr>
              <w:pStyle w:val="Tabletext"/>
              <w:ind w:right="57"/>
              <w:jc w:val="center"/>
            </w:pPr>
            <w:r>
              <w:t>0.75</w:t>
            </w:r>
          </w:p>
        </w:tc>
        <w:tc>
          <w:tcPr>
            <w:tcW w:w="521" w:type="pct"/>
            <w:vAlign w:val="center"/>
          </w:tcPr>
          <w:p w14:paraId="79728754" w14:textId="2FDF8456" w:rsidR="006C710D" w:rsidRDefault="00BB281C" w:rsidP="00AA43F3">
            <w:pPr>
              <w:pStyle w:val="Tabletext"/>
              <w:ind w:right="57"/>
              <w:jc w:val="center"/>
            </w:pPr>
            <w:r w:rsidRPr="00BB281C">
              <w:rPr>
                <w:color w:val="000000"/>
                <w:spacing w:val="77"/>
                <w:shd w:val="solid" w:color="000000" w:fill="000000"/>
                <w:fitText w:val="403" w:id="-1234422520"/>
                <w14:textFill>
                  <w14:solidFill>
                    <w14:srgbClr w14:val="000000">
                      <w14:alpha w14:val="100000"/>
                    </w14:srgbClr>
                  </w14:solidFill>
                </w14:textFill>
              </w:rPr>
              <w:t>|||</w:t>
            </w:r>
            <w:r w:rsidRPr="00BB281C">
              <w:rPr>
                <w:color w:val="000000"/>
                <w:spacing w:val="2"/>
                <w:shd w:val="solid" w:color="000000" w:fill="000000"/>
                <w:fitText w:val="403" w:id="-1234422520"/>
                <w14:textFill>
                  <w14:solidFill>
                    <w14:srgbClr w14:val="000000">
                      <w14:alpha w14:val="100000"/>
                    </w14:srgbClr>
                  </w14:solidFill>
                </w14:textFill>
              </w:rPr>
              <w:t>|</w:t>
            </w:r>
            <w:r w:rsidR="004E2962" w:rsidRPr="004E2962">
              <w:rPr>
                <w:bCs/>
                <w:vertAlign w:val="superscript"/>
              </w:rPr>
              <w:t>2</w:t>
            </w:r>
          </w:p>
        </w:tc>
        <w:tc>
          <w:tcPr>
            <w:tcW w:w="481" w:type="pct"/>
            <w:vAlign w:val="center"/>
          </w:tcPr>
          <w:p w14:paraId="39BEA5B1" w14:textId="794C0B38" w:rsidR="006C710D" w:rsidRDefault="006C710D" w:rsidP="00AA43F3">
            <w:pPr>
              <w:pStyle w:val="Tabletext"/>
              <w:ind w:right="57"/>
              <w:jc w:val="center"/>
              <w:rPr>
                <w:bCs/>
              </w:rPr>
            </w:pPr>
            <w:r>
              <w:rPr>
                <w:bCs/>
              </w:rPr>
              <w:t>30.2%</w:t>
            </w:r>
          </w:p>
        </w:tc>
      </w:tr>
    </w:tbl>
    <w:p w14:paraId="7B559C79" w14:textId="3EFFC3DE" w:rsidR="00593C98" w:rsidRPr="006919A9" w:rsidRDefault="00593C98" w:rsidP="00AA43F3">
      <w:pPr>
        <w:pStyle w:val="FooterTableFigure"/>
      </w:pPr>
      <w:r w:rsidRPr="006919A9">
        <w:t>Source: Table 3.9-1</w:t>
      </w:r>
      <w:r w:rsidR="00650490" w:rsidRPr="006919A9">
        <w:t xml:space="preserve">, </w:t>
      </w:r>
      <w:r w:rsidRPr="006919A9">
        <w:t>p148-151</w:t>
      </w:r>
      <w:r w:rsidR="00650490" w:rsidRPr="006919A9">
        <w:t xml:space="preserve"> </w:t>
      </w:r>
      <w:r w:rsidRPr="006919A9">
        <w:t>of the submission</w:t>
      </w:r>
    </w:p>
    <w:p w14:paraId="1E60C8FE" w14:textId="1CA81748" w:rsidR="00593C98" w:rsidRPr="006919A9" w:rsidRDefault="00593C98" w:rsidP="00AA43F3">
      <w:pPr>
        <w:pStyle w:val="FooterTableFigure"/>
      </w:pPr>
      <w:r w:rsidRPr="006919A9">
        <w:t>AE = adverse event;</w:t>
      </w:r>
      <w:r w:rsidR="00096B52">
        <w:t xml:space="preserve"> </w:t>
      </w:r>
      <w:r w:rsidRPr="006919A9">
        <w:t xml:space="preserve">BC = base case; DM = distant metastasis; EFS = event free survival; </w:t>
      </w:r>
      <w:r w:rsidR="00096B52">
        <w:t xml:space="preserve">EMP = </w:t>
      </w:r>
      <w:r w:rsidR="00096B52" w:rsidRPr="00652C95">
        <w:t>ex-manufacturer price</w:t>
      </w:r>
      <w:r w:rsidR="00096B52">
        <w:t>;</w:t>
      </w:r>
      <w:r w:rsidR="00096B52" w:rsidRPr="006919A9">
        <w:t xml:space="preserve"> </w:t>
      </w:r>
      <w:r w:rsidRPr="006919A9">
        <w:t xml:space="preserve">HR = hazard ratio; LR = local recurrence; OS = overall survival; </w:t>
      </w:r>
      <w:r w:rsidR="00E61528">
        <w:t xml:space="preserve">Q3W = every three weeks; </w:t>
      </w:r>
      <w:r w:rsidRPr="006919A9">
        <w:t xml:space="preserve">QALY = quality adjusted life-year. </w:t>
      </w:r>
    </w:p>
    <w:p w14:paraId="020B75A5" w14:textId="77777777" w:rsidR="00593C98" w:rsidRPr="006919A9" w:rsidRDefault="00593C98" w:rsidP="00AA43F3">
      <w:pPr>
        <w:pStyle w:val="FooterTableFigure"/>
      </w:pPr>
      <w:r w:rsidRPr="006919A9">
        <w:t>*This value is adjusted to reflect time spent in PFS and PD for metastatic breast cancer</w:t>
      </w:r>
    </w:p>
    <w:p w14:paraId="0CACE55B" w14:textId="585752C6" w:rsidR="00593C98" w:rsidRPr="006919A9" w:rsidRDefault="00803954" w:rsidP="00AA43F3">
      <w:pPr>
        <w:pStyle w:val="FooterTableFigure"/>
      </w:pPr>
      <w:r w:rsidRPr="00803954">
        <w:rPr>
          <w:vertAlign w:val="superscript"/>
        </w:rPr>
        <w:t>a</w:t>
      </w:r>
      <w:r>
        <w:t xml:space="preserve"> T</w:t>
      </w:r>
      <w:r w:rsidR="00593C98" w:rsidRPr="006919A9">
        <w:t xml:space="preserve">his was done by </w:t>
      </w:r>
      <w:r w:rsidR="00C875F9" w:rsidRPr="006919A9">
        <w:t>multiplying</w:t>
      </w:r>
      <w:r w:rsidR="00593C98" w:rsidRPr="006919A9">
        <w:t xml:space="preserve"> values in column BT of ‘Pembro Trace’ by 1.1</w:t>
      </w:r>
    </w:p>
    <w:p w14:paraId="5FE78031" w14:textId="010C4170" w:rsidR="00593C98" w:rsidRDefault="002E644F" w:rsidP="00AA43F3">
      <w:pPr>
        <w:pStyle w:val="FooterTableFigure"/>
        <w:ind w:left="142" w:hanging="142"/>
      </w:pPr>
      <w:r w:rsidRPr="002E644F">
        <w:rPr>
          <w:vertAlign w:val="superscript"/>
        </w:rPr>
        <w:t>b</w:t>
      </w:r>
      <w:r w:rsidR="00803954">
        <w:t xml:space="preserve"> </w:t>
      </w:r>
      <w:r w:rsidR="00593C98" w:rsidRPr="006919A9">
        <w:t>Changing the DM cost and median LY (</w:t>
      </w:r>
      <w:r w:rsidR="00B12865">
        <w:t xml:space="preserve">as a proxy for </w:t>
      </w:r>
      <w:r w:rsidR="00593C98" w:rsidRPr="006919A9">
        <w:t>mean) to that reported from the mTNBC model. (cells F112:G113 in ‘DM Treatment cost and efficacy” in the eTNBC model.)</w:t>
      </w:r>
      <w:r w:rsidR="00B12865">
        <w:t xml:space="preserve"> </w:t>
      </w:r>
      <w:r w:rsidR="000B25DA">
        <w:t>Source of OS in DM treatment in the model base case was unclear.</w:t>
      </w:r>
    </w:p>
    <w:p w14:paraId="33C466CF" w14:textId="77777777" w:rsidR="006C5FAF" w:rsidRPr="00B101C4" w:rsidRDefault="006C5FAF" w:rsidP="006C5FAF">
      <w:pPr>
        <w:pStyle w:val="FooterTableFigure"/>
        <w:keepNext/>
        <w:keepLines/>
        <w:rPr>
          <w:i/>
          <w:iCs/>
          <w:szCs w:val="18"/>
        </w:rPr>
      </w:pPr>
      <w:r w:rsidRPr="00B101C4">
        <w:rPr>
          <w:i/>
          <w:iCs/>
          <w:szCs w:val="18"/>
        </w:rPr>
        <w:lastRenderedPageBreak/>
        <w:t xml:space="preserve">The redacted values correspond to the following ranges: </w:t>
      </w:r>
    </w:p>
    <w:p w14:paraId="3BE24712" w14:textId="54D6DB2C" w:rsidR="006C5FAF" w:rsidRPr="00B101C4" w:rsidRDefault="006C5FAF" w:rsidP="006C5FAF">
      <w:pPr>
        <w:pStyle w:val="FooterTableFigure"/>
        <w:keepNext/>
        <w:keepLines/>
        <w:rPr>
          <w:szCs w:val="18"/>
        </w:rPr>
      </w:pPr>
      <w:r>
        <w:rPr>
          <w:szCs w:val="18"/>
          <w:vertAlign w:val="superscript"/>
        </w:rPr>
        <w:t>1</w:t>
      </w:r>
      <w:r w:rsidRPr="00B101C4">
        <w:rPr>
          <w:szCs w:val="18"/>
          <w:vertAlign w:val="superscript"/>
        </w:rPr>
        <w:t xml:space="preserve"> </w:t>
      </w:r>
      <w:r w:rsidRPr="00B101C4">
        <w:rPr>
          <w:szCs w:val="18"/>
        </w:rPr>
        <w:t>$35,000 to &lt; $45,000</w:t>
      </w:r>
    </w:p>
    <w:p w14:paraId="72CD62FD" w14:textId="3056F72B" w:rsidR="006C5FAF" w:rsidRPr="00B101C4" w:rsidRDefault="00804AFC" w:rsidP="006C5FAF">
      <w:pPr>
        <w:pStyle w:val="FooterTableFigure"/>
        <w:keepNext/>
        <w:keepLines/>
        <w:rPr>
          <w:szCs w:val="18"/>
          <w:vertAlign w:val="superscript"/>
        </w:rPr>
      </w:pPr>
      <w:r>
        <w:rPr>
          <w:szCs w:val="18"/>
          <w:vertAlign w:val="superscript"/>
        </w:rPr>
        <w:t>2</w:t>
      </w:r>
      <w:r w:rsidR="006C5FAF">
        <w:rPr>
          <w:szCs w:val="18"/>
          <w:vertAlign w:val="superscript"/>
        </w:rPr>
        <w:t xml:space="preserve"> </w:t>
      </w:r>
      <w:r w:rsidRPr="00804AFC">
        <w:rPr>
          <w:szCs w:val="18"/>
        </w:rPr>
        <w:t>$55,000 to &lt; $75,000</w:t>
      </w:r>
    </w:p>
    <w:p w14:paraId="360B2288" w14:textId="1D1858C8" w:rsidR="00804AFC" w:rsidRPr="00B101C4" w:rsidRDefault="00804AFC" w:rsidP="00804AFC">
      <w:pPr>
        <w:pStyle w:val="FooterTableFigure"/>
        <w:keepNext/>
        <w:keepLines/>
        <w:rPr>
          <w:szCs w:val="18"/>
          <w:vertAlign w:val="superscript"/>
        </w:rPr>
      </w:pPr>
      <w:r>
        <w:rPr>
          <w:szCs w:val="18"/>
          <w:vertAlign w:val="superscript"/>
        </w:rPr>
        <w:t xml:space="preserve">3 </w:t>
      </w:r>
      <w:r w:rsidRPr="00804AFC">
        <w:rPr>
          <w:szCs w:val="18"/>
        </w:rPr>
        <w:t>$15,000 to &lt; $25,000</w:t>
      </w:r>
    </w:p>
    <w:p w14:paraId="643889C8" w14:textId="60FF6F31" w:rsidR="00804AFC" w:rsidRPr="00B101C4" w:rsidRDefault="00804AFC" w:rsidP="00804AFC">
      <w:pPr>
        <w:pStyle w:val="FooterTableFigure"/>
        <w:keepNext/>
        <w:keepLines/>
        <w:rPr>
          <w:szCs w:val="18"/>
          <w:vertAlign w:val="superscript"/>
        </w:rPr>
      </w:pPr>
      <w:r>
        <w:rPr>
          <w:szCs w:val="18"/>
          <w:vertAlign w:val="superscript"/>
        </w:rPr>
        <w:t xml:space="preserve">4 </w:t>
      </w:r>
      <w:r w:rsidRPr="00804AFC">
        <w:rPr>
          <w:szCs w:val="18"/>
        </w:rPr>
        <w:t>$45,000 to &lt; $55,000</w:t>
      </w:r>
    </w:p>
    <w:p w14:paraId="680A9758" w14:textId="7D72BEB9" w:rsidR="00804AFC" w:rsidRPr="00B101C4" w:rsidRDefault="00804AFC" w:rsidP="00804AFC">
      <w:pPr>
        <w:pStyle w:val="FooterTableFigure"/>
        <w:keepNext/>
        <w:keepLines/>
        <w:rPr>
          <w:szCs w:val="18"/>
          <w:vertAlign w:val="superscript"/>
        </w:rPr>
      </w:pPr>
      <w:r>
        <w:rPr>
          <w:szCs w:val="18"/>
          <w:vertAlign w:val="superscript"/>
        </w:rPr>
        <w:t xml:space="preserve">5 </w:t>
      </w:r>
      <w:r w:rsidRPr="00804AFC">
        <w:rPr>
          <w:szCs w:val="18"/>
        </w:rPr>
        <w:t>$75,000 to &lt; $95,000</w:t>
      </w:r>
    </w:p>
    <w:p w14:paraId="795CF510" w14:textId="18D50924" w:rsidR="00804AFC" w:rsidRPr="00B101C4" w:rsidRDefault="00804AFC" w:rsidP="00804AFC">
      <w:pPr>
        <w:pStyle w:val="FooterTableFigure"/>
        <w:keepNext/>
        <w:keepLines/>
        <w:rPr>
          <w:szCs w:val="18"/>
          <w:vertAlign w:val="superscript"/>
        </w:rPr>
      </w:pPr>
      <w:r>
        <w:rPr>
          <w:szCs w:val="18"/>
          <w:vertAlign w:val="superscript"/>
        </w:rPr>
        <w:t xml:space="preserve">6 </w:t>
      </w:r>
      <w:r w:rsidRPr="00804AFC">
        <w:rPr>
          <w:szCs w:val="18"/>
        </w:rPr>
        <w:t>95,000 to &lt; $115,000</w:t>
      </w:r>
    </w:p>
    <w:p w14:paraId="4E371F9B" w14:textId="6735BE20" w:rsidR="006C5FAF" w:rsidRPr="006919A9" w:rsidRDefault="00804AFC" w:rsidP="005767EF">
      <w:pPr>
        <w:pStyle w:val="FooterTableFigure"/>
        <w:keepNext/>
        <w:keepLines/>
      </w:pPr>
      <w:r>
        <w:rPr>
          <w:szCs w:val="18"/>
          <w:vertAlign w:val="superscript"/>
        </w:rPr>
        <w:t xml:space="preserve">7 </w:t>
      </w:r>
      <w:r w:rsidR="004E2962" w:rsidRPr="004E2962">
        <w:rPr>
          <w:szCs w:val="18"/>
        </w:rPr>
        <w:t>$115,000 to &lt; $135,000</w:t>
      </w:r>
    </w:p>
    <w:p w14:paraId="23DFCBB2" w14:textId="5666E3E1" w:rsidR="00E26936" w:rsidRPr="00652C95" w:rsidRDefault="00E26936" w:rsidP="00E26936">
      <w:pPr>
        <w:pStyle w:val="3-BodyText"/>
      </w:pPr>
      <w:r w:rsidRPr="00652C95">
        <w:t xml:space="preserve">Overall the </w:t>
      </w:r>
      <w:r w:rsidR="00AA1D67" w:rsidRPr="00652C95">
        <w:t>largest</w:t>
      </w:r>
      <w:r w:rsidRPr="00652C95">
        <w:t xml:space="preserve"> driver</w:t>
      </w:r>
      <w:r w:rsidR="00AA1D67" w:rsidRPr="00652C95">
        <w:t>s</w:t>
      </w:r>
      <w:r w:rsidRPr="00652C95">
        <w:t xml:space="preserve"> of the model were the variables which contributed to the long-term modelling of EFS in the </w:t>
      </w:r>
      <w:r w:rsidR="00FF0984">
        <w:t xml:space="preserve">treatment </w:t>
      </w:r>
      <w:r w:rsidRPr="00652C95">
        <w:t>arms, including time horizon, EFS extrapolation and treatment waning</w:t>
      </w:r>
      <w:r w:rsidR="00F84B2D">
        <w:t xml:space="preserve"> assumptions</w:t>
      </w:r>
      <w:r w:rsidRPr="00652C95">
        <w:t xml:space="preserve">. Employing the model’s treatment effect waning options increased the </w:t>
      </w:r>
      <w:r w:rsidR="009049D7" w:rsidRPr="00652C95">
        <w:t>incremental cost effectiveness ratio (</w:t>
      </w:r>
      <w:r w:rsidRPr="00652C95">
        <w:t>ICER</w:t>
      </w:r>
      <w:r w:rsidR="009049D7" w:rsidRPr="00652C95">
        <w:t>)</w:t>
      </w:r>
      <w:r w:rsidRPr="00652C95">
        <w:t xml:space="preserve"> substantially.</w:t>
      </w:r>
    </w:p>
    <w:p w14:paraId="03EFC9E8" w14:textId="524CE5FF" w:rsidR="00E26936" w:rsidRPr="00652C95" w:rsidRDefault="00D815F1" w:rsidP="00E26936">
      <w:pPr>
        <w:pStyle w:val="3-BodyText"/>
      </w:pPr>
      <w:r w:rsidRPr="00652C95">
        <w:t xml:space="preserve">The </w:t>
      </w:r>
      <w:r w:rsidR="0016110E" w:rsidRPr="00652C95">
        <w:t xml:space="preserve">scenario analysis which </w:t>
      </w:r>
      <w:r w:rsidR="001E78E8" w:rsidRPr="00652C95">
        <w:t>i</w:t>
      </w:r>
      <w:r w:rsidR="00E26936" w:rsidRPr="00652C95">
        <w:t>ncorporat</w:t>
      </w:r>
      <w:r w:rsidR="0016110E" w:rsidRPr="00652C95">
        <w:t>ed</w:t>
      </w:r>
      <w:r w:rsidR="00E26936" w:rsidRPr="00652C95">
        <w:t xml:space="preserve"> the use of capecitabine </w:t>
      </w:r>
      <w:r w:rsidRPr="00652C95">
        <w:t xml:space="preserve">in the chemotherapy arm </w:t>
      </w:r>
      <w:r w:rsidR="00E26936" w:rsidRPr="00652C95">
        <w:t xml:space="preserve">to better reflect </w:t>
      </w:r>
      <w:r w:rsidRPr="00652C95">
        <w:t xml:space="preserve">treatment in </w:t>
      </w:r>
      <w:r w:rsidR="00E26936" w:rsidRPr="00652C95">
        <w:t>the Australian setting increased the ICER by nearly 13%</w:t>
      </w:r>
      <w:r w:rsidR="0016110E" w:rsidRPr="00652C95">
        <w:t xml:space="preserve">, though as discussed in </w:t>
      </w:r>
      <w:r w:rsidR="00F920AC" w:rsidRPr="00652C95">
        <w:t xml:space="preserve">paragraph </w:t>
      </w:r>
      <w:r w:rsidR="00F84B2D">
        <w:fldChar w:fldCharType="begin" w:fldLock="1"/>
      </w:r>
      <w:r w:rsidR="00F84B2D">
        <w:instrText xml:space="preserve"> REF _Ref127182696 \n \h </w:instrText>
      </w:r>
      <w:r w:rsidR="00F84B2D">
        <w:fldChar w:fldCharType="separate"/>
      </w:r>
      <w:r w:rsidR="00FC05E9">
        <w:t>6.65</w:t>
      </w:r>
      <w:r w:rsidR="00F84B2D">
        <w:fldChar w:fldCharType="end"/>
      </w:r>
      <w:r w:rsidR="009370BF" w:rsidRPr="00652C95">
        <w:t xml:space="preserve"> there were uncertainties associated with this analysis. </w:t>
      </w:r>
    </w:p>
    <w:p w14:paraId="51E742B3" w14:textId="1ECAC722" w:rsidR="00F76607" w:rsidRPr="00652C95" w:rsidRDefault="00AA1D67" w:rsidP="00AA1D67">
      <w:pPr>
        <w:pStyle w:val="3-BodyText"/>
      </w:pPr>
      <w:r w:rsidRPr="00652C95">
        <w:t>The submission also presented a scenario analysis in which pembrolizumab was available for both eTNBC and mTNBC. However, the inputs assumed for this analysis were unlikely to have been reasonable (e.g. only ‘PD-L1 negative’ patients were assumed to be treated with pembrolizumab</w:t>
      </w:r>
      <w:r w:rsidR="009B5216" w:rsidRPr="00652C95">
        <w:t xml:space="preserve"> in</w:t>
      </w:r>
      <w:r w:rsidRPr="00652C95">
        <w:t xml:space="preserve"> </w:t>
      </w:r>
      <w:r w:rsidR="001E78E8" w:rsidRPr="00652C95">
        <w:t>the</w:t>
      </w:r>
      <w:r w:rsidRPr="00652C95">
        <w:t xml:space="preserve"> </w:t>
      </w:r>
      <w:r w:rsidR="00C43AA9" w:rsidRPr="00652C95">
        <w:t>m</w:t>
      </w:r>
      <w:r w:rsidRPr="00652C95">
        <w:t xml:space="preserve">TNBC setting, and PD-L1 treatments including </w:t>
      </w:r>
      <w:r w:rsidR="00553B9E" w:rsidRPr="00652C95">
        <w:t xml:space="preserve">both </w:t>
      </w:r>
      <w:r w:rsidRPr="00652C95">
        <w:t xml:space="preserve">pembrolizumab and atezolizumab were assumed in the chemotherapy arm when </w:t>
      </w:r>
      <w:r w:rsidR="00F76607" w:rsidRPr="00652C95">
        <w:t>PD-L1 testing was assumed</w:t>
      </w:r>
      <w:r w:rsidR="00553B9E" w:rsidRPr="00652C95">
        <w:t xml:space="preserve"> despite no immunotherapies being currently available on the PBS for mTNBC</w:t>
      </w:r>
      <w:r w:rsidRPr="00652C95">
        <w:t xml:space="preserve">) and therefore the results were unlikely to be informative. </w:t>
      </w:r>
    </w:p>
    <w:p w14:paraId="1E9826DA" w14:textId="24E4A429" w:rsidR="00AA1D67" w:rsidRPr="00652C95" w:rsidRDefault="00AA1D67" w:rsidP="00AA1D67">
      <w:pPr>
        <w:pStyle w:val="3-BodyText"/>
      </w:pPr>
      <w:r w:rsidRPr="00652C95">
        <w:t xml:space="preserve">A sensitivity analysis using the base case results of the mTNBC economic model inputted into the </w:t>
      </w:r>
      <w:r w:rsidR="00C67790" w:rsidRPr="00652C95">
        <w:t xml:space="preserve">DM management costs and outcomes in the </w:t>
      </w:r>
      <w:r w:rsidRPr="00652C95">
        <w:t xml:space="preserve">eTNBC model (without making any structural changes) resulted in an overall ICER of </w:t>
      </w:r>
      <w:r w:rsidR="00542BC3" w:rsidRPr="00542BC3">
        <w:t>$45,000</w:t>
      </w:r>
      <w:r w:rsidR="00E15772">
        <w:t> </w:t>
      </w:r>
      <w:r w:rsidR="00542BC3" w:rsidRPr="00542BC3">
        <w:t>to</w:t>
      </w:r>
      <w:r w:rsidR="00E15772">
        <w:t> </w:t>
      </w:r>
      <w:r w:rsidR="00542BC3" w:rsidRPr="00542BC3">
        <w:t>&lt;</w:t>
      </w:r>
      <w:r w:rsidR="00E15772">
        <w:t> </w:t>
      </w:r>
      <w:r w:rsidR="00542BC3" w:rsidRPr="00542BC3">
        <w:t>$55,000</w:t>
      </w:r>
      <w:r w:rsidR="00423435">
        <w:t xml:space="preserve"> per </w:t>
      </w:r>
      <w:r w:rsidRPr="00652C95">
        <w:t xml:space="preserve">QALY, a 12.7% increase from the base case of eTNBC only. </w:t>
      </w:r>
      <w:r w:rsidR="00F41018" w:rsidRPr="00652C95">
        <w:t xml:space="preserve">This could be interpreted as a comparison of the </w:t>
      </w:r>
      <w:r w:rsidR="0085547E" w:rsidRPr="00652C95">
        <w:t xml:space="preserve">combination of the </w:t>
      </w:r>
      <w:r w:rsidR="00F41018" w:rsidRPr="00652C95">
        <w:t xml:space="preserve">proposed treatment algorithm </w:t>
      </w:r>
      <w:r w:rsidR="0085547E" w:rsidRPr="00652C95">
        <w:t xml:space="preserve">across the two submissions </w:t>
      </w:r>
      <w:r w:rsidR="00F41018" w:rsidRPr="00652C95">
        <w:t xml:space="preserve">(pembrolizumab </w:t>
      </w:r>
      <w:r w:rsidR="0085547E" w:rsidRPr="00652C95">
        <w:t xml:space="preserve">+ chemotherapy neoadjuvant and pembrolizumab as adjuvant </w:t>
      </w:r>
      <w:r w:rsidR="00F41018" w:rsidRPr="00652C95">
        <w:t xml:space="preserve">in eTNBC and </w:t>
      </w:r>
      <w:r w:rsidR="0085547E" w:rsidRPr="00652C95">
        <w:t xml:space="preserve">pembrolizumab + chemotherapy </w:t>
      </w:r>
      <w:r w:rsidR="00F41018" w:rsidRPr="00652C95">
        <w:t>in mTNBC</w:t>
      </w:r>
      <w:r w:rsidR="00D27470" w:rsidRPr="00652C95">
        <w:t xml:space="preserve"> for those who relapse</w:t>
      </w:r>
      <w:r w:rsidR="00F41018" w:rsidRPr="00652C95">
        <w:t xml:space="preserve">) </w:t>
      </w:r>
      <w:r w:rsidR="00917450" w:rsidRPr="00652C95">
        <w:t>with</w:t>
      </w:r>
      <w:r w:rsidR="00F41018" w:rsidRPr="00652C95">
        <w:t xml:space="preserve"> the current treatment algorithm (chemotherapy </w:t>
      </w:r>
      <w:r w:rsidR="0085547E" w:rsidRPr="00652C95">
        <w:t>neoadjuvant with no neoadjuvant treatment in eTNBC and chemotherapy in mTNBC</w:t>
      </w:r>
      <w:r w:rsidR="00D27470" w:rsidRPr="00652C95">
        <w:t xml:space="preserve"> for those who relapse</w:t>
      </w:r>
      <w:r w:rsidR="0085547E" w:rsidRPr="00652C95">
        <w:t xml:space="preserve">). </w:t>
      </w:r>
      <w:r w:rsidRPr="00652C95">
        <w:t xml:space="preserve">However, this result should be interpreted with caution as this includes all the uncertainties associated with the eTNBC </w:t>
      </w:r>
      <w:r w:rsidR="00C67790" w:rsidRPr="00652C95">
        <w:t xml:space="preserve">model </w:t>
      </w:r>
      <w:r w:rsidR="00A92F43" w:rsidRPr="00652C95">
        <w:t xml:space="preserve">in addition to </w:t>
      </w:r>
      <w:r w:rsidR="00C67790" w:rsidRPr="00652C95">
        <w:t>the uncertainties within</w:t>
      </w:r>
      <w:r w:rsidRPr="00652C95">
        <w:t xml:space="preserve"> the mTNBC </w:t>
      </w:r>
      <w:r w:rsidR="00C67790" w:rsidRPr="00652C95">
        <w:t xml:space="preserve">model </w:t>
      </w:r>
      <w:r w:rsidRPr="00652C95">
        <w:t xml:space="preserve">and it was unclear if the </w:t>
      </w:r>
      <w:r w:rsidR="00F76607" w:rsidRPr="00652C95">
        <w:t xml:space="preserve">analysis </w:t>
      </w:r>
      <w:r w:rsidRPr="00652C95">
        <w:t xml:space="preserve">appropriately accounts for </w:t>
      </w:r>
      <w:r w:rsidR="00F76607" w:rsidRPr="00652C95">
        <w:t xml:space="preserve">all </w:t>
      </w:r>
      <w:r w:rsidRPr="00652C95">
        <w:t xml:space="preserve">the </w:t>
      </w:r>
      <w:r w:rsidR="00F76607" w:rsidRPr="00652C95">
        <w:t xml:space="preserve">interactions </w:t>
      </w:r>
      <w:r w:rsidRPr="00652C95">
        <w:t>of the combination listing</w:t>
      </w:r>
      <w:r w:rsidR="007D069E" w:rsidRPr="00652C95">
        <w:t xml:space="preserve"> (e.g. the mTNBC result would include both recurrent and de novo mTNBC patients whereas only recurrent patients should be included in the eTNBC analysis)</w:t>
      </w:r>
      <w:r w:rsidRPr="00652C95">
        <w:t xml:space="preserve">. Moreover, KN-355, the pivotal trial used to inform the mTNBC submission, specifically excluded patients who had previously received PD-(L)1 treatment and may not be an appropriate evidence source for this analysis. </w:t>
      </w:r>
    </w:p>
    <w:p w14:paraId="3F46EFCE" w14:textId="3051989B" w:rsidR="00702F9A" w:rsidRPr="00F756C7" w:rsidRDefault="00702F9A" w:rsidP="00AA1D67">
      <w:pPr>
        <w:pStyle w:val="3-BodyText"/>
      </w:pPr>
      <w:r w:rsidRPr="00F756C7">
        <w:lastRenderedPageBreak/>
        <w:t xml:space="preserve">A multivariate analysis </w:t>
      </w:r>
      <w:r w:rsidR="008679D3" w:rsidRPr="00F756C7">
        <w:t xml:space="preserve">was </w:t>
      </w:r>
      <w:r w:rsidRPr="00F756C7">
        <w:t xml:space="preserve">conducted </w:t>
      </w:r>
      <w:r w:rsidR="00F84B2D" w:rsidRPr="00F756C7">
        <w:t>applying the inputs ESC considered likely to be reasonable, s</w:t>
      </w:r>
      <w:r w:rsidR="008679D3" w:rsidRPr="00F756C7">
        <w:t>pecifically</w:t>
      </w:r>
      <w:r w:rsidR="0052234F" w:rsidRPr="00F756C7">
        <w:t>:</w:t>
      </w:r>
    </w:p>
    <w:p w14:paraId="79A1B263" w14:textId="481C6720" w:rsidR="00225A88" w:rsidRPr="00F756C7" w:rsidRDefault="0052234F" w:rsidP="00AA43F3">
      <w:pPr>
        <w:pStyle w:val="3-BodyText"/>
        <w:numPr>
          <w:ilvl w:val="0"/>
          <w:numId w:val="12"/>
        </w:numPr>
        <w:ind w:left="1080"/>
      </w:pPr>
      <w:r w:rsidRPr="00F756C7">
        <w:t xml:space="preserve">Changed </w:t>
      </w:r>
      <w:r w:rsidR="00D57F0D" w:rsidRPr="00F756C7">
        <w:t>time horizon to 20 years (</w:t>
      </w:r>
      <w:r w:rsidR="00F84B2D" w:rsidRPr="00F756C7">
        <w:t xml:space="preserve">see </w:t>
      </w:r>
      <w:r w:rsidR="00D57F0D" w:rsidRPr="00F756C7">
        <w:t>paragraph</w:t>
      </w:r>
      <w:r w:rsidR="00F84B2D" w:rsidRPr="00F756C7">
        <w:t>s</w:t>
      </w:r>
      <w:r w:rsidR="00846E29" w:rsidRPr="00F756C7">
        <w:t xml:space="preserve"> </w:t>
      </w:r>
      <w:r w:rsidR="00F84B2D" w:rsidRPr="00F756C7">
        <w:fldChar w:fldCharType="begin" w:fldLock="1"/>
      </w:r>
      <w:r w:rsidR="00F84B2D" w:rsidRPr="00F756C7">
        <w:instrText xml:space="preserve"> REF _Ref127183115 \n \h </w:instrText>
      </w:r>
      <w:r w:rsidR="00202488" w:rsidRPr="00F756C7">
        <w:instrText xml:space="preserve"> \* MERGEFORMAT </w:instrText>
      </w:r>
      <w:r w:rsidR="00F84B2D" w:rsidRPr="00F756C7">
        <w:fldChar w:fldCharType="separate"/>
      </w:r>
      <w:r w:rsidR="0067416F">
        <w:t xml:space="preserve">6.50 and </w:t>
      </w:r>
      <w:r w:rsidR="0067416F">
        <w:fldChar w:fldCharType="begin" w:fldLock="1"/>
      </w:r>
      <w:r w:rsidR="0067416F">
        <w:instrText xml:space="preserve"> REF _Ref132352117 \r \h </w:instrText>
      </w:r>
      <w:r w:rsidR="0067416F">
        <w:fldChar w:fldCharType="separate"/>
      </w:r>
      <w:r w:rsidR="0067416F">
        <w:t>6.51</w:t>
      </w:r>
      <w:r w:rsidR="0067416F">
        <w:fldChar w:fldCharType="end"/>
      </w:r>
      <w:r w:rsidR="00F84B2D" w:rsidRPr="00F756C7">
        <w:fldChar w:fldCharType="end"/>
      </w:r>
      <w:r w:rsidR="00F84B2D" w:rsidRPr="00F756C7">
        <w:fldChar w:fldCharType="begin" w:fldLock="1"/>
      </w:r>
      <w:r w:rsidR="00F84B2D" w:rsidRPr="00F756C7">
        <w:instrText xml:space="preserve"> REF _Ref127183116 \n \h </w:instrText>
      </w:r>
      <w:r w:rsidR="00202488" w:rsidRPr="00F756C7">
        <w:instrText xml:space="preserve"> \* MERGEFORMAT </w:instrText>
      </w:r>
      <w:r w:rsidR="00740AEA">
        <w:fldChar w:fldCharType="separate"/>
      </w:r>
      <w:r w:rsidR="00F84B2D" w:rsidRPr="00F756C7">
        <w:fldChar w:fldCharType="end"/>
      </w:r>
      <w:r w:rsidR="00D57F0D" w:rsidRPr="00F756C7">
        <w:t>)</w:t>
      </w:r>
      <w:r w:rsidR="00225A88" w:rsidRPr="00F756C7">
        <w:t>;</w:t>
      </w:r>
    </w:p>
    <w:p w14:paraId="350ADEA1" w14:textId="5B81D91A" w:rsidR="00202488" w:rsidRPr="00F756C7" w:rsidRDefault="00202488" w:rsidP="00AA43F3">
      <w:pPr>
        <w:pStyle w:val="3-BodyText"/>
        <w:numPr>
          <w:ilvl w:val="0"/>
          <w:numId w:val="12"/>
        </w:numPr>
        <w:ind w:left="1080"/>
      </w:pPr>
      <w:r w:rsidRPr="00F756C7">
        <w:t xml:space="preserve">Inclusion of costs and benefits for adjuvant capecitabine (see paragraph </w:t>
      </w:r>
      <w:r w:rsidR="00846E29" w:rsidRPr="00F756C7">
        <w:fldChar w:fldCharType="begin" w:fldLock="1"/>
      </w:r>
      <w:r w:rsidR="00846E29" w:rsidRPr="00F756C7">
        <w:instrText xml:space="preserve"> REF _Ref127537498 \r \h </w:instrText>
      </w:r>
      <w:r w:rsidR="00F756C7">
        <w:instrText xml:space="preserve"> \* MERGEFORMAT </w:instrText>
      </w:r>
      <w:r w:rsidR="00846E29" w:rsidRPr="00F756C7">
        <w:fldChar w:fldCharType="separate"/>
      </w:r>
      <w:r w:rsidR="00FC05E9">
        <w:t>6.65</w:t>
      </w:r>
      <w:r w:rsidR="00846E29" w:rsidRPr="00F756C7">
        <w:fldChar w:fldCharType="end"/>
      </w:r>
      <w:r w:rsidRPr="00F756C7">
        <w:t>);</w:t>
      </w:r>
    </w:p>
    <w:p w14:paraId="7D1446C8" w14:textId="0BB7CEC9" w:rsidR="00202488" w:rsidRPr="00F756C7" w:rsidRDefault="00D86F6A" w:rsidP="00AA43F3">
      <w:pPr>
        <w:pStyle w:val="3-BodyText"/>
        <w:numPr>
          <w:ilvl w:val="0"/>
          <w:numId w:val="12"/>
        </w:numPr>
        <w:ind w:left="1080"/>
      </w:pPr>
      <w:r w:rsidRPr="00F756C7">
        <w:t xml:space="preserve">Applied </w:t>
      </w:r>
      <w:r w:rsidR="00077DAD" w:rsidRPr="00F756C7">
        <w:t xml:space="preserve">a terminal care cost in mTNBC </w:t>
      </w:r>
      <w:r w:rsidR="002D2356" w:rsidRPr="00F756C7">
        <w:t>consistent with PBAC’s previous consideration of sacituzumab govitecan (</w:t>
      </w:r>
      <w:r w:rsidR="008679D3" w:rsidRPr="00F756C7">
        <w:t xml:space="preserve">paragraph </w:t>
      </w:r>
      <w:r w:rsidR="008679D3" w:rsidRPr="00F756C7">
        <w:fldChar w:fldCharType="begin" w:fldLock="1"/>
      </w:r>
      <w:r w:rsidR="008679D3" w:rsidRPr="00F756C7">
        <w:instrText xml:space="preserve"> REF _Ref124706961 \r \h </w:instrText>
      </w:r>
      <w:r w:rsidR="00652C95" w:rsidRPr="00F756C7">
        <w:instrText xml:space="preserve"> \* MERGEFORMAT </w:instrText>
      </w:r>
      <w:r w:rsidR="008679D3" w:rsidRPr="00F756C7">
        <w:fldChar w:fldCharType="separate"/>
      </w:r>
      <w:r w:rsidR="00FC05E9">
        <w:t>6.54</w:t>
      </w:r>
      <w:r w:rsidR="008679D3" w:rsidRPr="00F756C7">
        <w:fldChar w:fldCharType="end"/>
      </w:r>
      <w:r w:rsidR="008679D3" w:rsidRPr="00F756C7">
        <w:t xml:space="preserve">); </w:t>
      </w:r>
      <w:r w:rsidRPr="00F756C7">
        <w:t>and</w:t>
      </w:r>
    </w:p>
    <w:p w14:paraId="4FDA5FFD" w14:textId="7062DDB9" w:rsidR="00202488" w:rsidRPr="00F756C7" w:rsidRDefault="00202488" w:rsidP="00AA43F3">
      <w:pPr>
        <w:pStyle w:val="3-BodyText"/>
        <w:numPr>
          <w:ilvl w:val="0"/>
          <w:numId w:val="12"/>
        </w:numPr>
        <w:ind w:left="1080"/>
      </w:pPr>
      <w:r w:rsidRPr="00F756C7">
        <w:t xml:space="preserve">Applied treatment waning from 5 years (see paragraph </w:t>
      </w:r>
      <w:r w:rsidRPr="00F756C7">
        <w:fldChar w:fldCharType="begin" w:fldLock="1"/>
      </w:r>
      <w:r w:rsidRPr="00F756C7">
        <w:instrText xml:space="preserve"> REF _Ref127183340 \n \h  \* MERGEFORMAT </w:instrText>
      </w:r>
      <w:r w:rsidRPr="00F756C7">
        <w:fldChar w:fldCharType="separate"/>
      </w:r>
      <w:r w:rsidR="00FC05E9">
        <w:t>6.61</w:t>
      </w:r>
      <w:r w:rsidRPr="00F756C7">
        <w:fldChar w:fldCharType="end"/>
      </w:r>
      <w:r w:rsidRPr="00F756C7">
        <w:t>).</w:t>
      </w:r>
    </w:p>
    <w:p w14:paraId="66022FE7" w14:textId="4E06D010" w:rsidR="008679D3" w:rsidRDefault="003C22FD" w:rsidP="00202488">
      <w:pPr>
        <w:pStyle w:val="3-BodyText"/>
        <w:numPr>
          <w:ilvl w:val="0"/>
          <w:numId w:val="0"/>
        </w:numPr>
        <w:ind w:left="1440" w:hanging="720"/>
      </w:pPr>
      <w:r w:rsidRPr="00F756C7">
        <w:t xml:space="preserve">This analysis increased the ICER by </w:t>
      </w:r>
      <w:r w:rsidR="00202488" w:rsidRPr="00F756C7">
        <w:t>188</w:t>
      </w:r>
      <w:r w:rsidRPr="00F756C7">
        <w:t>%</w:t>
      </w:r>
      <w:r w:rsidR="00202488" w:rsidRPr="00F756C7">
        <w:t xml:space="preserve">, from </w:t>
      </w:r>
      <w:r w:rsidR="00542BC3" w:rsidRPr="00542BC3">
        <w:t>$35,000</w:t>
      </w:r>
      <w:r w:rsidR="00E15772">
        <w:t> </w:t>
      </w:r>
      <w:r w:rsidR="00542BC3" w:rsidRPr="00542BC3">
        <w:t>to</w:t>
      </w:r>
      <w:r w:rsidR="00E15772">
        <w:t> </w:t>
      </w:r>
      <w:r w:rsidR="00542BC3" w:rsidRPr="00542BC3">
        <w:t>&lt;</w:t>
      </w:r>
      <w:r w:rsidR="00E15772">
        <w:t> </w:t>
      </w:r>
      <w:r w:rsidR="00542BC3" w:rsidRPr="00542BC3">
        <w:t>$45,000</w:t>
      </w:r>
      <w:r w:rsidR="0040232E">
        <w:t xml:space="preserve"> </w:t>
      </w:r>
      <w:r w:rsidR="00202488" w:rsidRPr="00F756C7">
        <w:t xml:space="preserve">to </w:t>
      </w:r>
      <w:r w:rsidR="00542BC3" w:rsidRPr="00542BC3">
        <w:t>$115,000</w:t>
      </w:r>
      <w:r w:rsidR="00E15772">
        <w:t> </w:t>
      </w:r>
      <w:r w:rsidR="00542BC3" w:rsidRPr="00542BC3">
        <w:t>to</w:t>
      </w:r>
      <w:r w:rsidR="00E15772">
        <w:t> </w:t>
      </w:r>
      <w:r w:rsidR="00542BC3" w:rsidRPr="00542BC3">
        <w:t>&lt;</w:t>
      </w:r>
      <w:r w:rsidR="00E15772">
        <w:t> </w:t>
      </w:r>
      <w:r w:rsidR="00542BC3" w:rsidRPr="00542BC3">
        <w:t>$135,000</w:t>
      </w:r>
      <w:r w:rsidR="0040232E">
        <w:t xml:space="preserve"> </w:t>
      </w:r>
      <w:r w:rsidR="00202488" w:rsidRPr="00F756C7">
        <w:t>per QALY</w:t>
      </w:r>
      <w:r w:rsidRPr="00F756C7">
        <w:t>.</w:t>
      </w:r>
      <w:r w:rsidR="005A016A" w:rsidRPr="00F756C7">
        <w:t xml:space="preserve"> </w:t>
      </w:r>
    </w:p>
    <w:p w14:paraId="797F26A3" w14:textId="5AEE4B7E" w:rsidR="00096B52" w:rsidRPr="00F756C7" w:rsidRDefault="00096B52" w:rsidP="00096B52">
      <w:pPr>
        <w:pStyle w:val="3-BodyText"/>
      </w:pPr>
      <w:r>
        <w:t>The pre-PBAC response provided a revised base case</w:t>
      </w:r>
      <w:r w:rsidRPr="00F756C7">
        <w:t xml:space="preserve"> applying the </w:t>
      </w:r>
      <w:r>
        <w:t xml:space="preserve">following </w:t>
      </w:r>
      <w:r w:rsidRPr="00F756C7">
        <w:t>inputs:</w:t>
      </w:r>
    </w:p>
    <w:p w14:paraId="1DFA3C9E" w14:textId="2137C108" w:rsidR="00096B52" w:rsidRPr="00F756C7" w:rsidRDefault="00096B52" w:rsidP="00AA43F3">
      <w:pPr>
        <w:pStyle w:val="3-BodyText"/>
        <w:numPr>
          <w:ilvl w:val="0"/>
          <w:numId w:val="12"/>
        </w:numPr>
        <w:ind w:left="1080"/>
      </w:pPr>
      <w:r w:rsidRPr="00F756C7">
        <w:t>Changed time horizon to 2</w:t>
      </w:r>
      <w:r>
        <w:t>5</w:t>
      </w:r>
      <w:r w:rsidRPr="00F756C7">
        <w:t xml:space="preserve"> years;</w:t>
      </w:r>
    </w:p>
    <w:p w14:paraId="23F4478D" w14:textId="29C0840F" w:rsidR="00096B52" w:rsidRPr="00F756C7" w:rsidRDefault="00096B52" w:rsidP="00AA43F3">
      <w:pPr>
        <w:pStyle w:val="3-BodyText"/>
        <w:numPr>
          <w:ilvl w:val="0"/>
          <w:numId w:val="12"/>
        </w:numPr>
        <w:ind w:left="1080"/>
      </w:pPr>
      <w:r w:rsidRPr="00F756C7">
        <w:t>Inclusion of costs and benefits for adjuvant capecitabine;</w:t>
      </w:r>
    </w:p>
    <w:p w14:paraId="6D69B101" w14:textId="7453DF57" w:rsidR="00096B52" w:rsidRPr="00F756C7" w:rsidRDefault="00096B52" w:rsidP="00AA43F3">
      <w:pPr>
        <w:pStyle w:val="3-BodyText"/>
        <w:numPr>
          <w:ilvl w:val="0"/>
          <w:numId w:val="12"/>
        </w:numPr>
        <w:ind w:left="1080"/>
      </w:pPr>
      <w:r w:rsidRPr="00F756C7">
        <w:t>Applied a terminal care cost in mTNBC consistent with PBAC’s previous consideration of sacituzumab govitecan; and</w:t>
      </w:r>
    </w:p>
    <w:p w14:paraId="0AB869D4" w14:textId="40681299" w:rsidR="00096B52" w:rsidRPr="00F756C7" w:rsidRDefault="00096B52" w:rsidP="00AA43F3">
      <w:pPr>
        <w:pStyle w:val="3-BodyText"/>
        <w:numPr>
          <w:ilvl w:val="0"/>
          <w:numId w:val="12"/>
        </w:numPr>
        <w:ind w:left="1080"/>
      </w:pPr>
      <w:r w:rsidRPr="00F756C7">
        <w:t xml:space="preserve">Applied treatment waning from </w:t>
      </w:r>
      <w:r w:rsidR="0049685D">
        <w:t>8</w:t>
      </w:r>
      <w:r w:rsidRPr="00F756C7">
        <w:t xml:space="preserve"> years.</w:t>
      </w:r>
    </w:p>
    <w:p w14:paraId="5FC0A43C" w14:textId="50076027" w:rsidR="00096B52" w:rsidRPr="00F756C7" w:rsidRDefault="00096B52" w:rsidP="00862A2F">
      <w:pPr>
        <w:pStyle w:val="3-BodyText"/>
        <w:numPr>
          <w:ilvl w:val="0"/>
          <w:numId w:val="0"/>
        </w:numPr>
        <w:ind w:left="709"/>
      </w:pPr>
      <w:r w:rsidRPr="00F756C7">
        <w:t xml:space="preserve">This analysis increased the </w:t>
      </w:r>
      <w:r w:rsidRPr="0049685D">
        <w:t xml:space="preserve">ICER by </w:t>
      </w:r>
      <w:r w:rsidR="0049685D" w:rsidRPr="0049685D">
        <w:t>84</w:t>
      </w:r>
      <w:r w:rsidRPr="0049685D">
        <w:t xml:space="preserve">%, from </w:t>
      </w:r>
      <w:r w:rsidR="00542BC3" w:rsidRPr="00542BC3">
        <w:t>$35,000</w:t>
      </w:r>
      <w:r w:rsidR="00E15772">
        <w:t> </w:t>
      </w:r>
      <w:r w:rsidR="00542BC3" w:rsidRPr="00542BC3">
        <w:t>to</w:t>
      </w:r>
      <w:r w:rsidR="00E15772">
        <w:t> </w:t>
      </w:r>
      <w:r w:rsidR="00542BC3" w:rsidRPr="00542BC3">
        <w:t>&lt;</w:t>
      </w:r>
      <w:r w:rsidR="00E15772">
        <w:t> </w:t>
      </w:r>
      <w:r w:rsidR="00542BC3" w:rsidRPr="00542BC3">
        <w:t>$45,000</w:t>
      </w:r>
      <w:r w:rsidR="0040232E">
        <w:t xml:space="preserve"> </w:t>
      </w:r>
      <w:r w:rsidRPr="0049685D">
        <w:t xml:space="preserve">to </w:t>
      </w:r>
      <w:r w:rsidR="00542BC3" w:rsidRPr="00542BC3">
        <w:t>$75,000</w:t>
      </w:r>
      <w:r w:rsidR="00E15772">
        <w:t> </w:t>
      </w:r>
      <w:r w:rsidR="00542BC3" w:rsidRPr="00542BC3">
        <w:t>to</w:t>
      </w:r>
      <w:r w:rsidR="00E15772">
        <w:t> </w:t>
      </w:r>
      <w:r w:rsidR="00542BC3" w:rsidRPr="00542BC3">
        <w:t>&lt;</w:t>
      </w:r>
      <w:r w:rsidR="00E15772">
        <w:t> </w:t>
      </w:r>
      <w:r w:rsidR="00542BC3" w:rsidRPr="00542BC3">
        <w:t>$95,000</w:t>
      </w:r>
      <w:r w:rsidR="0040232E">
        <w:t xml:space="preserve"> </w:t>
      </w:r>
      <w:r w:rsidRPr="00F756C7">
        <w:t xml:space="preserve">per QALY. </w:t>
      </w:r>
      <w:r w:rsidR="00862A2F">
        <w:t>The pre-PBAC response proposed a revised price ($</w:t>
      </w:r>
      <w:r w:rsidR="00BB281C" w:rsidRPr="00740AEA">
        <w:rPr>
          <w:color w:val="000000"/>
          <w:w w:val="15"/>
          <w:shd w:val="solid" w:color="000000" w:fill="000000"/>
          <w:fitText w:val="-20" w:id="-1234422519"/>
          <w14:textFill>
            <w14:solidFill>
              <w14:srgbClr w14:val="000000">
                <w14:alpha w14:val="100000"/>
              </w14:srgbClr>
            </w14:solidFill>
          </w14:textFill>
        </w:rPr>
        <w:t xml:space="preserve">|  </w:t>
      </w:r>
      <w:r w:rsidR="00BB281C" w:rsidRPr="00740AEA">
        <w:rPr>
          <w:color w:val="000000"/>
          <w:spacing w:val="-69"/>
          <w:w w:val="15"/>
          <w:shd w:val="solid" w:color="000000" w:fill="000000"/>
          <w:fitText w:val="-20" w:id="-1234422519"/>
          <w14:textFill>
            <w14:solidFill>
              <w14:srgbClr w14:val="000000">
                <w14:alpha w14:val="100000"/>
              </w14:srgbClr>
            </w14:solidFill>
          </w14:textFill>
        </w:rPr>
        <w:t>|</w:t>
      </w:r>
      <w:r w:rsidR="00862A2F">
        <w:t xml:space="preserve">) that resulted in an ICER of </w:t>
      </w:r>
      <w:r w:rsidR="00542BC3" w:rsidRPr="00542BC3">
        <w:t>$35,000</w:t>
      </w:r>
      <w:r w:rsidR="00E15772">
        <w:t> </w:t>
      </w:r>
      <w:r w:rsidR="00542BC3" w:rsidRPr="00542BC3">
        <w:t>to</w:t>
      </w:r>
      <w:r w:rsidR="00E15772">
        <w:t> </w:t>
      </w:r>
      <w:r w:rsidR="00542BC3" w:rsidRPr="00542BC3">
        <w:t>&lt;</w:t>
      </w:r>
      <w:r w:rsidR="00E15772">
        <w:t> </w:t>
      </w:r>
      <w:r w:rsidR="00542BC3" w:rsidRPr="00542BC3">
        <w:t>$45,000</w:t>
      </w:r>
      <w:r w:rsidR="00862A2F">
        <w:t>/QALY.</w:t>
      </w:r>
    </w:p>
    <w:p w14:paraId="472842D7" w14:textId="6198D5CC" w:rsidR="00C25D9C" w:rsidRPr="006919A9" w:rsidRDefault="00C25D9C" w:rsidP="00BB732D">
      <w:pPr>
        <w:pStyle w:val="4-SubsectionHeading"/>
      </w:pPr>
      <w:bookmarkStart w:id="68" w:name="_Toc22897646"/>
      <w:bookmarkStart w:id="69" w:name="_Toc124710219"/>
      <w:r w:rsidRPr="006919A9">
        <w:lastRenderedPageBreak/>
        <w:t>Dr</w:t>
      </w:r>
      <w:r w:rsidR="007C635C" w:rsidRPr="006919A9">
        <w:t>ug</w:t>
      </w:r>
      <w:r w:rsidRPr="006919A9">
        <w:t xml:space="preserve"> cost/patient/course</w:t>
      </w:r>
      <w:bookmarkEnd w:id="68"/>
      <w:bookmarkEnd w:id="69"/>
    </w:p>
    <w:p w14:paraId="51691BD3" w14:textId="1B2570C3" w:rsidR="00494207" w:rsidRPr="006919A9" w:rsidRDefault="00E16AD8" w:rsidP="00E16AD8">
      <w:pPr>
        <w:pStyle w:val="Caption"/>
        <w:rPr>
          <w:rStyle w:val="CommentReference"/>
          <w:b/>
          <w:szCs w:val="24"/>
        </w:rPr>
      </w:pPr>
      <w:bookmarkStart w:id="70" w:name="_Ref104805102"/>
      <w:bookmarkStart w:id="71" w:name="_Hlk127185158"/>
      <w:r w:rsidRPr="006919A9">
        <w:t xml:space="preserve">Table </w:t>
      </w:r>
      <w:fldSimple w:instr=" SEQ Table \* ARABIC " w:fldLock="1">
        <w:r w:rsidR="0067416F">
          <w:rPr>
            <w:noProof/>
          </w:rPr>
          <w:t>16</w:t>
        </w:r>
      </w:fldSimple>
      <w:bookmarkEnd w:id="70"/>
      <w:r w:rsidRPr="006919A9">
        <w:t>:</w:t>
      </w:r>
      <w:r w:rsidR="00494207" w:rsidRPr="006919A9">
        <w:rPr>
          <w:rStyle w:val="CommentReference"/>
          <w:b/>
          <w:szCs w:val="24"/>
        </w:rPr>
        <w:t xml:space="preserve"> Drug cost per patient for proposed and comparator drugs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95"/>
        <w:gridCol w:w="1551"/>
        <w:gridCol w:w="1454"/>
        <w:gridCol w:w="1717"/>
      </w:tblGrid>
      <w:tr w:rsidR="00AA43F3" w:rsidRPr="00F756C7" w14:paraId="5B4ADAAB" w14:textId="77777777" w:rsidTr="00AA43F3">
        <w:trPr>
          <w:cantSplit/>
          <w:trHeight w:val="218"/>
          <w:tblHeader/>
          <w:jc w:val="center"/>
        </w:trPr>
        <w:tc>
          <w:tcPr>
            <w:tcW w:w="2382" w:type="pct"/>
            <w:vMerge w:val="restart"/>
            <w:tcMar>
              <w:top w:w="0" w:type="dxa"/>
              <w:left w:w="28" w:type="dxa"/>
              <w:bottom w:w="0" w:type="dxa"/>
              <w:right w:w="28" w:type="dxa"/>
            </w:tcMar>
            <w:vAlign w:val="center"/>
          </w:tcPr>
          <w:p w14:paraId="5870CF40" w14:textId="77777777" w:rsidR="00AA43F3" w:rsidRPr="00F756C7" w:rsidRDefault="00AA43F3">
            <w:pPr>
              <w:pStyle w:val="In-tableHeading"/>
              <w:spacing w:line="256" w:lineRule="auto"/>
              <w:jc w:val="center"/>
              <w:rPr>
                <w:rFonts w:cs="Calibri"/>
                <w:szCs w:val="20"/>
                <w:lang w:eastAsia="en-US"/>
              </w:rPr>
            </w:pPr>
          </w:p>
        </w:tc>
        <w:tc>
          <w:tcPr>
            <w:tcW w:w="2618" w:type="pct"/>
            <w:gridSpan w:val="3"/>
            <w:tcMar>
              <w:top w:w="0" w:type="dxa"/>
              <w:left w:w="28" w:type="dxa"/>
              <w:bottom w:w="0" w:type="dxa"/>
              <w:right w:w="28" w:type="dxa"/>
            </w:tcMar>
            <w:vAlign w:val="center"/>
            <w:hideMark/>
          </w:tcPr>
          <w:p w14:paraId="7ACBB0E6" w14:textId="77777777" w:rsidR="00AA43F3" w:rsidRPr="00F756C7" w:rsidRDefault="00AA43F3">
            <w:pPr>
              <w:pStyle w:val="In-tableHeading"/>
              <w:spacing w:line="256" w:lineRule="auto"/>
              <w:jc w:val="center"/>
              <w:rPr>
                <w:szCs w:val="20"/>
                <w:lang w:eastAsia="en-US"/>
              </w:rPr>
            </w:pPr>
            <w:r w:rsidRPr="00F756C7">
              <w:rPr>
                <w:szCs w:val="20"/>
                <w:lang w:eastAsia="en-US"/>
              </w:rPr>
              <w:t>Pembrolizumab plus chemotherapy</w:t>
            </w:r>
          </w:p>
        </w:tc>
      </w:tr>
      <w:tr w:rsidR="00AA43F3" w:rsidRPr="00F756C7" w14:paraId="0F651EB3" w14:textId="77777777" w:rsidTr="00D7130C">
        <w:trPr>
          <w:cantSplit/>
          <w:tblHeader/>
          <w:jc w:val="center"/>
        </w:trPr>
        <w:tc>
          <w:tcPr>
            <w:tcW w:w="2382" w:type="pct"/>
            <w:vMerge/>
            <w:tcMar>
              <w:top w:w="0" w:type="dxa"/>
              <w:left w:w="28" w:type="dxa"/>
              <w:bottom w:w="0" w:type="dxa"/>
              <w:right w:w="28" w:type="dxa"/>
            </w:tcMar>
            <w:vAlign w:val="center"/>
          </w:tcPr>
          <w:p w14:paraId="61B3AC55" w14:textId="77777777" w:rsidR="00AA43F3" w:rsidRPr="00F756C7" w:rsidRDefault="00AA43F3">
            <w:pPr>
              <w:pStyle w:val="In-tableHeading"/>
              <w:spacing w:line="256" w:lineRule="auto"/>
              <w:jc w:val="center"/>
              <w:rPr>
                <w:szCs w:val="20"/>
                <w:lang w:eastAsia="en-US"/>
              </w:rPr>
            </w:pPr>
          </w:p>
        </w:tc>
        <w:tc>
          <w:tcPr>
            <w:tcW w:w="860" w:type="pct"/>
            <w:tcMar>
              <w:top w:w="0" w:type="dxa"/>
              <w:left w:w="28" w:type="dxa"/>
              <w:bottom w:w="0" w:type="dxa"/>
              <w:right w:w="28" w:type="dxa"/>
            </w:tcMar>
            <w:vAlign w:val="center"/>
            <w:hideMark/>
          </w:tcPr>
          <w:p w14:paraId="44E72D64" w14:textId="77777777" w:rsidR="00AA43F3" w:rsidRPr="00F756C7" w:rsidRDefault="00AA43F3">
            <w:pPr>
              <w:pStyle w:val="In-tableHeading"/>
              <w:spacing w:line="256" w:lineRule="auto"/>
              <w:jc w:val="center"/>
              <w:rPr>
                <w:szCs w:val="20"/>
                <w:lang w:eastAsia="en-US"/>
              </w:rPr>
            </w:pPr>
            <w:r w:rsidRPr="00F756C7">
              <w:rPr>
                <w:szCs w:val="20"/>
                <w:lang w:eastAsia="en-US"/>
              </w:rPr>
              <w:t>Trial dose and duration</w:t>
            </w:r>
          </w:p>
        </w:tc>
        <w:tc>
          <w:tcPr>
            <w:tcW w:w="806" w:type="pct"/>
            <w:tcMar>
              <w:top w:w="0" w:type="dxa"/>
              <w:left w:w="28" w:type="dxa"/>
              <w:bottom w:w="0" w:type="dxa"/>
              <w:right w:w="28" w:type="dxa"/>
            </w:tcMar>
            <w:vAlign w:val="center"/>
            <w:hideMark/>
          </w:tcPr>
          <w:p w14:paraId="73C54079" w14:textId="77777777" w:rsidR="00AA43F3" w:rsidRPr="00F756C7" w:rsidRDefault="00AA43F3">
            <w:pPr>
              <w:pStyle w:val="In-tableHeading"/>
              <w:spacing w:line="256" w:lineRule="auto"/>
              <w:jc w:val="center"/>
              <w:rPr>
                <w:szCs w:val="20"/>
                <w:lang w:eastAsia="en-US"/>
              </w:rPr>
            </w:pPr>
            <w:r w:rsidRPr="00F756C7">
              <w:rPr>
                <w:szCs w:val="20"/>
                <w:lang w:eastAsia="en-US"/>
              </w:rPr>
              <w:t>Model</w:t>
            </w:r>
          </w:p>
        </w:tc>
        <w:tc>
          <w:tcPr>
            <w:tcW w:w="952" w:type="pct"/>
            <w:tcMar>
              <w:top w:w="0" w:type="dxa"/>
              <w:left w:w="28" w:type="dxa"/>
              <w:bottom w:w="0" w:type="dxa"/>
              <w:right w:w="28" w:type="dxa"/>
            </w:tcMar>
            <w:vAlign w:val="center"/>
            <w:hideMark/>
          </w:tcPr>
          <w:p w14:paraId="67B9A605" w14:textId="77777777" w:rsidR="00AA43F3" w:rsidRPr="00F756C7" w:rsidRDefault="00AA43F3">
            <w:pPr>
              <w:pStyle w:val="In-tableHeading"/>
              <w:spacing w:line="256" w:lineRule="auto"/>
              <w:jc w:val="center"/>
              <w:rPr>
                <w:szCs w:val="20"/>
                <w:lang w:eastAsia="en-US"/>
              </w:rPr>
            </w:pPr>
            <w:r w:rsidRPr="00F756C7">
              <w:rPr>
                <w:szCs w:val="20"/>
                <w:lang w:eastAsia="en-US"/>
              </w:rPr>
              <w:t>Financial estimates</w:t>
            </w:r>
          </w:p>
          <w:p w14:paraId="7147586A" w14:textId="730FFF87" w:rsidR="00AA43F3" w:rsidRPr="00F756C7" w:rsidRDefault="00AA43F3">
            <w:pPr>
              <w:pStyle w:val="In-tableHeading"/>
              <w:spacing w:line="256" w:lineRule="auto"/>
              <w:jc w:val="center"/>
              <w:rPr>
                <w:szCs w:val="20"/>
                <w:lang w:eastAsia="en-US"/>
              </w:rPr>
            </w:pPr>
            <w:r w:rsidRPr="00F756C7">
              <w:rPr>
                <w:szCs w:val="20"/>
                <w:lang w:eastAsia="en-US"/>
              </w:rPr>
              <w:t>(PSCR revised)</w:t>
            </w:r>
          </w:p>
        </w:tc>
      </w:tr>
      <w:tr w:rsidR="00D7130C" w:rsidRPr="00F756C7" w14:paraId="76010F3D" w14:textId="77777777" w:rsidTr="00D7130C">
        <w:trPr>
          <w:cantSplit/>
          <w:jc w:val="center"/>
        </w:trPr>
        <w:tc>
          <w:tcPr>
            <w:tcW w:w="2382" w:type="pct"/>
            <w:tcMar>
              <w:top w:w="0" w:type="dxa"/>
              <w:left w:w="28" w:type="dxa"/>
              <w:bottom w:w="0" w:type="dxa"/>
              <w:right w:w="28" w:type="dxa"/>
            </w:tcMar>
            <w:vAlign w:val="center"/>
            <w:hideMark/>
          </w:tcPr>
          <w:p w14:paraId="35577472" w14:textId="77777777" w:rsidR="00D7130C" w:rsidRPr="00F756C7" w:rsidRDefault="00D7130C">
            <w:pPr>
              <w:pStyle w:val="TableText0"/>
              <w:spacing w:line="256" w:lineRule="auto"/>
              <w:rPr>
                <w:b/>
                <w:szCs w:val="20"/>
                <w:lang w:eastAsia="en-US"/>
              </w:rPr>
            </w:pPr>
            <w:r w:rsidRPr="00F756C7">
              <w:rPr>
                <w:b/>
                <w:bCs w:val="0"/>
                <w:szCs w:val="20"/>
              </w:rPr>
              <w:t>Neoadjuvant</w:t>
            </w:r>
          </w:p>
        </w:tc>
        <w:tc>
          <w:tcPr>
            <w:tcW w:w="860" w:type="pct"/>
            <w:tcMar>
              <w:top w:w="0" w:type="dxa"/>
              <w:left w:w="28" w:type="dxa"/>
              <w:bottom w:w="0" w:type="dxa"/>
              <w:right w:w="28" w:type="dxa"/>
            </w:tcMar>
            <w:vAlign w:val="center"/>
          </w:tcPr>
          <w:p w14:paraId="771B14D3" w14:textId="77777777" w:rsidR="00D7130C" w:rsidRPr="00F756C7" w:rsidRDefault="00D7130C">
            <w:pPr>
              <w:pStyle w:val="TableText0"/>
              <w:spacing w:line="256" w:lineRule="auto"/>
              <w:jc w:val="center"/>
              <w:rPr>
                <w:b/>
                <w:bCs w:val="0"/>
                <w:szCs w:val="20"/>
              </w:rPr>
            </w:pPr>
          </w:p>
        </w:tc>
        <w:tc>
          <w:tcPr>
            <w:tcW w:w="806" w:type="pct"/>
            <w:tcMar>
              <w:top w:w="0" w:type="dxa"/>
              <w:left w:w="28" w:type="dxa"/>
              <w:bottom w:w="0" w:type="dxa"/>
              <w:right w:w="28" w:type="dxa"/>
            </w:tcMar>
            <w:vAlign w:val="center"/>
          </w:tcPr>
          <w:p w14:paraId="64FAD391" w14:textId="77777777" w:rsidR="00D7130C" w:rsidRPr="00F756C7" w:rsidRDefault="00D7130C">
            <w:pPr>
              <w:pStyle w:val="TableText0"/>
              <w:spacing w:line="256" w:lineRule="auto"/>
              <w:jc w:val="center"/>
              <w:rPr>
                <w:b/>
                <w:bCs w:val="0"/>
                <w:szCs w:val="20"/>
              </w:rPr>
            </w:pPr>
          </w:p>
        </w:tc>
        <w:tc>
          <w:tcPr>
            <w:tcW w:w="952" w:type="pct"/>
            <w:tcMar>
              <w:top w:w="0" w:type="dxa"/>
              <w:left w:w="28" w:type="dxa"/>
              <w:bottom w:w="0" w:type="dxa"/>
              <w:right w:w="28" w:type="dxa"/>
            </w:tcMar>
            <w:vAlign w:val="center"/>
          </w:tcPr>
          <w:p w14:paraId="059357B1" w14:textId="77777777" w:rsidR="00D7130C" w:rsidRPr="00F756C7" w:rsidRDefault="00D7130C">
            <w:pPr>
              <w:pStyle w:val="TableText0"/>
              <w:spacing w:line="256" w:lineRule="auto"/>
              <w:jc w:val="center"/>
              <w:rPr>
                <w:b/>
                <w:bCs w:val="0"/>
                <w:szCs w:val="20"/>
              </w:rPr>
            </w:pPr>
          </w:p>
        </w:tc>
      </w:tr>
      <w:tr w:rsidR="00D7130C" w:rsidRPr="00F756C7" w14:paraId="037C26A5" w14:textId="77777777" w:rsidTr="00D7130C">
        <w:trPr>
          <w:cantSplit/>
          <w:jc w:val="center"/>
        </w:trPr>
        <w:tc>
          <w:tcPr>
            <w:tcW w:w="2382" w:type="pct"/>
            <w:tcMar>
              <w:top w:w="0" w:type="dxa"/>
              <w:left w:w="28" w:type="dxa"/>
              <w:bottom w:w="0" w:type="dxa"/>
              <w:right w:w="28" w:type="dxa"/>
            </w:tcMar>
            <w:vAlign w:val="center"/>
            <w:hideMark/>
          </w:tcPr>
          <w:p w14:paraId="21B29B7C" w14:textId="77777777" w:rsidR="00D7130C" w:rsidRPr="00F756C7" w:rsidRDefault="00D7130C">
            <w:pPr>
              <w:pStyle w:val="TableText0"/>
              <w:spacing w:line="256" w:lineRule="auto"/>
              <w:rPr>
                <w:bCs w:val="0"/>
                <w:szCs w:val="20"/>
              </w:rPr>
            </w:pPr>
            <w:r w:rsidRPr="00F756C7">
              <w:rPr>
                <w:szCs w:val="20"/>
              </w:rPr>
              <w:t>Pembrolizumab</w:t>
            </w:r>
          </w:p>
        </w:tc>
        <w:tc>
          <w:tcPr>
            <w:tcW w:w="860" w:type="pct"/>
            <w:tcMar>
              <w:top w:w="0" w:type="dxa"/>
              <w:left w:w="28" w:type="dxa"/>
              <w:bottom w:w="0" w:type="dxa"/>
              <w:right w:w="28" w:type="dxa"/>
            </w:tcMar>
            <w:vAlign w:val="center"/>
          </w:tcPr>
          <w:p w14:paraId="5C03B57E" w14:textId="77777777" w:rsidR="00D7130C" w:rsidRPr="00F756C7" w:rsidRDefault="00D7130C">
            <w:pPr>
              <w:pStyle w:val="TableText0"/>
              <w:spacing w:line="256" w:lineRule="auto"/>
              <w:jc w:val="center"/>
              <w:rPr>
                <w:b/>
                <w:szCs w:val="20"/>
              </w:rPr>
            </w:pPr>
          </w:p>
        </w:tc>
        <w:tc>
          <w:tcPr>
            <w:tcW w:w="806" w:type="pct"/>
            <w:tcMar>
              <w:top w:w="0" w:type="dxa"/>
              <w:left w:w="28" w:type="dxa"/>
              <w:bottom w:w="0" w:type="dxa"/>
              <w:right w:w="28" w:type="dxa"/>
            </w:tcMar>
          </w:tcPr>
          <w:p w14:paraId="15568DA0" w14:textId="77777777" w:rsidR="00D7130C" w:rsidRPr="00F756C7" w:rsidRDefault="00D7130C">
            <w:pPr>
              <w:pStyle w:val="TableText0"/>
              <w:spacing w:line="256" w:lineRule="auto"/>
              <w:jc w:val="center"/>
              <w:rPr>
                <w:b/>
                <w:bCs w:val="0"/>
                <w:szCs w:val="20"/>
              </w:rPr>
            </w:pPr>
          </w:p>
        </w:tc>
        <w:tc>
          <w:tcPr>
            <w:tcW w:w="952" w:type="pct"/>
            <w:tcMar>
              <w:top w:w="0" w:type="dxa"/>
              <w:left w:w="28" w:type="dxa"/>
              <w:bottom w:w="0" w:type="dxa"/>
              <w:right w:w="28" w:type="dxa"/>
            </w:tcMar>
            <w:vAlign w:val="center"/>
          </w:tcPr>
          <w:p w14:paraId="3483E75A" w14:textId="77777777" w:rsidR="00D7130C" w:rsidRPr="00F756C7" w:rsidRDefault="00D7130C">
            <w:pPr>
              <w:pStyle w:val="TableText0"/>
              <w:spacing w:line="256" w:lineRule="auto"/>
              <w:jc w:val="center"/>
              <w:rPr>
                <w:b/>
                <w:bCs w:val="0"/>
                <w:szCs w:val="20"/>
              </w:rPr>
            </w:pPr>
          </w:p>
        </w:tc>
      </w:tr>
      <w:tr w:rsidR="00D7130C" w:rsidRPr="00F756C7" w14:paraId="5E20972D" w14:textId="77777777" w:rsidTr="00D7130C">
        <w:trPr>
          <w:cantSplit/>
          <w:jc w:val="center"/>
        </w:trPr>
        <w:tc>
          <w:tcPr>
            <w:tcW w:w="2382" w:type="pct"/>
            <w:tcMar>
              <w:top w:w="0" w:type="dxa"/>
              <w:left w:w="28" w:type="dxa"/>
              <w:bottom w:w="0" w:type="dxa"/>
              <w:right w:w="28" w:type="dxa"/>
            </w:tcMar>
            <w:hideMark/>
          </w:tcPr>
          <w:p w14:paraId="4CE32ED4" w14:textId="77777777" w:rsidR="00D7130C" w:rsidRPr="00F756C7" w:rsidRDefault="00D7130C">
            <w:pPr>
              <w:pStyle w:val="TableText0"/>
              <w:spacing w:line="256" w:lineRule="auto"/>
              <w:rPr>
                <w:bCs w:val="0"/>
                <w:szCs w:val="20"/>
              </w:rPr>
            </w:pPr>
            <w:r w:rsidRPr="00F756C7">
              <w:rPr>
                <w:szCs w:val="20"/>
              </w:rPr>
              <w:t>Cost per admin</w:t>
            </w:r>
          </w:p>
        </w:tc>
        <w:tc>
          <w:tcPr>
            <w:tcW w:w="1666" w:type="pct"/>
            <w:gridSpan w:val="2"/>
            <w:tcMar>
              <w:top w:w="0" w:type="dxa"/>
              <w:left w:w="28" w:type="dxa"/>
              <w:bottom w:w="0" w:type="dxa"/>
              <w:right w:w="28" w:type="dxa"/>
            </w:tcMar>
            <w:vAlign w:val="center"/>
            <w:hideMark/>
          </w:tcPr>
          <w:p w14:paraId="42885F45" w14:textId="086CE9FB" w:rsidR="00D7130C" w:rsidRPr="00177A20" w:rsidRDefault="00D7130C">
            <w:pPr>
              <w:pStyle w:val="TableText0"/>
              <w:spacing w:line="256" w:lineRule="auto"/>
              <w:jc w:val="center"/>
              <w:rPr>
                <w:szCs w:val="20"/>
                <w:highlight w:val="yellow"/>
              </w:rPr>
            </w:pPr>
            <w:r w:rsidRPr="005767EF">
              <w:rPr>
                <w:szCs w:val="20"/>
              </w:rPr>
              <w:t>$</w:t>
            </w:r>
            <w:r w:rsidR="00BB281C" w:rsidRPr="00BB281C">
              <w:rPr>
                <w:color w:val="000000"/>
                <w:szCs w:val="20"/>
                <w:shd w:val="solid" w:color="000000" w:fill="000000"/>
                <w14:textFill>
                  <w14:solidFill>
                    <w14:srgbClr w14:val="000000">
                      <w14:alpha w14:val="100000"/>
                    </w14:srgbClr>
                  </w14:solidFill>
                </w14:textFill>
              </w:rPr>
              <w:t>|</w:t>
            </w:r>
            <w:r w:rsidRPr="00D709DC">
              <w:rPr>
                <w:szCs w:val="20"/>
                <w:vertAlign w:val="superscript"/>
              </w:rPr>
              <w:t>a</w:t>
            </w:r>
          </w:p>
        </w:tc>
        <w:tc>
          <w:tcPr>
            <w:tcW w:w="952" w:type="pct"/>
            <w:tcMar>
              <w:top w:w="0" w:type="dxa"/>
              <w:left w:w="28" w:type="dxa"/>
              <w:bottom w:w="0" w:type="dxa"/>
              <w:right w:w="28" w:type="dxa"/>
            </w:tcMar>
            <w:vAlign w:val="center"/>
            <w:hideMark/>
          </w:tcPr>
          <w:p w14:paraId="04BBB542" w14:textId="4DB1DAFA" w:rsidR="00D7130C" w:rsidRPr="00177A20" w:rsidRDefault="00D7130C">
            <w:pPr>
              <w:pStyle w:val="TableText0"/>
              <w:spacing w:line="256" w:lineRule="auto"/>
              <w:jc w:val="center"/>
              <w:rPr>
                <w:szCs w:val="20"/>
                <w:highlight w:val="yellow"/>
              </w:rPr>
            </w:pPr>
            <w:r w:rsidRPr="005767EF">
              <w:rPr>
                <w:szCs w:val="20"/>
              </w:rPr>
              <w:t>$</w:t>
            </w:r>
            <w:r w:rsidR="00BB281C" w:rsidRPr="00BB281C">
              <w:rPr>
                <w:color w:val="000000"/>
                <w:szCs w:val="20"/>
                <w:shd w:val="solid" w:color="000000" w:fill="000000"/>
                <w14:textFill>
                  <w14:solidFill>
                    <w14:srgbClr w14:val="000000">
                      <w14:alpha w14:val="100000"/>
                    </w14:srgbClr>
                  </w14:solidFill>
                </w14:textFill>
              </w:rPr>
              <w:t>|</w:t>
            </w:r>
          </w:p>
        </w:tc>
      </w:tr>
      <w:tr w:rsidR="00D7130C" w:rsidRPr="00F756C7" w14:paraId="3930703B" w14:textId="77777777" w:rsidTr="00D7130C">
        <w:trPr>
          <w:cantSplit/>
          <w:jc w:val="center"/>
        </w:trPr>
        <w:tc>
          <w:tcPr>
            <w:tcW w:w="2382" w:type="pct"/>
            <w:tcMar>
              <w:top w:w="0" w:type="dxa"/>
              <w:left w:w="28" w:type="dxa"/>
              <w:bottom w:w="0" w:type="dxa"/>
              <w:right w:w="28" w:type="dxa"/>
            </w:tcMar>
            <w:hideMark/>
          </w:tcPr>
          <w:p w14:paraId="23547C8E" w14:textId="77777777" w:rsidR="00D7130C" w:rsidRPr="00F756C7" w:rsidRDefault="00D7130C">
            <w:pPr>
              <w:pStyle w:val="TableText0"/>
              <w:spacing w:line="256" w:lineRule="auto"/>
              <w:rPr>
                <w:szCs w:val="20"/>
              </w:rPr>
            </w:pPr>
            <w:r w:rsidRPr="00F756C7">
              <w:rPr>
                <w:szCs w:val="20"/>
              </w:rPr>
              <w:t>Number of admin</w:t>
            </w:r>
          </w:p>
        </w:tc>
        <w:tc>
          <w:tcPr>
            <w:tcW w:w="860" w:type="pct"/>
            <w:tcMar>
              <w:top w:w="0" w:type="dxa"/>
              <w:left w:w="28" w:type="dxa"/>
              <w:bottom w:w="0" w:type="dxa"/>
              <w:right w:w="28" w:type="dxa"/>
            </w:tcMar>
            <w:vAlign w:val="center"/>
            <w:hideMark/>
          </w:tcPr>
          <w:p w14:paraId="7B3B19F1" w14:textId="77777777" w:rsidR="00D7130C" w:rsidRPr="005767EF" w:rsidRDefault="00D7130C">
            <w:pPr>
              <w:pStyle w:val="TableText0"/>
              <w:spacing w:line="256" w:lineRule="auto"/>
              <w:jc w:val="center"/>
              <w:rPr>
                <w:szCs w:val="20"/>
              </w:rPr>
            </w:pPr>
            <w:r w:rsidRPr="005767EF">
              <w:rPr>
                <w:szCs w:val="20"/>
              </w:rPr>
              <w:t>7.1</w:t>
            </w:r>
          </w:p>
        </w:tc>
        <w:tc>
          <w:tcPr>
            <w:tcW w:w="806" w:type="pct"/>
            <w:tcMar>
              <w:top w:w="0" w:type="dxa"/>
              <w:left w:w="28" w:type="dxa"/>
              <w:bottom w:w="0" w:type="dxa"/>
              <w:right w:w="28" w:type="dxa"/>
            </w:tcMar>
            <w:hideMark/>
          </w:tcPr>
          <w:p w14:paraId="255F21E5" w14:textId="77777777" w:rsidR="00D7130C" w:rsidRPr="005767EF" w:rsidRDefault="00D7130C">
            <w:pPr>
              <w:pStyle w:val="TableText0"/>
              <w:spacing w:line="256" w:lineRule="auto"/>
              <w:jc w:val="center"/>
              <w:rPr>
                <w:szCs w:val="20"/>
              </w:rPr>
            </w:pPr>
            <w:r w:rsidRPr="005767EF">
              <w:rPr>
                <w:szCs w:val="20"/>
              </w:rPr>
              <w:t>7.436</w:t>
            </w:r>
            <w:r w:rsidRPr="005767EF">
              <w:rPr>
                <w:szCs w:val="20"/>
                <w:vertAlign w:val="superscript"/>
              </w:rPr>
              <w:t>b</w:t>
            </w:r>
          </w:p>
        </w:tc>
        <w:tc>
          <w:tcPr>
            <w:tcW w:w="952" w:type="pct"/>
            <w:tcMar>
              <w:top w:w="0" w:type="dxa"/>
              <w:left w:w="28" w:type="dxa"/>
              <w:bottom w:w="0" w:type="dxa"/>
              <w:right w:w="28" w:type="dxa"/>
            </w:tcMar>
            <w:vAlign w:val="center"/>
            <w:hideMark/>
          </w:tcPr>
          <w:p w14:paraId="4DA42508" w14:textId="1D5D3D14" w:rsidR="00D7130C" w:rsidRPr="005767EF" w:rsidRDefault="00D7130C">
            <w:pPr>
              <w:pStyle w:val="TableText0"/>
              <w:spacing w:line="256" w:lineRule="auto"/>
              <w:jc w:val="center"/>
              <w:rPr>
                <w:szCs w:val="20"/>
                <w:vertAlign w:val="superscript"/>
              </w:rPr>
            </w:pPr>
            <w:r w:rsidRPr="005767EF">
              <w:rPr>
                <w:szCs w:val="20"/>
              </w:rPr>
              <w:t xml:space="preserve">7.44 </w:t>
            </w:r>
            <w:r w:rsidRPr="005767EF">
              <w:rPr>
                <w:szCs w:val="20"/>
                <w:vertAlign w:val="superscript"/>
              </w:rPr>
              <w:t>h</w:t>
            </w:r>
          </w:p>
        </w:tc>
      </w:tr>
      <w:tr w:rsidR="00D7130C" w:rsidRPr="00F756C7" w14:paraId="77F5CCBB" w14:textId="77777777" w:rsidTr="00D7130C">
        <w:trPr>
          <w:cantSplit/>
          <w:jc w:val="center"/>
        </w:trPr>
        <w:tc>
          <w:tcPr>
            <w:tcW w:w="2382" w:type="pct"/>
            <w:tcMar>
              <w:top w:w="0" w:type="dxa"/>
              <w:left w:w="28" w:type="dxa"/>
              <w:bottom w:w="0" w:type="dxa"/>
              <w:right w:w="28" w:type="dxa"/>
            </w:tcMar>
            <w:hideMark/>
          </w:tcPr>
          <w:p w14:paraId="124E4AB9" w14:textId="77777777" w:rsidR="00D7130C" w:rsidRPr="00F756C7" w:rsidRDefault="00D7130C">
            <w:pPr>
              <w:pStyle w:val="TableText0"/>
              <w:spacing w:line="256" w:lineRule="auto"/>
              <w:rPr>
                <w:szCs w:val="20"/>
              </w:rPr>
            </w:pPr>
            <w:r w:rsidRPr="00F756C7">
              <w:rPr>
                <w:szCs w:val="20"/>
              </w:rPr>
              <w:t>Total pembrolizumab acquisition cost</w:t>
            </w:r>
          </w:p>
        </w:tc>
        <w:tc>
          <w:tcPr>
            <w:tcW w:w="860" w:type="pct"/>
            <w:tcMar>
              <w:top w:w="0" w:type="dxa"/>
              <w:left w:w="28" w:type="dxa"/>
              <w:bottom w:w="0" w:type="dxa"/>
              <w:right w:w="28" w:type="dxa"/>
            </w:tcMar>
            <w:vAlign w:val="center"/>
            <w:hideMark/>
          </w:tcPr>
          <w:p w14:paraId="60955307" w14:textId="411B4A54" w:rsidR="00D7130C" w:rsidRPr="005D13EC" w:rsidRDefault="00D7130C">
            <w:pPr>
              <w:pStyle w:val="TableText0"/>
              <w:spacing w:line="256" w:lineRule="auto"/>
              <w:jc w:val="center"/>
              <w:rPr>
                <w:szCs w:val="20"/>
                <w:highlight w:val="yellow"/>
              </w:rPr>
            </w:pPr>
            <w:r w:rsidRPr="005767EF">
              <w:rPr>
                <w:szCs w:val="20"/>
              </w:rPr>
              <w:t>$</w:t>
            </w:r>
            <w:r w:rsidR="00BB281C" w:rsidRPr="00740AEA">
              <w:rPr>
                <w:rFonts w:hint="eastAsia"/>
                <w:color w:val="000000"/>
                <w:w w:val="15"/>
                <w:szCs w:val="20"/>
                <w:shd w:val="solid" w:color="000000" w:fill="000000"/>
                <w:fitText w:val="12" w:id="-1234422518"/>
                <w14:textFill>
                  <w14:solidFill>
                    <w14:srgbClr w14:val="000000">
                      <w14:alpha w14:val="100000"/>
                    </w14:srgbClr>
                  </w14:solidFill>
                </w14:textFill>
              </w:rPr>
              <w:t xml:space="preserve">　</w:t>
            </w:r>
            <w:r w:rsidR="00BB281C" w:rsidRPr="00740AEA">
              <w:rPr>
                <w:color w:val="000000"/>
                <w:w w:val="15"/>
                <w:szCs w:val="20"/>
                <w:shd w:val="solid" w:color="000000" w:fill="000000"/>
                <w:fitText w:val="12" w:id="-1234422518"/>
                <w14:textFill>
                  <w14:solidFill>
                    <w14:srgbClr w14:val="000000">
                      <w14:alpha w14:val="100000"/>
                    </w14:srgbClr>
                  </w14:solidFill>
                </w14:textFill>
              </w:rPr>
              <w:t>|</w:t>
            </w:r>
            <w:r w:rsidR="00BB281C" w:rsidRPr="00740AEA">
              <w:rPr>
                <w:rFonts w:hint="eastAsia"/>
                <w:color w:val="000000"/>
                <w:spacing w:val="-53"/>
                <w:w w:val="15"/>
                <w:szCs w:val="20"/>
                <w:shd w:val="solid" w:color="000000" w:fill="000000"/>
                <w:fitText w:val="12" w:id="-1234422518"/>
                <w14:textFill>
                  <w14:solidFill>
                    <w14:srgbClr w14:val="000000">
                      <w14:alpha w14:val="100000"/>
                    </w14:srgbClr>
                  </w14:solidFill>
                </w14:textFill>
              </w:rPr>
              <w:t xml:space="preserve">　</w:t>
            </w:r>
          </w:p>
        </w:tc>
        <w:tc>
          <w:tcPr>
            <w:tcW w:w="806" w:type="pct"/>
            <w:tcMar>
              <w:top w:w="0" w:type="dxa"/>
              <w:left w:w="28" w:type="dxa"/>
              <w:bottom w:w="0" w:type="dxa"/>
              <w:right w:w="28" w:type="dxa"/>
            </w:tcMar>
            <w:vAlign w:val="center"/>
            <w:hideMark/>
          </w:tcPr>
          <w:p w14:paraId="5B9F19BE" w14:textId="02A713DF" w:rsidR="00D7130C" w:rsidRPr="005D13EC" w:rsidRDefault="00D7130C">
            <w:pPr>
              <w:pStyle w:val="TableText0"/>
              <w:spacing w:line="256" w:lineRule="auto"/>
              <w:jc w:val="center"/>
              <w:rPr>
                <w:szCs w:val="20"/>
                <w:highlight w:val="yellow"/>
              </w:rPr>
            </w:pPr>
            <w:r w:rsidRPr="005767EF">
              <w:rPr>
                <w:szCs w:val="20"/>
              </w:rPr>
              <w:t>$</w:t>
            </w:r>
            <w:r w:rsidR="00BB281C" w:rsidRPr="00AB4133">
              <w:rPr>
                <w:rFonts w:hint="eastAsia"/>
                <w:color w:val="000000"/>
                <w:w w:val="15"/>
                <w:szCs w:val="20"/>
                <w:shd w:val="solid" w:color="000000" w:fill="000000"/>
                <w:fitText w:val="58" w:id="-1234422517"/>
                <w14:textFill>
                  <w14:solidFill>
                    <w14:srgbClr w14:val="000000">
                      <w14:alpha w14:val="100000"/>
                    </w14:srgbClr>
                  </w14:solidFill>
                </w14:textFill>
              </w:rPr>
              <w:t xml:space="preserve">　</w:t>
            </w:r>
            <w:r w:rsidR="00BB281C" w:rsidRPr="00AB4133">
              <w:rPr>
                <w:color w:val="000000"/>
                <w:w w:val="15"/>
                <w:szCs w:val="20"/>
                <w:shd w:val="solid" w:color="000000" w:fill="000000"/>
                <w:fitText w:val="58" w:id="-1234422517"/>
                <w14:textFill>
                  <w14:solidFill>
                    <w14:srgbClr w14:val="000000">
                      <w14:alpha w14:val="100000"/>
                    </w14:srgbClr>
                  </w14:solidFill>
                </w14:textFill>
              </w:rPr>
              <w:t>|</w:t>
            </w:r>
            <w:r w:rsidR="00BB281C" w:rsidRPr="00AB4133">
              <w:rPr>
                <w:rFonts w:hint="eastAsia"/>
                <w:color w:val="000000"/>
                <w:w w:val="15"/>
                <w:szCs w:val="20"/>
                <w:shd w:val="solid" w:color="000000" w:fill="000000"/>
                <w:fitText w:val="58" w:id="-1234422517"/>
                <w14:textFill>
                  <w14:solidFill>
                    <w14:srgbClr w14:val="000000">
                      <w14:alpha w14:val="100000"/>
                    </w14:srgbClr>
                  </w14:solidFill>
                </w14:textFill>
              </w:rPr>
              <w:t xml:space="preserve">　</w:t>
            </w:r>
          </w:p>
        </w:tc>
        <w:tc>
          <w:tcPr>
            <w:tcW w:w="952" w:type="pct"/>
            <w:tcMar>
              <w:top w:w="0" w:type="dxa"/>
              <w:left w:w="28" w:type="dxa"/>
              <w:bottom w:w="0" w:type="dxa"/>
              <w:right w:w="28" w:type="dxa"/>
            </w:tcMar>
            <w:vAlign w:val="center"/>
            <w:hideMark/>
          </w:tcPr>
          <w:p w14:paraId="01AB84F0" w14:textId="57B85E30" w:rsidR="00D7130C" w:rsidRPr="005D13EC" w:rsidRDefault="00D7130C">
            <w:pPr>
              <w:pStyle w:val="TableText0"/>
              <w:spacing w:line="256" w:lineRule="auto"/>
              <w:jc w:val="center"/>
              <w:rPr>
                <w:szCs w:val="20"/>
                <w:highlight w:val="yellow"/>
              </w:rPr>
            </w:pPr>
            <w:r w:rsidRPr="005767EF">
              <w:rPr>
                <w:szCs w:val="20"/>
              </w:rPr>
              <w:t>$</w:t>
            </w:r>
            <w:r w:rsidR="00BB281C" w:rsidRPr="00BB281C">
              <w:rPr>
                <w:color w:val="000000"/>
                <w:szCs w:val="20"/>
                <w:shd w:val="solid" w:color="000000" w:fill="000000"/>
                <w14:textFill>
                  <w14:solidFill>
                    <w14:srgbClr w14:val="000000">
                      <w14:alpha w14:val="100000"/>
                    </w14:srgbClr>
                  </w14:solidFill>
                </w14:textFill>
              </w:rPr>
              <w:t>|</w:t>
            </w:r>
          </w:p>
        </w:tc>
      </w:tr>
      <w:tr w:rsidR="00D7130C" w:rsidRPr="00F756C7" w14:paraId="07B7A31D" w14:textId="77777777" w:rsidTr="00D7130C">
        <w:trPr>
          <w:cantSplit/>
          <w:jc w:val="center"/>
        </w:trPr>
        <w:tc>
          <w:tcPr>
            <w:tcW w:w="2382" w:type="pct"/>
            <w:tcMar>
              <w:top w:w="0" w:type="dxa"/>
              <w:left w:w="28" w:type="dxa"/>
              <w:bottom w:w="0" w:type="dxa"/>
              <w:right w:w="28" w:type="dxa"/>
            </w:tcMar>
            <w:vAlign w:val="center"/>
            <w:hideMark/>
          </w:tcPr>
          <w:p w14:paraId="2BBC2702" w14:textId="77777777" w:rsidR="00D7130C" w:rsidRPr="00F756C7" w:rsidRDefault="00D7130C">
            <w:pPr>
              <w:pStyle w:val="TableText0"/>
              <w:spacing w:line="256" w:lineRule="auto"/>
              <w:rPr>
                <w:szCs w:val="20"/>
              </w:rPr>
            </w:pPr>
            <w:r w:rsidRPr="00F756C7">
              <w:rPr>
                <w:szCs w:val="20"/>
              </w:rPr>
              <w:t xml:space="preserve">Chemotherapy </w:t>
            </w:r>
            <w:r w:rsidRPr="00F756C7">
              <w:rPr>
                <w:szCs w:val="20"/>
                <w:vertAlign w:val="superscript"/>
              </w:rPr>
              <w:t>c</w:t>
            </w:r>
          </w:p>
        </w:tc>
        <w:tc>
          <w:tcPr>
            <w:tcW w:w="860" w:type="pct"/>
            <w:tcMar>
              <w:top w:w="0" w:type="dxa"/>
              <w:left w:w="28" w:type="dxa"/>
              <w:bottom w:w="0" w:type="dxa"/>
              <w:right w:w="28" w:type="dxa"/>
            </w:tcMar>
            <w:vAlign w:val="center"/>
            <w:hideMark/>
          </w:tcPr>
          <w:p w14:paraId="6C3141FA" w14:textId="77777777" w:rsidR="00D7130C" w:rsidRPr="00F756C7" w:rsidRDefault="00D7130C">
            <w:pPr>
              <w:pStyle w:val="TableText0"/>
              <w:spacing w:line="256" w:lineRule="auto"/>
              <w:jc w:val="center"/>
              <w:rPr>
                <w:szCs w:val="20"/>
                <w:vertAlign w:val="superscript"/>
              </w:rPr>
            </w:pPr>
            <w:r w:rsidRPr="00F756C7">
              <w:rPr>
                <w:szCs w:val="20"/>
              </w:rPr>
              <w:t xml:space="preserve">NC </w:t>
            </w:r>
            <w:r w:rsidRPr="00F756C7">
              <w:rPr>
                <w:szCs w:val="20"/>
                <w:vertAlign w:val="superscript"/>
              </w:rPr>
              <w:t>f</w:t>
            </w:r>
          </w:p>
        </w:tc>
        <w:tc>
          <w:tcPr>
            <w:tcW w:w="806" w:type="pct"/>
            <w:tcMar>
              <w:top w:w="0" w:type="dxa"/>
              <w:left w:w="28" w:type="dxa"/>
              <w:bottom w:w="0" w:type="dxa"/>
              <w:right w:w="28" w:type="dxa"/>
            </w:tcMar>
            <w:vAlign w:val="center"/>
            <w:hideMark/>
          </w:tcPr>
          <w:p w14:paraId="38BD1440" w14:textId="77777777" w:rsidR="00D7130C" w:rsidRPr="005767EF" w:rsidRDefault="00D7130C">
            <w:pPr>
              <w:pStyle w:val="TableText0"/>
              <w:spacing w:line="256" w:lineRule="auto"/>
              <w:jc w:val="center"/>
              <w:rPr>
                <w:szCs w:val="20"/>
              </w:rPr>
            </w:pPr>
            <w:r w:rsidRPr="005767EF">
              <w:rPr>
                <w:szCs w:val="20"/>
              </w:rPr>
              <w:t>$2,901.84</w:t>
            </w:r>
            <w:r w:rsidRPr="005767EF">
              <w:rPr>
                <w:szCs w:val="20"/>
                <w:vertAlign w:val="superscript"/>
              </w:rPr>
              <w:t>d</w:t>
            </w:r>
          </w:p>
        </w:tc>
        <w:tc>
          <w:tcPr>
            <w:tcW w:w="952" w:type="pct"/>
            <w:tcMar>
              <w:top w:w="0" w:type="dxa"/>
              <w:left w:w="28" w:type="dxa"/>
              <w:bottom w:w="0" w:type="dxa"/>
              <w:right w:w="28" w:type="dxa"/>
            </w:tcMar>
            <w:vAlign w:val="center"/>
            <w:hideMark/>
          </w:tcPr>
          <w:p w14:paraId="48BE9B9D" w14:textId="77777777" w:rsidR="00D7130C" w:rsidRPr="00F756C7" w:rsidRDefault="00D7130C">
            <w:pPr>
              <w:pStyle w:val="TableText0"/>
              <w:spacing w:line="256" w:lineRule="auto"/>
              <w:jc w:val="center"/>
              <w:rPr>
                <w:szCs w:val="20"/>
              </w:rPr>
            </w:pPr>
            <w:r w:rsidRPr="00F756C7">
              <w:rPr>
                <w:szCs w:val="20"/>
              </w:rPr>
              <w:t>Not included</w:t>
            </w:r>
          </w:p>
        </w:tc>
      </w:tr>
      <w:tr w:rsidR="00D7130C" w:rsidRPr="00F756C7" w14:paraId="1DFFE730" w14:textId="77777777" w:rsidTr="00D7130C">
        <w:trPr>
          <w:cantSplit/>
          <w:jc w:val="center"/>
        </w:trPr>
        <w:tc>
          <w:tcPr>
            <w:tcW w:w="2382" w:type="pct"/>
            <w:tcMar>
              <w:top w:w="0" w:type="dxa"/>
              <w:left w:w="28" w:type="dxa"/>
              <w:bottom w:w="0" w:type="dxa"/>
              <w:right w:w="28" w:type="dxa"/>
            </w:tcMar>
            <w:vAlign w:val="center"/>
            <w:hideMark/>
          </w:tcPr>
          <w:p w14:paraId="2AF932FA" w14:textId="77777777" w:rsidR="00D7130C" w:rsidRPr="00F756C7" w:rsidRDefault="00D7130C">
            <w:pPr>
              <w:pStyle w:val="TableText0"/>
              <w:spacing w:line="256" w:lineRule="auto"/>
              <w:rPr>
                <w:szCs w:val="20"/>
              </w:rPr>
            </w:pPr>
            <w:r w:rsidRPr="00F756C7">
              <w:rPr>
                <w:szCs w:val="20"/>
              </w:rPr>
              <w:t>Total neo-adjuvant costs</w:t>
            </w:r>
          </w:p>
        </w:tc>
        <w:tc>
          <w:tcPr>
            <w:tcW w:w="860" w:type="pct"/>
            <w:tcMar>
              <w:top w:w="0" w:type="dxa"/>
              <w:left w:w="28" w:type="dxa"/>
              <w:bottom w:w="0" w:type="dxa"/>
              <w:right w:w="28" w:type="dxa"/>
            </w:tcMar>
            <w:vAlign w:val="center"/>
            <w:hideMark/>
          </w:tcPr>
          <w:p w14:paraId="35257770" w14:textId="77777777" w:rsidR="00D7130C" w:rsidRPr="00F756C7" w:rsidRDefault="00D7130C">
            <w:pPr>
              <w:pStyle w:val="TableText0"/>
              <w:spacing w:line="256" w:lineRule="auto"/>
              <w:jc w:val="center"/>
              <w:rPr>
                <w:szCs w:val="20"/>
              </w:rPr>
            </w:pPr>
            <w:r w:rsidRPr="00F756C7">
              <w:rPr>
                <w:szCs w:val="20"/>
              </w:rPr>
              <w:t xml:space="preserve">NC </w:t>
            </w:r>
            <w:r w:rsidRPr="00F756C7">
              <w:rPr>
                <w:szCs w:val="20"/>
                <w:vertAlign w:val="superscript"/>
              </w:rPr>
              <w:t>f</w:t>
            </w:r>
          </w:p>
        </w:tc>
        <w:tc>
          <w:tcPr>
            <w:tcW w:w="806" w:type="pct"/>
            <w:tcMar>
              <w:top w:w="0" w:type="dxa"/>
              <w:left w:w="28" w:type="dxa"/>
              <w:bottom w:w="0" w:type="dxa"/>
              <w:right w:w="28" w:type="dxa"/>
            </w:tcMar>
            <w:vAlign w:val="center"/>
            <w:hideMark/>
          </w:tcPr>
          <w:p w14:paraId="7963DCA0" w14:textId="2FABB76E" w:rsidR="00D7130C" w:rsidRPr="005D13EC" w:rsidRDefault="00D7130C">
            <w:pPr>
              <w:pStyle w:val="TableText0"/>
              <w:spacing w:line="256" w:lineRule="auto"/>
              <w:jc w:val="center"/>
              <w:rPr>
                <w:szCs w:val="20"/>
                <w:highlight w:val="yellow"/>
              </w:rPr>
            </w:pPr>
            <w:r w:rsidRPr="005767EF">
              <w:rPr>
                <w:szCs w:val="20"/>
              </w:rPr>
              <w:t>$</w:t>
            </w:r>
            <w:r w:rsidR="00BB281C" w:rsidRPr="00AB4133">
              <w:rPr>
                <w:rFonts w:hint="eastAsia"/>
                <w:color w:val="000000"/>
                <w:w w:val="15"/>
                <w:szCs w:val="20"/>
                <w:shd w:val="solid" w:color="000000" w:fill="000000"/>
                <w:fitText w:val="58" w:id="-1234422516"/>
                <w14:textFill>
                  <w14:solidFill>
                    <w14:srgbClr w14:val="000000">
                      <w14:alpha w14:val="100000"/>
                    </w14:srgbClr>
                  </w14:solidFill>
                </w14:textFill>
              </w:rPr>
              <w:t xml:space="preserve">　</w:t>
            </w:r>
            <w:r w:rsidR="00BB281C" w:rsidRPr="00AB4133">
              <w:rPr>
                <w:color w:val="000000"/>
                <w:w w:val="15"/>
                <w:szCs w:val="20"/>
                <w:shd w:val="solid" w:color="000000" w:fill="000000"/>
                <w:fitText w:val="58" w:id="-1234422516"/>
                <w14:textFill>
                  <w14:solidFill>
                    <w14:srgbClr w14:val="000000">
                      <w14:alpha w14:val="100000"/>
                    </w14:srgbClr>
                  </w14:solidFill>
                </w14:textFill>
              </w:rPr>
              <w:t>|</w:t>
            </w:r>
            <w:r w:rsidR="00BB281C" w:rsidRPr="00AB4133">
              <w:rPr>
                <w:rFonts w:hint="eastAsia"/>
                <w:color w:val="000000"/>
                <w:w w:val="15"/>
                <w:szCs w:val="20"/>
                <w:shd w:val="solid" w:color="000000" w:fill="000000"/>
                <w:fitText w:val="58" w:id="-1234422516"/>
                <w14:textFill>
                  <w14:solidFill>
                    <w14:srgbClr w14:val="000000">
                      <w14:alpha w14:val="100000"/>
                    </w14:srgbClr>
                  </w14:solidFill>
                </w14:textFill>
              </w:rPr>
              <w:t xml:space="preserve">　</w:t>
            </w:r>
          </w:p>
        </w:tc>
        <w:tc>
          <w:tcPr>
            <w:tcW w:w="952" w:type="pct"/>
            <w:tcMar>
              <w:top w:w="0" w:type="dxa"/>
              <w:left w:w="28" w:type="dxa"/>
              <w:bottom w:w="0" w:type="dxa"/>
              <w:right w:w="28" w:type="dxa"/>
            </w:tcMar>
            <w:vAlign w:val="center"/>
            <w:hideMark/>
          </w:tcPr>
          <w:p w14:paraId="0713D745" w14:textId="7750EFC0" w:rsidR="00D7130C" w:rsidRPr="00F756C7" w:rsidRDefault="00D7130C">
            <w:pPr>
              <w:pStyle w:val="TableText0"/>
              <w:spacing w:line="256" w:lineRule="auto"/>
              <w:jc w:val="center"/>
              <w:rPr>
                <w:szCs w:val="20"/>
              </w:rPr>
            </w:pPr>
            <w:r w:rsidRPr="005767EF">
              <w:rPr>
                <w:szCs w:val="20"/>
              </w:rPr>
              <w:t>$</w:t>
            </w:r>
            <w:r w:rsidR="00BB281C" w:rsidRPr="00BB281C">
              <w:rPr>
                <w:color w:val="000000"/>
                <w:szCs w:val="20"/>
                <w:shd w:val="solid" w:color="000000" w:fill="000000"/>
                <w14:textFill>
                  <w14:solidFill>
                    <w14:srgbClr w14:val="000000">
                      <w14:alpha w14:val="100000"/>
                    </w14:srgbClr>
                  </w14:solidFill>
                </w14:textFill>
              </w:rPr>
              <w:t>|</w:t>
            </w:r>
          </w:p>
        </w:tc>
      </w:tr>
      <w:tr w:rsidR="00D7130C" w:rsidRPr="00F756C7" w14:paraId="0728A37E" w14:textId="77777777" w:rsidTr="00D7130C">
        <w:trPr>
          <w:cantSplit/>
          <w:jc w:val="center"/>
        </w:trPr>
        <w:tc>
          <w:tcPr>
            <w:tcW w:w="2382" w:type="pct"/>
            <w:tcMar>
              <w:top w:w="0" w:type="dxa"/>
              <w:left w:w="28" w:type="dxa"/>
              <w:bottom w:w="0" w:type="dxa"/>
              <w:right w:w="28" w:type="dxa"/>
            </w:tcMar>
            <w:vAlign w:val="center"/>
            <w:hideMark/>
          </w:tcPr>
          <w:p w14:paraId="7D54D71A" w14:textId="77777777" w:rsidR="00D7130C" w:rsidRPr="00F756C7" w:rsidRDefault="00D7130C">
            <w:pPr>
              <w:pStyle w:val="TableText0"/>
              <w:spacing w:line="256" w:lineRule="auto"/>
              <w:rPr>
                <w:b/>
                <w:szCs w:val="20"/>
              </w:rPr>
            </w:pPr>
            <w:r w:rsidRPr="00F756C7">
              <w:rPr>
                <w:b/>
                <w:bCs w:val="0"/>
                <w:szCs w:val="20"/>
              </w:rPr>
              <w:t>Adjuvant</w:t>
            </w:r>
          </w:p>
        </w:tc>
        <w:tc>
          <w:tcPr>
            <w:tcW w:w="860" w:type="pct"/>
            <w:tcMar>
              <w:top w:w="0" w:type="dxa"/>
              <w:left w:w="28" w:type="dxa"/>
              <w:bottom w:w="0" w:type="dxa"/>
              <w:right w:w="28" w:type="dxa"/>
            </w:tcMar>
            <w:vAlign w:val="center"/>
          </w:tcPr>
          <w:p w14:paraId="3ACD0944" w14:textId="77777777" w:rsidR="00D7130C" w:rsidRPr="00F756C7" w:rsidRDefault="00D7130C">
            <w:pPr>
              <w:pStyle w:val="TableText0"/>
              <w:spacing w:line="256" w:lineRule="auto"/>
              <w:jc w:val="center"/>
              <w:rPr>
                <w:bCs w:val="0"/>
                <w:szCs w:val="20"/>
              </w:rPr>
            </w:pPr>
          </w:p>
        </w:tc>
        <w:tc>
          <w:tcPr>
            <w:tcW w:w="806" w:type="pct"/>
            <w:tcMar>
              <w:top w:w="0" w:type="dxa"/>
              <w:left w:w="28" w:type="dxa"/>
              <w:bottom w:w="0" w:type="dxa"/>
              <w:right w:w="28" w:type="dxa"/>
            </w:tcMar>
            <w:vAlign w:val="center"/>
          </w:tcPr>
          <w:p w14:paraId="66E94340" w14:textId="77777777" w:rsidR="00D7130C" w:rsidRPr="00F756C7" w:rsidRDefault="00D7130C">
            <w:pPr>
              <w:pStyle w:val="TableText0"/>
              <w:spacing w:line="256" w:lineRule="auto"/>
              <w:jc w:val="center"/>
              <w:rPr>
                <w:szCs w:val="20"/>
              </w:rPr>
            </w:pPr>
          </w:p>
        </w:tc>
        <w:tc>
          <w:tcPr>
            <w:tcW w:w="952" w:type="pct"/>
            <w:tcMar>
              <w:top w:w="0" w:type="dxa"/>
              <w:left w:w="28" w:type="dxa"/>
              <w:bottom w:w="0" w:type="dxa"/>
              <w:right w:w="28" w:type="dxa"/>
            </w:tcMar>
            <w:vAlign w:val="center"/>
          </w:tcPr>
          <w:p w14:paraId="1DC5EE61" w14:textId="77777777" w:rsidR="00D7130C" w:rsidRPr="00F756C7" w:rsidRDefault="00D7130C">
            <w:pPr>
              <w:pStyle w:val="TableText0"/>
              <w:spacing w:line="256" w:lineRule="auto"/>
              <w:jc w:val="center"/>
              <w:rPr>
                <w:szCs w:val="20"/>
              </w:rPr>
            </w:pPr>
          </w:p>
        </w:tc>
      </w:tr>
      <w:tr w:rsidR="00D7130C" w:rsidRPr="00F756C7" w14:paraId="5D5DBD42" w14:textId="77777777" w:rsidTr="00D7130C">
        <w:trPr>
          <w:cantSplit/>
          <w:jc w:val="center"/>
        </w:trPr>
        <w:tc>
          <w:tcPr>
            <w:tcW w:w="2382" w:type="pct"/>
            <w:tcMar>
              <w:top w:w="0" w:type="dxa"/>
              <w:left w:w="28" w:type="dxa"/>
              <w:bottom w:w="0" w:type="dxa"/>
              <w:right w:w="28" w:type="dxa"/>
            </w:tcMar>
            <w:hideMark/>
          </w:tcPr>
          <w:p w14:paraId="3D14D17F" w14:textId="77777777" w:rsidR="00D7130C" w:rsidRPr="00F756C7" w:rsidRDefault="00D7130C">
            <w:pPr>
              <w:pStyle w:val="TableText0"/>
              <w:spacing w:line="256" w:lineRule="auto"/>
              <w:rPr>
                <w:szCs w:val="20"/>
              </w:rPr>
            </w:pPr>
            <w:r w:rsidRPr="00F756C7">
              <w:rPr>
                <w:szCs w:val="20"/>
              </w:rPr>
              <w:t>Pembrolizumab</w:t>
            </w:r>
          </w:p>
        </w:tc>
        <w:tc>
          <w:tcPr>
            <w:tcW w:w="860" w:type="pct"/>
            <w:tcMar>
              <w:top w:w="0" w:type="dxa"/>
              <w:left w:w="28" w:type="dxa"/>
              <w:bottom w:w="0" w:type="dxa"/>
              <w:right w:w="28" w:type="dxa"/>
            </w:tcMar>
            <w:vAlign w:val="center"/>
          </w:tcPr>
          <w:p w14:paraId="62B5BBDE" w14:textId="77777777" w:rsidR="00D7130C" w:rsidRPr="00F756C7" w:rsidRDefault="00D7130C">
            <w:pPr>
              <w:pStyle w:val="TableText0"/>
              <w:spacing w:line="256" w:lineRule="auto"/>
              <w:jc w:val="center"/>
              <w:rPr>
                <w:szCs w:val="20"/>
              </w:rPr>
            </w:pPr>
          </w:p>
        </w:tc>
        <w:tc>
          <w:tcPr>
            <w:tcW w:w="806" w:type="pct"/>
            <w:tcMar>
              <w:top w:w="0" w:type="dxa"/>
              <w:left w:w="28" w:type="dxa"/>
              <w:bottom w:w="0" w:type="dxa"/>
              <w:right w:w="28" w:type="dxa"/>
            </w:tcMar>
            <w:vAlign w:val="center"/>
          </w:tcPr>
          <w:p w14:paraId="70F51F78" w14:textId="77777777" w:rsidR="00D7130C" w:rsidRPr="00F756C7" w:rsidRDefault="00D7130C">
            <w:pPr>
              <w:pStyle w:val="TableText0"/>
              <w:spacing w:line="256" w:lineRule="auto"/>
              <w:jc w:val="center"/>
              <w:rPr>
                <w:szCs w:val="20"/>
              </w:rPr>
            </w:pPr>
          </w:p>
        </w:tc>
        <w:tc>
          <w:tcPr>
            <w:tcW w:w="952" w:type="pct"/>
            <w:tcMar>
              <w:top w:w="0" w:type="dxa"/>
              <w:left w:w="28" w:type="dxa"/>
              <w:bottom w:w="0" w:type="dxa"/>
              <w:right w:w="28" w:type="dxa"/>
            </w:tcMar>
            <w:vAlign w:val="center"/>
          </w:tcPr>
          <w:p w14:paraId="06C5270C" w14:textId="77777777" w:rsidR="00D7130C" w:rsidRPr="00F756C7" w:rsidRDefault="00D7130C">
            <w:pPr>
              <w:pStyle w:val="TableText0"/>
              <w:spacing w:line="256" w:lineRule="auto"/>
              <w:jc w:val="center"/>
              <w:rPr>
                <w:szCs w:val="20"/>
              </w:rPr>
            </w:pPr>
          </w:p>
        </w:tc>
      </w:tr>
      <w:tr w:rsidR="00D7130C" w:rsidRPr="00F756C7" w14:paraId="4A7176B8" w14:textId="77777777" w:rsidTr="00D7130C">
        <w:trPr>
          <w:cantSplit/>
          <w:jc w:val="center"/>
        </w:trPr>
        <w:tc>
          <w:tcPr>
            <w:tcW w:w="2382" w:type="pct"/>
            <w:tcMar>
              <w:top w:w="0" w:type="dxa"/>
              <w:left w:w="28" w:type="dxa"/>
              <w:bottom w:w="0" w:type="dxa"/>
              <w:right w:w="28" w:type="dxa"/>
            </w:tcMar>
            <w:hideMark/>
          </w:tcPr>
          <w:p w14:paraId="70327F04" w14:textId="4C74619C" w:rsidR="00D7130C" w:rsidRPr="00F756C7" w:rsidRDefault="00D7130C">
            <w:pPr>
              <w:pStyle w:val="TableText0"/>
              <w:spacing w:line="256" w:lineRule="auto"/>
              <w:rPr>
                <w:szCs w:val="20"/>
              </w:rPr>
            </w:pPr>
            <w:r w:rsidRPr="00F756C7">
              <w:rPr>
                <w:szCs w:val="20"/>
              </w:rPr>
              <w:t>Proportion of neoadjuvant patients treated in the adjuvant setting</w:t>
            </w:r>
          </w:p>
        </w:tc>
        <w:tc>
          <w:tcPr>
            <w:tcW w:w="860" w:type="pct"/>
            <w:shd w:val="clear" w:color="auto" w:fill="auto"/>
            <w:tcMar>
              <w:top w:w="0" w:type="dxa"/>
              <w:left w:w="28" w:type="dxa"/>
              <w:bottom w:w="0" w:type="dxa"/>
              <w:right w:w="28" w:type="dxa"/>
            </w:tcMar>
            <w:vAlign w:val="center"/>
            <w:hideMark/>
          </w:tcPr>
          <w:p w14:paraId="5C3FA7D3" w14:textId="77777777" w:rsidR="00D7130C" w:rsidRPr="00F756C7" w:rsidRDefault="00D7130C">
            <w:pPr>
              <w:pStyle w:val="TableText0"/>
              <w:spacing w:line="256" w:lineRule="auto"/>
              <w:jc w:val="center"/>
              <w:rPr>
                <w:szCs w:val="20"/>
              </w:rPr>
            </w:pPr>
            <w:r w:rsidRPr="00F756C7">
              <w:rPr>
                <w:szCs w:val="20"/>
              </w:rPr>
              <w:t>71.3%</w:t>
            </w:r>
          </w:p>
        </w:tc>
        <w:tc>
          <w:tcPr>
            <w:tcW w:w="806" w:type="pct"/>
            <w:shd w:val="clear" w:color="auto" w:fill="auto"/>
            <w:tcMar>
              <w:top w:w="0" w:type="dxa"/>
              <w:left w:w="28" w:type="dxa"/>
              <w:bottom w:w="0" w:type="dxa"/>
              <w:right w:w="28" w:type="dxa"/>
            </w:tcMar>
            <w:vAlign w:val="center"/>
            <w:hideMark/>
          </w:tcPr>
          <w:p w14:paraId="11162EBC" w14:textId="1AF409D4" w:rsidR="00D7130C" w:rsidRPr="00F756C7" w:rsidRDefault="00D7130C">
            <w:pPr>
              <w:pStyle w:val="TableText0"/>
              <w:spacing w:line="256" w:lineRule="auto"/>
              <w:jc w:val="center"/>
              <w:rPr>
                <w:szCs w:val="20"/>
                <w:vertAlign w:val="superscript"/>
              </w:rPr>
            </w:pPr>
            <w:r w:rsidRPr="00F756C7">
              <w:rPr>
                <w:szCs w:val="20"/>
              </w:rPr>
              <w:t>NA</w:t>
            </w:r>
          </w:p>
        </w:tc>
        <w:tc>
          <w:tcPr>
            <w:tcW w:w="952" w:type="pct"/>
            <w:shd w:val="clear" w:color="auto" w:fill="auto"/>
            <w:tcMar>
              <w:top w:w="0" w:type="dxa"/>
              <w:left w:w="28" w:type="dxa"/>
              <w:bottom w:w="0" w:type="dxa"/>
              <w:right w:w="28" w:type="dxa"/>
            </w:tcMar>
            <w:vAlign w:val="center"/>
            <w:hideMark/>
          </w:tcPr>
          <w:p w14:paraId="1B0B970D" w14:textId="03B8FD7D" w:rsidR="00D7130C" w:rsidRPr="00F756C7" w:rsidRDefault="00D7130C">
            <w:pPr>
              <w:pStyle w:val="TableText0"/>
              <w:spacing w:line="256" w:lineRule="auto"/>
              <w:jc w:val="center"/>
              <w:rPr>
                <w:szCs w:val="20"/>
              </w:rPr>
            </w:pPr>
            <w:r w:rsidRPr="00F756C7">
              <w:rPr>
                <w:szCs w:val="20"/>
              </w:rPr>
              <w:t xml:space="preserve">75% </w:t>
            </w:r>
            <w:r w:rsidRPr="00F756C7">
              <w:rPr>
                <w:szCs w:val="20"/>
                <w:vertAlign w:val="superscript"/>
              </w:rPr>
              <w:t>i</w:t>
            </w:r>
          </w:p>
        </w:tc>
      </w:tr>
      <w:tr w:rsidR="00D7130C" w:rsidRPr="00F756C7" w14:paraId="58FA0F9B" w14:textId="77777777" w:rsidTr="00D7130C">
        <w:trPr>
          <w:cantSplit/>
          <w:jc w:val="center"/>
        </w:trPr>
        <w:tc>
          <w:tcPr>
            <w:tcW w:w="2382" w:type="pct"/>
            <w:tcMar>
              <w:top w:w="0" w:type="dxa"/>
              <w:left w:w="28" w:type="dxa"/>
              <w:bottom w:w="0" w:type="dxa"/>
              <w:right w:w="28" w:type="dxa"/>
            </w:tcMar>
            <w:hideMark/>
          </w:tcPr>
          <w:p w14:paraId="7DE44B47" w14:textId="77777777" w:rsidR="00D7130C" w:rsidRPr="00F756C7" w:rsidRDefault="00D7130C">
            <w:pPr>
              <w:pStyle w:val="TableText0"/>
              <w:spacing w:line="256" w:lineRule="auto"/>
              <w:rPr>
                <w:szCs w:val="20"/>
              </w:rPr>
            </w:pPr>
            <w:r w:rsidRPr="00F756C7">
              <w:rPr>
                <w:szCs w:val="20"/>
              </w:rPr>
              <w:t>Time on treatment (weeks)</w:t>
            </w:r>
          </w:p>
        </w:tc>
        <w:tc>
          <w:tcPr>
            <w:tcW w:w="860" w:type="pct"/>
            <w:shd w:val="clear" w:color="auto" w:fill="auto"/>
            <w:tcMar>
              <w:top w:w="0" w:type="dxa"/>
              <w:left w:w="28" w:type="dxa"/>
              <w:bottom w:w="0" w:type="dxa"/>
              <w:right w:w="28" w:type="dxa"/>
            </w:tcMar>
            <w:vAlign w:val="center"/>
            <w:hideMark/>
          </w:tcPr>
          <w:p w14:paraId="3A28EC36" w14:textId="77777777" w:rsidR="00D7130C" w:rsidRPr="005767EF" w:rsidRDefault="00D7130C">
            <w:pPr>
              <w:pStyle w:val="TableText0"/>
              <w:spacing w:line="256" w:lineRule="auto"/>
              <w:jc w:val="center"/>
              <w:rPr>
                <w:szCs w:val="20"/>
              </w:rPr>
            </w:pPr>
            <w:r w:rsidRPr="005767EF">
              <w:rPr>
                <w:szCs w:val="20"/>
              </w:rPr>
              <w:t>22.9</w:t>
            </w:r>
          </w:p>
        </w:tc>
        <w:tc>
          <w:tcPr>
            <w:tcW w:w="806" w:type="pct"/>
            <w:shd w:val="clear" w:color="auto" w:fill="auto"/>
            <w:tcMar>
              <w:top w:w="0" w:type="dxa"/>
              <w:left w:w="28" w:type="dxa"/>
              <w:bottom w:w="0" w:type="dxa"/>
              <w:right w:w="28" w:type="dxa"/>
            </w:tcMar>
            <w:vAlign w:val="center"/>
            <w:hideMark/>
          </w:tcPr>
          <w:p w14:paraId="4EFAB28D" w14:textId="16922E89" w:rsidR="00D7130C" w:rsidRPr="005767EF" w:rsidRDefault="00D7130C">
            <w:pPr>
              <w:pStyle w:val="TableText0"/>
              <w:spacing w:line="256" w:lineRule="auto"/>
              <w:jc w:val="center"/>
              <w:rPr>
                <w:szCs w:val="20"/>
              </w:rPr>
            </w:pPr>
            <w:r w:rsidRPr="005767EF">
              <w:rPr>
                <w:szCs w:val="20"/>
              </w:rPr>
              <w:t>NA</w:t>
            </w:r>
          </w:p>
        </w:tc>
        <w:tc>
          <w:tcPr>
            <w:tcW w:w="952" w:type="pct"/>
            <w:shd w:val="clear" w:color="auto" w:fill="auto"/>
            <w:tcMar>
              <w:top w:w="0" w:type="dxa"/>
              <w:left w:w="28" w:type="dxa"/>
              <w:bottom w:w="0" w:type="dxa"/>
              <w:right w:w="28" w:type="dxa"/>
            </w:tcMar>
            <w:vAlign w:val="center"/>
            <w:hideMark/>
          </w:tcPr>
          <w:p w14:paraId="02A0AA63" w14:textId="508CFEE7" w:rsidR="00D7130C" w:rsidRPr="005767EF" w:rsidRDefault="00D7130C">
            <w:pPr>
              <w:pStyle w:val="TableText0"/>
              <w:spacing w:line="256" w:lineRule="auto"/>
              <w:jc w:val="center"/>
              <w:rPr>
                <w:szCs w:val="20"/>
              </w:rPr>
            </w:pPr>
            <w:r w:rsidRPr="005767EF">
              <w:rPr>
                <w:szCs w:val="20"/>
              </w:rPr>
              <w:t>22.9</w:t>
            </w:r>
          </w:p>
        </w:tc>
      </w:tr>
      <w:tr w:rsidR="00D7130C" w:rsidRPr="00F756C7" w14:paraId="1AFDA60E" w14:textId="77777777" w:rsidTr="00D7130C">
        <w:trPr>
          <w:cantSplit/>
          <w:jc w:val="center"/>
        </w:trPr>
        <w:tc>
          <w:tcPr>
            <w:tcW w:w="2382" w:type="pct"/>
            <w:tcMar>
              <w:top w:w="0" w:type="dxa"/>
              <w:left w:w="28" w:type="dxa"/>
              <w:bottom w:w="0" w:type="dxa"/>
              <w:right w:w="28" w:type="dxa"/>
            </w:tcMar>
            <w:hideMark/>
          </w:tcPr>
          <w:p w14:paraId="0C35A007" w14:textId="77777777" w:rsidR="00D7130C" w:rsidRPr="00F756C7" w:rsidRDefault="00D7130C">
            <w:pPr>
              <w:pStyle w:val="TableText0"/>
              <w:spacing w:line="256" w:lineRule="auto"/>
              <w:rPr>
                <w:szCs w:val="20"/>
              </w:rPr>
            </w:pPr>
            <w:r w:rsidRPr="00F756C7">
              <w:rPr>
                <w:szCs w:val="20"/>
              </w:rPr>
              <w:t>Time on treatment (adjusted for proportion receiving adjuvant treatment)</w:t>
            </w:r>
          </w:p>
        </w:tc>
        <w:tc>
          <w:tcPr>
            <w:tcW w:w="860" w:type="pct"/>
            <w:shd w:val="clear" w:color="auto" w:fill="auto"/>
            <w:tcMar>
              <w:top w:w="0" w:type="dxa"/>
              <w:left w:w="28" w:type="dxa"/>
              <w:bottom w:w="0" w:type="dxa"/>
              <w:right w:w="28" w:type="dxa"/>
            </w:tcMar>
            <w:vAlign w:val="center"/>
            <w:hideMark/>
          </w:tcPr>
          <w:p w14:paraId="0048E38B" w14:textId="77777777" w:rsidR="00D7130C" w:rsidRPr="005767EF" w:rsidRDefault="00D7130C">
            <w:pPr>
              <w:pStyle w:val="TableText0"/>
              <w:spacing w:line="256" w:lineRule="auto"/>
              <w:jc w:val="center"/>
              <w:rPr>
                <w:szCs w:val="20"/>
              </w:rPr>
            </w:pPr>
            <w:r w:rsidRPr="005767EF">
              <w:rPr>
                <w:szCs w:val="20"/>
              </w:rPr>
              <w:t>16.3</w:t>
            </w:r>
          </w:p>
        </w:tc>
        <w:tc>
          <w:tcPr>
            <w:tcW w:w="806" w:type="pct"/>
            <w:shd w:val="clear" w:color="auto" w:fill="auto"/>
            <w:tcMar>
              <w:top w:w="0" w:type="dxa"/>
              <w:left w:w="28" w:type="dxa"/>
              <w:bottom w:w="0" w:type="dxa"/>
              <w:right w:w="28" w:type="dxa"/>
            </w:tcMar>
            <w:vAlign w:val="center"/>
            <w:hideMark/>
          </w:tcPr>
          <w:p w14:paraId="074E0B6A" w14:textId="77777777" w:rsidR="00D7130C" w:rsidRPr="005767EF" w:rsidRDefault="00D7130C">
            <w:pPr>
              <w:pStyle w:val="TableText0"/>
              <w:spacing w:line="256" w:lineRule="auto"/>
              <w:jc w:val="center"/>
              <w:rPr>
                <w:szCs w:val="20"/>
              </w:rPr>
            </w:pPr>
            <w:r w:rsidRPr="005767EF">
              <w:rPr>
                <w:szCs w:val="20"/>
              </w:rPr>
              <w:t>16.6</w:t>
            </w:r>
          </w:p>
        </w:tc>
        <w:tc>
          <w:tcPr>
            <w:tcW w:w="952" w:type="pct"/>
            <w:shd w:val="clear" w:color="auto" w:fill="auto"/>
            <w:tcMar>
              <w:top w:w="0" w:type="dxa"/>
              <w:left w:w="28" w:type="dxa"/>
              <w:bottom w:w="0" w:type="dxa"/>
              <w:right w:w="28" w:type="dxa"/>
            </w:tcMar>
            <w:vAlign w:val="center"/>
            <w:hideMark/>
          </w:tcPr>
          <w:p w14:paraId="581892A9" w14:textId="310BA27E" w:rsidR="00D7130C" w:rsidRPr="005767EF" w:rsidRDefault="00D7130C">
            <w:pPr>
              <w:pStyle w:val="TableText0"/>
              <w:spacing w:line="256" w:lineRule="auto"/>
              <w:jc w:val="center"/>
              <w:rPr>
                <w:szCs w:val="20"/>
              </w:rPr>
            </w:pPr>
            <w:r w:rsidRPr="005767EF">
              <w:rPr>
                <w:szCs w:val="20"/>
              </w:rPr>
              <w:t>17.2</w:t>
            </w:r>
          </w:p>
        </w:tc>
      </w:tr>
      <w:tr w:rsidR="00D7130C" w:rsidRPr="00F756C7" w14:paraId="705FAF87" w14:textId="77777777" w:rsidTr="00D7130C">
        <w:trPr>
          <w:cantSplit/>
          <w:jc w:val="center"/>
        </w:trPr>
        <w:tc>
          <w:tcPr>
            <w:tcW w:w="2382" w:type="pct"/>
            <w:tcMar>
              <w:top w:w="0" w:type="dxa"/>
              <w:left w:w="28" w:type="dxa"/>
              <w:bottom w:w="0" w:type="dxa"/>
              <w:right w:w="28" w:type="dxa"/>
            </w:tcMar>
            <w:hideMark/>
          </w:tcPr>
          <w:p w14:paraId="0FD824FB" w14:textId="77777777" w:rsidR="00D7130C" w:rsidRPr="00F756C7" w:rsidRDefault="00D7130C">
            <w:pPr>
              <w:pStyle w:val="TableText0"/>
              <w:spacing w:line="256" w:lineRule="auto"/>
              <w:rPr>
                <w:szCs w:val="20"/>
              </w:rPr>
            </w:pPr>
            <w:r w:rsidRPr="00F756C7">
              <w:rPr>
                <w:szCs w:val="20"/>
              </w:rPr>
              <w:t>Cost per admin</w:t>
            </w:r>
          </w:p>
        </w:tc>
        <w:tc>
          <w:tcPr>
            <w:tcW w:w="1666" w:type="pct"/>
            <w:gridSpan w:val="2"/>
            <w:shd w:val="clear" w:color="auto" w:fill="auto"/>
            <w:tcMar>
              <w:top w:w="0" w:type="dxa"/>
              <w:left w:w="28" w:type="dxa"/>
              <w:bottom w:w="0" w:type="dxa"/>
              <w:right w:w="28" w:type="dxa"/>
            </w:tcMar>
            <w:vAlign w:val="center"/>
            <w:hideMark/>
          </w:tcPr>
          <w:p w14:paraId="720F6601" w14:textId="7E3E58C0" w:rsidR="00D7130C" w:rsidRPr="00177A20" w:rsidRDefault="00D7130C">
            <w:pPr>
              <w:pStyle w:val="TableText0"/>
              <w:spacing w:line="256" w:lineRule="auto"/>
              <w:jc w:val="center"/>
              <w:rPr>
                <w:szCs w:val="20"/>
                <w:highlight w:val="yellow"/>
              </w:rPr>
            </w:pPr>
            <w:r w:rsidRPr="005767EF">
              <w:rPr>
                <w:szCs w:val="20"/>
              </w:rPr>
              <w:t>$</w:t>
            </w:r>
            <w:r w:rsidR="00BB281C" w:rsidRPr="00BB281C">
              <w:rPr>
                <w:color w:val="000000"/>
                <w:szCs w:val="20"/>
                <w:shd w:val="solid" w:color="000000" w:fill="000000"/>
                <w14:textFill>
                  <w14:solidFill>
                    <w14:srgbClr w14:val="000000">
                      <w14:alpha w14:val="100000"/>
                    </w14:srgbClr>
                  </w14:solidFill>
                </w14:textFill>
              </w:rPr>
              <w:t>|</w:t>
            </w:r>
            <w:r w:rsidRPr="005767EF">
              <w:rPr>
                <w:szCs w:val="20"/>
                <w:vertAlign w:val="superscript"/>
              </w:rPr>
              <w:t>e</w:t>
            </w:r>
          </w:p>
        </w:tc>
        <w:tc>
          <w:tcPr>
            <w:tcW w:w="952" w:type="pct"/>
            <w:shd w:val="clear" w:color="auto" w:fill="auto"/>
            <w:tcMar>
              <w:top w:w="0" w:type="dxa"/>
              <w:left w:w="28" w:type="dxa"/>
              <w:bottom w:w="0" w:type="dxa"/>
              <w:right w:w="28" w:type="dxa"/>
            </w:tcMar>
            <w:vAlign w:val="center"/>
            <w:hideMark/>
          </w:tcPr>
          <w:p w14:paraId="53C936BD" w14:textId="3F27B75F" w:rsidR="00D7130C" w:rsidRPr="00177A20" w:rsidRDefault="00D7130C">
            <w:pPr>
              <w:pStyle w:val="TableText0"/>
              <w:spacing w:line="256" w:lineRule="auto"/>
              <w:jc w:val="center"/>
              <w:rPr>
                <w:szCs w:val="20"/>
                <w:highlight w:val="yellow"/>
              </w:rPr>
            </w:pPr>
            <w:r w:rsidRPr="005767EF">
              <w:rPr>
                <w:szCs w:val="20"/>
              </w:rPr>
              <w:t>$</w:t>
            </w:r>
            <w:r w:rsidR="00BB281C" w:rsidRPr="00BB281C">
              <w:rPr>
                <w:color w:val="000000"/>
                <w:szCs w:val="20"/>
                <w:shd w:val="solid" w:color="000000" w:fill="000000"/>
                <w14:textFill>
                  <w14:solidFill>
                    <w14:srgbClr w14:val="000000">
                      <w14:alpha w14:val="100000"/>
                    </w14:srgbClr>
                  </w14:solidFill>
                </w14:textFill>
              </w:rPr>
              <w:t>|</w:t>
            </w:r>
          </w:p>
        </w:tc>
      </w:tr>
      <w:tr w:rsidR="00D7130C" w:rsidRPr="00F756C7" w14:paraId="531E1EFC" w14:textId="77777777" w:rsidTr="00D7130C">
        <w:trPr>
          <w:cantSplit/>
          <w:jc w:val="center"/>
        </w:trPr>
        <w:tc>
          <w:tcPr>
            <w:tcW w:w="2382" w:type="pct"/>
            <w:tcMar>
              <w:top w:w="0" w:type="dxa"/>
              <w:left w:w="28" w:type="dxa"/>
              <w:bottom w:w="0" w:type="dxa"/>
              <w:right w:w="28" w:type="dxa"/>
            </w:tcMar>
            <w:hideMark/>
          </w:tcPr>
          <w:p w14:paraId="21DDBEE3" w14:textId="77777777" w:rsidR="00D7130C" w:rsidRPr="00F756C7" w:rsidRDefault="00D7130C">
            <w:pPr>
              <w:pStyle w:val="TableText0"/>
              <w:spacing w:line="256" w:lineRule="auto"/>
              <w:rPr>
                <w:szCs w:val="20"/>
              </w:rPr>
            </w:pPr>
            <w:r w:rsidRPr="00F756C7">
              <w:rPr>
                <w:szCs w:val="20"/>
              </w:rPr>
              <w:t>Number of admin</w:t>
            </w:r>
          </w:p>
        </w:tc>
        <w:tc>
          <w:tcPr>
            <w:tcW w:w="860" w:type="pct"/>
            <w:shd w:val="clear" w:color="auto" w:fill="auto"/>
            <w:tcMar>
              <w:top w:w="0" w:type="dxa"/>
              <w:left w:w="28" w:type="dxa"/>
              <w:bottom w:w="0" w:type="dxa"/>
              <w:right w:w="28" w:type="dxa"/>
            </w:tcMar>
            <w:vAlign w:val="center"/>
            <w:hideMark/>
          </w:tcPr>
          <w:p w14:paraId="52F0D338" w14:textId="6995F23F" w:rsidR="00D7130C" w:rsidRPr="005767EF" w:rsidRDefault="00D7130C">
            <w:pPr>
              <w:pStyle w:val="TableText0"/>
              <w:spacing w:line="256" w:lineRule="auto"/>
              <w:jc w:val="center"/>
              <w:rPr>
                <w:szCs w:val="20"/>
              </w:rPr>
            </w:pPr>
            <w:r w:rsidRPr="005767EF">
              <w:rPr>
                <w:color w:val="000000"/>
                <w:szCs w:val="20"/>
              </w:rPr>
              <w:t xml:space="preserve">5.92 </w:t>
            </w:r>
            <w:r w:rsidRPr="005767EF">
              <w:rPr>
                <w:color w:val="000000"/>
                <w:szCs w:val="20"/>
                <w:vertAlign w:val="superscript"/>
              </w:rPr>
              <w:t>g</w:t>
            </w:r>
          </w:p>
        </w:tc>
        <w:tc>
          <w:tcPr>
            <w:tcW w:w="806" w:type="pct"/>
            <w:shd w:val="clear" w:color="auto" w:fill="auto"/>
            <w:tcMar>
              <w:top w:w="0" w:type="dxa"/>
              <w:left w:w="28" w:type="dxa"/>
              <w:bottom w:w="0" w:type="dxa"/>
              <w:right w:w="28" w:type="dxa"/>
            </w:tcMar>
            <w:vAlign w:val="center"/>
            <w:hideMark/>
          </w:tcPr>
          <w:p w14:paraId="7BE3F37E" w14:textId="77777777" w:rsidR="00D7130C" w:rsidRPr="005767EF" w:rsidRDefault="00D7130C">
            <w:pPr>
              <w:pStyle w:val="TableText0"/>
              <w:spacing w:line="256" w:lineRule="auto"/>
              <w:jc w:val="center"/>
              <w:rPr>
                <w:szCs w:val="20"/>
              </w:rPr>
            </w:pPr>
            <w:r w:rsidRPr="005767EF">
              <w:rPr>
                <w:color w:val="000000"/>
                <w:szCs w:val="20"/>
              </w:rPr>
              <w:t>5.525</w:t>
            </w:r>
            <w:r w:rsidRPr="005767EF">
              <w:rPr>
                <w:color w:val="000000"/>
                <w:szCs w:val="20"/>
                <w:vertAlign w:val="superscript"/>
              </w:rPr>
              <w:t xml:space="preserve"> b</w:t>
            </w:r>
          </w:p>
        </w:tc>
        <w:tc>
          <w:tcPr>
            <w:tcW w:w="952" w:type="pct"/>
            <w:shd w:val="clear" w:color="auto" w:fill="auto"/>
            <w:tcMar>
              <w:top w:w="0" w:type="dxa"/>
              <w:left w:w="28" w:type="dxa"/>
              <w:bottom w:w="0" w:type="dxa"/>
              <w:right w:w="28" w:type="dxa"/>
            </w:tcMar>
            <w:vAlign w:val="center"/>
            <w:hideMark/>
          </w:tcPr>
          <w:p w14:paraId="7301150B" w14:textId="30BBD141" w:rsidR="00D7130C" w:rsidRPr="005767EF" w:rsidRDefault="00D7130C">
            <w:pPr>
              <w:pStyle w:val="TableText0"/>
              <w:spacing w:line="256" w:lineRule="auto"/>
              <w:jc w:val="center"/>
              <w:rPr>
                <w:szCs w:val="20"/>
              </w:rPr>
            </w:pPr>
            <w:r w:rsidRPr="005767EF">
              <w:rPr>
                <w:szCs w:val="20"/>
              </w:rPr>
              <w:t>5.72</w:t>
            </w:r>
          </w:p>
        </w:tc>
      </w:tr>
      <w:tr w:rsidR="00D7130C" w:rsidRPr="00F756C7" w14:paraId="5B118BA8" w14:textId="77777777" w:rsidTr="00D7130C">
        <w:trPr>
          <w:cantSplit/>
          <w:jc w:val="center"/>
        </w:trPr>
        <w:tc>
          <w:tcPr>
            <w:tcW w:w="2382" w:type="pct"/>
            <w:tcMar>
              <w:top w:w="0" w:type="dxa"/>
              <w:left w:w="28" w:type="dxa"/>
              <w:bottom w:w="0" w:type="dxa"/>
              <w:right w:w="28" w:type="dxa"/>
            </w:tcMar>
            <w:vAlign w:val="center"/>
            <w:hideMark/>
          </w:tcPr>
          <w:p w14:paraId="459779B8" w14:textId="77777777" w:rsidR="00D7130C" w:rsidRPr="00F756C7" w:rsidRDefault="00D7130C">
            <w:pPr>
              <w:pStyle w:val="TableText0"/>
              <w:spacing w:line="256" w:lineRule="auto"/>
              <w:rPr>
                <w:szCs w:val="20"/>
              </w:rPr>
            </w:pPr>
            <w:r w:rsidRPr="00F756C7">
              <w:rPr>
                <w:szCs w:val="20"/>
              </w:rPr>
              <w:t>Cost/patient/course</w:t>
            </w:r>
          </w:p>
        </w:tc>
        <w:tc>
          <w:tcPr>
            <w:tcW w:w="860" w:type="pct"/>
            <w:tcMar>
              <w:top w:w="0" w:type="dxa"/>
              <w:left w:w="28" w:type="dxa"/>
              <w:bottom w:w="0" w:type="dxa"/>
              <w:right w:w="28" w:type="dxa"/>
            </w:tcMar>
            <w:vAlign w:val="center"/>
            <w:hideMark/>
          </w:tcPr>
          <w:p w14:paraId="5F256F51" w14:textId="44956AF1" w:rsidR="00D7130C" w:rsidRPr="005D13EC" w:rsidRDefault="00D7130C" w:rsidP="00165D25">
            <w:pPr>
              <w:pStyle w:val="TableText0"/>
              <w:spacing w:line="256" w:lineRule="auto"/>
              <w:jc w:val="center"/>
              <w:rPr>
                <w:szCs w:val="20"/>
                <w:highlight w:val="yellow"/>
              </w:rPr>
            </w:pPr>
            <w:r w:rsidRPr="005767EF">
              <w:rPr>
                <w:szCs w:val="20"/>
              </w:rPr>
              <w:t>$</w:t>
            </w:r>
            <w:r w:rsidR="00BB281C" w:rsidRPr="00740AEA">
              <w:rPr>
                <w:rFonts w:hint="eastAsia"/>
                <w:color w:val="000000"/>
                <w:w w:val="15"/>
                <w:szCs w:val="20"/>
                <w:shd w:val="solid" w:color="000000" w:fill="000000"/>
                <w:fitText w:val="12" w:id="-1234422515"/>
                <w14:textFill>
                  <w14:solidFill>
                    <w14:srgbClr w14:val="000000">
                      <w14:alpha w14:val="100000"/>
                    </w14:srgbClr>
                  </w14:solidFill>
                </w14:textFill>
              </w:rPr>
              <w:t xml:space="preserve">　</w:t>
            </w:r>
            <w:r w:rsidR="00BB281C" w:rsidRPr="00740AEA">
              <w:rPr>
                <w:color w:val="000000"/>
                <w:w w:val="15"/>
                <w:szCs w:val="20"/>
                <w:shd w:val="solid" w:color="000000" w:fill="000000"/>
                <w:fitText w:val="12" w:id="-1234422515"/>
                <w14:textFill>
                  <w14:solidFill>
                    <w14:srgbClr w14:val="000000">
                      <w14:alpha w14:val="100000"/>
                    </w14:srgbClr>
                  </w14:solidFill>
                </w14:textFill>
              </w:rPr>
              <w:t>|</w:t>
            </w:r>
            <w:r w:rsidR="00BB281C" w:rsidRPr="00740AEA">
              <w:rPr>
                <w:rFonts w:hint="eastAsia"/>
                <w:color w:val="000000"/>
                <w:spacing w:val="-53"/>
                <w:w w:val="15"/>
                <w:szCs w:val="20"/>
                <w:shd w:val="solid" w:color="000000" w:fill="000000"/>
                <w:fitText w:val="12" w:id="-1234422515"/>
                <w14:textFill>
                  <w14:solidFill>
                    <w14:srgbClr w14:val="000000">
                      <w14:alpha w14:val="100000"/>
                    </w14:srgbClr>
                  </w14:solidFill>
                </w14:textFill>
              </w:rPr>
              <w:t xml:space="preserve">　</w:t>
            </w:r>
          </w:p>
        </w:tc>
        <w:tc>
          <w:tcPr>
            <w:tcW w:w="806" w:type="pct"/>
            <w:tcMar>
              <w:top w:w="0" w:type="dxa"/>
              <w:left w:w="28" w:type="dxa"/>
              <w:bottom w:w="0" w:type="dxa"/>
              <w:right w:w="28" w:type="dxa"/>
            </w:tcMar>
            <w:vAlign w:val="center"/>
            <w:hideMark/>
          </w:tcPr>
          <w:p w14:paraId="3A2C70B6" w14:textId="4F701FE0" w:rsidR="00D7130C" w:rsidRPr="005D13EC" w:rsidRDefault="00D7130C">
            <w:pPr>
              <w:pStyle w:val="TableText0"/>
              <w:spacing w:line="256" w:lineRule="auto"/>
              <w:jc w:val="center"/>
              <w:rPr>
                <w:szCs w:val="20"/>
                <w:highlight w:val="yellow"/>
              </w:rPr>
            </w:pPr>
            <w:r w:rsidRPr="005767EF">
              <w:rPr>
                <w:szCs w:val="20"/>
              </w:rPr>
              <w:t>$</w:t>
            </w:r>
            <w:r w:rsidR="00BB281C" w:rsidRPr="00AB4133">
              <w:rPr>
                <w:rFonts w:hint="eastAsia"/>
                <w:color w:val="000000"/>
                <w:w w:val="15"/>
                <w:szCs w:val="20"/>
                <w:shd w:val="solid" w:color="000000" w:fill="000000"/>
                <w:fitText w:val="58" w:id="-1234422514"/>
                <w14:textFill>
                  <w14:solidFill>
                    <w14:srgbClr w14:val="000000">
                      <w14:alpha w14:val="100000"/>
                    </w14:srgbClr>
                  </w14:solidFill>
                </w14:textFill>
              </w:rPr>
              <w:t xml:space="preserve">　</w:t>
            </w:r>
            <w:r w:rsidR="00BB281C" w:rsidRPr="00AB4133">
              <w:rPr>
                <w:color w:val="000000"/>
                <w:w w:val="15"/>
                <w:szCs w:val="20"/>
                <w:shd w:val="solid" w:color="000000" w:fill="000000"/>
                <w:fitText w:val="58" w:id="-1234422514"/>
                <w14:textFill>
                  <w14:solidFill>
                    <w14:srgbClr w14:val="000000">
                      <w14:alpha w14:val="100000"/>
                    </w14:srgbClr>
                  </w14:solidFill>
                </w14:textFill>
              </w:rPr>
              <w:t>|</w:t>
            </w:r>
            <w:r w:rsidR="00BB281C" w:rsidRPr="00AB4133">
              <w:rPr>
                <w:rFonts w:hint="eastAsia"/>
                <w:color w:val="000000"/>
                <w:w w:val="15"/>
                <w:szCs w:val="20"/>
                <w:shd w:val="solid" w:color="000000" w:fill="000000"/>
                <w:fitText w:val="58" w:id="-1234422514"/>
                <w14:textFill>
                  <w14:solidFill>
                    <w14:srgbClr w14:val="000000">
                      <w14:alpha w14:val="100000"/>
                    </w14:srgbClr>
                  </w14:solidFill>
                </w14:textFill>
              </w:rPr>
              <w:t xml:space="preserve">　</w:t>
            </w:r>
          </w:p>
        </w:tc>
        <w:tc>
          <w:tcPr>
            <w:tcW w:w="952" w:type="pct"/>
            <w:shd w:val="clear" w:color="auto" w:fill="auto"/>
            <w:tcMar>
              <w:top w:w="0" w:type="dxa"/>
              <w:left w:w="28" w:type="dxa"/>
              <w:bottom w:w="0" w:type="dxa"/>
              <w:right w:w="28" w:type="dxa"/>
            </w:tcMar>
            <w:vAlign w:val="center"/>
            <w:hideMark/>
          </w:tcPr>
          <w:p w14:paraId="55ECBA60" w14:textId="7C1F0A51" w:rsidR="00D7130C" w:rsidRPr="005D13EC" w:rsidRDefault="00D7130C">
            <w:pPr>
              <w:pStyle w:val="TableText0"/>
              <w:spacing w:line="256" w:lineRule="auto"/>
              <w:jc w:val="center"/>
              <w:rPr>
                <w:szCs w:val="20"/>
                <w:highlight w:val="yellow"/>
              </w:rPr>
            </w:pPr>
            <w:r w:rsidRPr="005767EF">
              <w:rPr>
                <w:szCs w:val="20"/>
              </w:rPr>
              <w:t>$</w:t>
            </w:r>
            <w:r w:rsidR="00BB281C" w:rsidRPr="00BB281C">
              <w:rPr>
                <w:color w:val="000000"/>
                <w:szCs w:val="20"/>
                <w:shd w:val="solid" w:color="000000" w:fill="000000"/>
                <w14:textFill>
                  <w14:solidFill>
                    <w14:srgbClr w14:val="000000">
                      <w14:alpha w14:val="100000"/>
                    </w14:srgbClr>
                  </w14:solidFill>
                </w14:textFill>
              </w:rPr>
              <w:t>|</w:t>
            </w:r>
          </w:p>
        </w:tc>
      </w:tr>
      <w:tr w:rsidR="00D7130C" w:rsidRPr="00F756C7" w14:paraId="76B1421F" w14:textId="77777777" w:rsidTr="00D7130C">
        <w:trPr>
          <w:cantSplit/>
          <w:jc w:val="center"/>
        </w:trPr>
        <w:tc>
          <w:tcPr>
            <w:tcW w:w="2382" w:type="pct"/>
            <w:tcMar>
              <w:top w:w="0" w:type="dxa"/>
              <w:left w:w="28" w:type="dxa"/>
              <w:bottom w:w="0" w:type="dxa"/>
              <w:right w:w="28" w:type="dxa"/>
            </w:tcMar>
            <w:vAlign w:val="center"/>
            <w:hideMark/>
          </w:tcPr>
          <w:p w14:paraId="4B278AE4" w14:textId="77777777" w:rsidR="00D7130C" w:rsidRPr="00F756C7" w:rsidRDefault="00D7130C">
            <w:pPr>
              <w:pStyle w:val="TableText0"/>
              <w:spacing w:line="256" w:lineRule="auto"/>
              <w:rPr>
                <w:b/>
                <w:szCs w:val="20"/>
              </w:rPr>
            </w:pPr>
            <w:r w:rsidRPr="00F756C7">
              <w:rPr>
                <w:b/>
                <w:bCs w:val="0"/>
                <w:szCs w:val="20"/>
              </w:rPr>
              <w:t>Combined</w:t>
            </w:r>
          </w:p>
        </w:tc>
        <w:tc>
          <w:tcPr>
            <w:tcW w:w="860" w:type="pct"/>
            <w:tcMar>
              <w:top w:w="0" w:type="dxa"/>
              <w:left w:w="28" w:type="dxa"/>
              <w:bottom w:w="0" w:type="dxa"/>
              <w:right w:w="28" w:type="dxa"/>
            </w:tcMar>
            <w:vAlign w:val="center"/>
          </w:tcPr>
          <w:p w14:paraId="47082505" w14:textId="77777777" w:rsidR="00D7130C" w:rsidRPr="00F756C7" w:rsidRDefault="00D7130C">
            <w:pPr>
              <w:pStyle w:val="TableText0"/>
              <w:spacing w:line="256" w:lineRule="auto"/>
              <w:jc w:val="center"/>
              <w:rPr>
                <w:b/>
                <w:bCs w:val="0"/>
                <w:szCs w:val="20"/>
              </w:rPr>
            </w:pPr>
          </w:p>
        </w:tc>
        <w:tc>
          <w:tcPr>
            <w:tcW w:w="806" w:type="pct"/>
            <w:tcMar>
              <w:top w:w="0" w:type="dxa"/>
              <w:left w:w="28" w:type="dxa"/>
              <w:bottom w:w="0" w:type="dxa"/>
              <w:right w:w="28" w:type="dxa"/>
            </w:tcMar>
            <w:vAlign w:val="center"/>
          </w:tcPr>
          <w:p w14:paraId="1E8102A4" w14:textId="77777777" w:rsidR="00D7130C" w:rsidRPr="00F756C7" w:rsidRDefault="00D7130C">
            <w:pPr>
              <w:pStyle w:val="TableText0"/>
              <w:spacing w:line="256" w:lineRule="auto"/>
              <w:jc w:val="center"/>
              <w:rPr>
                <w:b/>
                <w:bCs w:val="0"/>
                <w:szCs w:val="20"/>
              </w:rPr>
            </w:pPr>
          </w:p>
        </w:tc>
        <w:tc>
          <w:tcPr>
            <w:tcW w:w="952" w:type="pct"/>
            <w:tcMar>
              <w:top w:w="0" w:type="dxa"/>
              <w:left w:w="28" w:type="dxa"/>
              <w:bottom w:w="0" w:type="dxa"/>
              <w:right w:w="28" w:type="dxa"/>
            </w:tcMar>
            <w:vAlign w:val="center"/>
          </w:tcPr>
          <w:p w14:paraId="564F0E8A" w14:textId="77777777" w:rsidR="00D7130C" w:rsidRPr="00F756C7" w:rsidRDefault="00D7130C">
            <w:pPr>
              <w:pStyle w:val="TableText0"/>
              <w:spacing w:line="256" w:lineRule="auto"/>
              <w:jc w:val="center"/>
              <w:rPr>
                <w:b/>
                <w:bCs w:val="0"/>
                <w:szCs w:val="20"/>
              </w:rPr>
            </w:pPr>
          </w:p>
        </w:tc>
      </w:tr>
      <w:tr w:rsidR="00D7130C" w:rsidRPr="00F756C7" w14:paraId="7F9A044D" w14:textId="77777777" w:rsidTr="00D7130C">
        <w:trPr>
          <w:cantSplit/>
          <w:jc w:val="center"/>
        </w:trPr>
        <w:tc>
          <w:tcPr>
            <w:tcW w:w="2382" w:type="pct"/>
            <w:tcMar>
              <w:top w:w="0" w:type="dxa"/>
              <w:left w:w="28" w:type="dxa"/>
              <w:bottom w:w="0" w:type="dxa"/>
              <w:right w:w="28" w:type="dxa"/>
            </w:tcMar>
            <w:vAlign w:val="center"/>
            <w:hideMark/>
          </w:tcPr>
          <w:p w14:paraId="09429E6C" w14:textId="77777777" w:rsidR="00D7130C" w:rsidRPr="00F756C7" w:rsidRDefault="00D7130C">
            <w:pPr>
              <w:pStyle w:val="TableText0"/>
              <w:spacing w:line="256" w:lineRule="auto"/>
              <w:rPr>
                <w:bCs w:val="0"/>
                <w:szCs w:val="20"/>
              </w:rPr>
            </w:pPr>
            <w:r w:rsidRPr="00F756C7">
              <w:rPr>
                <w:szCs w:val="20"/>
              </w:rPr>
              <w:t>Combined neo-adjuvant and adjuvant drug cost</w:t>
            </w:r>
          </w:p>
        </w:tc>
        <w:tc>
          <w:tcPr>
            <w:tcW w:w="860" w:type="pct"/>
            <w:tcMar>
              <w:top w:w="0" w:type="dxa"/>
              <w:left w:w="28" w:type="dxa"/>
              <w:bottom w:w="0" w:type="dxa"/>
              <w:right w:w="28" w:type="dxa"/>
            </w:tcMar>
            <w:vAlign w:val="center"/>
            <w:hideMark/>
          </w:tcPr>
          <w:p w14:paraId="5BC442B7" w14:textId="77777777" w:rsidR="00D7130C" w:rsidRPr="00F756C7" w:rsidRDefault="00D7130C">
            <w:pPr>
              <w:pStyle w:val="TableText0"/>
              <w:spacing w:line="256" w:lineRule="auto"/>
              <w:jc w:val="center"/>
              <w:rPr>
                <w:szCs w:val="20"/>
              </w:rPr>
            </w:pPr>
            <w:r w:rsidRPr="00F756C7">
              <w:rPr>
                <w:szCs w:val="20"/>
              </w:rPr>
              <w:t xml:space="preserve">NC </w:t>
            </w:r>
            <w:r w:rsidRPr="00F756C7">
              <w:rPr>
                <w:szCs w:val="20"/>
                <w:vertAlign w:val="superscript"/>
              </w:rPr>
              <w:t>f</w:t>
            </w:r>
            <w:r w:rsidRPr="00F756C7">
              <w:rPr>
                <w:szCs w:val="20"/>
              </w:rPr>
              <w:t xml:space="preserve"> </w:t>
            </w:r>
          </w:p>
        </w:tc>
        <w:tc>
          <w:tcPr>
            <w:tcW w:w="806" w:type="pct"/>
            <w:tcMar>
              <w:top w:w="0" w:type="dxa"/>
              <w:left w:w="28" w:type="dxa"/>
              <w:bottom w:w="0" w:type="dxa"/>
              <w:right w:w="28" w:type="dxa"/>
            </w:tcMar>
            <w:vAlign w:val="center"/>
            <w:hideMark/>
          </w:tcPr>
          <w:p w14:paraId="13404A23" w14:textId="458E0F2B" w:rsidR="00D7130C" w:rsidRPr="005D13EC" w:rsidRDefault="00D7130C">
            <w:pPr>
              <w:pStyle w:val="TableText0"/>
              <w:spacing w:line="256" w:lineRule="auto"/>
              <w:jc w:val="center"/>
              <w:rPr>
                <w:szCs w:val="20"/>
                <w:highlight w:val="yellow"/>
              </w:rPr>
            </w:pPr>
            <w:r w:rsidRPr="005767EF">
              <w:rPr>
                <w:szCs w:val="20"/>
              </w:rPr>
              <w:t>$</w:t>
            </w:r>
            <w:r w:rsidR="00BB281C" w:rsidRPr="00AB4133">
              <w:rPr>
                <w:rFonts w:hint="eastAsia"/>
                <w:color w:val="000000"/>
                <w:w w:val="15"/>
                <w:szCs w:val="20"/>
                <w:shd w:val="solid" w:color="000000" w:fill="000000"/>
                <w:fitText w:val="58" w:id="-1234422513"/>
                <w14:textFill>
                  <w14:solidFill>
                    <w14:srgbClr w14:val="000000">
                      <w14:alpha w14:val="100000"/>
                    </w14:srgbClr>
                  </w14:solidFill>
                </w14:textFill>
              </w:rPr>
              <w:t xml:space="preserve">　</w:t>
            </w:r>
            <w:r w:rsidR="00BB281C" w:rsidRPr="00AB4133">
              <w:rPr>
                <w:color w:val="000000"/>
                <w:w w:val="15"/>
                <w:szCs w:val="20"/>
                <w:shd w:val="solid" w:color="000000" w:fill="000000"/>
                <w:fitText w:val="58" w:id="-1234422513"/>
                <w14:textFill>
                  <w14:solidFill>
                    <w14:srgbClr w14:val="000000">
                      <w14:alpha w14:val="100000"/>
                    </w14:srgbClr>
                  </w14:solidFill>
                </w14:textFill>
              </w:rPr>
              <w:t>|</w:t>
            </w:r>
            <w:r w:rsidR="00BB281C" w:rsidRPr="00AB4133">
              <w:rPr>
                <w:rFonts w:hint="eastAsia"/>
                <w:color w:val="000000"/>
                <w:w w:val="15"/>
                <w:szCs w:val="20"/>
                <w:shd w:val="solid" w:color="000000" w:fill="000000"/>
                <w:fitText w:val="58" w:id="-1234422513"/>
                <w14:textFill>
                  <w14:solidFill>
                    <w14:srgbClr w14:val="000000">
                      <w14:alpha w14:val="100000"/>
                    </w14:srgbClr>
                  </w14:solidFill>
                </w14:textFill>
              </w:rPr>
              <w:t xml:space="preserve">　</w:t>
            </w:r>
          </w:p>
        </w:tc>
        <w:tc>
          <w:tcPr>
            <w:tcW w:w="952" w:type="pct"/>
            <w:tcMar>
              <w:top w:w="0" w:type="dxa"/>
              <w:left w:w="28" w:type="dxa"/>
              <w:bottom w:w="0" w:type="dxa"/>
              <w:right w:w="28" w:type="dxa"/>
            </w:tcMar>
            <w:vAlign w:val="center"/>
            <w:hideMark/>
          </w:tcPr>
          <w:p w14:paraId="2468EA85" w14:textId="6F86D63A" w:rsidR="00D7130C" w:rsidRPr="005D13EC" w:rsidRDefault="00D7130C">
            <w:pPr>
              <w:pStyle w:val="TableText0"/>
              <w:spacing w:line="256" w:lineRule="auto"/>
              <w:jc w:val="center"/>
              <w:rPr>
                <w:szCs w:val="20"/>
                <w:highlight w:val="yellow"/>
              </w:rPr>
            </w:pPr>
            <w:r w:rsidRPr="005767EF">
              <w:rPr>
                <w:szCs w:val="20"/>
              </w:rPr>
              <w:t>$</w:t>
            </w:r>
            <w:r w:rsidR="00BB281C" w:rsidRPr="00BB281C">
              <w:rPr>
                <w:color w:val="000000"/>
                <w:szCs w:val="20"/>
                <w:shd w:val="solid" w:color="000000" w:fill="000000"/>
                <w14:textFill>
                  <w14:solidFill>
                    <w14:srgbClr w14:val="000000">
                      <w14:alpha w14:val="100000"/>
                    </w14:srgbClr>
                  </w14:solidFill>
                </w14:textFill>
              </w:rPr>
              <w:t>|</w:t>
            </w:r>
          </w:p>
        </w:tc>
      </w:tr>
      <w:tr w:rsidR="00D7130C" w:rsidRPr="00F756C7" w14:paraId="7AFC5830" w14:textId="77777777" w:rsidTr="00D7130C">
        <w:trPr>
          <w:cantSplit/>
          <w:jc w:val="center"/>
        </w:trPr>
        <w:tc>
          <w:tcPr>
            <w:tcW w:w="2382" w:type="pct"/>
            <w:tcMar>
              <w:top w:w="0" w:type="dxa"/>
              <w:left w:w="28" w:type="dxa"/>
              <w:bottom w:w="0" w:type="dxa"/>
              <w:right w:w="28" w:type="dxa"/>
            </w:tcMar>
            <w:vAlign w:val="center"/>
            <w:hideMark/>
          </w:tcPr>
          <w:p w14:paraId="52A3F2C9" w14:textId="77777777" w:rsidR="00D7130C" w:rsidRPr="00F756C7" w:rsidRDefault="00D7130C">
            <w:pPr>
              <w:pStyle w:val="TableText0"/>
              <w:spacing w:line="256" w:lineRule="auto"/>
              <w:rPr>
                <w:b/>
                <w:szCs w:val="20"/>
              </w:rPr>
            </w:pPr>
            <w:r w:rsidRPr="00F756C7">
              <w:rPr>
                <w:b/>
                <w:bCs w:val="0"/>
                <w:szCs w:val="20"/>
              </w:rPr>
              <w:t>Pembrolizumab total cost</w:t>
            </w:r>
          </w:p>
        </w:tc>
        <w:tc>
          <w:tcPr>
            <w:tcW w:w="860" w:type="pct"/>
            <w:tcMar>
              <w:top w:w="0" w:type="dxa"/>
              <w:left w:w="28" w:type="dxa"/>
              <w:bottom w:w="0" w:type="dxa"/>
              <w:right w:w="28" w:type="dxa"/>
            </w:tcMar>
            <w:vAlign w:val="center"/>
            <w:hideMark/>
          </w:tcPr>
          <w:p w14:paraId="76A5E9C0" w14:textId="5736B4E7" w:rsidR="00D7130C" w:rsidRPr="00F756C7" w:rsidRDefault="00D7130C">
            <w:pPr>
              <w:pStyle w:val="TableText0"/>
              <w:spacing w:line="256" w:lineRule="auto"/>
              <w:jc w:val="center"/>
              <w:rPr>
                <w:b/>
                <w:bCs w:val="0"/>
                <w:szCs w:val="20"/>
              </w:rPr>
            </w:pPr>
            <w:r w:rsidRPr="005767EF">
              <w:rPr>
                <w:b/>
                <w:bCs w:val="0"/>
                <w:szCs w:val="20"/>
              </w:rPr>
              <w:t>$</w:t>
            </w:r>
            <w:r w:rsidR="00BB281C" w:rsidRPr="00AB4133">
              <w:rPr>
                <w:rFonts w:hint="eastAsia"/>
                <w:b/>
                <w:bCs w:val="0"/>
                <w:color w:val="000000"/>
                <w:w w:val="18"/>
                <w:szCs w:val="20"/>
                <w:shd w:val="solid" w:color="000000" w:fill="000000"/>
                <w:fitText w:val="81" w:id="-1234422512"/>
                <w14:textFill>
                  <w14:solidFill>
                    <w14:srgbClr w14:val="000000">
                      <w14:alpha w14:val="100000"/>
                    </w14:srgbClr>
                  </w14:solidFill>
                </w14:textFill>
              </w:rPr>
              <w:t xml:space="preserve">　</w:t>
            </w:r>
            <w:r w:rsidR="00BB281C" w:rsidRPr="00AB4133">
              <w:rPr>
                <w:b/>
                <w:bCs w:val="0"/>
                <w:color w:val="000000"/>
                <w:w w:val="18"/>
                <w:szCs w:val="20"/>
                <w:shd w:val="solid" w:color="000000" w:fill="000000"/>
                <w:fitText w:val="81" w:id="-1234422512"/>
                <w14:textFill>
                  <w14:solidFill>
                    <w14:srgbClr w14:val="000000">
                      <w14:alpha w14:val="100000"/>
                    </w14:srgbClr>
                  </w14:solidFill>
                </w14:textFill>
              </w:rPr>
              <w:t>|</w:t>
            </w:r>
            <w:r w:rsidR="00BB281C" w:rsidRPr="00AB4133">
              <w:rPr>
                <w:rFonts w:hint="eastAsia"/>
                <w:b/>
                <w:bCs w:val="0"/>
                <w:color w:val="000000"/>
                <w:w w:val="18"/>
                <w:szCs w:val="20"/>
                <w:shd w:val="solid" w:color="000000" w:fill="000000"/>
                <w:fitText w:val="81" w:id="-1234422512"/>
                <w14:textFill>
                  <w14:solidFill>
                    <w14:srgbClr w14:val="000000">
                      <w14:alpha w14:val="100000"/>
                    </w14:srgbClr>
                  </w14:solidFill>
                </w14:textFill>
              </w:rPr>
              <w:t xml:space="preserve">　</w:t>
            </w:r>
          </w:p>
        </w:tc>
        <w:tc>
          <w:tcPr>
            <w:tcW w:w="806" w:type="pct"/>
            <w:tcMar>
              <w:top w:w="0" w:type="dxa"/>
              <w:left w:w="28" w:type="dxa"/>
              <w:bottom w:w="0" w:type="dxa"/>
              <w:right w:w="28" w:type="dxa"/>
            </w:tcMar>
            <w:vAlign w:val="center"/>
            <w:hideMark/>
          </w:tcPr>
          <w:p w14:paraId="560557B2" w14:textId="75DC9963" w:rsidR="00D7130C" w:rsidRPr="005D13EC" w:rsidRDefault="00D7130C">
            <w:pPr>
              <w:pStyle w:val="TableText0"/>
              <w:spacing w:line="256" w:lineRule="auto"/>
              <w:jc w:val="center"/>
              <w:rPr>
                <w:b/>
                <w:bCs w:val="0"/>
                <w:szCs w:val="20"/>
                <w:highlight w:val="yellow"/>
              </w:rPr>
            </w:pPr>
            <w:r w:rsidRPr="005767EF">
              <w:rPr>
                <w:b/>
                <w:bCs w:val="0"/>
                <w:szCs w:val="20"/>
              </w:rPr>
              <w:t>$</w:t>
            </w:r>
            <w:r w:rsidR="00BB281C" w:rsidRPr="00AB4133">
              <w:rPr>
                <w:rFonts w:hint="eastAsia"/>
                <w:b/>
                <w:bCs w:val="0"/>
                <w:color w:val="000000"/>
                <w:w w:val="25"/>
                <w:szCs w:val="20"/>
                <w:shd w:val="solid" w:color="000000" w:fill="000000"/>
                <w:fitText w:val="115" w:id="-1234422528"/>
                <w14:textFill>
                  <w14:solidFill>
                    <w14:srgbClr w14:val="000000">
                      <w14:alpha w14:val="100000"/>
                    </w14:srgbClr>
                  </w14:solidFill>
                </w14:textFill>
              </w:rPr>
              <w:t xml:space="preserve">　</w:t>
            </w:r>
            <w:r w:rsidR="00BB281C" w:rsidRPr="00AB4133">
              <w:rPr>
                <w:b/>
                <w:bCs w:val="0"/>
                <w:color w:val="000000"/>
                <w:w w:val="25"/>
                <w:szCs w:val="20"/>
                <w:shd w:val="solid" w:color="000000" w:fill="000000"/>
                <w:fitText w:val="115" w:id="-1234422528"/>
                <w14:textFill>
                  <w14:solidFill>
                    <w14:srgbClr w14:val="000000">
                      <w14:alpha w14:val="100000"/>
                    </w14:srgbClr>
                  </w14:solidFill>
                </w14:textFill>
              </w:rPr>
              <w:t>|</w:t>
            </w:r>
            <w:r w:rsidR="00BB281C" w:rsidRPr="00AB4133">
              <w:rPr>
                <w:rFonts w:hint="eastAsia"/>
                <w:b/>
                <w:bCs w:val="0"/>
                <w:color w:val="000000"/>
                <w:w w:val="25"/>
                <w:szCs w:val="20"/>
                <w:shd w:val="solid" w:color="000000" w:fill="000000"/>
                <w:fitText w:val="115" w:id="-1234422528"/>
                <w14:textFill>
                  <w14:solidFill>
                    <w14:srgbClr w14:val="000000">
                      <w14:alpha w14:val="100000"/>
                    </w14:srgbClr>
                  </w14:solidFill>
                </w14:textFill>
              </w:rPr>
              <w:t xml:space="preserve">　</w:t>
            </w:r>
          </w:p>
        </w:tc>
        <w:tc>
          <w:tcPr>
            <w:tcW w:w="952" w:type="pct"/>
            <w:tcMar>
              <w:top w:w="0" w:type="dxa"/>
              <w:left w:w="28" w:type="dxa"/>
              <w:bottom w:w="0" w:type="dxa"/>
              <w:right w:w="28" w:type="dxa"/>
            </w:tcMar>
            <w:vAlign w:val="center"/>
            <w:hideMark/>
          </w:tcPr>
          <w:p w14:paraId="260225B3" w14:textId="3E37A307" w:rsidR="00D7130C" w:rsidRPr="005D13EC" w:rsidRDefault="00D7130C">
            <w:pPr>
              <w:pStyle w:val="TableText0"/>
              <w:spacing w:line="256" w:lineRule="auto"/>
              <w:jc w:val="center"/>
              <w:rPr>
                <w:b/>
                <w:bCs w:val="0"/>
                <w:szCs w:val="20"/>
                <w:highlight w:val="yellow"/>
              </w:rPr>
            </w:pPr>
            <w:r w:rsidRPr="005767EF">
              <w:rPr>
                <w:b/>
                <w:bCs w:val="0"/>
                <w:szCs w:val="20"/>
              </w:rPr>
              <w:t>$</w:t>
            </w:r>
            <w:r w:rsidR="00BB281C" w:rsidRPr="00BB281C">
              <w:rPr>
                <w:b/>
                <w:bCs w:val="0"/>
                <w:color w:val="000000"/>
                <w:szCs w:val="20"/>
                <w:shd w:val="solid" w:color="000000" w:fill="000000"/>
                <w14:textFill>
                  <w14:solidFill>
                    <w14:srgbClr w14:val="000000">
                      <w14:alpha w14:val="100000"/>
                    </w14:srgbClr>
                  </w14:solidFill>
                </w14:textFill>
              </w:rPr>
              <w:t>|</w:t>
            </w:r>
          </w:p>
        </w:tc>
      </w:tr>
    </w:tbl>
    <w:p w14:paraId="3DD026A5" w14:textId="77777777" w:rsidR="00EC4121" w:rsidRDefault="00EC4121" w:rsidP="00CA3EE2">
      <w:pPr>
        <w:pStyle w:val="Tabletext"/>
        <w:jc w:val="both"/>
        <w:rPr>
          <w:sz w:val="18"/>
          <w:szCs w:val="18"/>
        </w:rPr>
      </w:pPr>
      <w:r>
        <w:rPr>
          <w:sz w:val="18"/>
          <w:szCs w:val="18"/>
        </w:rPr>
        <w:t xml:space="preserve">Source: </w:t>
      </w:r>
      <w:proofErr w:type="spellStart"/>
      <w:r>
        <w:rPr>
          <w:sz w:val="18"/>
          <w:szCs w:val="18"/>
        </w:rPr>
        <w:t>neoadj_trt_costs</w:t>
      </w:r>
      <w:proofErr w:type="spellEnd"/>
      <w:r>
        <w:rPr>
          <w:sz w:val="18"/>
          <w:szCs w:val="18"/>
        </w:rPr>
        <w:t xml:space="preserve"> and </w:t>
      </w:r>
      <w:proofErr w:type="spellStart"/>
      <w:r>
        <w:rPr>
          <w:sz w:val="18"/>
          <w:szCs w:val="18"/>
        </w:rPr>
        <w:t>adj_trt_costs</w:t>
      </w:r>
      <w:proofErr w:type="spellEnd"/>
      <w:r>
        <w:rPr>
          <w:sz w:val="18"/>
          <w:szCs w:val="18"/>
        </w:rPr>
        <w:t xml:space="preserve"> worksheets of ‘eTNBC Section 3 Workbook.xlsx’</w:t>
      </w:r>
    </w:p>
    <w:p w14:paraId="75674F7F" w14:textId="77777777" w:rsidR="00EC4121" w:rsidRDefault="00EC4121" w:rsidP="00CA3EE2">
      <w:pPr>
        <w:pStyle w:val="Tabletext"/>
        <w:jc w:val="both"/>
        <w:rPr>
          <w:rFonts w:cstheme="minorBidi"/>
          <w:sz w:val="18"/>
          <w:szCs w:val="18"/>
        </w:rPr>
      </w:pPr>
      <w:r>
        <w:rPr>
          <w:sz w:val="18"/>
          <w:szCs w:val="18"/>
        </w:rPr>
        <w:t>AUC = area under the curve; NC = not calculated Q3W = every three weeks</w:t>
      </w:r>
    </w:p>
    <w:p w14:paraId="1761A6E3" w14:textId="77777777" w:rsidR="00EC4121" w:rsidRPr="00EC4121" w:rsidRDefault="00EC4121" w:rsidP="00CA3EE2">
      <w:pPr>
        <w:pStyle w:val="Tabletext"/>
        <w:jc w:val="both"/>
        <w:rPr>
          <w:rFonts w:eastAsiaTheme="minorHAnsi"/>
          <w:sz w:val="18"/>
          <w:szCs w:val="18"/>
        </w:rPr>
      </w:pPr>
      <w:r w:rsidRPr="00EC4121">
        <w:rPr>
          <w:sz w:val="18"/>
          <w:szCs w:val="18"/>
          <w:vertAlign w:val="superscript"/>
        </w:rPr>
        <w:t>a</w:t>
      </w:r>
      <w:r w:rsidRPr="00EC4121">
        <w:rPr>
          <w:sz w:val="18"/>
          <w:szCs w:val="18"/>
        </w:rPr>
        <w:t xml:space="preserve"> Based on 95% relative dose intensity in neoadjuvant setting</w:t>
      </w:r>
    </w:p>
    <w:p w14:paraId="184C0DBC" w14:textId="77777777" w:rsidR="00EC4121" w:rsidRPr="00EC4121" w:rsidRDefault="00EC4121" w:rsidP="00CA3EE2">
      <w:pPr>
        <w:pStyle w:val="Tabletext"/>
        <w:jc w:val="both"/>
        <w:rPr>
          <w:sz w:val="18"/>
          <w:szCs w:val="18"/>
        </w:rPr>
      </w:pPr>
      <w:r w:rsidRPr="00EC4121">
        <w:rPr>
          <w:sz w:val="18"/>
          <w:szCs w:val="18"/>
          <w:vertAlign w:val="superscript"/>
        </w:rPr>
        <w:t>b</w:t>
      </w:r>
      <w:r w:rsidRPr="00EC4121">
        <w:rPr>
          <w:sz w:val="18"/>
          <w:szCs w:val="18"/>
        </w:rPr>
        <w:t xml:space="preserve"> Back calculated based on calculated total pembrolizumab cost divided by cost per administration</w:t>
      </w:r>
    </w:p>
    <w:p w14:paraId="38B7B2C6" w14:textId="77777777" w:rsidR="00EC4121" w:rsidRPr="00EC4121" w:rsidRDefault="00EC4121" w:rsidP="00CA3EE2">
      <w:pPr>
        <w:pStyle w:val="Tabletext"/>
        <w:ind w:left="142" w:hanging="142"/>
        <w:jc w:val="both"/>
        <w:rPr>
          <w:sz w:val="18"/>
          <w:szCs w:val="18"/>
        </w:rPr>
      </w:pPr>
      <w:r w:rsidRPr="00EC4121">
        <w:rPr>
          <w:sz w:val="18"/>
          <w:szCs w:val="18"/>
          <w:vertAlign w:val="superscript"/>
        </w:rPr>
        <w:t>c</w:t>
      </w:r>
      <w:r w:rsidRPr="00EC4121">
        <w:rPr>
          <w:sz w:val="18"/>
          <w:szCs w:val="18"/>
        </w:rPr>
        <w:t xml:space="preserve"> Including Carboplatin AUC 5, Q3W, carboplatin AUC 1.5, weekly, paclitaxel, cyclophosphamide, doxorubicin, epirubicin. Drug costs per administration and number of administrations could not be disaggregated in the economic model. </w:t>
      </w:r>
    </w:p>
    <w:p w14:paraId="7A5228B9" w14:textId="77777777" w:rsidR="00EC4121" w:rsidRPr="00EC4121" w:rsidRDefault="00EC4121" w:rsidP="00CA3EE2">
      <w:pPr>
        <w:pStyle w:val="Tabletext"/>
        <w:ind w:left="720" w:hanging="720"/>
        <w:jc w:val="both"/>
        <w:rPr>
          <w:sz w:val="18"/>
          <w:szCs w:val="18"/>
        </w:rPr>
      </w:pPr>
      <w:r w:rsidRPr="00EC4121">
        <w:rPr>
          <w:sz w:val="18"/>
          <w:szCs w:val="18"/>
          <w:vertAlign w:val="superscript"/>
        </w:rPr>
        <w:t>d</w:t>
      </w:r>
      <w:r w:rsidRPr="00EC4121">
        <w:rPr>
          <w:sz w:val="18"/>
          <w:szCs w:val="18"/>
        </w:rPr>
        <w:t xml:space="preserve"> Calculated by setting values C30:C53 in </w:t>
      </w:r>
      <w:proofErr w:type="spellStart"/>
      <w:r w:rsidRPr="00EC4121">
        <w:rPr>
          <w:sz w:val="18"/>
          <w:szCs w:val="18"/>
        </w:rPr>
        <w:t>neoadj_trt_costs</w:t>
      </w:r>
      <w:proofErr w:type="spellEnd"/>
      <w:r w:rsidRPr="00EC4121">
        <w:rPr>
          <w:sz w:val="18"/>
          <w:szCs w:val="18"/>
        </w:rPr>
        <w:t xml:space="preserve"> worksheet to 0, and taking output of cell CP12 in </w:t>
      </w:r>
      <w:proofErr w:type="spellStart"/>
      <w:r w:rsidRPr="00EC4121">
        <w:rPr>
          <w:sz w:val="18"/>
          <w:szCs w:val="18"/>
        </w:rPr>
        <w:t>pembro_trace</w:t>
      </w:r>
      <w:proofErr w:type="spellEnd"/>
      <w:r w:rsidRPr="00EC4121">
        <w:rPr>
          <w:sz w:val="18"/>
          <w:szCs w:val="18"/>
        </w:rPr>
        <w:t xml:space="preserve"> sheet</w:t>
      </w:r>
    </w:p>
    <w:p w14:paraId="3CF13665" w14:textId="77777777" w:rsidR="00EC4121" w:rsidRPr="00EC4121" w:rsidRDefault="00EC4121" w:rsidP="00CA3EE2">
      <w:pPr>
        <w:pStyle w:val="Tabletext"/>
        <w:ind w:left="720" w:hanging="720"/>
        <w:jc w:val="both"/>
        <w:rPr>
          <w:sz w:val="18"/>
          <w:szCs w:val="18"/>
        </w:rPr>
      </w:pPr>
      <w:r w:rsidRPr="00EC4121">
        <w:rPr>
          <w:sz w:val="18"/>
          <w:szCs w:val="18"/>
          <w:vertAlign w:val="superscript"/>
        </w:rPr>
        <w:t>e</w:t>
      </w:r>
      <w:r w:rsidRPr="00EC4121">
        <w:rPr>
          <w:sz w:val="18"/>
          <w:szCs w:val="18"/>
        </w:rPr>
        <w:t xml:space="preserve"> Based on 99.8% relative dose intensity in adjuvant setting</w:t>
      </w:r>
    </w:p>
    <w:p w14:paraId="0CC09DD5" w14:textId="77777777" w:rsidR="00EC4121" w:rsidRPr="00EC4121" w:rsidRDefault="00EC4121" w:rsidP="00CA3EE2">
      <w:pPr>
        <w:pStyle w:val="Tabletext"/>
        <w:ind w:left="142" w:hanging="142"/>
        <w:jc w:val="both"/>
        <w:rPr>
          <w:sz w:val="18"/>
          <w:szCs w:val="18"/>
        </w:rPr>
      </w:pPr>
      <w:r w:rsidRPr="00EC4121">
        <w:rPr>
          <w:sz w:val="18"/>
          <w:szCs w:val="18"/>
          <w:vertAlign w:val="superscript"/>
        </w:rPr>
        <w:t>f</w:t>
      </w:r>
      <w:r w:rsidRPr="00EC4121">
        <w:rPr>
          <w:sz w:val="18"/>
          <w:szCs w:val="18"/>
        </w:rPr>
        <w:t xml:space="preserve"> Because of the number of chemotherapy regimens, the diversity in dosing schedules, and the relatively low impact of their costs, for brevity and clarity, the individual chemotherapy costs are not presented. </w:t>
      </w:r>
    </w:p>
    <w:p w14:paraId="54739F63" w14:textId="1D2527CF" w:rsidR="00EC4121" w:rsidRPr="005767EF" w:rsidRDefault="00EC4121" w:rsidP="00CA3EE2">
      <w:pPr>
        <w:pStyle w:val="Tabletext"/>
        <w:ind w:left="142" w:hanging="142"/>
        <w:jc w:val="both"/>
        <w:rPr>
          <w:sz w:val="18"/>
          <w:szCs w:val="18"/>
        </w:rPr>
      </w:pPr>
      <w:r w:rsidRPr="00EC4121">
        <w:rPr>
          <w:sz w:val="18"/>
          <w:szCs w:val="18"/>
          <w:vertAlign w:val="superscript"/>
        </w:rPr>
        <w:t>g</w:t>
      </w:r>
      <w:r w:rsidRPr="00EC4121">
        <w:rPr>
          <w:sz w:val="18"/>
          <w:szCs w:val="18"/>
        </w:rPr>
        <w:t xml:space="preserve"> The mean number of administrations from </w:t>
      </w:r>
      <w:r w:rsidRPr="005767EF">
        <w:rPr>
          <w:sz w:val="18"/>
          <w:szCs w:val="18"/>
        </w:rPr>
        <w:t>the trial in the adjuvant phase (8.3), adjusted to account for only 71.3% of neoadjuvant patients receiv</w:t>
      </w:r>
      <w:r w:rsidR="00E0708A" w:rsidRPr="005767EF">
        <w:rPr>
          <w:sz w:val="18"/>
          <w:szCs w:val="18"/>
        </w:rPr>
        <w:t>ing</w:t>
      </w:r>
      <w:r w:rsidRPr="005767EF">
        <w:rPr>
          <w:sz w:val="18"/>
          <w:szCs w:val="18"/>
        </w:rPr>
        <w:t xml:space="preserve"> adjuvant treatment. </w:t>
      </w:r>
    </w:p>
    <w:p w14:paraId="72B67CD7" w14:textId="77777777" w:rsidR="00EC4121" w:rsidRPr="00FF0984" w:rsidRDefault="00EC4121" w:rsidP="00CA3EE2">
      <w:pPr>
        <w:pStyle w:val="Tabletext"/>
        <w:ind w:left="142" w:hanging="142"/>
        <w:jc w:val="both"/>
        <w:rPr>
          <w:sz w:val="18"/>
          <w:szCs w:val="18"/>
        </w:rPr>
      </w:pPr>
      <w:r w:rsidRPr="005767EF">
        <w:rPr>
          <w:sz w:val="18"/>
          <w:szCs w:val="18"/>
          <w:vertAlign w:val="superscript"/>
        </w:rPr>
        <w:t>h</w:t>
      </w:r>
      <w:r w:rsidRPr="005767EF">
        <w:rPr>
          <w:sz w:val="18"/>
          <w:szCs w:val="18"/>
        </w:rPr>
        <w:t xml:space="preserve"> Revised to 22.31 weeks in PSCR</w:t>
      </w:r>
    </w:p>
    <w:p w14:paraId="0038817D" w14:textId="6A6A5944" w:rsidR="00DD3673" w:rsidRPr="006919A9" w:rsidRDefault="00EC4121" w:rsidP="00CA3EE2">
      <w:pPr>
        <w:pStyle w:val="Tabletext"/>
        <w:spacing w:after="120"/>
        <w:jc w:val="both"/>
      </w:pPr>
      <w:r w:rsidRPr="00F756C7">
        <w:rPr>
          <w:sz w:val="18"/>
          <w:szCs w:val="18"/>
          <w:vertAlign w:val="superscript"/>
        </w:rPr>
        <w:t xml:space="preserve">i </w:t>
      </w:r>
      <w:r w:rsidRPr="00F756C7">
        <w:rPr>
          <w:sz w:val="18"/>
          <w:szCs w:val="18"/>
        </w:rPr>
        <w:t xml:space="preserve">75% based on </w:t>
      </w:r>
      <w:r w:rsidR="00CC28EE" w:rsidRPr="00F756C7">
        <w:rPr>
          <w:sz w:val="18"/>
          <w:szCs w:val="18"/>
        </w:rPr>
        <w:t xml:space="preserve">PSCR </w:t>
      </w:r>
      <w:r w:rsidRPr="00F756C7">
        <w:rPr>
          <w:sz w:val="18"/>
          <w:szCs w:val="18"/>
        </w:rPr>
        <w:t>revised financial estimates</w:t>
      </w:r>
      <w:r w:rsidRPr="00F756C7">
        <w:rPr>
          <w:sz w:val="18"/>
          <w:szCs w:val="18"/>
          <w:vertAlign w:val="superscript"/>
        </w:rPr>
        <w:t xml:space="preserve"> </w:t>
      </w:r>
      <w:bookmarkEnd w:id="71"/>
    </w:p>
    <w:p w14:paraId="523BFAD9" w14:textId="2ACA1142" w:rsidR="00D54354" w:rsidRPr="000B5598" w:rsidRDefault="00D54354" w:rsidP="00D54354">
      <w:pPr>
        <w:pStyle w:val="3-BodyText"/>
        <w:rPr>
          <w:snapToGrid/>
        </w:rPr>
      </w:pPr>
      <w:bookmarkStart w:id="72" w:name="_Hlk107307804"/>
      <w:r w:rsidRPr="006919A9">
        <w:t>The submission</w:t>
      </w:r>
      <w:r w:rsidR="00D95F2D">
        <w:t>’s economic</w:t>
      </w:r>
      <w:r w:rsidRPr="006919A9">
        <w:t xml:space="preserve"> </w:t>
      </w:r>
      <w:r w:rsidR="00D95F2D">
        <w:t xml:space="preserve">model </w:t>
      </w:r>
      <w:r w:rsidRPr="006919A9">
        <w:t xml:space="preserve">estimated a total undiscounted cost of pembrolizumab of </w:t>
      </w:r>
      <w:r w:rsidR="006061D6" w:rsidRPr="006919A9">
        <w:t>$</w:t>
      </w:r>
      <w:r w:rsidR="00BB281C" w:rsidRPr="00740AEA">
        <w:rPr>
          <w:color w:val="000000"/>
          <w:w w:val="15"/>
          <w:shd w:val="solid" w:color="000000" w:fill="000000"/>
          <w:fitText w:val="-20" w:id="-1234422527"/>
          <w14:textFill>
            <w14:solidFill>
              <w14:srgbClr w14:val="000000">
                <w14:alpha w14:val="100000"/>
              </w14:srgbClr>
            </w14:solidFill>
          </w14:textFill>
        </w:rPr>
        <w:t xml:space="preserve">|  </w:t>
      </w:r>
      <w:r w:rsidR="00BB281C" w:rsidRPr="00740AEA">
        <w:rPr>
          <w:color w:val="000000"/>
          <w:spacing w:val="-69"/>
          <w:w w:val="15"/>
          <w:shd w:val="solid" w:color="000000" w:fill="000000"/>
          <w:fitText w:val="-20" w:id="-1234422527"/>
          <w14:textFill>
            <w14:solidFill>
              <w14:srgbClr w14:val="000000">
                <w14:alpha w14:val="100000"/>
              </w14:srgbClr>
            </w14:solidFill>
          </w14:textFill>
        </w:rPr>
        <w:t>|</w:t>
      </w:r>
      <w:r w:rsidR="006A1B76" w:rsidRPr="005767EF">
        <w:t xml:space="preserve"> </w:t>
      </w:r>
      <w:r w:rsidR="006A1B76" w:rsidRPr="006919A9">
        <w:t>per patient, per course.</w:t>
      </w:r>
      <w:r w:rsidRPr="006919A9">
        <w:t xml:space="preserve"> </w:t>
      </w:r>
      <w:r w:rsidR="00A813BA">
        <w:t>W</w:t>
      </w:r>
      <w:r w:rsidRPr="000B5598">
        <w:t xml:space="preserve">ithout half cycle </w:t>
      </w:r>
      <w:r w:rsidR="00A813BA">
        <w:t xml:space="preserve">correction </w:t>
      </w:r>
      <w:r w:rsidRPr="000B5598">
        <w:t xml:space="preserve">applied, this was </w:t>
      </w:r>
      <w:r w:rsidRPr="005767EF">
        <w:t>$</w:t>
      </w:r>
      <w:r w:rsidR="00BB281C" w:rsidRPr="00740AEA">
        <w:rPr>
          <w:color w:val="000000"/>
          <w:w w:val="15"/>
          <w:shd w:val="solid" w:color="000000" w:fill="000000"/>
          <w:fitText w:val="-20" w:id="-1234422526"/>
          <w14:textFill>
            <w14:solidFill>
              <w14:srgbClr w14:val="000000">
                <w14:alpha w14:val="100000"/>
              </w14:srgbClr>
            </w14:solidFill>
          </w14:textFill>
        </w:rPr>
        <w:t xml:space="preserve">|  </w:t>
      </w:r>
      <w:r w:rsidR="00BB281C" w:rsidRPr="00740AEA">
        <w:rPr>
          <w:color w:val="000000"/>
          <w:spacing w:val="-69"/>
          <w:w w:val="15"/>
          <w:shd w:val="solid" w:color="000000" w:fill="000000"/>
          <w:fitText w:val="-20" w:id="-1234422526"/>
          <w14:textFill>
            <w14:solidFill>
              <w14:srgbClr w14:val="000000">
                <w14:alpha w14:val="100000"/>
              </w14:srgbClr>
            </w14:solidFill>
          </w14:textFill>
        </w:rPr>
        <w:t>|</w:t>
      </w:r>
      <w:r w:rsidR="008C2079" w:rsidRPr="000B5598">
        <w:t>. This was based on a weighted DPMQ of $</w:t>
      </w:r>
      <w:r w:rsidR="00BB281C" w:rsidRPr="00740AEA">
        <w:rPr>
          <w:color w:val="000000"/>
          <w:w w:val="15"/>
          <w:shd w:val="solid" w:color="000000" w:fill="000000"/>
          <w:fitText w:val="-20" w:id="-1234422525"/>
          <w14:textFill>
            <w14:solidFill>
              <w14:srgbClr w14:val="000000">
                <w14:alpha w14:val="100000"/>
              </w14:srgbClr>
            </w14:solidFill>
          </w14:textFill>
        </w:rPr>
        <w:t xml:space="preserve">|  </w:t>
      </w:r>
      <w:r w:rsidR="00BB281C" w:rsidRPr="00740AEA">
        <w:rPr>
          <w:color w:val="000000"/>
          <w:spacing w:val="-69"/>
          <w:w w:val="15"/>
          <w:shd w:val="solid" w:color="000000" w:fill="000000"/>
          <w:fitText w:val="-20" w:id="-1234422525"/>
          <w14:textFill>
            <w14:solidFill>
              <w14:srgbClr w14:val="000000">
                <w14:alpha w14:val="100000"/>
              </w14:srgbClr>
            </w14:solidFill>
          </w14:textFill>
        </w:rPr>
        <w:t>|</w:t>
      </w:r>
      <w:r w:rsidR="008C2079" w:rsidRPr="005767EF">
        <w:t xml:space="preserve"> </w:t>
      </w:r>
      <w:r w:rsidR="008C2079" w:rsidRPr="000B5598">
        <w:t xml:space="preserve">and with a dose intensity of 95% applied in the neoadjuvant setting and 99.8% in the adjuvant </w:t>
      </w:r>
      <w:r w:rsidR="008C2079" w:rsidRPr="000B1ACA">
        <w:t xml:space="preserve">setting </w:t>
      </w:r>
      <w:r w:rsidR="008C2079" w:rsidRPr="005767EF">
        <w:t xml:space="preserve">and 7.4 neoadjuvant administrations and 5.5 </w:t>
      </w:r>
      <w:r w:rsidR="008C2079" w:rsidRPr="000B1ACA">
        <w:t>adjuvant administrations.</w:t>
      </w:r>
      <w:r w:rsidR="008C2079" w:rsidRPr="000B5598">
        <w:t xml:space="preserve"> </w:t>
      </w:r>
      <w:r w:rsidR="000B46A6">
        <w:t>The sponsor’s revised price (weighted DPMQ of $</w:t>
      </w:r>
      <w:r w:rsidR="00BB281C" w:rsidRPr="00740AEA">
        <w:rPr>
          <w:color w:val="000000"/>
          <w:w w:val="15"/>
          <w:shd w:val="solid" w:color="000000" w:fill="000000"/>
          <w:fitText w:val="-20" w:id="-1234422524"/>
          <w14:textFill>
            <w14:solidFill>
              <w14:srgbClr w14:val="000000">
                <w14:alpha w14:val="100000"/>
              </w14:srgbClr>
            </w14:solidFill>
          </w14:textFill>
        </w:rPr>
        <w:t xml:space="preserve">|  </w:t>
      </w:r>
      <w:r w:rsidR="00BB281C" w:rsidRPr="00740AEA">
        <w:rPr>
          <w:color w:val="000000"/>
          <w:spacing w:val="-69"/>
          <w:w w:val="15"/>
          <w:shd w:val="solid" w:color="000000" w:fill="000000"/>
          <w:fitText w:val="-20" w:id="-1234422524"/>
          <w14:textFill>
            <w14:solidFill>
              <w14:srgbClr w14:val="000000">
                <w14:alpha w14:val="100000"/>
              </w14:srgbClr>
            </w14:solidFill>
          </w14:textFill>
        </w:rPr>
        <w:t>|</w:t>
      </w:r>
      <w:r w:rsidR="006B5F5F">
        <w:t xml:space="preserve">) reduced the </w:t>
      </w:r>
      <w:r w:rsidR="006C4F1A">
        <w:t xml:space="preserve">modelled </w:t>
      </w:r>
      <w:r w:rsidR="006B5F5F">
        <w:t xml:space="preserve">drug cost per patient </w:t>
      </w:r>
      <w:r w:rsidR="006C4F1A">
        <w:t xml:space="preserve">per course </w:t>
      </w:r>
      <w:r w:rsidR="006B5F5F">
        <w:t xml:space="preserve">to </w:t>
      </w:r>
      <w:r w:rsidR="006C4F1A" w:rsidRPr="005767EF">
        <w:t>$</w:t>
      </w:r>
      <w:r w:rsidR="00BB281C" w:rsidRPr="00740AEA">
        <w:rPr>
          <w:color w:val="000000"/>
          <w:w w:val="15"/>
          <w:shd w:val="solid" w:color="000000" w:fill="000000"/>
          <w:fitText w:val="-20" w:id="-1234422523"/>
          <w14:textFill>
            <w14:solidFill>
              <w14:srgbClr w14:val="000000">
                <w14:alpha w14:val="100000"/>
              </w14:srgbClr>
            </w14:solidFill>
          </w14:textFill>
        </w:rPr>
        <w:t xml:space="preserve">|  </w:t>
      </w:r>
      <w:r w:rsidR="00BB281C" w:rsidRPr="00740AEA">
        <w:rPr>
          <w:color w:val="000000"/>
          <w:spacing w:val="-69"/>
          <w:w w:val="15"/>
          <w:shd w:val="solid" w:color="000000" w:fill="000000"/>
          <w:fitText w:val="-20" w:id="-1234422523"/>
          <w14:textFill>
            <w14:solidFill>
              <w14:srgbClr w14:val="000000">
                <w14:alpha w14:val="100000"/>
              </w14:srgbClr>
            </w14:solidFill>
          </w14:textFill>
        </w:rPr>
        <w:t>|</w:t>
      </w:r>
      <w:r w:rsidR="006C4F1A" w:rsidRPr="005767EF">
        <w:t xml:space="preserve"> (</w:t>
      </w:r>
      <w:r w:rsidR="006B5F5F" w:rsidRPr="005767EF">
        <w:t>$</w:t>
      </w:r>
      <w:r w:rsidR="00BB281C" w:rsidRPr="00740AEA">
        <w:rPr>
          <w:color w:val="000000"/>
          <w:w w:val="15"/>
          <w:shd w:val="solid" w:color="000000" w:fill="000000"/>
          <w:fitText w:val="-20" w:id="-1234422522"/>
          <w14:textFill>
            <w14:solidFill>
              <w14:srgbClr w14:val="000000">
                <w14:alpha w14:val="100000"/>
              </w14:srgbClr>
            </w14:solidFill>
          </w14:textFill>
        </w:rPr>
        <w:t xml:space="preserve">|  </w:t>
      </w:r>
      <w:r w:rsidR="00BB281C" w:rsidRPr="00740AEA">
        <w:rPr>
          <w:color w:val="000000"/>
          <w:spacing w:val="-69"/>
          <w:w w:val="15"/>
          <w:shd w:val="solid" w:color="000000" w:fill="000000"/>
          <w:fitText w:val="-20" w:id="-1234422522"/>
          <w14:textFill>
            <w14:solidFill>
              <w14:srgbClr w14:val="000000">
                <w14:alpha w14:val="100000"/>
              </w14:srgbClr>
            </w14:solidFill>
          </w14:textFill>
        </w:rPr>
        <w:t>|</w:t>
      </w:r>
      <w:r w:rsidR="000F309B" w:rsidRPr="005767EF">
        <w:t xml:space="preserve"> </w:t>
      </w:r>
      <w:r w:rsidR="006C4F1A">
        <w:t>as neo</w:t>
      </w:r>
      <w:r w:rsidR="000F309B">
        <w:t>adj</w:t>
      </w:r>
      <w:r w:rsidR="006C4F1A">
        <w:t xml:space="preserve">uvant treatment and </w:t>
      </w:r>
      <w:r w:rsidR="006C4F1A" w:rsidRPr="005767EF">
        <w:t>$</w:t>
      </w:r>
      <w:r w:rsidR="00BB281C" w:rsidRPr="00740AEA">
        <w:rPr>
          <w:color w:val="000000"/>
          <w:w w:val="15"/>
          <w:shd w:val="solid" w:color="000000" w:fill="000000"/>
          <w:fitText w:val="-20" w:id="-1234422521"/>
          <w14:textFill>
            <w14:solidFill>
              <w14:srgbClr w14:val="000000">
                <w14:alpha w14:val="100000"/>
              </w14:srgbClr>
            </w14:solidFill>
          </w14:textFill>
        </w:rPr>
        <w:t xml:space="preserve">|  </w:t>
      </w:r>
      <w:r w:rsidR="00BB281C" w:rsidRPr="00740AEA">
        <w:rPr>
          <w:color w:val="000000"/>
          <w:spacing w:val="-69"/>
          <w:w w:val="15"/>
          <w:shd w:val="solid" w:color="000000" w:fill="000000"/>
          <w:fitText w:val="-20" w:id="-1234422521"/>
          <w14:textFill>
            <w14:solidFill>
              <w14:srgbClr w14:val="000000">
                <w14:alpha w14:val="100000"/>
              </w14:srgbClr>
            </w14:solidFill>
          </w14:textFill>
        </w:rPr>
        <w:t>|</w:t>
      </w:r>
      <w:r w:rsidR="006C4F1A" w:rsidRPr="005767EF">
        <w:t xml:space="preserve"> </w:t>
      </w:r>
      <w:r w:rsidR="006C4F1A">
        <w:t>as adjuvant treatment).</w:t>
      </w:r>
    </w:p>
    <w:p w14:paraId="740698E3" w14:textId="3B9E8AC2" w:rsidR="00D54354" w:rsidRPr="005767EF" w:rsidRDefault="008C2079" w:rsidP="008C2079">
      <w:pPr>
        <w:pStyle w:val="3-BodyText"/>
        <w:rPr>
          <w:rFonts w:eastAsiaTheme="majorEastAsia" w:cstheme="majorBidi"/>
          <w:b/>
          <w:i/>
          <w:snapToGrid/>
          <w:spacing w:val="5"/>
          <w:kern w:val="28"/>
          <w:sz w:val="28"/>
          <w:szCs w:val="36"/>
        </w:rPr>
      </w:pPr>
      <w:r w:rsidRPr="000B5598">
        <w:t>Th</w:t>
      </w:r>
      <w:r w:rsidR="00B77297" w:rsidRPr="000B5598">
        <w:t xml:space="preserve">e submission’s </w:t>
      </w:r>
      <w:r w:rsidRPr="000B5598">
        <w:t>financial estimates</w:t>
      </w:r>
      <w:r w:rsidR="00FF0984">
        <w:t xml:space="preserve"> assumed a dose intensity of 100%</w:t>
      </w:r>
      <w:r w:rsidR="00675E54">
        <w:t xml:space="preserve"> and assumed the maximum number of administrations (9) were received in the adjuvant setting</w:t>
      </w:r>
      <w:r w:rsidR="00FF0984">
        <w:t>.</w:t>
      </w:r>
      <w:r w:rsidRPr="000B5598">
        <w:t xml:space="preserve"> </w:t>
      </w:r>
      <w:r w:rsidR="006A7BE1" w:rsidRPr="00F756C7">
        <w:t xml:space="preserve">The PSCR revised the proportion of neoadjuvant patients receiving adjuvant </w:t>
      </w:r>
      <w:r w:rsidR="006A7BE1" w:rsidRPr="005767EF">
        <w:lastRenderedPageBreak/>
        <w:t>pembrolizumab from 100% to 75% and revised the time on treatment for these patients to 22.9 weeks to align with use in KN-</w:t>
      </w:r>
      <w:r w:rsidR="00590B2F" w:rsidRPr="005767EF">
        <w:t>522</w:t>
      </w:r>
      <w:r w:rsidR="00FF0984" w:rsidRPr="005767EF">
        <w:t xml:space="preserve"> and the economic model</w:t>
      </w:r>
      <w:r w:rsidR="00590B2F" w:rsidRPr="005767EF">
        <w:t>.</w:t>
      </w:r>
    </w:p>
    <w:p w14:paraId="58414B7A" w14:textId="2962C219" w:rsidR="00D7130C" w:rsidRPr="005767EF" w:rsidRDefault="00D7130C" w:rsidP="00D7130C">
      <w:pPr>
        <w:pStyle w:val="3-BodyText"/>
        <w:rPr>
          <w:rFonts w:eastAsiaTheme="majorEastAsia"/>
        </w:rPr>
      </w:pPr>
      <w:r w:rsidRPr="005767EF">
        <w:t xml:space="preserve">The modelled cost for chemotherapy was $2,901.84 </w:t>
      </w:r>
      <w:r w:rsidRPr="005767EF">
        <w:rPr>
          <w:rFonts w:eastAsiaTheme="majorEastAsia"/>
        </w:rPr>
        <w:t>in combination with pembrolizumab and $</w:t>
      </w:r>
      <w:r w:rsidRPr="005767EF">
        <w:rPr>
          <w:szCs w:val="20"/>
        </w:rPr>
        <w:t>2,965.30 without pembrolizumab. Chemotherapy costs were not included in the financial estimates.</w:t>
      </w:r>
    </w:p>
    <w:p w14:paraId="268768EF" w14:textId="3626F292" w:rsidR="00B60939" w:rsidRPr="006919A9" w:rsidRDefault="00B60939" w:rsidP="002B05A1">
      <w:pPr>
        <w:pStyle w:val="4-SubsectionHeading"/>
      </w:pPr>
      <w:bookmarkStart w:id="73" w:name="_Toc22897647"/>
      <w:bookmarkStart w:id="74" w:name="_Toc124710220"/>
      <w:bookmarkEnd w:id="72"/>
      <w:r w:rsidRPr="006919A9">
        <w:t>Estimated PBS usage &amp; financial implications</w:t>
      </w:r>
      <w:bookmarkEnd w:id="73"/>
      <w:bookmarkEnd w:id="74"/>
    </w:p>
    <w:p w14:paraId="002532EC" w14:textId="0EC44616" w:rsidR="00F73910" w:rsidRPr="006919A9" w:rsidRDefault="00F73910" w:rsidP="00F73910">
      <w:pPr>
        <w:pStyle w:val="3-BodyText"/>
      </w:pPr>
      <w:bookmarkStart w:id="75" w:name="_Toc22897648"/>
      <w:bookmarkStart w:id="76" w:name="_Toc124710221"/>
      <w:r w:rsidRPr="006919A9">
        <w:t xml:space="preserve">This submission </w:t>
      </w:r>
      <w:r w:rsidR="00FF0984">
        <w:t xml:space="preserve">was </w:t>
      </w:r>
      <w:r w:rsidRPr="006919A9">
        <w:t>considered by DUSC. The submission took an epidemiological approach to estimating use</w:t>
      </w:r>
      <w:r w:rsidRPr="00F73910">
        <w:t>. This was reasonable.</w:t>
      </w:r>
    </w:p>
    <w:p w14:paraId="2E1F3C56" w14:textId="401AA5DB" w:rsidR="00F73910" w:rsidRPr="006919A9" w:rsidRDefault="00F73910" w:rsidP="007206E2">
      <w:pPr>
        <w:pStyle w:val="3-BodyText"/>
        <w:widowControl w:val="0"/>
        <w:rPr>
          <w:rFonts w:ascii="Arial Narrow" w:eastAsiaTheme="majorEastAsia" w:hAnsi="Arial Narrow" w:cstheme="majorBidi"/>
          <w:b/>
          <w:bCs/>
          <w:snapToGrid/>
          <w:sz w:val="20"/>
        </w:rPr>
      </w:pPr>
      <w:r w:rsidRPr="006919A9">
        <w:fldChar w:fldCharType="begin" w:fldLock="1"/>
      </w:r>
      <w:r w:rsidRPr="006919A9">
        <w:instrText xml:space="preserve"> REF _Ref104805262 \h  \* MERGEFORMAT </w:instrText>
      </w:r>
      <w:r w:rsidRPr="006919A9">
        <w:fldChar w:fldCharType="separate"/>
      </w:r>
      <w:r w:rsidR="0067416F" w:rsidRPr="006919A9">
        <w:t xml:space="preserve">Table </w:t>
      </w:r>
      <w:r w:rsidR="0067416F">
        <w:t>17</w:t>
      </w:r>
      <w:r w:rsidRPr="006919A9">
        <w:fldChar w:fldCharType="end"/>
      </w:r>
      <w:r w:rsidRPr="006919A9">
        <w:t xml:space="preserve"> presents the key inputs relied on in the financial estimates. </w:t>
      </w:r>
    </w:p>
    <w:p w14:paraId="7F5A7659" w14:textId="217BBE1C" w:rsidR="00F73910" w:rsidRPr="006919A9" w:rsidRDefault="00F73910" w:rsidP="00AA43F3">
      <w:pPr>
        <w:pStyle w:val="TableFigureHeading"/>
        <w:keepLines/>
        <w:widowControl w:val="0"/>
        <w:rPr>
          <w:rStyle w:val="CommentReference"/>
          <w:b/>
          <w:szCs w:val="24"/>
        </w:rPr>
      </w:pPr>
      <w:bookmarkStart w:id="77" w:name="_Ref104805262"/>
      <w:r w:rsidRPr="006919A9">
        <w:t xml:space="preserve">Table </w:t>
      </w:r>
      <w:fldSimple w:instr=" SEQ Table \* ARABIC " w:fldLock="1">
        <w:r w:rsidR="0067416F">
          <w:rPr>
            <w:noProof/>
          </w:rPr>
          <w:t>17</w:t>
        </w:r>
      </w:fldSimple>
      <w:bookmarkEnd w:id="77"/>
      <w:r w:rsidRPr="006919A9">
        <w:t>:</w:t>
      </w:r>
      <w:r w:rsidRPr="006919A9">
        <w:rPr>
          <w:rStyle w:val="CommentReference"/>
          <w:b/>
          <w:szCs w:val="24"/>
        </w:rPr>
        <w:t xml:space="preserve"> Data sources and parameter values applied in the utilisation and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Pr>
      <w:tblGrid>
        <w:gridCol w:w="1686"/>
        <w:gridCol w:w="1309"/>
        <w:gridCol w:w="2047"/>
        <w:gridCol w:w="3975"/>
      </w:tblGrid>
      <w:tr w:rsidR="00F73910" w:rsidRPr="006919A9" w14:paraId="06E279B0" w14:textId="77777777" w:rsidTr="00AA43F3">
        <w:trPr>
          <w:cantSplit/>
          <w:tblHeader/>
        </w:trPr>
        <w:tc>
          <w:tcPr>
            <w:tcW w:w="935" w:type="pct"/>
            <w:vAlign w:val="center"/>
          </w:tcPr>
          <w:p w14:paraId="4C7B2B05" w14:textId="77777777" w:rsidR="00F73910" w:rsidRPr="006919A9" w:rsidRDefault="00F73910" w:rsidP="00AA43F3">
            <w:pPr>
              <w:pStyle w:val="In-tableHeading"/>
              <w:keepLines/>
              <w:widowControl w:val="0"/>
              <w:rPr>
                <w:lang w:val="en-AU"/>
              </w:rPr>
            </w:pPr>
            <w:r w:rsidRPr="006919A9">
              <w:rPr>
                <w:lang w:val="en-AU"/>
              </w:rPr>
              <w:t>Data</w:t>
            </w:r>
          </w:p>
        </w:tc>
        <w:tc>
          <w:tcPr>
            <w:tcW w:w="726" w:type="pct"/>
            <w:vAlign w:val="center"/>
          </w:tcPr>
          <w:p w14:paraId="2C2E2DDE" w14:textId="77777777" w:rsidR="00F73910" w:rsidRPr="006919A9" w:rsidRDefault="00F73910" w:rsidP="00AA43F3">
            <w:pPr>
              <w:pStyle w:val="In-tableHeading"/>
              <w:keepLines/>
              <w:widowControl w:val="0"/>
              <w:jc w:val="center"/>
              <w:rPr>
                <w:lang w:val="en-AU"/>
              </w:rPr>
            </w:pPr>
            <w:r w:rsidRPr="006919A9">
              <w:rPr>
                <w:lang w:val="en-AU"/>
              </w:rPr>
              <w:t>Value</w:t>
            </w:r>
          </w:p>
        </w:tc>
        <w:tc>
          <w:tcPr>
            <w:tcW w:w="1135" w:type="pct"/>
            <w:vAlign w:val="center"/>
          </w:tcPr>
          <w:p w14:paraId="02A26955" w14:textId="77777777" w:rsidR="00F73910" w:rsidRPr="006919A9" w:rsidRDefault="00F73910" w:rsidP="00AA43F3">
            <w:pPr>
              <w:pStyle w:val="In-tableHeading"/>
              <w:keepLines/>
              <w:widowControl w:val="0"/>
              <w:jc w:val="center"/>
              <w:rPr>
                <w:lang w:val="en-AU"/>
              </w:rPr>
            </w:pPr>
            <w:r w:rsidRPr="006919A9">
              <w:rPr>
                <w:lang w:val="en-AU"/>
              </w:rPr>
              <w:t>Source</w:t>
            </w:r>
          </w:p>
        </w:tc>
        <w:tc>
          <w:tcPr>
            <w:tcW w:w="2204" w:type="pct"/>
            <w:vAlign w:val="center"/>
          </w:tcPr>
          <w:p w14:paraId="2BAF8087" w14:textId="77777777" w:rsidR="00F73910" w:rsidRPr="006919A9" w:rsidRDefault="00F73910" w:rsidP="00AA43F3">
            <w:pPr>
              <w:pStyle w:val="In-tableHeading"/>
              <w:keepLines/>
              <w:widowControl w:val="0"/>
              <w:jc w:val="center"/>
              <w:rPr>
                <w:lang w:val="en-AU"/>
              </w:rPr>
            </w:pPr>
            <w:r w:rsidRPr="006919A9">
              <w:rPr>
                <w:lang w:val="en-AU"/>
              </w:rPr>
              <w:t>Comment</w:t>
            </w:r>
          </w:p>
        </w:tc>
      </w:tr>
      <w:tr w:rsidR="00F73910" w:rsidRPr="006919A9" w14:paraId="29DE9E4F" w14:textId="77777777" w:rsidTr="00AA43F3">
        <w:trPr>
          <w:cantSplit/>
        </w:trPr>
        <w:tc>
          <w:tcPr>
            <w:tcW w:w="5000" w:type="pct"/>
            <w:gridSpan w:val="4"/>
            <w:vAlign w:val="center"/>
          </w:tcPr>
          <w:p w14:paraId="396319B9" w14:textId="77777777" w:rsidR="00F73910" w:rsidRPr="006919A9" w:rsidRDefault="00F73910" w:rsidP="00AA43F3">
            <w:pPr>
              <w:pStyle w:val="In-tableHeading"/>
              <w:keepLines/>
              <w:widowControl w:val="0"/>
              <w:rPr>
                <w:lang w:val="en-AU"/>
              </w:rPr>
            </w:pPr>
            <w:r w:rsidRPr="006919A9">
              <w:rPr>
                <w:lang w:val="en-AU"/>
              </w:rPr>
              <w:t>Eligible population</w:t>
            </w:r>
          </w:p>
        </w:tc>
      </w:tr>
      <w:tr w:rsidR="00F73910" w:rsidRPr="006919A9" w14:paraId="1DECABDE" w14:textId="77777777" w:rsidTr="00AA43F3">
        <w:trPr>
          <w:cantSplit/>
        </w:trPr>
        <w:tc>
          <w:tcPr>
            <w:tcW w:w="935" w:type="pct"/>
            <w:vAlign w:val="center"/>
          </w:tcPr>
          <w:p w14:paraId="5C6BF6D8" w14:textId="77777777" w:rsidR="00F73910" w:rsidRPr="006919A9" w:rsidRDefault="00F73910" w:rsidP="00AA43F3">
            <w:pPr>
              <w:pStyle w:val="TableText0"/>
              <w:keepLines/>
              <w:widowControl w:val="0"/>
            </w:pPr>
            <w:r w:rsidRPr="006919A9">
              <w:t>Incidence of breast cancer, projected to 2028</w:t>
            </w:r>
          </w:p>
        </w:tc>
        <w:tc>
          <w:tcPr>
            <w:tcW w:w="726" w:type="pct"/>
            <w:vAlign w:val="center"/>
          </w:tcPr>
          <w:p w14:paraId="34E99483" w14:textId="77777777" w:rsidR="00F73910" w:rsidRPr="006919A9" w:rsidRDefault="00F73910" w:rsidP="00AA43F3">
            <w:pPr>
              <w:pStyle w:val="TableText0"/>
              <w:keepLines/>
              <w:widowControl w:val="0"/>
              <w:jc w:val="center"/>
            </w:pPr>
            <w:r w:rsidRPr="006919A9">
              <w:t>Yr 1: 21,118</w:t>
            </w:r>
          </w:p>
          <w:p w14:paraId="7FF32979" w14:textId="77777777" w:rsidR="00F73910" w:rsidRPr="006919A9" w:rsidRDefault="00F73910" w:rsidP="00AA43F3">
            <w:pPr>
              <w:pStyle w:val="TableText0"/>
              <w:keepLines/>
              <w:widowControl w:val="0"/>
              <w:jc w:val="center"/>
            </w:pPr>
            <w:r w:rsidRPr="006919A9">
              <w:t>Yr 2: 21,602</w:t>
            </w:r>
          </w:p>
          <w:p w14:paraId="2E8AF687" w14:textId="77777777" w:rsidR="00F73910" w:rsidRPr="006919A9" w:rsidRDefault="00F73910" w:rsidP="00AA43F3">
            <w:pPr>
              <w:pStyle w:val="TableText0"/>
              <w:keepLines/>
              <w:widowControl w:val="0"/>
              <w:jc w:val="center"/>
            </w:pPr>
            <w:r w:rsidRPr="006919A9">
              <w:t>Yr 3: 22,087</w:t>
            </w:r>
          </w:p>
          <w:p w14:paraId="24205E5B" w14:textId="77777777" w:rsidR="00F73910" w:rsidRPr="006919A9" w:rsidRDefault="00F73910" w:rsidP="00AA43F3">
            <w:pPr>
              <w:pStyle w:val="TableText0"/>
              <w:keepLines/>
              <w:widowControl w:val="0"/>
              <w:jc w:val="center"/>
            </w:pPr>
            <w:r w:rsidRPr="006919A9">
              <w:t>Yr 4: 22,571</w:t>
            </w:r>
          </w:p>
          <w:p w14:paraId="08D07D36" w14:textId="77777777" w:rsidR="00F73910" w:rsidRPr="006919A9" w:rsidRDefault="00F73910" w:rsidP="00AA43F3">
            <w:pPr>
              <w:pStyle w:val="TableText0"/>
              <w:keepLines/>
              <w:widowControl w:val="0"/>
              <w:jc w:val="center"/>
            </w:pPr>
            <w:r w:rsidRPr="006919A9">
              <w:t>Yr 5: 23,055</w:t>
            </w:r>
          </w:p>
          <w:p w14:paraId="41604447" w14:textId="77777777" w:rsidR="00F73910" w:rsidRPr="006919A9" w:rsidRDefault="00F73910" w:rsidP="00AA43F3">
            <w:pPr>
              <w:pStyle w:val="TableText0"/>
              <w:keepLines/>
              <w:widowControl w:val="0"/>
              <w:jc w:val="center"/>
            </w:pPr>
            <w:r w:rsidRPr="006919A9">
              <w:t>Yr 6: 23,540</w:t>
            </w:r>
          </w:p>
        </w:tc>
        <w:tc>
          <w:tcPr>
            <w:tcW w:w="1135" w:type="pct"/>
            <w:vAlign w:val="center"/>
          </w:tcPr>
          <w:p w14:paraId="25283275" w14:textId="77777777" w:rsidR="00F73910" w:rsidRPr="006919A9" w:rsidRDefault="00F73910" w:rsidP="00AA43F3">
            <w:pPr>
              <w:pStyle w:val="TableText0"/>
              <w:keepLines/>
              <w:widowControl w:val="0"/>
              <w:jc w:val="center"/>
            </w:pPr>
            <w:r w:rsidRPr="006919A9">
              <w:t>AIHW 2022</w:t>
            </w:r>
          </w:p>
        </w:tc>
        <w:tc>
          <w:tcPr>
            <w:tcW w:w="2204" w:type="pct"/>
            <w:vAlign w:val="center"/>
          </w:tcPr>
          <w:p w14:paraId="1224841B" w14:textId="77777777" w:rsidR="00F73910" w:rsidRPr="00F73910" w:rsidRDefault="00F73910" w:rsidP="00AA43F3">
            <w:pPr>
              <w:pStyle w:val="TableText0"/>
              <w:keepLines/>
              <w:widowControl w:val="0"/>
            </w:pPr>
            <w:r w:rsidRPr="00F73910">
              <w:t>This was reasonable.</w:t>
            </w:r>
          </w:p>
        </w:tc>
      </w:tr>
      <w:tr w:rsidR="00F73910" w:rsidRPr="006919A9" w14:paraId="4A39ABD9" w14:textId="77777777" w:rsidTr="00AA43F3">
        <w:trPr>
          <w:cantSplit/>
        </w:trPr>
        <w:tc>
          <w:tcPr>
            <w:tcW w:w="935" w:type="pct"/>
            <w:vAlign w:val="center"/>
          </w:tcPr>
          <w:p w14:paraId="1B8A35FF" w14:textId="77777777" w:rsidR="00F73910" w:rsidRPr="006919A9" w:rsidRDefault="00F73910" w:rsidP="00AA43F3">
            <w:pPr>
              <w:pStyle w:val="TableText0"/>
              <w:keepLines/>
              <w:widowControl w:val="0"/>
            </w:pPr>
            <w:r w:rsidRPr="006919A9">
              <w:t>% TNBC</w:t>
            </w:r>
          </w:p>
        </w:tc>
        <w:tc>
          <w:tcPr>
            <w:tcW w:w="726" w:type="pct"/>
            <w:vAlign w:val="center"/>
          </w:tcPr>
          <w:p w14:paraId="20464304" w14:textId="77777777" w:rsidR="00F73910" w:rsidRPr="006919A9" w:rsidRDefault="00F73910" w:rsidP="00AA43F3">
            <w:pPr>
              <w:pStyle w:val="TableText0"/>
              <w:keepLines/>
              <w:widowControl w:val="0"/>
              <w:jc w:val="center"/>
            </w:pPr>
            <w:r w:rsidRPr="006919A9">
              <w:t>15%</w:t>
            </w:r>
          </w:p>
        </w:tc>
        <w:tc>
          <w:tcPr>
            <w:tcW w:w="1135" w:type="pct"/>
            <w:vAlign w:val="center"/>
          </w:tcPr>
          <w:p w14:paraId="4285BFF4" w14:textId="77777777" w:rsidR="00F73910" w:rsidRPr="006919A9" w:rsidRDefault="00F73910" w:rsidP="00AA43F3">
            <w:pPr>
              <w:pStyle w:val="TableText0"/>
              <w:keepLines/>
              <w:widowControl w:val="0"/>
              <w:jc w:val="center"/>
            </w:pPr>
            <w:r w:rsidRPr="006919A9">
              <w:t>TNBC accounts for approximately 10-20% of all breast cancers (Cancer Council Australia).</w:t>
            </w:r>
          </w:p>
        </w:tc>
        <w:tc>
          <w:tcPr>
            <w:tcW w:w="2204" w:type="pct"/>
            <w:vAlign w:val="center"/>
          </w:tcPr>
          <w:p w14:paraId="2021C2C4" w14:textId="77777777" w:rsidR="00F73910" w:rsidRPr="006919A9" w:rsidRDefault="00F73910" w:rsidP="00AA43F3">
            <w:pPr>
              <w:pStyle w:val="TableText0"/>
              <w:keepLines/>
              <w:widowControl w:val="0"/>
              <w:rPr>
                <w:i/>
                <w:iCs/>
              </w:rPr>
            </w:pPr>
            <w:r w:rsidRPr="006919A9">
              <w:t>The submission noted that midpoint estimate of 15% of all breast cancers was selected for the atezolizumab metastatic TNBC PBAC submission in March 2021, which was considered by DUSC to be reasonable</w:t>
            </w:r>
            <w:r>
              <w:t>.</w:t>
            </w:r>
          </w:p>
        </w:tc>
      </w:tr>
      <w:tr w:rsidR="00F73910" w:rsidRPr="006919A9" w14:paraId="4A63B32B" w14:textId="77777777" w:rsidTr="00AA43F3">
        <w:trPr>
          <w:cantSplit/>
        </w:trPr>
        <w:tc>
          <w:tcPr>
            <w:tcW w:w="935" w:type="pct"/>
            <w:vAlign w:val="center"/>
          </w:tcPr>
          <w:p w14:paraId="21828B16" w14:textId="77777777" w:rsidR="00F73910" w:rsidRPr="006919A9" w:rsidRDefault="00F73910" w:rsidP="00AA43F3">
            <w:pPr>
              <w:pStyle w:val="TableText0"/>
              <w:keepLines/>
              <w:widowControl w:val="0"/>
            </w:pPr>
            <w:r w:rsidRPr="006919A9">
              <w:t>% Patients with Stage II or III TNBC at diagnosis</w:t>
            </w:r>
          </w:p>
        </w:tc>
        <w:tc>
          <w:tcPr>
            <w:tcW w:w="726" w:type="pct"/>
            <w:vAlign w:val="center"/>
          </w:tcPr>
          <w:p w14:paraId="281E8A02" w14:textId="77777777" w:rsidR="00F73910" w:rsidRPr="006919A9" w:rsidRDefault="00F73910" w:rsidP="00AA43F3">
            <w:pPr>
              <w:pStyle w:val="TableText0"/>
              <w:keepLines/>
              <w:widowControl w:val="0"/>
              <w:jc w:val="center"/>
            </w:pPr>
            <w:r w:rsidRPr="006919A9">
              <w:t>46.8%</w:t>
            </w:r>
          </w:p>
        </w:tc>
        <w:tc>
          <w:tcPr>
            <w:tcW w:w="1135" w:type="pct"/>
            <w:vAlign w:val="center"/>
          </w:tcPr>
          <w:p w14:paraId="36A13F5A" w14:textId="77777777" w:rsidR="00F73910" w:rsidRPr="006919A9" w:rsidRDefault="00F73910" w:rsidP="00AA43F3">
            <w:pPr>
              <w:pStyle w:val="TableText0"/>
              <w:keepLines/>
              <w:widowControl w:val="0"/>
              <w:jc w:val="center"/>
            </w:pPr>
            <w:r w:rsidRPr="006919A9">
              <w:t>AIHW data for all breast cancer</w:t>
            </w:r>
          </w:p>
        </w:tc>
        <w:tc>
          <w:tcPr>
            <w:tcW w:w="2204" w:type="pct"/>
            <w:vAlign w:val="center"/>
          </w:tcPr>
          <w:p w14:paraId="63082441" w14:textId="4B7B479C" w:rsidR="00F73910" w:rsidRPr="006919A9" w:rsidRDefault="00F73910" w:rsidP="00AA43F3">
            <w:pPr>
              <w:pStyle w:val="TableText0"/>
              <w:keepLines/>
              <w:widowControl w:val="0"/>
            </w:pPr>
            <w:r w:rsidRPr="006919A9">
              <w:t>The submission assumed that the relative proportions of Stage II or III TNBC will be similar to the total incident breast cancer population.</w:t>
            </w:r>
            <w:r w:rsidR="006C4F1A" w:rsidRPr="006C4F1A">
              <w:t xml:space="preserve"> </w:t>
            </w:r>
            <w:r w:rsidR="006C4F1A" w:rsidRPr="006C4F1A">
              <w:rPr>
                <w:szCs w:val="20"/>
              </w:rPr>
              <w:t>DUSC considered this may be underestimated with higher rates of Stage III TNBC at diagnosis reported worldwide however noted that there is likely no better source of data for the Australian population.</w:t>
            </w:r>
          </w:p>
        </w:tc>
      </w:tr>
      <w:tr w:rsidR="00F73910" w:rsidRPr="006919A9" w14:paraId="0B87CAC3" w14:textId="77777777" w:rsidTr="00AA43F3">
        <w:trPr>
          <w:cantSplit/>
        </w:trPr>
        <w:tc>
          <w:tcPr>
            <w:tcW w:w="935" w:type="pct"/>
            <w:vAlign w:val="center"/>
          </w:tcPr>
          <w:p w14:paraId="6DDD657D" w14:textId="77777777" w:rsidR="00F73910" w:rsidRPr="006919A9" w:rsidRDefault="00F73910" w:rsidP="007206E2">
            <w:pPr>
              <w:pStyle w:val="TableText0"/>
              <w:keepNext w:val="0"/>
              <w:widowControl w:val="0"/>
            </w:pPr>
            <w:r w:rsidRPr="006919A9">
              <w:t>% ECOG 0 or 1</w:t>
            </w:r>
          </w:p>
        </w:tc>
        <w:tc>
          <w:tcPr>
            <w:tcW w:w="726" w:type="pct"/>
            <w:vAlign w:val="center"/>
          </w:tcPr>
          <w:p w14:paraId="618B69B0" w14:textId="77777777" w:rsidR="00F73910" w:rsidRPr="006919A9" w:rsidRDefault="00F73910" w:rsidP="007206E2">
            <w:pPr>
              <w:pStyle w:val="TableText0"/>
              <w:keepNext w:val="0"/>
              <w:widowControl w:val="0"/>
              <w:jc w:val="center"/>
            </w:pPr>
            <w:r w:rsidRPr="006919A9">
              <w:t>78%</w:t>
            </w:r>
          </w:p>
        </w:tc>
        <w:tc>
          <w:tcPr>
            <w:tcW w:w="1135" w:type="pct"/>
            <w:vAlign w:val="center"/>
          </w:tcPr>
          <w:p w14:paraId="3C6279C0" w14:textId="77777777" w:rsidR="00F73910" w:rsidRPr="006919A9" w:rsidRDefault="00F73910" w:rsidP="007206E2">
            <w:pPr>
              <w:pStyle w:val="TableText0"/>
              <w:keepNext w:val="0"/>
              <w:widowControl w:val="0"/>
              <w:jc w:val="center"/>
            </w:pPr>
            <w:r w:rsidRPr="006919A9">
              <w:t>Atezolizumab PSD Mar 2021 in</w:t>
            </w:r>
          </w:p>
        </w:tc>
        <w:tc>
          <w:tcPr>
            <w:tcW w:w="2204" w:type="pct"/>
            <w:vAlign w:val="center"/>
          </w:tcPr>
          <w:p w14:paraId="28E59B69" w14:textId="6F98771C" w:rsidR="00F73910" w:rsidRPr="00F73910" w:rsidRDefault="00F73910" w:rsidP="007206E2">
            <w:pPr>
              <w:pStyle w:val="TableText0"/>
              <w:keepNext w:val="0"/>
              <w:widowControl w:val="0"/>
            </w:pPr>
            <w:r w:rsidRPr="00F73910">
              <w:t xml:space="preserve">DUSC </w:t>
            </w:r>
            <w:r w:rsidR="006C4F1A">
              <w:t>considered</w:t>
            </w:r>
            <w:r w:rsidRPr="00F73910">
              <w:t xml:space="preserve"> this may be an underestimate for the early TNBC population</w:t>
            </w:r>
            <w:r w:rsidR="006C4F1A">
              <w:t xml:space="preserve"> and 95% (as per the PSCR) was reasonable.</w:t>
            </w:r>
          </w:p>
        </w:tc>
      </w:tr>
      <w:tr w:rsidR="00F73910" w:rsidRPr="006919A9" w14:paraId="6812F2F0" w14:textId="77777777" w:rsidTr="00AA43F3">
        <w:tblPrEx>
          <w:tblCellMar>
            <w:left w:w="108" w:type="dxa"/>
            <w:right w:w="108" w:type="dxa"/>
          </w:tblCellMar>
        </w:tblPrEx>
        <w:trPr>
          <w:cantSplit/>
        </w:trPr>
        <w:tc>
          <w:tcPr>
            <w:tcW w:w="935" w:type="pct"/>
            <w:vAlign w:val="center"/>
          </w:tcPr>
          <w:p w14:paraId="737A567B" w14:textId="77777777" w:rsidR="00F73910" w:rsidRPr="006919A9" w:rsidRDefault="00F73910" w:rsidP="007206E2">
            <w:pPr>
              <w:pStyle w:val="TableText0"/>
              <w:keepNext w:val="0"/>
              <w:widowControl w:val="0"/>
            </w:pPr>
            <w:r w:rsidRPr="006919A9">
              <w:t>Prevalent patients</w:t>
            </w:r>
          </w:p>
        </w:tc>
        <w:tc>
          <w:tcPr>
            <w:tcW w:w="726" w:type="pct"/>
            <w:vAlign w:val="center"/>
          </w:tcPr>
          <w:p w14:paraId="37549D01" w14:textId="77777777" w:rsidR="00F73910" w:rsidRPr="006919A9" w:rsidRDefault="00F73910" w:rsidP="007206E2">
            <w:pPr>
              <w:pStyle w:val="TableText0"/>
              <w:keepNext w:val="0"/>
              <w:widowControl w:val="0"/>
            </w:pPr>
            <w:r w:rsidRPr="006919A9">
              <w:t>A 1-year survival rate of 98%</w:t>
            </w:r>
          </w:p>
        </w:tc>
        <w:tc>
          <w:tcPr>
            <w:tcW w:w="1135" w:type="pct"/>
            <w:vAlign w:val="center"/>
          </w:tcPr>
          <w:p w14:paraId="4417EDA1" w14:textId="77777777" w:rsidR="00F73910" w:rsidRPr="006919A9" w:rsidRDefault="00F73910" w:rsidP="007206E2">
            <w:pPr>
              <w:pStyle w:val="TableText0"/>
              <w:keepNext w:val="0"/>
              <w:widowControl w:val="0"/>
            </w:pPr>
            <w:r w:rsidRPr="006919A9">
              <w:t xml:space="preserve">Calculated based on Stage II-III patients who were diagnosed in the previous year but were still alive and had not progressed to inoperable disease. One year survival based on AIHW. A linear extrapolation was then applied but only for the first year of listing. </w:t>
            </w:r>
          </w:p>
        </w:tc>
        <w:tc>
          <w:tcPr>
            <w:tcW w:w="2204" w:type="pct"/>
            <w:vAlign w:val="center"/>
          </w:tcPr>
          <w:p w14:paraId="65041127" w14:textId="10962372" w:rsidR="00F73910" w:rsidRPr="00F73910" w:rsidRDefault="006C4F1A" w:rsidP="007206E2">
            <w:pPr>
              <w:pStyle w:val="TableText0"/>
              <w:keepNext w:val="0"/>
              <w:widowControl w:val="0"/>
            </w:pPr>
            <w:r w:rsidRPr="007206E2">
              <w:rPr>
                <w:szCs w:val="20"/>
              </w:rPr>
              <w:t>DUSC noted that the KN</w:t>
            </w:r>
            <w:r w:rsidR="009D2917">
              <w:rPr>
                <w:szCs w:val="20"/>
              </w:rPr>
              <w:t>-</w:t>
            </w:r>
            <w:r w:rsidRPr="007206E2">
              <w:rPr>
                <w:szCs w:val="20"/>
              </w:rPr>
              <w:t>522 study had rates of 96.7% in the pembrolizumab arm and 97.4% in the control arm. DUSC considered the 98% extrapolated using AIHW data was therefore reasonable</w:t>
            </w:r>
            <w:r w:rsidR="007206E2">
              <w:t xml:space="preserve">. </w:t>
            </w:r>
            <w:r w:rsidR="00F73910" w:rsidRPr="00F73910">
              <w:t>Prevalent patients (who were not grandfathered) were include</w:t>
            </w:r>
            <w:r w:rsidR="007206E2">
              <w:t>d</w:t>
            </w:r>
            <w:r w:rsidR="00F73910" w:rsidRPr="00F73910">
              <w:t xml:space="preserve"> as patients in year one</w:t>
            </w:r>
            <w:r w:rsidR="007206E2">
              <w:t>.</w:t>
            </w:r>
          </w:p>
        </w:tc>
      </w:tr>
      <w:tr w:rsidR="00F73910" w:rsidRPr="006919A9" w14:paraId="7CF2265B" w14:textId="77777777" w:rsidTr="00AA43F3">
        <w:trPr>
          <w:cantSplit/>
        </w:trPr>
        <w:tc>
          <w:tcPr>
            <w:tcW w:w="5000" w:type="pct"/>
            <w:gridSpan w:val="4"/>
            <w:vAlign w:val="center"/>
          </w:tcPr>
          <w:p w14:paraId="39FEBF00" w14:textId="77777777" w:rsidR="00F73910" w:rsidRPr="006919A9" w:rsidRDefault="00F73910" w:rsidP="007206E2">
            <w:pPr>
              <w:pStyle w:val="TableText0"/>
              <w:keepNext w:val="0"/>
              <w:widowControl w:val="0"/>
              <w:rPr>
                <w:b/>
              </w:rPr>
            </w:pPr>
            <w:r w:rsidRPr="006919A9">
              <w:rPr>
                <w:b/>
              </w:rPr>
              <w:t>Treatment utilisation</w:t>
            </w:r>
          </w:p>
        </w:tc>
      </w:tr>
      <w:tr w:rsidR="00F73910" w:rsidRPr="006919A9" w14:paraId="74D979D8" w14:textId="77777777" w:rsidTr="00AA43F3">
        <w:trPr>
          <w:cantSplit/>
        </w:trPr>
        <w:tc>
          <w:tcPr>
            <w:tcW w:w="935" w:type="pct"/>
            <w:vAlign w:val="center"/>
          </w:tcPr>
          <w:p w14:paraId="70B67C93" w14:textId="77777777" w:rsidR="00F73910" w:rsidRPr="006919A9" w:rsidRDefault="00F73910" w:rsidP="007206E2">
            <w:pPr>
              <w:pStyle w:val="TableText0"/>
              <w:keepNext w:val="0"/>
              <w:widowControl w:val="0"/>
            </w:pPr>
            <w:r>
              <w:lastRenderedPageBreak/>
              <w:t>Uptake</w:t>
            </w:r>
          </w:p>
        </w:tc>
        <w:tc>
          <w:tcPr>
            <w:tcW w:w="726" w:type="pct"/>
            <w:vAlign w:val="center"/>
          </w:tcPr>
          <w:p w14:paraId="23D5F5A3" w14:textId="77777777" w:rsidR="00F73910" w:rsidRPr="006919A9" w:rsidRDefault="00F73910" w:rsidP="007206E2">
            <w:pPr>
              <w:pStyle w:val="TableText0"/>
              <w:keepNext w:val="0"/>
              <w:widowControl w:val="0"/>
              <w:jc w:val="center"/>
            </w:pPr>
            <w:r w:rsidRPr="006919A9">
              <w:t>85% (incident and prevalent)</w:t>
            </w:r>
          </w:p>
          <w:p w14:paraId="623D26C9" w14:textId="77777777" w:rsidR="00F73910" w:rsidRPr="006919A9" w:rsidRDefault="00F73910" w:rsidP="007206E2">
            <w:pPr>
              <w:pStyle w:val="TableText0"/>
              <w:keepNext w:val="0"/>
              <w:widowControl w:val="0"/>
              <w:jc w:val="center"/>
            </w:pPr>
            <w:r w:rsidRPr="006919A9">
              <w:t>100% (grandfathered)</w:t>
            </w:r>
          </w:p>
        </w:tc>
        <w:tc>
          <w:tcPr>
            <w:tcW w:w="1135" w:type="pct"/>
            <w:vAlign w:val="center"/>
          </w:tcPr>
          <w:p w14:paraId="5F05CC2D" w14:textId="77777777" w:rsidR="00F73910" w:rsidRPr="006919A9" w:rsidRDefault="00F73910" w:rsidP="007206E2">
            <w:pPr>
              <w:pStyle w:val="TableText0"/>
              <w:keepNext w:val="0"/>
              <w:widowControl w:val="0"/>
              <w:jc w:val="center"/>
            </w:pPr>
            <w:r w:rsidRPr="006919A9">
              <w:t>Assumption</w:t>
            </w:r>
          </w:p>
        </w:tc>
        <w:tc>
          <w:tcPr>
            <w:tcW w:w="2204" w:type="pct"/>
            <w:vAlign w:val="center"/>
          </w:tcPr>
          <w:p w14:paraId="7C76CE69" w14:textId="6E3EE6CB" w:rsidR="00F73910" w:rsidRPr="007206E2" w:rsidRDefault="007206E2" w:rsidP="007206E2">
            <w:pPr>
              <w:pStyle w:val="TableText0"/>
              <w:keepNext w:val="0"/>
              <w:widowControl w:val="0"/>
            </w:pPr>
            <w:r w:rsidRPr="007206E2">
              <w:rPr>
                <w:szCs w:val="20"/>
              </w:rPr>
              <w:t>DUSC considered the assumption of 85% uptake may be overestimated given immature OS data and side effect profile. Clinicians may be more reluctant to continue pembrolizumab in the continuation/adjuvant phase if there is residual cancer burden especially considering the ample evidence for capecitabine following surgery for this indication.</w:t>
            </w:r>
          </w:p>
        </w:tc>
      </w:tr>
      <w:tr w:rsidR="00F73910" w:rsidRPr="006919A9" w14:paraId="1F5707CD" w14:textId="77777777" w:rsidTr="00AA43F3">
        <w:trPr>
          <w:cantSplit/>
        </w:trPr>
        <w:tc>
          <w:tcPr>
            <w:tcW w:w="935" w:type="pct"/>
            <w:vAlign w:val="center"/>
          </w:tcPr>
          <w:p w14:paraId="56243C4B" w14:textId="77777777" w:rsidR="00F73910" w:rsidRPr="006919A9" w:rsidRDefault="00F73910" w:rsidP="007206E2">
            <w:pPr>
              <w:pStyle w:val="TableText0"/>
              <w:keepNext w:val="0"/>
              <w:widowControl w:val="0"/>
            </w:pPr>
            <w:r w:rsidRPr="006919A9">
              <w:t>Administrations per patient</w:t>
            </w:r>
          </w:p>
        </w:tc>
        <w:tc>
          <w:tcPr>
            <w:tcW w:w="726" w:type="pct"/>
            <w:vAlign w:val="center"/>
          </w:tcPr>
          <w:p w14:paraId="4729E795" w14:textId="77777777" w:rsidR="00F73910" w:rsidRPr="005767EF" w:rsidRDefault="00F73910" w:rsidP="007206E2">
            <w:pPr>
              <w:pStyle w:val="TableText0"/>
              <w:keepNext w:val="0"/>
              <w:widowControl w:val="0"/>
              <w:jc w:val="center"/>
            </w:pPr>
            <w:r w:rsidRPr="005767EF">
              <w:t>16.47 cycles in prevalent and incident patients, half the treatment duration in grandfathered patients</w:t>
            </w:r>
          </w:p>
        </w:tc>
        <w:tc>
          <w:tcPr>
            <w:tcW w:w="1135" w:type="pct"/>
            <w:vAlign w:val="center"/>
          </w:tcPr>
          <w:p w14:paraId="2DA60CE8" w14:textId="77777777" w:rsidR="00F73910" w:rsidRPr="005767EF" w:rsidRDefault="00F73910" w:rsidP="007206E2">
            <w:pPr>
              <w:pStyle w:val="TableText0"/>
              <w:keepNext w:val="0"/>
              <w:widowControl w:val="0"/>
              <w:jc w:val="center"/>
            </w:pPr>
            <w:r w:rsidRPr="005767EF">
              <w:t xml:space="preserve">Based on mean ToT in neo adjuvant phase and maximum dose (9 admins) in adjuvant phase </w:t>
            </w:r>
          </w:p>
        </w:tc>
        <w:tc>
          <w:tcPr>
            <w:tcW w:w="2204" w:type="pct"/>
            <w:vAlign w:val="center"/>
          </w:tcPr>
          <w:p w14:paraId="6C6CA732" w14:textId="5234EB90" w:rsidR="00F73910" w:rsidRPr="005767EF" w:rsidRDefault="007206E2" w:rsidP="007206E2">
            <w:pPr>
              <w:pStyle w:val="TableText0"/>
              <w:keepNext w:val="0"/>
              <w:widowControl w:val="0"/>
            </w:pPr>
            <w:r w:rsidRPr="005767EF">
              <w:rPr>
                <w:szCs w:val="20"/>
              </w:rPr>
              <w:t>The PSCR updated the number of cycles to be 15.07 cycles based on extrapolation of the KN</w:t>
            </w:r>
            <w:r w:rsidR="009D2917" w:rsidRPr="005767EF">
              <w:rPr>
                <w:szCs w:val="20"/>
              </w:rPr>
              <w:t>-</w:t>
            </w:r>
            <w:r w:rsidRPr="005767EF">
              <w:rPr>
                <w:szCs w:val="20"/>
              </w:rPr>
              <w:t>522 study. DUSC considered this to be reasonable.</w:t>
            </w:r>
          </w:p>
        </w:tc>
      </w:tr>
      <w:tr w:rsidR="007206E2" w:rsidRPr="006919A9" w14:paraId="02039A5D" w14:textId="77777777" w:rsidTr="00AA43F3">
        <w:trPr>
          <w:cantSplit/>
        </w:trPr>
        <w:tc>
          <w:tcPr>
            <w:tcW w:w="935" w:type="pct"/>
            <w:vAlign w:val="center"/>
          </w:tcPr>
          <w:p w14:paraId="244C8604" w14:textId="529139B0" w:rsidR="007206E2" w:rsidRPr="006919A9" w:rsidRDefault="007206E2" w:rsidP="007206E2">
            <w:pPr>
              <w:pStyle w:val="TableText0"/>
              <w:keepNext w:val="0"/>
              <w:widowControl w:val="0"/>
            </w:pPr>
            <w:r w:rsidRPr="00116510">
              <w:rPr>
                <w:szCs w:val="20"/>
              </w:rPr>
              <w:t>% patients who received pembrolizumab in adjuvant setting</w:t>
            </w:r>
          </w:p>
        </w:tc>
        <w:tc>
          <w:tcPr>
            <w:tcW w:w="726" w:type="pct"/>
            <w:vAlign w:val="center"/>
          </w:tcPr>
          <w:p w14:paraId="26BDFDEE" w14:textId="285EE81C" w:rsidR="007206E2" w:rsidRPr="006919A9" w:rsidRDefault="007206E2" w:rsidP="007206E2">
            <w:pPr>
              <w:pStyle w:val="TableText0"/>
              <w:keepNext w:val="0"/>
              <w:widowControl w:val="0"/>
              <w:jc w:val="center"/>
            </w:pPr>
            <w:r w:rsidRPr="00116510">
              <w:rPr>
                <w:szCs w:val="20"/>
              </w:rPr>
              <w:t>100%</w:t>
            </w:r>
          </w:p>
        </w:tc>
        <w:tc>
          <w:tcPr>
            <w:tcW w:w="1135" w:type="pct"/>
            <w:vAlign w:val="center"/>
          </w:tcPr>
          <w:p w14:paraId="61C348F5" w14:textId="51A521DA" w:rsidR="007206E2" w:rsidRPr="006919A9" w:rsidRDefault="007206E2" w:rsidP="007206E2">
            <w:pPr>
              <w:pStyle w:val="TableText0"/>
              <w:keepNext w:val="0"/>
              <w:widowControl w:val="0"/>
              <w:jc w:val="center"/>
            </w:pPr>
            <w:r w:rsidRPr="00116510">
              <w:rPr>
                <w:szCs w:val="20"/>
              </w:rPr>
              <w:t>Assumption</w:t>
            </w:r>
          </w:p>
        </w:tc>
        <w:tc>
          <w:tcPr>
            <w:tcW w:w="2204" w:type="pct"/>
            <w:vAlign w:val="center"/>
          </w:tcPr>
          <w:p w14:paraId="78C50F91" w14:textId="18AD605C" w:rsidR="007206E2" w:rsidRPr="007206E2" w:rsidRDefault="007206E2" w:rsidP="007206E2">
            <w:pPr>
              <w:widowControl w:val="0"/>
              <w:jc w:val="left"/>
              <w:rPr>
                <w:rFonts w:ascii="Arial Narrow" w:eastAsiaTheme="majorEastAsia" w:hAnsi="Arial Narrow" w:cstheme="majorBidi"/>
                <w:bCs/>
                <w:sz w:val="20"/>
                <w:szCs w:val="20"/>
              </w:rPr>
            </w:pPr>
            <w:r w:rsidRPr="00116510">
              <w:rPr>
                <w:rFonts w:ascii="Arial Narrow" w:eastAsiaTheme="majorEastAsia" w:hAnsi="Arial Narrow" w:cstheme="majorBidi"/>
                <w:bCs/>
                <w:sz w:val="20"/>
                <w:szCs w:val="20"/>
              </w:rPr>
              <w:t>This was inconsistent with the trial and the economic evaluation which estimated adjuvant treatment based on KN-522 KM data</w:t>
            </w:r>
            <w:r>
              <w:rPr>
                <w:rFonts w:ascii="Arial Narrow" w:eastAsiaTheme="majorEastAsia" w:hAnsi="Arial Narrow" w:cstheme="majorBidi"/>
                <w:bCs/>
                <w:sz w:val="20"/>
                <w:szCs w:val="20"/>
              </w:rPr>
              <w:t>.</w:t>
            </w:r>
            <w:r w:rsidRPr="00116510">
              <w:rPr>
                <w:rFonts w:ascii="Arial Narrow" w:eastAsiaTheme="majorEastAsia" w:hAnsi="Arial Narrow" w:cstheme="majorBidi"/>
                <w:bCs/>
                <w:sz w:val="20"/>
                <w:szCs w:val="20"/>
              </w:rPr>
              <w:t xml:space="preserve"> </w:t>
            </w:r>
            <w:r>
              <w:rPr>
                <w:rFonts w:ascii="Arial Narrow" w:eastAsiaTheme="majorEastAsia" w:hAnsi="Arial Narrow" w:cstheme="majorBidi"/>
                <w:bCs/>
                <w:sz w:val="20"/>
                <w:szCs w:val="20"/>
              </w:rPr>
              <w:t>T</w:t>
            </w:r>
            <w:r w:rsidRPr="007206E2">
              <w:rPr>
                <w:rFonts w:ascii="Arial Narrow" w:eastAsiaTheme="majorEastAsia" w:hAnsi="Arial Narrow" w:cstheme="majorBidi"/>
                <w:bCs/>
                <w:sz w:val="20"/>
                <w:szCs w:val="20"/>
              </w:rPr>
              <w:t>he PSCR updated this assumption to 75% which is in line with the KN</w:t>
            </w:r>
            <w:r w:rsidR="009D2917">
              <w:rPr>
                <w:rFonts w:ascii="Arial Narrow" w:eastAsiaTheme="majorEastAsia" w:hAnsi="Arial Narrow" w:cstheme="majorBidi"/>
                <w:bCs/>
                <w:sz w:val="20"/>
                <w:szCs w:val="20"/>
              </w:rPr>
              <w:t>-</w:t>
            </w:r>
            <w:r w:rsidRPr="007206E2">
              <w:rPr>
                <w:rFonts w:ascii="Arial Narrow" w:eastAsiaTheme="majorEastAsia" w:hAnsi="Arial Narrow" w:cstheme="majorBidi"/>
                <w:bCs/>
                <w:sz w:val="20"/>
                <w:szCs w:val="20"/>
              </w:rPr>
              <w:t xml:space="preserve">522 study where 69.8% of patients received adjuvant treatment in the experimental arm and 80.5% in the control arm. </w:t>
            </w:r>
          </w:p>
          <w:p w14:paraId="1BD2D35F" w14:textId="2A61E5DA" w:rsidR="007206E2" w:rsidRPr="007206E2" w:rsidRDefault="007206E2" w:rsidP="007206E2">
            <w:pPr>
              <w:pStyle w:val="TableText0"/>
              <w:keepNext w:val="0"/>
              <w:widowControl w:val="0"/>
              <w:rPr>
                <w:szCs w:val="20"/>
              </w:rPr>
            </w:pPr>
            <w:r w:rsidRPr="007206E2">
              <w:rPr>
                <w:szCs w:val="20"/>
              </w:rPr>
              <w:t xml:space="preserve">DUSC considered that it is possible that 75% may also be overestimated with some clinicians switching to capecitabine which has mature data in the adjuvant setting relative to pembrolizumab. </w:t>
            </w:r>
          </w:p>
        </w:tc>
      </w:tr>
      <w:tr w:rsidR="00F73910" w:rsidRPr="006919A9" w14:paraId="02B9FE89" w14:textId="77777777" w:rsidTr="00AA43F3">
        <w:trPr>
          <w:cantSplit/>
        </w:trPr>
        <w:tc>
          <w:tcPr>
            <w:tcW w:w="5000" w:type="pct"/>
            <w:gridSpan w:val="4"/>
            <w:vAlign w:val="center"/>
          </w:tcPr>
          <w:p w14:paraId="68D306D5" w14:textId="77777777" w:rsidR="00F73910" w:rsidRPr="006919A9" w:rsidRDefault="00F73910" w:rsidP="007206E2">
            <w:pPr>
              <w:pStyle w:val="TableText0"/>
              <w:keepNext w:val="0"/>
              <w:widowControl w:val="0"/>
              <w:rPr>
                <w:b/>
              </w:rPr>
            </w:pPr>
            <w:r w:rsidRPr="006919A9">
              <w:rPr>
                <w:b/>
              </w:rPr>
              <w:t>Costs</w:t>
            </w:r>
          </w:p>
        </w:tc>
      </w:tr>
      <w:tr w:rsidR="00F73910" w:rsidRPr="006919A9" w14:paraId="6CF1B327" w14:textId="77777777" w:rsidTr="00AA43F3">
        <w:trPr>
          <w:cantSplit/>
        </w:trPr>
        <w:tc>
          <w:tcPr>
            <w:tcW w:w="935" w:type="pct"/>
            <w:vAlign w:val="center"/>
          </w:tcPr>
          <w:p w14:paraId="3466897D" w14:textId="77777777" w:rsidR="00F73910" w:rsidRPr="006919A9" w:rsidRDefault="00F73910" w:rsidP="007206E2">
            <w:pPr>
              <w:pStyle w:val="TableText0"/>
              <w:keepNext w:val="0"/>
              <w:widowControl w:val="0"/>
            </w:pPr>
            <w:r w:rsidRPr="006919A9">
              <w:t>Administration costs</w:t>
            </w:r>
          </w:p>
        </w:tc>
        <w:tc>
          <w:tcPr>
            <w:tcW w:w="726" w:type="pct"/>
            <w:vAlign w:val="center"/>
          </w:tcPr>
          <w:p w14:paraId="5CB55155" w14:textId="77777777" w:rsidR="00F73910" w:rsidRPr="006919A9" w:rsidRDefault="00F73910" w:rsidP="007206E2">
            <w:pPr>
              <w:pStyle w:val="TableText0"/>
              <w:keepNext w:val="0"/>
              <w:widowControl w:val="0"/>
              <w:jc w:val="center"/>
            </w:pPr>
            <w:r w:rsidRPr="006919A9">
              <w:t>$114.20</w:t>
            </w:r>
          </w:p>
        </w:tc>
        <w:tc>
          <w:tcPr>
            <w:tcW w:w="1135" w:type="pct"/>
            <w:vAlign w:val="center"/>
          </w:tcPr>
          <w:p w14:paraId="32FE2151" w14:textId="77777777" w:rsidR="00F73910" w:rsidRPr="006919A9" w:rsidRDefault="00F73910" w:rsidP="007206E2">
            <w:pPr>
              <w:pStyle w:val="TableText0"/>
              <w:keepNext w:val="0"/>
              <w:widowControl w:val="0"/>
              <w:jc w:val="center"/>
            </w:pPr>
            <w:r w:rsidRPr="006919A9">
              <w:t>MBS 13950</w:t>
            </w:r>
          </w:p>
        </w:tc>
        <w:tc>
          <w:tcPr>
            <w:tcW w:w="2204" w:type="pct"/>
            <w:vAlign w:val="center"/>
          </w:tcPr>
          <w:p w14:paraId="5A50E86E" w14:textId="77777777" w:rsidR="00F73910" w:rsidRPr="006919A9" w:rsidRDefault="00F73910" w:rsidP="007206E2">
            <w:pPr>
              <w:pStyle w:val="TableText0"/>
              <w:keepNext w:val="0"/>
              <w:widowControl w:val="0"/>
            </w:pPr>
            <w:r w:rsidRPr="006919A9">
              <w:t xml:space="preserve">This cost is applied every three weeks. </w:t>
            </w:r>
            <w:r w:rsidRPr="00F73910">
              <w:t>This was reasonable.</w:t>
            </w:r>
          </w:p>
        </w:tc>
      </w:tr>
    </w:tbl>
    <w:p w14:paraId="0F72CE4A" w14:textId="77777777" w:rsidR="00F73910" w:rsidRPr="006919A9" w:rsidRDefault="00F73910" w:rsidP="007206E2">
      <w:pPr>
        <w:pStyle w:val="FooterTableFigure"/>
        <w:widowControl w:val="0"/>
      </w:pPr>
      <w:r w:rsidRPr="006919A9">
        <w:t>Source: pp154-163 of the submission.</w:t>
      </w:r>
    </w:p>
    <w:p w14:paraId="4260AEBF" w14:textId="0C55795D" w:rsidR="00F73910" w:rsidRPr="006919A9" w:rsidRDefault="00F73910" w:rsidP="007206E2">
      <w:pPr>
        <w:pStyle w:val="FooterTableFigure"/>
      </w:pPr>
      <w:r w:rsidRPr="006919A9">
        <w:t>AIHW = Australian Institute for Health and Wellbeing; DPMA = dispensed price per maximum amount; ECOG = Eastern Cooperative Oncology Group; TNBC = triple negative breast cancer; mBC = metastatic breast cancer; MBS = Medicare Benefits Schedule; PBS = Pharmaceutical Benefits Scheme; PSD = public summary document; RPBS = Repatriation Pharmaceutical Benefits Scheme; ToT = time on treatment</w:t>
      </w:r>
    </w:p>
    <w:p w14:paraId="121CA244" w14:textId="5EE5BA4F" w:rsidR="00F73910" w:rsidRPr="006919A9" w:rsidRDefault="00F73910" w:rsidP="00F73910">
      <w:pPr>
        <w:pStyle w:val="3-BodyText"/>
      </w:pPr>
      <w:r w:rsidRPr="006919A9">
        <w:fldChar w:fldCharType="begin" w:fldLock="1"/>
      </w:r>
      <w:r w:rsidRPr="006919A9">
        <w:instrText xml:space="preserve"> REF _Ref104805295 \h  \* MERGEFORMAT </w:instrText>
      </w:r>
      <w:r w:rsidRPr="006919A9">
        <w:fldChar w:fldCharType="separate"/>
      </w:r>
      <w:r w:rsidR="0067416F" w:rsidRPr="006919A9">
        <w:t xml:space="preserve">Table </w:t>
      </w:r>
      <w:r w:rsidR="0067416F">
        <w:t>18</w:t>
      </w:r>
      <w:r w:rsidRPr="006919A9">
        <w:fldChar w:fldCharType="end"/>
      </w:r>
      <w:r w:rsidRPr="006919A9">
        <w:t xml:space="preserve"> presents the estimated use and financial implications. </w:t>
      </w:r>
    </w:p>
    <w:p w14:paraId="6F89CC1D" w14:textId="20C98F61" w:rsidR="00F73910" w:rsidRPr="006919A9" w:rsidRDefault="00F73910" w:rsidP="00AA43F3">
      <w:pPr>
        <w:pStyle w:val="Caption"/>
      </w:pPr>
      <w:bookmarkStart w:id="78" w:name="_Ref104805295"/>
      <w:r w:rsidRPr="006919A9">
        <w:lastRenderedPageBreak/>
        <w:t xml:space="preserve">Table </w:t>
      </w:r>
      <w:fldSimple w:instr=" SEQ Table \* ARABIC " w:fldLock="1">
        <w:r w:rsidR="0067416F">
          <w:rPr>
            <w:noProof/>
          </w:rPr>
          <w:t>18</w:t>
        </w:r>
      </w:fldSimple>
      <w:bookmarkEnd w:id="78"/>
      <w:r w:rsidRPr="006919A9">
        <w:t>:</w:t>
      </w:r>
      <w:r w:rsidRPr="006919A9">
        <w:rPr>
          <w:rStyle w:val="CommentReference"/>
          <w:b/>
          <w:szCs w:val="24"/>
        </w:rPr>
        <w:t xml:space="preserve"> Estimated use and financial implications</w:t>
      </w:r>
    </w:p>
    <w:tbl>
      <w:tblPr>
        <w:tblW w:w="50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035"/>
        <w:gridCol w:w="648"/>
        <w:gridCol w:w="431"/>
        <w:gridCol w:w="1201"/>
        <w:gridCol w:w="215"/>
        <w:gridCol w:w="648"/>
        <w:gridCol w:w="338"/>
        <w:gridCol w:w="657"/>
        <w:gridCol w:w="546"/>
        <w:gridCol w:w="40"/>
        <w:gridCol w:w="1162"/>
        <w:gridCol w:w="1175"/>
      </w:tblGrid>
      <w:tr w:rsidR="00585D97" w:rsidRPr="006919A9" w14:paraId="32EB75F4" w14:textId="77777777" w:rsidTr="00AA43F3">
        <w:trPr>
          <w:tblHeader/>
        </w:trPr>
        <w:tc>
          <w:tcPr>
            <w:tcW w:w="1119" w:type="pct"/>
            <w:shd w:val="clear" w:color="auto" w:fill="auto"/>
            <w:vAlign w:val="center"/>
          </w:tcPr>
          <w:p w14:paraId="14686455" w14:textId="77777777" w:rsidR="00F73910" w:rsidRPr="00B7219E" w:rsidRDefault="00F73910" w:rsidP="00AA43F3">
            <w:pPr>
              <w:pStyle w:val="In-tableHeading"/>
              <w:keepLines/>
              <w:jc w:val="center"/>
              <w:rPr>
                <w:szCs w:val="20"/>
                <w:lang w:val="en-AU"/>
              </w:rPr>
            </w:pPr>
          </w:p>
        </w:tc>
        <w:tc>
          <w:tcPr>
            <w:tcW w:w="593" w:type="pct"/>
            <w:gridSpan w:val="2"/>
            <w:shd w:val="clear" w:color="auto" w:fill="auto"/>
            <w:vAlign w:val="center"/>
          </w:tcPr>
          <w:p w14:paraId="03DDC4A9" w14:textId="77777777" w:rsidR="00F73910" w:rsidRPr="00B7219E" w:rsidRDefault="00F73910" w:rsidP="00AA43F3">
            <w:pPr>
              <w:pStyle w:val="In-tableHeading"/>
              <w:keepLines/>
              <w:jc w:val="center"/>
              <w:rPr>
                <w:szCs w:val="20"/>
                <w:lang w:val="en-AU"/>
              </w:rPr>
            </w:pPr>
            <w:r w:rsidRPr="00B7219E">
              <w:rPr>
                <w:szCs w:val="20"/>
                <w:lang w:val="en-AU"/>
              </w:rPr>
              <w:t>Year 1</w:t>
            </w:r>
          </w:p>
        </w:tc>
        <w:tc>
          <w:tcPr>
            <w:tcW w:w="660" w:type="pct"/>
            <w:shd w:val="clear" w:color="auto" w:fill="auto"/>
            <w:vAlign w:val="center"/>
          </w:tcPr>
          <w:p w14:paraId="6DCE2836" w14:textId="77777777" w:rsidR="00F73910" w:rsidRPr="00B7219E" w:rsidRDefault="00F73910" w:rsidP="00AA43F3">
            <w:pPr>
              <w:pStyle w:val="In-tableHeading"/>
              <w:keepLines/>
              <w:jc w:val="center"/>
              <w:rPr>
                <w:szCs w:val="20"/>
                <w:lang w:val="en-AU"/>
              </w:rPr>
            </w:pPr>
            <w:r w:rsidRPr="00B7219E">
              <w:rPr>
                <w:szCs w:val="20"/>
                <w:lang w:val="en-AU"/>
              </w:rPr>
              <w:t>Year 2</w:t>
            </w:r>
          </w:p>
        </w:tc>
        <w:tc>
          <w:tcPr>
            <w:tcW w:w="660" w:type="pct"/>
            <w:gridSpan w:val="3"/>
            <w:shd w:val="clear" w:color="auto" w:fill="auto"/>
            <w:vAlign w:val="center"/>
          </w:tcPr>
          <w:p w14:paraId="18E98EE3" w14:textId="77777777" w:rsidR="00F73910" w:rsidRPr="00B7219E" w:rsidRDefault="00F73910" w:rsidP="00AA43F3">
            <w:pPr>
              <w:pStyle w:val="In-tableHeading"/>
              <w:keepLines/>
              <w:jc w:val="center"/>
              <w:rPr>
                <w:szCs w:val="20"/>
                <w:lang w:val="en-AU"/>
              </w:rPr>
            </w:pPr>
            <w:r w:rsidRPr="00B7219E">
              <w:rPr>
                <w:szCs w:val="20"/>
                <w:lang w:val="en-AU"/>
              </w:rPr>
              <w:t>Year 3</w:t>
            </w:r>
          </w:p>
        </w:tc>
        <w:tc>
          <w:tcPr>
            <w:tcW w:w="661" w:type="pct"/>
            <w:gridSpan w:val="2"/>
            <w:shd w:val="clear" w:color="auto" w:fill="auto"/>
            <w:vAlign w:val="center"/>
          </w:tcPr>
          <w:p w14:paraId="531B6A43" w14:textId="77777777" w:rsidR="00F73910" w:rsidRPr="00B7219E" w:rsidRDefault="00F73910" w:rsidP="00AA43F3">
            <w:pPr>
              <w:pStyle w:val="In-tableHeading"/>
              <w:keepLines/>
              <w:jc w:val="center"/>
              <w:rPr>
                <w:szCs w:val="20"/>
                <w:lang w:val="en-AU"/>
              </w:rPr>
            </w:pPr>
            <w:r w:rsidRPr="00B7219E">
              <w:rPr>
                <w:szCs w:val="20"/>
                <w:lang w:val="en-AU"/>
              </w:rPr>
              <w:t>Year 4</w:t>
            </w:r>
          </w:p>
        </w:tc>
        <w:tc>
          <w:tcPr>
            <w:tcW w:w="661" w:type="pct"/>
            <w:gridSpan w:val="2"/>
            <w:shd w:val="clear" w:color="auto" w:fill="auto"/>
            <w:vAlign w:val="center"/>
          </w:tcPr>
          <w:p w14:paraId="5DC87756" w14:textId="77777777" w:rsidR="00F73910" w:rsidRPr="00B7219E" w:rsidRDefault="00F73910" w:rsidP="00AA43F3">
            <w:pPr>
              <w:pStyle w:val="In-tableHeading"/>
              <w:keepLines/>
              <w:jc w:val="center"/>
              <w:rPr>
                <w:szCs w:val="20"/>
                <w:lang w:val="en-AU"/>
              </w:rPr>
            </w:pPr>
            <w:r w:rsidRPr="00B7219E">
              <w:rPr>
                <w:szCs w:val="20"/>
                <w:lang w:val="en-AU"/>
              </w:rPr>
              <w:t>Year 5</w:t>
            </w:r>
          </w:p>
        </w:tc>
        <w:tc>
          <w:tcPr>
            <w:tcW w:w="646" w:type="pct"/>
          </w:tcPr>
          <w:p w14:paraId="6E9706C4" w14:textId="77777777" w:rsidR="00F73910" w:rsidRPr="00B7219E" w:rsidRDefault="00F73910" w:rsidP="00AA43F3">
            <w:pPr>
              <w:pStyle w:val="In-tableHeading"/>
              <w:keepLines/>
              <w:jc w:val="center"/>
              <w:rPr>
                <w:szCs w:val="20"/>
                <w:lang w:val="en-AU"/>
              </w:rPr>
            </w:pPr>
            <w:r w:rsidRPr="00B7219E">
              <w:rPr>
                <w:szCs w:val="20"/>
                <w:lang w:val="en-AU"/>
              </w:rPr>
              <w:t>Year 6</w:t>
            </w:r>
          </w:p>
        </w:tc>
      </w:tr>
      <w:tr w:rsidR="00F73910" w:rsidRPr="006919A9" w14:paraId="6CB2A37E" w14:textId="77777777" w:rsidTr="00585D97">
        <w:tc>
          <w:tcPr>
            <w:tcW w:w="5000" w:type="pct"/>
            <w:gridSpan w:val="12"/>
            <w:shd w:val="clear" w:color="auto" w:fill="auto"/>
            <w:vAlign w:val="center"/>
          </w:tcPr>
          <w:p w14:paraId="0E18E916" w14:textId="77777777" w:rsidR="00F73910" w:rsidRPr="00B7219E" w:rsidRDefault="00F73910" w:rsidP="00AA43F3">
            <w:pPr>
              <w:pStyle w:val="In-tableHeading"/>
              <w:keepLines/>
              <w:rPr>
                <w:bCs/>
                <w:szCs w:val="20"/>
                <w:lang w:val="en-AU"/>
              </w:rPr>
            </w:pPr>
            <w:r w:rsidRPr="00B7219E">
              <w:rPr>
                <w:bCs/>
                <w:szCs w:val="20"/>
                <w:lang w:val="en-AU"/>
              </w:rPr>
              <w:t>Estimated extent of use</w:t>
            </w:r>
          </w:p>
        </w:tc>
      </w:tr>
      <w:tr w:rsidR="00585D97" w:rsidRPr="006919A9" w14:paraId="793E88AC" w14:textId="77777777" w:rsidTr="00AA43F3">
        <w:tc>
          <w:tcPr>
            <w:tcW w:w="1119" w:type="pct"/>
            <w:shd w:val="clear" w:color="auto" w:fill="auto"/>
            <w:vAlign w:val="center"/>
          </w:tcPr>
          <w:p w14:paraId="1C3702F3" w14:textId="77777777" w:rsidR="00F73910" w:rsidRPr="00B7219E" w:rsidRDefault="00F73910" w:rsidP="00AA43F3">
            <w:pPr>
              <w:pStyle w:val="TableText0"/>
              <w:keepLines/>
              <w:rPr>
                <w:szCs w:val="20"/>
              </w:rPr>
            </w:pPr>
            <w:r w:rsidRPr="00B7219E">
              <w:rPr>
                <w:szCs w:val="20"/>
              </w:rPr>
              <w:t>Number of patients treated</w:t>
            </w:r>
          </w:p>
        </w:tc>
        <w:tc>
          <w:tcPr>
            <w:tcW w:w="593" w:type="pct"/>
            <w:gridSpan w:val="2"/>
            <w:shd w:val="clear" w:color="auto" w:fill="auto"/>
            <w:vAlign w:val="center"/>
          </w:tcPr>
          <w:p w14:paraId="0578E698" w14:textId="6947432A" w:rsidR="00F73910" w:rsidRPr="00B7219E" w:rsidRDefault="00BB281C" w:rsidP="00AA43F3">
            <w:pPr>
              <w:pStyle w:val="TableText0"/>
              <w:keepLines/>
              <w:jc w:val="center"/>
              <w:rPr>
                <w:szCs w:val="20"/>
                <w:highlight w:val="darkGray"/>
              </w:rPr>
            </w:pPr>
            <w:r w:rsidRPr="00BB281C">
              <w:rPr>
                <w:bCs w:val="0"/>
                <w:color w:val="000000"/>
                <w:spacing w:val="51"/>
                <w:szCs w:val="20"/>
                <w:shd w:val="solid" w:color="000000" w:fill="000000"/>
                <w:fitText w:val="231" w:id="-1234422520"/>
                <w14:textFill>
                  <w14:solidFill>
                    <w14:srgbClr w14:val="000000">
                      <w14:alpha w14:val="100000"/>
                    </w14:srgbClr>
                  </w14:solidFill>
                </w14:textFill>
              </w:rPr>
              <w:t>||</w:t>
            </w:r>
            <w:r w:rsidRPr="00BB281C">
              <w:rPr>
                <w:bCs w:val="0"/>
                <w:color w:val="000000"/>
                <w:spacing w:val="2"/>
                <w:szCs w:val="20"/>
                <w:shd w:val="solid" w:color="000000" w:fill="000000"/>
                <w:fitText w:val="231" w:id="-1234422520"/>
                <w14:textFill>
                  <w14:solidFill>
                    <w14:srgbClr w14:val="000000">
                      <w14:alpha w14:val="100000"/>
                    </w14:srgbClr>
                  </w14:solidFill>
                </w14:textFill>
              </w:rPr>
              <w:t>|</w:t>
            </w:r>
            <w:r w:rsidR="008316AF" w:rsidRPr="00B7219E">
              <w:rPr>
                <w:bCs w:val="0"/>
                <w:szCs w:val="20"/>
                <w:vertAlign w:val="superscript"/>
              </w:rPr>
              <w:t>1</w:t>
            </w:r>
          </w:p>
        </w:tc>
        <w:tc>
          <w:tcPr>
            <w:tcW w:w="660" w:type="pct"/>
            <w:shd w:val="clear" w:color="auto" w:fill="auto"/>
            <w:vAlign w:val="center"/>
          </w:tcPr>
          <w:p w14:paraId="0A32FF2F" w14:textId="61D1B97E" w:rsidR="00F73910" w:rsidRPr="00B7219E" w:rsidRDefault="00BB281C" w:rsidP="00AA43F3">
            <w:pPr>
              <w:pStyle w:val="TableText0"/>
              <w:keepLines/>
              <w:jc w:val="center"/>
              <w:rPr>
                <w:szCs w:val="20"/>
                <w:highlight w:val="darkGray"/>
              </w:rPr>
            </w:pPr>
            <w:r w:rsidRPr="00BB281C">
              <w:rPr>
                <w:bCs w:val="0"/>
                <w:color w:val="000000"/>
                <w:spacing w:val="87"/>
                <w:szCs w:val="20"/>
                <w:shd w:val="solid" w:color="000000" w:fill="000000"/>
                <w:fitText w:val="173" w:id="-1234422519"/>
                <w14:textFill>
                  <w14:solidFill>
                    <w14:srgbClr w14:val="000000">
                      <w14:alpha w14:val="100000"/>
                    </w14:srgbClr>
                  </w14:solidFill>
                </w14:textFill>
              </w:rPr>
              <w:t>|</w:t>
            </w:r>
            <w:r w:rsidRPr="00BB281C">
              <w:rPr>
                <w:bCs w:val="0"/>
                <w:color w:val="000000"/>
                <w:spacing w:val="1"/>
                <w:szCs w:val="20"/>
                <w:shd w:val="solid" w:color="000000" w:fill="000000"/>
                <w:fitText w:val="173" w:id="-1234422519"/>
                <w14:textFill>
                  <w14:solidFill>
                    <w14:srgbClr w14:val="000000">
                      <w14:alpha w14:val="100000"/>
                    </w14:srgbClr>
                  </w14:solidFill>
                </w14:textFill>
              </w:rPr>
              <w:t>|</w:t>
            </w:r>
            <w:r w:rsidR="008316AF" w:rsidRPr="00B7219E">
              <w:rPr>
                <w:bCs w:val="0"/>
                <w:szCs w:val="20"/>
                <w:vertAlign w:val="superscript"/>
              </w:rPr>
              <w:t>1</w:t>
            </w:r>
          </w:p>
        </w:tc>
        <w:tc>
          <w:tcPr>
            <w:tcW w:w="660" w:type="pct"/>
            <w:gridSpan w:val="3"/>
            <w:shd w:val="clear" w:color="auto" w:fill="auto"/>
            <w:vAlign w:val="center"/>
          </w:tcPr>
          <w:p w14:paraId="617456C2" w14:textId="6CFA186F" w:rsidR="00F73910" w:rsidRPr="00B7219E" w:rsidRDefault="00BB281C" w:rsidP="00AA43F3">
            <w:pPr>
              <w:pStyle w:val="TableText0"/>
              <w:keepLines/>
              <w:jc w:val="center"/>
              <w:rPr>
                <w:szCs w:val="20"/>
                <w:highlight w:val="darkGray"/>
              </w:rPr>
            </w:pPr>
            <w:r w:rsidRPr="00BB281C">
              <w:rPr>
                <w:bCs w:val="0"/>
                <w:color w:val="000000"/>
                <w:spacing w:val="87"/>
                <w:szCs w:val="20"/>
                <w:shd w:val="solid" w:color="000000" w:fill="000000"/>
                <w:fitText w:val="173" w:id="-1234422518"/>
                <w14:textFill>
                  <w14:solidFill>
                    <w14:srgbClr w14:val="000000">
                      <w14:alpha w14:val="100000"/>
                    </w14:srgbClr>
                  </w14:solidFill>
                </w14:textFill>
              </w:rPr>
              <w:t>|</w:t>
            </w:r>
            <w:r w:rsidRPr="00BB281C">
              <w:rPr>
                <w:bCs w:val="0"/>
                <w:color w:val="000000"/>
                <w:spacing w:val="1"/>
                <w:szCs w:val="20"/>
                <w:shd w:val="solid" w:color="000000" w:fill="000000"/>
                <w:fitText w:val="173" w:id="-1234422518"/>
                <w14:textFill>
                  <w14:solidFill>
                    <w14:srgbClr w14:val="000000">
                      <w14:alpha w14:val="100000"/>
                    </w14:srgbClr>
                  </w14:solidFill>
                </w14:textFill>
              </w:rPr>
              <w:t>|</w:t>
            </w:r>
            <w:r w:rsidR="008316AF" w:rsidRPr="00B7219E">
              <w:rPr>
                <w:bCs w:val="0"/>
                <w:szCs w:val="20"/>
                <w:vertAlign w:val="superscript"/>
              </w:rPr>
              <w:t>1</w:t>
            </w:r>
          </w:p>
        </w:tc>
        <w:tc>
          <w:tcPr>
            <w:tcW w:w="661" w:type="pct"/>
            <w:gridSpan w:val="2"/>
            <w:shd w:val="clear" w:color="auto" w:fill="auto"/>
            <w:vAlign w:val="center"/>
          </w:tcPr>
          <w:p w14:paraId="47314284" w14:textId="39CDD003" w:rsidR="00F73910" w:rsidRPr="00B7219E" w:rsidRDefault="00BB281C" w:rsidP="00AA43F3">
            <w:pPr>
              <w:pStyle w:val="TableText0"/>
              <w:keepLines/>
              <w:jc w:val="center"/>
              <w:rPr>
                <w:szCs w:val="20"/>
                <w:highlight w:val="darkGray"/>
              </w:rPr>
            </w:pPr>
            <w:r w:rsidRPr="00BB281C">
              <w:rPr>
                <w:bCs w:val="0"/>
                <w:color w:val="000000"/>
                <w:spacing w:val="87"/>
                <w:szCs w:val="20"/>
                <w:shd w:val="solid" w:color="000000" w:fill="000000"/>
                <w:fitText w:val="173" w:id="-1234422517"/>
                <w14:textFill>
                  <w14:solidFill>
                    <w14:srgbClr w14:val="000000">
                      <w14:alpha w14:val="100000"/>
                    </w14:srgbClr>
                  </w14:solidFill>
                </w14:textFill>
              </w:rPr>
              <w:t>|</w:t>
            </w:r>
            <w:r w:rsidRPr="00BB281C">
              <w:rPr>
                <w:bCs w:val="0"/>
                <w:color w:val="000000"/>
                <w:spacing w:val="1"/>
                <w:szCs w:val="20"/>
                <w:shd w:val="solid" w:color="000000" w:fill="000000"/>
                <w:fitText w:val="173" w:id="-1234422517"/>
                <w14:textFill>
                  <w14:solidFill>
                    <w14:srgbClr w14:val="000000">
                      <w14:alpha w14:val="100000"/>
                    </w14:srgbClr>
                  </w14:solidFill>
                </w14:textFill>
              </w:rPr>
              <w:t>|</w:t>
            </w:r>
            <w:r w:rsidR="008316AF" w:rsidRPr="00B7219E">
              <w:rPr>
                <w:bCs w:val="0"/>
                <w:szCs w:val="20"/>
                <w:vertAlign w:val="superscript"/>
              </w:rPr>
              <w:t>1</w:t>
            </w:r>
          </w:p>
        </w:tc>
        <w:tc>
          <w:tcPr>
            <w:tcW w:w="661" w:type="pct"/>
            <w:gridSpan w:val="2"/>
            <w:shd w:val="clear" w:color="auto" w:fill="auto"/>
            <w:vAlign w:val="center"/>
          </w:tcPr>
          <w:p w14:paraId="47D1AD53" w14:textId="4A12EEEF" w:rsidR="00F73910" w:rsidRPr="00B7219E" w:rsidRDefault="00BB281C" w:rsidP="00AA43F3">
            <w:pPr>
              <w:pStyle w:val="TableText0"/>
              <w:keepLines/>
              <w:jc w:val="center"/>
              <w:rPr>
                <w:szCs w:val="20"/>
                <w:highlight w:val="darkGray"/>
              </w:rPr>
            </w:pPr>
            <w:r w:rsidRPr="00BB281C">
              <w:rPr>
                <w:bCs w:val="0"/>
                <w:color w:val="000000"/>
                <w:spacing w:val="87"/>
                <w:szCs w:val="20"/>
                <w:shd w:val="solid" w:color="000000" w:fill="000000"/>
                <w:fitText w:val="173" w:id="-1234422516"/>
                <w14:textFill>
                  <w14:solidFill>
                    <w14:srgbClr w14:val="000000">
                      <w14:alpha w14:val="100000"/>
                    </w14:srgbClr>
                  </w14:solidFill>
                </w14:textFill>
              </w:rPr>
              <w:t>|</w:t>
            </w:r>
            <w:r w:rsidRPr="00BB281C">
              <w:rPr>
                <w:bCs w:val="0"/>
                <w:color w:val="000000"/>
                <w:spacing w:val="1"/>
                <w:szCs w:val="20"/>
                <w:shd w:val="solid" w:color="000000" w:fill="000000"/>
                <w:fitText w:val="173" w:id="-1234422516"/>
                <w14:textFill>
                  <w14:solidFill>
                    <w14:srgbClr w14:val="000000">
                      <w14:alpha w14:val="100000"/>
                    </w14:srgbClr>
                  </w14:solidFill>
                </w14:textFill>
              </w:rPr>
              <w:t>|</w:t>
            </w:r>
            <w:r w:rsidR="008316AF" w:rsidRPr="00B7219E">
              <w:rPr>
                <w:bCs w:val="0"/>
                <w:szCs w:val="20"/>
                <w:vertAlign w:val="superscript"/>
              </w:rPr>
              <w:t>1</w:t>
            </w:r>
          </w:p>
        </w:tc>
        <w:tc>
          <w:tcPr>
            <w:tcW w:w="646" w:type="pct"/>
            <w:vAlign w:val="center"/>
          </w:tcPr>
          <w:p w14:paraId="51F32E28" w14:textId="22E97AB5" w:rsidR="00F73910" w:rsidRPr="00B7219E" w:rsidRDefault="00BB281C" w:rsidP="00AA43F3">
            <w:pPr>
              <w:pStyle w:val="TableText0"/>
              <w:keepLines/>
              <w:jc w:val="center"/>
              <w:rPr>
                <w:szCs w:val="20"/>
                <w:highlight w:val="darkGray"/>
              </w:rPr>
            </w:pPr>
            <w:r w:rsidRPr="00BB281C">
              <w:rPr>
                <w:bCs w:val="0"/>
                <w:color w:val="000000"/>
                <w:spacing w:val="99"/>
                <w:szCs w:val="20"/>
                <w:shd w:val="solid" w:color="000000" w:fill="000000"/>
                <w:fitText w:val="185" w:id="-1234422515"/>
                <w14:textFill>
                  <w14:solidFill>
                    <w14:srgbClr w14:val="000000">
                      <w14:alpha w14:val="100000"/>
                    </w14:srgbClr>
                  </w14:solidFill>
                </w14:textFill>
              </w:rPr>
              <w:t>|</w:t>
            </w:r>
            <w:r w:rsidRPr="00BB281C">
              <w:rPr>
                <w:bCs w:val="0"/>
                <w:color w:val="000000"/>
                <w:spacing w:val="1"/>
                <w:szCs w:val="20"/>
                <w:shd w:val="solid" w:color="000000" w:fill="000000"/>
                <w:fitText w:val="185" w:id="-1234422515"/>
                <w14:textFill>
                  <w14:solidFill>
                    <w14:srgbClr w14:val="000000">
                      <w14:alpha w14:val="100000"/>
                    </w14:srgbClr>
                  </w14:solidFill>
                </w14:textFill>
              </w:rPr>
              <w:t>|</w:t>
            </w:r>
            <w:r w:rsidR="008316AF" w:rsidRPr="00B7219E">
              <w:rPr>
                <w:bCs w:val="0"/>
                <w:szCs w:val="20"/>
                <w:vertAlign w:val="superscript"/>
              </w:rPr>
              <w:t>1</w:t>
            </w:r>
          </w:p>
        </w:tc>
      </w:tr>
      <w:tr w:rsidR="00585D97" w:rsidRPr="006919A9" w14:paraId="798500BF" w14:textId="77777777" w:rsidTr="00AA43F3">
        <w:tc>
          <w:tcPr>
            <w:tcW w:w="1119" w:type="pct"/>
            <w:shd w:val="clear" w:color="auto" w:fill="auto"/>
            <w:vAlign w:val="center"/>
          </w:tcPr>
          <w:p w14:paraId="6F0E2E03" w14:textId="77777777" w:rsidR="00F73910" w:rsidRPr="00B7219E" w:rsidRDefault="00F73910" w:rsidP="00AA43F3">
            <w:pPr>
              <w:pStyle w:val="TableText0"/>
              <w:keepLines/>
              <w:rPr>
                <w:szCs w:val="20"/>
              </w:rPr>
            </w:pPr>
            <w:r w:rsidRPr="00B7219E">
              <w:rPr>
                <w:szCs w:val="20"/>
              </w:rPr>
              <w:t xml:space="preserve">Number of scripts dispensed </w:t>
            </w:r>
            <w:r w:rsidRPr="00B7219E">
              <w:rPr>
                <w:szCs w:val="20"/>
                <w:vertAlign w:val="superscript"/>
              </w:rPr>
              <w:t>a</w:t>
            </w:r>
          </w:p>
        </w:tc>
        <w:tc>
          <w:tcPr>
            <w:tcW w:w="593" w:type="pct"/>
            <w:gridSpan w:val="2"/>
            <w:shd w:val="clear" w:color="auto" w:fill="auto"/>
          </w:tcPr>
          <w:p w14:paraId="0E0808ED" w14:textId="1BA70131" w:rsidR="00F73910" w:rsidRPr="00B7219E" w:rsidRDefault="00BB281C" w:rsidP="00AA43F3">
            <w:pPr>
              <w:pStyle w:val="TableText0"/>
              <w:keepLines/>
              <w:jc w:val="center"/>
              <w:rPr>
                <w:szCs w:val="20"/>
                <w:highlight w:val="darkGray"/>
              </w:rPr>
            </w:pPr>
            <w:r w:rsidRPr="00BB281C">
              <w:rPr>
                <w:color w:val="000000"/>
                <w:spacing w:val="51"/>
                <w:szCs w:val="20"/>
                <w:shd w:val="solid" w:color="000000" w:fill="000000"/>
                <w:fitText w:val="231" w:id="-1234422514"/>
                <w14:textFill>
                  <w14:solidFill>
                    <w14:srgbClr w14:val="000000">
                      <w14:alpha w14:val="100000"/>
                    </w14:srgbClr>
                  </w14:solidFill>
                </w14:textFill>
              </w:rPr>
              <w:t>||</w:t>
            </w:r>
            <w:r w:rsidRPr="00BB281C">
              <w:rPr>
                <w:color w:val="000000"/>
                <w:spacing w:val="2"/>
                <w:szCs w:val="20"/>
                <w:shd w:val="solid" w:color="000000" w:fill="000000"/>
                <w:fitText w:val="231" w:id="-1234422514"/>
                <w14:textFill>
                  <w14:solidFill>
                    <w14:srgbClr w14:val="000000">
                      <w14:alpha w14:val="100000"/>
                    </w14:srgbClr>
                  </w14:solidFill>
                </w14:textFill>
              </w:rPr>
              <w:t>|</w:t>
            </w:r>
            <w:r w:rsidR="008316AF" w:rsidRPr="00B7219E">
              <w:rPr>
                <w:bCs w:val="0"/>
                <w:szCs w:val="20"/>
                <w:vertAlign w:val="superscript"/>
              </w:rPr>
              <w:t>2</w:t>
            </w:r>
          </w:p>
        </w:tc>
        <w:tc>
          <w:tcPr>
            <w:tcW w:w="660" w:type="pct"/>
            <w:shd w:val="clear" w:color="auto" w:fill="auto"/>
          </w:tcPr>
          <w:p w14:paraId="654B2BDC" w14:textId="1CE6C2CB" w:rsidR="00F73910" w:rsidRPr="00B7219E" w:rsidRDefault="00BB281C" w:rsidP="00AA43F3">
            <w:pPr>
              <w:pStyle w:val="TableText0"/>
              <w:keepLines/>
              <w:jc w:val="center"/>
              <w:rPr>
                <w:szCs w:val="20"/>
                <w:highlight w:val="darkGray"/>
              </w:rPr>
            </w:pPr>
            <w:r w:rsidRPr="00BB281C">
              <w:rPr>
                <w:color w:val="000000"/>
                <w:spacing w:val="87"/>
                <w:szCs w:val="20"/>
                <w:shd w:val="solid" w:color="000000" w:fill="000000"/>
                <w:fitText w:val="173" w:id="-1234422513"/>
                <w14:textFill>
                  <w14:solidFill>
                    <w14:srgbClr w14:val="000000">
                      <w14:alpha w14:val="100000"/>
                    </w14:srgbClr>
                  </w14:solidFill>
                </w14:textFill>
              </w:rPr>
              <w:t>|</w:t>
            </w:r>
            <w:r w:rsidRPr="00BB281C">
              <w:rPr>
                <w:color w:val="000000"/>
                <w:spacing w:val="1"/>
                <w:szCs w:val="20"/>
                <w:shd w:val="solid" w:color="000000" w:fill="000000"/>
                <w:fitText w:val="173" w:id="-1234422513"/>
                <w14:textFill>
                  <w14:solidFill>
                    <w14:srgbClr w14:val="000000">
                      <w14:alpha w14:val="100000"/>
                    </w14:srgbClr>
                  </w14:solidFill>
                </w14:textFill>
              </w:rPr>
              <w:t>|</w:t>
            </w:r>
            <w:r w:rsidR="008316AF" w:rsidRPr="00B7219E">
              <w:rPr>
                <w:bCs w:val="0"/>
                <w:szCs w:val="20"/>
                <w:vertAlign w:val="superscript"/>
              </w:rPr>
              <w:t>3</w:t>
            </w:r>
          </w:p>
        </w:tc>
        <w:tc>
          <w:tcPr>
            <w:tcW w:w="660" w:type="pct"/>
            <w:gridSpan w:val="3"/>
            <w:shd w:val="clear" w:color="auto" w:fill="auto"/>
          </w:tcPr>
          <w:p w14:paraId="0FDE86DE" w14:textId="76304171" w:rsidR="00F73910" w:rsidRPr="00B7219E" w:rsidRDefault="00BB281C" w:rsidP="00AA43F3">
            <w:pPr>
              <w:pStyle w:val="TableText0"/>
              <w:keepLines/>
              <w:jc w:val="center"/>
              <w:rPr>
                <w:szCs w:val="20"/>
                <w:highlight w:val="darkGray"/>
              </w:rPr>
            </w:pPr>
            <w:r w:rsidRPr="00BB281C">
              <w:rPr>
                <w:color w:val="000000"/>
                <w:spacing w:val="87"/>
                <w:szCs w:val="20"/>
                <w:shd w:val="solid" w:color="000000" w:fill="000000"/>
                <w:fitText w:val="173" w:id="-1234422512"/>
                <w14:textFill>
                  <w14:solidFill>
                    <w14:srgbClr w14:val="000000">
                      <w14:alpha w14:val="100000"/>
                    </w14:srgbClr>
                  </w14:solidFill>
                </w14:textFill>
              </w:rPr>
              <w:t>|</w:t>
            </w:r>
            <w:r w:rsidRPr="00BB281C">
              <w:rPr>
                <w:color w:val="000000"/>
                <w:spacing w:val="1"/>
                <w:szCs w:val="20"/>
                <w:shd w:val="solid" w:color="000000" w:fill="000000"/>
                <w:fitText w:val="173" w:id="-1234422512"/>
                <w14:textFill>
                  <w14:solidFill>
                    <w14:srgbClr w14:val="000000">
                      <w14:alpha w14:val="100000"/>
                    </w14:srgbClr>
                  </w14:solidFill>
                </w14:textFill>
              </w:rPr>
              <w:t>|</w:t>
            </w:r>
            <w:r w:rsidR="008316AF" w:rsidRPr="00B7219E">
              <w:rPr>
                <w:bCs w:val="0"/>
                <w:szCs w:val="20"/>
                <w:vertAlign w:val="superscript"/>
              </w:rPr>
              <w:t>3</w:t>
            </w:r>
          </w:p>
        </w:tc>
        <w:tc>
          <w:tcPr>
            <w:tcW w:w="661" w:type="pct"/>
            <w:gridSpan w:val="2"/>
            <w:shd w:val="clear" w:color="auto" w:fill="auto"/>
          </w:tcPr>
          <w:p w14:paraId="66E8B45C" w14:textId="33186D1C" w:rsidR="00F73910" w:rsidRPr="00B7219E" w:rsidRDefault="00BB281C" w:rsidP="00AA43F3">
            <w:pPr>
              <w:pStyle w:val="TableText0"/>
              <w:keepLines/>
              <w:jc w:val="center"/>
              <w:rPr>
                <w:szCs w:val="20"/>
                <w:highlight w:val="darkGray"/>
              </w:rPr>
            </w:pPr>
            <w:r w:rsidRPr="00BB281C">
              <w:rPr>
                <w:color w:val="000000"/>
                <w:spacing w:val="87"/>
                <w:szCs w:val="20"/>
                <w:shd w:val="solid" w:color="000000" w:fill="000000"/>
                <w:fitText w:val="173" w:id="-1234422528"/>
                <w14:textFill>
                  <w14:solidFill>
                    <w14:srgbClr w14:val="000000">
                      <w14:alpha w14:val="100000"/>
                    </w14:srgbClr>
                  </w14:solidFill>
                </w14:textFill>
              </w:rPr>
              <w:t>|</w:t>
            </w:r>
            <w:r w:rsidRPr="00BB281C">
              <w:rPr>
                <w:color w:val="000000"/>
                <w:spacing w:val="1"/>
                <w:szCs w:val="20"/>
                <w:shd w:val="solid" w:color="000000" w:fill="000000"/>
                <w:fitText w:val="173" w:id="-1234422528"/>
                <w14:textFill>
                  <w14:solidFill>
                    <w14:srgbClr w14:val="000000">
                      <w14:alpha w14:val="100000"/>
                    </w14:srgbClr>
                  </w14:solidFill>
                </w14:textFill>
              </w:rPr>
              <w:t>|</w:t>
            </w:r>
            <w:r w:rsidR="008316AF" w:rsidRPr="00B7219E">
              <w:rPr>
                <w:bCs w:val="0"/>
                <w:szCs w:val="20"/>
                <w:vertAlign w:val="superscript"/>
              </w:rPr>
              <w:t>3</w:t>
            </w:r>
          </w:p>
        </w:tc>
        <w:tc>
          <w:tcPr>
            <w:tcW w:w="661" w:type="pct"/>
            <w:gridSpan w:val="2"/>
            <w:shd w:val="clear" w:color="auto" w:fill="auto"/>
          </w:tcPr>
          <w:p w14:paraId="085C12BB" w14:textId="7CEB5723" w:rsidR="00F73910" w:rsidRPr="00B7219E" w:rsidRDefault="00BB281C" w:rsidP="00AA43F3">
            <w:pPr>
              <w:pStyle w:val="TableText0"/>
              <w:keepLines/>
              <w:jc w:val="center"/>
              <w:rPr>
                <w:szCs w:val="20"/>
                <w:highlight w:val="darkGray"/>
              </w:rPr>
            </w:pPr>
            <w:r w:rsidRPr="00BB281C">
              <w:rPr>
                <w:color w:val="000000"/>
                <w:spacing w:val="87"/>
                <w:szCs w:val="20"/>
                <w:shd w:val="solid" w:color="000000" w:fill="000000"/>
                <w:fitText w:val="173" w:id="-1234422527"/>
                <w14:textFill>
                  <w14:solidFill>
                    <w14:srgbClr w14:val="000000">
                      <w14:alpha w14:val="100000"/>
                    </w14:srgbClr>
                  </w14:solidFill>
                </w14:textFill>
              </w:rPr>
              <w:t>|</w:t>
            </w:r>
            <w:r w:rsidRPr="00BB281C">
              <w:rPr>
                <w:color w:val="000000"/>
                <w:spacing w:val="1"/>
                <w:szCs w:val="20"/>
                <w:shd w:val="solid" w:color="000000" w:fill="000000"/>
                <w:fitText w:val="173" w:id="-1234422527"/>
                <w14:textFill>
                  <w14:solidFill>
                    <w14:srgbClr w14:val="000000">
                      <w14:alpha w14:val="100000"/>
                    </w14:srgbClr>
                  </w14:solidFill>
                </w14:textFill>
              </w:rPr>
              <w:t>|</w:t>
            </w:r>
            <w:r w:rsidR="008316AF" w:rsidRPr="00B7219E">
              <w:rPr>
                <w:bCs w:val="0"/>
                <w:szCs w:val="20"/>
                <w:vertAlign w:val="superscript"/>
              </w:rPr>
              <w:t>3</w:t>
            </w:r>
          </w:p>
        </w:tc>
        <w:tc>
          <w:tcPr>
            <w:tcW w:w="646" w:type="pct"/>
          </w:tcPr>
          <w:p w14:paraId="4F473339" w14:textId="7584B2AE" w:rsidR="00F73910" w:rsidRPr="00B7219E" w:rsidRDefault="00BB281C" w:rsidP="00AA43F3">
            <w:pPr>
              <w:pStyle w:val="TableText0"/>
              <w:keepLines/>
              <w:jc w:val="center"/>
              <w:rPr>
                <w:szCs w:val="20"/>
                <w:highlight w:val="darkGray"/>
              </w:rPr>
            </w:pPr>
            <w:r w:rsidRPr="00BB281C">
              <w:rPr>
                <w:color w:val="000000"/>
                <w:spacing w:val="99"/>
                <w:szCs w:val="20"/>
                <w:shd w:val="solid" w:color="000000" w:fill="000000"/>
                <w:fitText w:val="185" w:id="-1234422526"/>
                <w14:textFill>
                  <w14:solidFill>
                    <w14:srgbClr w14:val="000000">
                      <w14:alpha w14:val="100000"/>
                    </w14:srgbClr>
                  </w14:solidFill>
                </w14:textFill>
              </w:rPr>
              <w:t>|</w:t>
            </w:r>
            <w:r w:rsidRPr="00BB281C">
              <w:rPr>
                <w:color w:val="000000"/>
                <w:spacing w:val="1"/>
                <w:szCs w:val="20"/>
                <w:shd w:val="solid" w:color="000000" w:fill="000000"/>
                <w:fitText w:val="185" w:id="-1234422526"/>
                <w14:textFill>
                  <w14:solidFill>
                    <w14:srgbClr w14:val="000000">
                      <w14:alpha w14:val="100000"/>
                    </w14:srgbClr>
                  </w14:solidFill>
                </w14:textFill>
              </w:rPr>
              <w:t>|</w:t>
            </w:r>
            <w:r w:rsidR="008316AF" w:rsidRPr="00B7219E">
              <w:rPr>
                <w:bCs w:val="0"/>
                <w:szCs w:val="20"/>
                <w:vertAlign w:val="superscript"/>
              </w:rPr>
              <w:t>3</w:t>
            </w:r>
          </w:p>
        </w:tc>
      </w:tr>
      <w:tr w:rsidR="00F73910" w:rsidRPr="006919A9" w14:paraId="4262E8EE" w14:textId="77777777" w:rsidTr="00585D97">
        <w:tc>
          <w:tcPr>
            <w:tcW w:w="5000" w:type="pct"/>
            <w:gridSpan w:val="12"/>
            <w:shd w:val="clear" w:color="auto" w:fill="auto"/>
            <w:vAlign w:val="center"/>
          </w:tcPr>
          <w:p w14:paraId="7E7AA6EE" w14:textId="77777777" w:rsidR="00F73910" w:rsidRPr="00B7219E" w:rsidRDefault="00F73910" w:rsidP="00AA43F3">
            <w:pPr>
              <w:pStyle w:val="In-tableHeading"/>
              <w:keepLines/>
              <w:rPr>
                <w:szCs w:val="20"/>
                <w:lang w:val="en-AU"/>
              </w:rPr>
            </w:pPr>
            <w:r w:rsidRPr="00B7219E">
              <w:rPr>
                <w:szCs w:val="20"/>
                <w:lang w:val="en-AU"/>
              </w:rPr>
              <w:t>Estimated financial implications of pembrolizumab</w:t>
            </w:r>
          </w:p>
        </w:tc>
      </w:tr>
      <w:tr w:rsidR="00585D97" w:rsidRPr="006919A9" w14:paraId="080DC2B9" w14:textId="77777777" w:rsidTr="00AA43F3">
        <w:tc>
          <w:tcPr>
            <w:tcW w:w="1119" w:type="pct"/>
            <w:shd w:val="clear" w:color="auto" w:fill="auto"/>
            <w:vAlign w:val="center"/>
          </w:tcPr>
          <w:p w14:paraId="678EBEA9" w14:textId="2B2CCFE2" w:rsidR="00F73910" w:rsidRPr="00B7219E" w:rsidRDefault="00F73910" w:rsidP="00AA43F3">
            <w:pPr>
              <w:pStyle w:val="TableText0"/>
              <w:keepLines/>
              <w:rPr>
                <w:szCs w:val="20"/>
              </w:rPr>
            </w:pPr>
            <w:r w:rsidRPr="00B7219E">
              <w:rPr>
                <w:szCs w:val="20"/>
              </w:rPr>
              <w:t>Cost to PBS/RPBS less copayments</w:t>
            </w:r>
            <w:r w:rsidR="008316AF" w:rsidRPr="00B7219E">
              <w:rPr>
                <w:szCs w:val="20"/>
              </w:rPr>
              <w:t xml:space="preserve"> ($)</w:t>
            </w:r>
          </w:p>
        </w:tc>
        <w:tc>
          <w:tcPr>
            <w:tcW w:w="593" w:type="pct"/>
            <w:gridSpan w:val="2"/>
            <w:shd w:val="clear" w:color="auto" w:fill="auto"/>
            <w:vAlign w:val="center"/>
          </w:tcPr>
          <w:p w14:paraId="6A354F2E" w14:textId="3EF81B27" w:rsidR="00F73910" w:rsidRPr="00B7219E" w:rsidRDefault="00BB281C" w:rsidP="00AA43F3">
            <w:pPr>
              <w:pStyle w:val="TableText0"/>
              <w:keepLines/>
              <w:jc w:val="center"/>
              <w:rPr>
                <w:szCs w:val="20"/>
                <w:highlight w:val="darkGray"/>
              </w:rPr>
            </w:pPr>
            <w:r w:rsidRPr="00BB281C">
              <w:rPr>
                <w:color w:val="000000"/>
                <w:spacing w:val="51"/>
                <w:szCs w:val="20"/>
                <w:shd w:val="solid" w:color="000000" w:fill="000000"/>
                <w:fitText w:val="231" w:id="-1234422525"/>
                <w14:textFill>
                  <w14:solidFill>
                    <w14:srgbClr w14:val="000000">
                      <w14:alpha w14:val="100000"/>
                    </w14:srgbClr>
                  </w14:solidFill>
                </w14:textFill>
              </w:rPr>
              <w:t>||</w:t>
            </w:r>
            <w:r w:rsidRPr="00BB281C">
              <w:rPr>
                <w:color w:val="000000"/>
                <w:spacing w:val="2"/>
                <w:szCs w:val="20"/>
                <w:shd w:val="solid" w:color="000000" w:fill="000000"/>
                <w:fitText w:val="231" w:id="-1234422525"/>
                <w14:textFill>
                  <w14:solidFill>
                    <w14:srgbClr w14:val="000000">
                      <w14:alpha w14:val="100000"/>
                    </w14:srgbClr>
                  </w14:solidFill>
                </w14:textFill>
              </w:rPr>
              <w:t>|</w:t>
            </w:r>
            <w:r w:rsidR="00B7219E">
              <w:rPr>
                <w:bCs w:val="0"/>
                <w:szCs w:val="20"/>
                <w:vertAlign w:val="superscript"/>
              </w:rPr>
              <w:t>4</w:t>
            </w:r>
          </w:p>
        </w:tc>
        <w:tc>
          <w:tcPr>
            <w:tcW w:w="660" w:type="pct"/>
            <w:shd w:val="clear" w:color="auto" w:fill="auto"/>
            <w:vAlign w:val="center"/>
          </w:tcPr>
          <w:p w14:paraId="1A2B863C" w14:textId="68FEF66C" w:rsidR="00F73910" w:rsidRPr="00B7219E" w:rsidRDefault="00BB281C" w:rsidP="00AA43F3">
            <w:pPr>
              <w:pStyle w:val="TableText0"/>
              <w:keepLines/>
              <w:jc w:val="center"/>
              <w:rPr>
                <w:szCs w:val="20"/>
                <w:highlight w:val="darkGray"/>
              </w:rPr>
            </w:pPr>
            <w:r w:rsidRPr="00BB281C">
              <w:rPr>
                <w:color w:val="000000"/>
                <w:spacing w:val="87"/>
                <w:szCs w:val="20"/>
                <w:shd w:val="solid" w:color="000000" w:fill="000000"/>
                <w:fitText w:val="173" w:id="-1234422524"/>
                <w14:textFill>
                  <w14:solidFill>
                    <w14:srgbClr w14:val="000000">
                      <w14:alpha w14:val="100000"/>
                    </w14:srgbClr>
                  </w14:solidFill>
                </w14:textFill>
              </w:rPr>
              <w:t>|</w:t>
            </w:r>
            <w:r w:rsidRPr="00BB281C">
              <w:rPr>
                <w:color w:val="000000"/>
                <w:spacing w:val="1"/>
                <w:szCs w:val="20"/>
                <w:shd w:val="solid" w:color="000000" w:fill="000000"/>
                <w:fitText w:val="173" w:id="-1234422524"/>
                <w14:textFill>
                  <w14:solidFill>
                    <w14:srgbClr w14:val="000000">
                      <w14:alpha w14:val="100000"/>
                    </w14:srgbClr>
                  </w14:solidFill>
                </w14:textFill>
              </w:rPr>
              <w:t>|</w:t>
            </w:r>
            <w:r w:rsidR="00B7219E">
              <w:rPr>
                <w:bCs w:val="0"/>
                <w:szCs w:val="20"/>
                <w:vertAlign w:val="superscript"/>
              </w:rPr>
              <w:t>5</w:t>
            </w:r>
          </w:p>
        </w:tc>
        <w:tc>
          <w:tcPr>
            <w:tcW w:w="660" w:type="pct"/>
            <w:gridSpan w:val="3"/>
            <w:shd w:val="clear" w:color="auto" w:fill="auto"/>
            <w:vAlign w:val="center"/>
          </w:tcPr>
          <w:p w14:paraId="12C95C34" w14:textId="5850036A" w:rsidR="00F73910" w:rsidRPr="00B7219E" w:rsidRDefault="00BB281C" w:rsidP="00AA43F3">
            <w:pPr>
              <w:pStyle w:val="TableText0"/>
              <w:keepLines/>
              <w:jc w:val="center"/>
              <w:rPr>
                <w:szCs w:val="20"/>
                <w:highlight w:val="darkGray"/>
              </w:rPr>
            </w:pPr>
            <w:r w:rsidRPr="00BB281C">
              <w:rPr>
                <w:color w:val="000000"/>
                <w:spacing w:val="87"/>
                <w:szCs w:val="20"/>
                <w:shd w:val="solid" w:color="000000" w:fill="000000"/>
                <w:fitText w:val="173" w:id="-1234422523"/>
                <w14:textFill>
                  <w14:solidFill>
                    <w14:srgbClr w14:val="000000">
                      <w14:alpha w14:val="100000"/>
                    </w14:srgbClr>
                  </w14:solidFill>
                </w14:textFill>
              </w:rPr>
              <w:t>|</w:t>
            </w:r>
            <w:r w:rsidRPr="00BB281C">
              <w:rPr>
                <w:color w:val="000000"/>
                <w:spacing w:val="1"/>
                <w:szCs w:val="20"/>
                <w:shd w:val="solid" w:color="000000" w:fill="000000"/>
                <w:fitText w:val="173" w:id="-1234422523"/>
                <w14:textFill>
                  <w14:solidFill>
                    <w14:srgbClr w14:val="000000">
                      <w14:alpha w14:val="100000"/>
                    </w14:srgbClr>
                  </w14:solidFill>
                </w14:textFill>
              </w:rPr>
              <w:t>|</w:t>
            </w:r>
            <w:r w:rsidR="00B7219E">
              <w:rPr>
                <w:bCs w:val="0"/>
                <w:szCs w:val="20"/>
                <w:vertAlign w:val="superscript"/>
              </w:rPr>
              <w:t>5</w:t>
            </w:r>
          </w:p>
        </w:tc>
        <w:tc>
          <w:tcPr>
            <w:tcW w:w="661" w:type="pct"/>
            <w:gridSpan w:val="2"/>
            <w:shd w:val="clear" w:color="auto" w:fill="auto"/>
            <w:vAlign w:val="center"/>
          </w:tcPr>
          <w:p w14:paraId="51E2F767" w14:textId="69CDD381" w:rsidR="00F73910" w:rsidRPr="00B7219E" w:rsidRDefault="00BB281C" w:rsidP="00AA43F3">
            <w:pPr>
              <w:pStyle w:val="TableText0"/>
              <w:keepLines/>
              <w:jc w:val="center"/>
              <w:rPr>
                <w:szCs w:val="20"/>
                <w:highlight w:val="darkGray"/>
              </w:rPr>
            </w:pPr>
            <w:r w:rsidRPr="00BB281C">
              <w:rPr>
                <w:color w:val="000000"/>
                <w:spacing w:val="87"/>
                <w:szCs w:val="20"/>
                <w:shd w:val="solid" w:color="000000" w:fill="000000"/>
                <w:fitText w:val="173" w:id="-1234422522"/>
                <w14:textFill>
                  <w14:solidFill>
                    <w14:srgbClr w14:val="000000">
                      <w14:alpha w14:val="100000"/>
                    </w14:srgbClr>
                  </w14:solidFill>
                </w14:textFill>
              </w:rPr>
              <w:t>|</w:t>
            </w:r>
            <w:r w:rsidRPr="00BB281C">
              <w:rPr>
                <w:color w:val="000000"/>
                <w:spacing w:val="1"/>
                <w:szCs w:val="20"/>
                <w:shd w:val="solid" w:color="000000" w:fill="000000"/>
                <w:fitText w:val="173" w:id="-1234422522"/>
                <w14:textFill>
                  <w14:solidFill>
                    <w14:srgbClr w14:val="000000">
                      <w14:alpha w14:val="100000"/>
                    </w14:srgbClr>
                  </w14:solidFill>
                </w14:textFill>
              </w:rPr>
              <w:t>|</w:t>
            </w:r>
            <w:r w:rsidR="00B7219E">
              <w:rPr>
                <w:bCs w:val="0"/>
                <w:szCs w:val="20"/>
                <w:vertAlign w:val="superscript"/>
              </w:rPr>
              <w:t>5</w:t>
            </w:r>
          </w:p>
        </w:tc>
        <w:tc>
          <w:tcPr>
            <w:tcW w:w="661" w:type="pct"/>
            <w:gridSpan w:val="2"/>
            <w:shd w:val="clear" w:color="auto" w:fill="auto"/>
            <w:vAlign w:val="center"/>
          </w:tcPr>
          <w:p w14:paraId="0B3A1352" w14:textId="62DD929D" w:rsidR="00F73910" w:rsidRPr="00B7219E" w:rsidRDefault="00BB281C" w:rsidP="00AA43F3">
            <w:pPr>
              <w:pStyle w:val="TableText0"/>
              <w:keepLines/>
              <w:jc w:val="center"/>
              <w:rPr>
                <w:szCs w:val="20"/>
                <w:highlight w:val="darkGray"/>
              </w:rPr>
            </w:pPr>
            <w:r w:rsidRPr="00BB281C">
              <w:rPr>
                <w:color w:val="000000"/>
                <w:spacing w:val="87"/>
                <w:szCs w:val="20"/>
                <w:shd w:val="solid" w:color="000000" w:fill="000000"/>
                <w:fitText w:val="173" w:id="-1234422521"/>
                <w14:textFill>
                  <w14:solidFill>
                    <w14:srgbClr w14:val="000000">
                      <w14:alpha w14:val="100000"/>
                    </w14:srgbClr>
                  </w14:solidFill>
                </w14:textFill>
              </w:rPr>
              <w:t>|</w:t>
            </w:r>
            <w:r w:rsidRPr="00BB281C">
              <w:rPr>
                <w:color w:val="000000"/>
                <w:spacing w:val="1"/>
                <w:szCs w:val="20"/>
                <w:shd w:val="solid" w:color="000000" w:fill="000000"/>
                <w:fitText w:val="173" w:id="-1234422521"/>
                <w14:textFill>
                  <w14:solidFill>
                    <w14:srgbClr w14:val="000000">
                      <w14:alpha w14:val="100000"/>
                    </w14:srgbClr>
                  </w14:solidFill>
                </w14:textFill>
              </w:rPr>
              <w:t>|</w:t>
            </w:r>
            <w:r w:rsidR="00B7219E">
              <w:rPr>
                <w:bCs w:val="0"/>
                <w:szCs w:val="20"/>
                <w:vertAlign w:val="superscript"/>
              </w:rPr>
              <w:t>5</w:t>
            </w:r>
          </w:p>
        </w:tc>
        <w:tc>
          <w:tcPr>
            <w:tcW w:w="646" w:type="pct"/>
            <w:vAlign w:val="center"/>
          </w:tcPr>
          <w:p w14:paraId="4E03EFA7" w14:textId="71C2569C" w:rsidR="00F73910" w:rsidRPr="00B7219E" w:rsidRDefault="00BB281C" w:rsidP="00AA43F3">
            <w:pPr>
              <w:pStyle w:val="TableText0"/>
              <w:keepLines/>
              <w:jc w:val="center"/>
              <w:rPr>
                <w:szCs w:val="20"/>
                <w:highlight w:val="darkGray"/>
              </w:rPr>
            </w:pPr>
            <w:r w:rsidRPr="00BB281C">
              <w:rPr>
                <w:color w:val="000000"/>
                <w:spacing w:val="99"/>
                <w:szCs w:val="20"/>
                <w:shd w:val="solid" w:color="000000" w:fill="000000"/>
                <w:fitText w:val="185" w:id="-1234422520"/>
                <w14:textFill>
                  <w14:solidFill>
                    <w14:srgbClr w14:val="000000">
                      <w14:alpha w14:val="100000"/>
                    </w14:srgbClr>
                  </w14:solidFill>
                </w14:textFill>
              </w:rPr>
              <w:t>|</w:t>
            </w:r>
            <w:r w:rsidRPr="00BB281C">
              <w:rPr>
                <w:color w:val="000000"/>
                <w:spacing w:val="1"/>
                <w:szCs w:val="20"/>
                <w:shd w:val="solid" w:color="000000" w:fill="000000"/>
                <w:fitText w:val="185" w:id="-1234422520"/>
                <w14:textFill>
                  <w14:solidFill>
                    <w14:srgbClr w14:val="000000">
                      <w14:alpha w14:val="100000"/>
                    </w14:srgbClr>
                  </w14:solidFill>
                </w14:textFill>
              </w:rPr>
              <w:t>|</w:t>
            </w:r>
            <w:r w:rsidR="00B7219E">
              <w:rPr>
                <w:bCs w:val="0"/>
                <w:szCs w:val="20"/>
                <w:vertAlign w:val="superscript"/>
              </w:rPr>
              <w:t>5</w:t>
            </w:r>
          </w:p>
        </w:tc>
      </w:tr>
      <w:tr w:rsidR="00F73910" w:rsidRPr="006919A9" w14:paraId="2FF16FC0" w14:textId="77777777" w:rsidTr="00585D97">
        <w:tc>
          <w:tcPr>
            <w:tcW w:w="5000" w:type="pct"/>
            <w:gridSpan w:val="12"/>
            <w:shd w:val="clear" w:color="auto" w:fill="auto"/>
            <w:vAlign w:val="center"/>
          </w:tcPr>
          <w:p w14:paraId="12F3D9A6" w14:textId="77777777" w:rsidR="00F73910" w:rsidRPr="00B7219E" w:rsidRDefault="00F73910" w:rsidP="00AA43F3">
            <w:pPr>
              <w:pStyle w:val="In-tableHeading"/>
              <w:keepLines/>
              <w:rPr>
                <w:szCs w:val="20"/>
                <w:lang w:val="en-AU"/>
              </w:rPr>
            </w:pPr>
            <w:r w:rsidRPr="00B7219E">
              <w:rPr>
                <w:szCs w:val="20"/>
                <w:lang w:val="en-AU"/>
              </w:rPr>
              <w:t>Net financial implications</w:t>
            </w:r>
          </w:p>
        </w:tc>
      </w:tr>
      <w:tr w:rsidR="00585D97" w:rsidRPr="006919A9" w14:paraId="448DE567" w14:textId="77777777" w:rsidTr="00BB281C">
        <w:tc>
          <w:tcPr>
            <w:tcW w:w="1119" w:type="pct"/>
            <w:shd w:val="clear" w:color="auto" w:fill="auto"/>
            <w:vAlign w:val="center"/>
          </w:tcPr>
          <w:p w14:paraId="5C58E64D" w14:textId="7063DB14" w:rsidR="00F73910" w:rsidRPr="00B7219E" w:rsidRDefault="00F73910" w:rsidP="00AA43F3">
            <w:pPr>
              <w:pStyle w:val="TableText0"/>
              <w:keepLines/>
              <w:rPr>
                <w:szCs w:val="20"/>
              </w:rPr>
            </w:pPr>
            <w:r w:rsidRPr="00B7219E">
              <w:rPr>
                <w:szCs w:val="20"/>
              </w:rPr>
              <w:t>Net cost to PBS/RPBS</w:t>
            </w:r>
            <w:r w:rsidR="008316AF" w:rsidRPr="00B7219E">
              <w:rPr>
                <w:szCs w:val="20"/>
              </w:rPr>
              <w:t xml:space="preserve"> ($)</w:t>
            </w:r>
          </w:p>
        </w:tc>
        <w:tc>
          <w:tcPr>
            <w:tcW w:w="593" w:type="pct"/>
            <w:gridSpan w:val="2"/>
            <w:tcBorders>
              <w:bottom w:val="single" w:sz="4" w:space="0" w:color="auto"/>
            </w:tcBorders>
            <w:shd w:val="clear" w:color="auto" w:fill="auto"/>
          </w:tcPr>
          <w:p w14:paraId="5987F1BC" w14:textId="7266841A" w:rsidR="00F73910" w:rsidRPr="00B7219E" w:rsidRDefault="00BB281C" w:rsidP="00AA43F3">
            <w:pPr>
              <w:pStyle w:val="TableText0"/>
              <w:keepLines/>
              <w:jc w:val="center"/>
              <w:rPr>
                <w:szCs w:val="20"/>
                <w:highlight w:val="darkGray"/>
              </w:rPr>
            </w:pPr>
            <w:r w:rsidRPr="00BB281C">
              <w:rPr>
                <w:color w:val="000000"/>
                <w:spacing w:val="51"/>
                <w:szCs w:val="20"/>
                <w:shd w:val="solid" w:color="000000" w:fill="000000"/>
                <w:fitText w:val="231" w:id="-1234422519"/>
                <w14:textFill>
                  <w14:solidFill>
                    <w14:srgbClr w14:val="000000">
                      <w14:alpha w14:val="100000"/>
                    </w14:srgbClr>
                  </w14:solidFill>
                </w14:textFill>
              </w:rPr>
              <w:t>||</w:t>
            </w:r>
            <w:r w:rsidRPr="00BB281C">
              <w:rPr>
                <w:color w:val="000000"/>
                <w:spacing w:val="2"/>
                <w:szCs w:val="20"/>
                <w:shd w:val="solid" w:color="000000" w:fill="000000"/>
                <w:fitText w:val="231" w:id="-1234422519"/>
                <w14:textFill>
                  <w14:solidFill>
                    <w14:srgbClr w14:val="000000">
                      <w14:alpha w14:val="100000"/>
                    </w14:srgbClr>
                  </w14:solidFill>
                </w14:textFill>
              </w:rPr>
              <w:t>|</w:t>
            </w:r>
            <w:r w:rsidR="00B7219E">
              <w:rPr>
                <w:bCs w:val="0"/>
                <w:szCs w:val="20"/>
                <w:vertAlign w:val="superscript"/>
              </w:rPr>
              <w:t>4</w:t>
            </w:r>
          </w:p>
        </w:tc>
        <w:tc>
          <w:tcPr>
            <w:tcW w:w="660" w:type="pct"/>
            <w:tcBorders>
              <w:bottom w:val="single" w:sz="4" w:space="0" w:color="auto"/>
            </w:tcBorders>
            <w:shd w:val="clear" w:color="auto" w:fill="auto"/>
          </w:tcPr>
          <w:p w14:paraId="4F51AA5D" w14:textId="794F6115" w:rsidR="00F73910" w:rsidRPr="00B7219E" w:rsidRDefault="00BB281C" w:rsidP="00AA43F3">
            <w:pPr>
              <w:pStyle w:val="TableText0"/>
              <w:keepLines/>
              <w:jc w:val="center"/>
              <w:rPr>
                <w:szCs w:val="20"/>
                <w:highlight w:val="darkGray"/>
              </w:rPr>
            </w:pPr>
            <w:r w:rsidRPr="00BB281C">
              <w:rPr>
                <w:color w:val="000000"/>
                <w:spacing w:val="87"/>
                <w:szCs w:val="20"/>
                <w:shd w:val="solid" w:color="000000" w:fill="000000"/>
                <w:fitText w:val="173" w:id="-1234422518"/>
                <w14:textFill>
                  <w14:solidFill>
                    <w14:srgbClr w14:val="000000">
                      <w14:alpha w14:val="100000"/>
                    </w14:srgbClr>
                  </w14:solidFill>
                </w14:textFill>
              </w:rPr>
              <w:t>|</w:t>
            </w:r>
            <w:r w:rsidRPr="00BB281C">
              <w:rPr>
                <w:color w:val="000000"/>
                <w:spacing w:val="1"/>
                <w:szCs w:val="20"/>
                <w:shd w:val="solid" w:color="000000" w:fill="000000"/>
                <w:fitText w:val="173" w:id="-1234422518"/>
                <w14:textFill>
                  <w14:solidFill>
                    <w14:srgbClr w14:val="000000">
                      <w14:alpha w14:val="100000"/>
                    </w14:srgbClr>
                  </w14:solidFill>
                </w14:textFill>
              </w:rPr>
              <w:t>|</w:t>
            </w:r>
            <w:r w:rsidR="00B7219E">
              <w:rPr>
                <w:bCs w:val="0"/>
                <w:szCs w:val="20"/>
                <w:vertAlign w:val="superscript"/>
              </w:rPr>
              <w:t>5</w:t>
            </w:r>
          </w:p>
        </w:tc>
        <w:tc>
          <w:tcPr>
            <w:tcW w:w="660" w:type="pct"/>
            <w:gridSpan w:val="3"/>
            <w:tcBorders>
              <w:bottom w:val="single" w:sz="4" w:space="0" w:color="auto"/>
            </w:tcBorders>
            <w:shd w:val="clear" w:color="auto" w:fill="auto"/>
          </w:tcPr>
          <w:p w14:paraId="0B018F4D" w14:textId="27A63F76" w:rsidR="00F73910" w:rsidRPr="00B7219E" w:rsidRDefault="00BB281C" w:rsidP="00AA43F3">
            <w:pPr>
              <w:pStyle w:val="TableText0"/>
              <w:keepLines/>
              <w:jc w:val="center"/>
              <w:rPr>
                <w:szCs w:val="20"/>
                <w:highlight w:val="darkGray"/>
              </w:rPr>
            </w:pPr>
            <w:r w:rsidRPr="00BB281C">
              <w:rPr>
                <w:color w:val="000000"/>
                <w:spacing w:val="87"/>
                <w:szCs w:val="20"/>
                <w:shd w:val="solid" w:color="000000" w:fill="000000"/>
                <w:fitText w:val="173" w:id="-1234422517"/>
                <w14:textFill>
                  <w14:solidFill>
                    <w14:srgbClr w14:val="000000">
                      <w14:alpha w14:val="100000"/>
                    </w14:srgbClr>
                  </w14:solidFill>
                </w14:textFill>
              </w:rPr>
              <w:t>|</w:t>
            </w:r>
            <w:r w:rsidRPr="00BB281C">
              <w:rPr>
                <w:color w:val="000000"/>
                <w:spacing w:val="1"/>
                <w:szCs w:val="20"/>
                <w:shd w:val="solid" w:color="000000" w:fill="000000"/>
                <w:fitText w:val="173" w:id="-1234422517"/>
                <w14:textFill>
                  <w14:solidFill>
                    <w14:srgbClr w14:val="000000">
                      <w14:alpha w14:val="100000"/>
                    </w14:srgbClr>
                  </w14:solidFill>
                </w14:textFill>
              </w:rPr>
              <w:t>|</w:t>
            </w:r>
            <w:r w:rsidR="00B7219E">
              <w:rPr>
                <w:bCs w:val="0"/>
                <w:szCs w:val="20"/>
                <w:vertAlign w:val="superscript"/>
              </w:rPr>
              <w:t>5</w:t>
            </w:r>
          </w:p>
        </w:tc>
        <w:tc>
          <w:tcPr>
            <w:tcW w:w="661" w:type="pct"/>
            <w:gridSpan w:val="2"/>
            <w:tcBorders>
              <w:bottom w:val="single" w:sz="4" w:space="0" w:color="auto"/>
            </w:tcBorders>
            <w:shd w:val="clear" w:color="auto" w:fill="auto"/>
          </w:tcPr>
          <w:p w14:paraId="55E32475" w14:textId="7C506A3B" w:rsidR="00F73910" w:rsidRPr="00B7219E" w:rsidRDefault="00BB281C" w:rsidP="00AA43F3">
            <w:pPr>
              <w:pStyle w:val="TableText0"/>
              <w:keepLines/>
              <w:jc w:val="center"/>
              <w:rPr>
                <w:szCs w:val="20"/>
                <w:highlight w:val="darkGray"/>
              </w:rPr>
            </w:pPr>
            <w:r w:rsidRPr="00BB281C">
              <w:rPr>
                <w:color w:val="000000"/>
                <w:spacing w:val="87"/>
                <w:szCs w:val="20"/>
                <w:shd w:val="solid" w:color="000000" w:fill="000000"/>
                <w:fitText w:val="173" w:id="-1234422516"/>
                <w14:textFill>
                  <w14:solidFill>
                    <w14:srgbClr w14:val="000000">
                      <w14:alpha w14:val="100000"/>
                    </w14:srgbClr>
                  </w14:solidFill>
                </w14:textFill>
              </w:rPr>
              <w:t>|</w:t>
            </w:r>
            <w:r w:rsidRPr="00BB281C">
              <w:rPr>
                <w:color w:val="000000"/>
                <w:spacing w:val="1"/>
                <w:szCs w:val="20"/>
                <w:shd w:val="solid" w:color="000000" w:fill="000000"/>
                <w:fitText w:val="173" w:id="-1234422516"/>
                <w14:textFill>
                  <w14:solidFill>
                    <w14:srgbClr w14:val="000000">
                      <w14:alpha w14:val="100000"/>
                    </w14:srgbClr>
                  </w14:solidFill>
                </w14:textFill>
              </w:rPr>
              <w:t>|</w:t>
            </w:r>
            <w:r w:rsidR="00B7219E">
              <w:rPr>
                <w:bCs w:val="0"/>
                <w:szCs w:val="20"/>
                <w:vertAlign w:val="superscript"/>
              </w:rPr>
              <w:t>5</w:t>
            </w:r>
          </w:p>
        </w:tc>
        <w:tc>
          <w:tcPr>
            <w:tcW w:w="661" w:type="pct"/>
            <w:gridSpan w:val="2"/>
            <w:tcBorders>
              <w:bottom w:val="single" w:sz="4" w:space="0" w:color="auto"/>
            </w:tcBorders>
            <w:shd w:val="clear" w:color="auto" w:fill="auto"/>
          </w:tcPr>
          <w:p w14:paraId="05FA9225" w14:textId="208E8235" w:rsidR="00F73910" w:rsidRPr="00B7219E" w:rsidRDefault="00BB281C" w:rsidP="00AA43F3">
            <w:pPr>
              <w:pStyle w:val="TableText0"/>
              <w:keepLines/>
              <w:jc w:val="center"/>
              <w:rPr>
                <w:szCs w:val="20"/>
                <w:highlight w:val="darkGray"/>
              </w:rPr>
            </w:pPr>
            <w:r w:rsidRPr="00BB281C">
              <w:rPr>
                <w:color w:val="000000"/>
                <w:spacing w:val="87"/>
                <w:szCs w:val="20"/>
                <w:shd w:val="solid" w:color="000000" w:fill="000000"/>
                <w:fitText w:val="173" w:id="-1234422515"/>
                <w14:textFill>
                  <w14:solidFill>
                    <w14:srgbClr w14:val="000000">
                      <w14:alpha w14:val="100000"/>
                    </w14:srgbClr>
                  </w14:solidFill>
                </w14:textFill>
              </w:rPr>
              <w:t>|</w:t>
            </w:r>
            <w:r w:rsidRPr="00BB281C">
              <w:rPr>
                <w:color w:val="000000"/>
                <w:spacing w:val="1"/>
                <w:szCs w:val="20"/>
                <w:shd w:val="solid" w:color="000000" w:fill="000000"/>
                <w:fitText w:val="173" w:id="-1234422515"/>
                <w14:textFill>
                  <w14:solidFill>
                    <w14:srgbClr w14:val="000000">
                      <w14:alpha w14:val="100000"/>
                    </w14:srgbClr>
                  </w14:solidFill>
                </w14:textFill>
              </w:rPr>
              <w:t>|</w:t>
            </w:r>
            <w:r w:rsidR="00B7219E">
              <w:rPr>
                <w:bCs w:val="0"/>
                <w:szCs w:val="20"/>
                <w:vertAlign w:val="superscript"/>
              </w:rPr>
              <w:t>5</w:t>
            </w:r>
          </w:p>
        </w:tc>
        <w:tc>
          <w:tcPr>
            <w:tcW w:w="646" w:type="pct"/>
            <w:tcBorders>
              <w:bottom w:val="single" w:sz="4" w:space="0" w:color="auto"/>
            </w:tcBorders>
          </w:tcPr>
          <w:p w14:paraId="78C54FA8" w14:textId="4DEC3297" w:rsidR="00F73910" w:rsidRPr="00B7219E" w:rsidRDefault="00BB281C" w:rsidP="00AA43F3">
            <w:pPr>
              <w:pStyle w:val="TableText0"/>
              <w:keepLines/>
              <w:jc w:val="center"/>
              <w:rPr>
                <w:szCs w:val="20"/>
                <w:highlight w:val="darkGray"/>
              </w:rPr>
            </w:pPr>
            <w:r w:rsidRPr="00BB281C">
              <w:rPr>
                <w:color w:val="000000"/>
                <w:spacing w:val="99"/>
                <w:szCs w:val="20"/>
                <w:shd w:val="solid" w:color="000000" w:fill="000000"/>
                <w:fitText w:val="185" w:id="-1234422514"/>
                <w14:textFill>
                  <w14:solidFill>
                    <w14:srgbClr w14:val="000000">
                      <w14:alpha w14:val="100000"/>
                    </w14:srgbClr>
                  </w14:solidFill>
                </w14:textFill>
              </w:rPr>
              <w:t>|</w:t>
            </w:r>
            <w:r w:rsidRPr="00BB281C">
              <w:rPr>
                <w:color w:val="000000"/>
                <w:spacing w:val="1"/>
                <w:szCs w:val="20"/>
                <w:shd w:val="solid" w:color="000000" w:fill="000000"/>
                <w:fitText w:val="185" w:id="-1234422514"/>
                <w14:textFill>
                  <w14:solidFill>
                    <w14:srgbClr w14:val="000000">
                      <w14:alpha w14:val="100000"/>
                    </w14:srgbClr>
                  </w14:solidFill>
                </w14:textFill>
              </w:rPr>
              <w:t>|</w:t>
            </w:r>
            <w:r w:rsidR="00B7219E">
              <w:rPr>
                <w:bCs w:val="0"/>
                <w:szCs w:val="20"/>
                <w:vertAlign w:val="superscript"/>
              </w:rPr>
              <w:t>5</w:t>
            </w:r>
          </w:p>
        </w:tc>
      </w:tr>
      <w:tr w:rsidR="009F6119" w:rsidRPr="00B7219E" w14:paraId="6B9AFC43" w14:textId="77777777" w:rsidTr="00C40758">
        <w:tc>
          <w:tcPr>
            <w:tcW w:w="1119" w:type="pct"/>
            <w:shd w:val="clear" w:color="auto" w:fill="auto"/>
            <w:vAlign w:val="center"/>
          </w:tcPr>
          <w:p w14:paraId="29F45651" w14:textId="7183C2C6" w:rsidR="009F6119" w:rsidRPr="00B7219E" w:rsidRDefault="009F6119" w:rsidP="00C40758">
            <w:pPr>
              <w:pStyle w:val="TableText0"/>
              <w:keepLines/>
              <w:rPr>
                <w:szCs w:val="20"/>
              </w:rPr>
            </w:pPr>
            <w:r w:rsidRPr="00B7219E">
              <w:rPr>
                <w:szCs w:val="20"/>
              </w:rPr>
              <w:t>Net cost to MBS ($)</w:t>
            </w:r>
          </w:p>
        </w:tc>
        <w:tc>
          <w:tcPr>
            <w:tcW w:w="593" w:type="pct"/>
            <w:gridSpan w:val="2"/>
            <w:shd w:val="clear" w:color="auto" w:fill="auto"/>
          </w:tcPr>
          <w:p w14:paraId="1DA030C7" w14:textId="7C575E6F" w:rsidR="009F6119" w:rsidRPr="00946CCB" w:rsidRDefault="009F6119" w:rsidP="00C40758">
            <w:pPr>
              <w:pStyle w:val="TableText0"/>
              <w:keepLines/>
              <w:jc w:val="center"/>
              <w:rPr>
                <w:szCs w:val="20"/>
                <w:vertAlign w:val="superscript"/>
              </w:rPr>
            </w:pPr>
            <w:r w:rsidRPr="00946CCB">
              <w:rPr>
                <w:spacing w:val="26"/>
                <w:szCs w:val="20"/>
                <w:shd w:val="solid" w:color="000000" w:fill="000000"/>
                <w:fitText w:val="664" w:id="-1221925632"/>
                <w14:textFill>
                  <w14:solidFill>
                    <w14:srgbClr w14:val="000000">
                      <w14:alpha w14:val="100000"/>
                    </w14:srgbClr>
                  </w14:solidFill>
                </w14:textFill>
              </w:rPr>
              <w:t>|||||||||</w:t>
            </w:r>
            <w:r w:rsidRPr="00946CCB">
              <w:rPr>
                <w:spacing w:val="5"/>
                <w:szCs w:val="20"/>
                <w:shd w:val="solid" w:color="000000" w:fill="000000"/>
                <w:fitText w:val="664" w:id="-1221925632"/>
                <w14:textFill>
                  <w14:solidFill>
                    <w14:srgbClr w14:val="000000">
                      <w14:alpha w14:val="100000"/>
                    </w14:srgbClr>
                  </w14:solidFill>
                </w14:textFill>
              </w:rPr>
              <w:t>|</w:t>
            </w:r>
            <w:r w:rsidRPr="00946CCB">
              <w:rPr>
                <w:szCs w:val="20"/>
                <w:vertAlign w:val="superscript"/>
              </w:rPr>
              <w:t>6</w:t>
            </w:r>
          </w:p>
        </w:tc>
        <w:tc>
          <w:tcPr>
            <w:tcW w:w="660" w:type="pct"/>
            <w:shd w:val="clear" w:color="auto" w:fill="auto"/>
          </w:tcPr>
          <w:p w14:paraId="257C037C" w14:textId="7BAE190C" w:rsidR="009F6119" w:rsidRPr="00946CCB" w:rsidRDefault="00946CCB" w:rsidP="00C40758">
            <w:pPr>
              <w:pStyle w:val="TableText0"/>
              <w:keepLines/>
              <w:jc w:val="center"/>
              <w:rPr>
                <w:szCs w:val="20"/>
              </w:rPr>
            </w:pPr>
            <w:r w:rsidRPr="00946CCB">
              <w:rPr>
                <w:spacing w:val="36"/>
                <w:szCs w:val="20"/>
                <w:shd w:val="solid" w:color="000000" w:fill="000000"/>
                <w:fitText w:val="599" w:id="-1221925376"/>
                <w14:textFill>
                  <w14:solidFill>
                    <w14:srgbClr w14:val="000000">
                      <w14:alpha w14:val="100000"/>
                    </w14:srgbClr>
                  </w14:solidFill>
                </w14:textFill>
              </w:rPr>
              <w:t>|||||||</w:t>
            </w:r>
            <w:r w:rsidRPr="00946CCB">
              <w:rPr>
                <w:spacing w:val="7"/>
                <w:szCs w:val="20"/>
                <w:shd w:val="solid" w:color="000000" w:fill="000000"/>
                <w:fitText w:val="599" w:id="-1221925376"/>
                <w14:textFill>
                  <w14:solidFill>
                    <w14:srgbClr w14:val="000000">
                      <w14:alpha w14:val="100000"/>
                    </w14:srgbClr>
                  </w14:solidFill>
                </w14:textFill>
              </w:rPr>
              <w:t>|</w:t>
            </w:r>
            <w:r w:rsidR="009F6119" w:rsidRPr="00946CCB">
              <w:rPr>
                <w:szCs w:val="20"/>
                <w:vertAlign w:val="superscript"/>
              </w:rPr>
              <w:t>6</w:t>
            </w:r>
          </w:p>
        </w:tc>
        <w:tc>
          <w:tcPr>
            <w:tcW w:w="660" w:type="pct"/>
            <w:gridSpan w:val="3"/>
            <w:shd w:val="clear" w:color="auto" w:fill="auto"/>
          </w:tcPr>
          <w:p w14:paraId="219E6093" w14:textId="04ABD2F7" w:rsidR="009F6119" w:rsidRPr="00946CCB" w:rsidRDefault="00946CCB" w:rsidP="00C40758">
            <w:pPr>
              <w:pStyle w:val="TableText0"/>
              <w:keepLines/>
              <w:jc w:val="center"/>
              <w:rPr>
                <w:szCs w:val="20"/>
              </w:rPr>
            </w:pPr>
            <w:r w:rsidRPr="00946CCB">
              <w:rPr>
                <w:spacing w:val="50"/>
                <w:szCs w:val="20"/>
                <w:shd w:val="solid" w:color="000000" w:fill="000000"/>
                <w:fitText w:val="510" w:id="-1221925375"/>
                <w14:textFill>
                  <w14:solidFill>
                    <w14:srgbClr w14:val="000000">
                      <w14:alpha w14:val="100000"/>
                    </w14:srgbClr>
                  </w14:solidFill>
                </w14:textFill>
              </w:rPr>
              <w:t>|||||</w:t>
            </w:r>
            <w:r w:rsidRPr="00946CCB">
              <w:rPr>
                <w:spacing w:val="5"/>
                <w:szCs w:val="20"/>
                <w:shd w:val="solid" w:color="000000" w:fill="000000"/>
                <w:fitText w:val="510" w:id="-1221925375"/>
                <w14:textFill>
                  <w14:solidFill>
                    <w14:srgbClr w14:val="000000">
                      <w14:alpha w14:val="100000"/>
                    </w14:srgbClr>
                  </w14:solidFill>
                </w14:textFill>
              </w:rPr>
              <w:t>|</w:t>
            </w:r>
            <w:r w:rsidR="009F6119" w:rsidRPr="00946CCB">
              <w:rPr>
                <w:szCs w:val="20"/>
                <w:vertAlign w:val="superscript"/>
              </w:rPr>
              <w:t>6</w:t>
            </w:r>
          </w:p>
        </w:tc>
        <w:tc>
          <w:tcPr>
            <w:tcW w:w="661" w:type="pct"/>
            <w:gridSpan w:val="2"/>
            <w:shd w:val="clear" w:color="auto" w:fill="auto"/>
          </w:tcPr>
          <w:p w14:paraId="53EBA78A" w14:textId="5BE314D4" w:rsidR="009F6119" w:rsidRPr="00946CCB" w:rsidRDefault="00946CCB" w:rsidP="00C40758">
            <w:pPr>
              <w:pStyle w:val="TableText0"/>
              <w:keepLines/>
              <w:jc w:val="center"/>
              <w:rPr>
                <w:szCs w:val="20"/>
              </w:rPr>
            </w:pPr>
            <w:r w:rsidRPr="00946CCB">
              <w:rPr>
                <w:spacing w:val="39"/>
                <w:szCs w:val="20"/>
                <w:shd w:val="solid" w:color="000000" w:fill="000000"/>
                <w:fitText w:val="620" w:id="-1221925120"/>
                <w14:textFill>
                  <w14:solidFill>
                    <w14:srgbClr w14:val="000000">
                      <w14:alpha w14:val="100000"/>
                    </w14:srgbClr>
                  </w14:solidFill>
                </w14:textFill>
              </w:rPr>
              <w:t>|||||||</w:t>
            </w:r>
            <w:r w:rsidRPr="00946CCB">
              <w:rPr>
                <w:spacing w:val="7"/>
                <w:szCs w:val="20"/>
                <w:shd w:val="solid" w:color="000000" w:fill="000000"/>
                <w:fitText w:val="620" w:id="-1221925120"/>
                <w14:textFill>
                  <w14:solidFill>
                    <w14:srgbClr w14:val="000000">
                      <w14:alpha w14:val="100000"/>
                    </w14:srgbClr>
                  </w14:solidFill>
                </w14:textFill>
              </w:rPr>
              <w:t>|</w:t>
            </w:r>
            <w:r w:rsidRPr="00946CCB">
              <w:rPr>
                <w:szCs w:val="20"/>
              </w:rPr>
              <w:t xml:space="preserve"> </w:t>
            </w:r>
            <w:r w:rsidR="009F6119" w:rsidRPr="00946CCB">
              <w:rPr>
                <w:szCs w:val="20"/>
                <w:vertAlign w:val="superscript"/>
              </w:rPr>
              <w:t>6</w:t>
            </w:r>
          </w:p>
        </w:tc>
        <w:tc>
          <w:tcPr>
            <w:tcW w:w="661" w:type="pct"/>
            <w:gridSpan w:val="2"/>
            <w:shd w:val="clear" w:color="auto" w:fill="auto"/>
          </w:tcPr>
          <w:p w14:paraId="1287458F" w14:textId="4F3B7986" w:rsidR="009F6119" w:rsidRPr="00946CCB" w:rsidRDefault="00946CCB" w:rsidP="00C40758">
            <w:pPr>
              <w:pStyle w:val="TableText0"/>
              <w:keepLines/>
              <w:jc w:val="center"/>
              <w:rPr>
                <w:szCs w:val="20"/>
              </w:rPr>
            </w:pPr>
            <w:r w:rsidRPr="00946CCB">
              <w:rPr>
                <w:spacing w:val="40"/>
                <w:szCs w:val="20"/>
                <w:shd w:val="solid" w:color="000000" w:fill="000000"/>
                <w:fitText w:val="621" w:id="-1221925119"/>
                <w14:textFill>
                  <w14:solidFill>
                    <w14:srgbClr w14:val="000000">
                      <w14:alpha w14:val="100000"/>
                    </w14:srgbClr>
                  </w14:solidFill>
                </w14:textFill>
              </w:rPr>
              <w:t>|||||||</w:t>
            </w:r>
            <w:r w:rsidRPr="00946CCB">
              <w:rPr>
                <w:spacing w:val="1"/>
                <w:szCs w:val="20"/>
                <w:shd w:val="solid" w:color="000000" w:fill="000000"/>
                <w:fitText w:val="621" w:id="-1221925119"/>
                <w14:textFill>
                  <w14:solidFill>
                    <w14:srgbClr w14:val="000000">
                      <w14:alpha w14:val="100000"/>
                    </w14:srgbClr>
                  </w14:solidFill>
                </w14:textFill>
              </w:rPr>
              <w:t>|</w:t>
            </w:r>
            <w:r w:rsidRPr="00946CCB">
              <w:rPr>
                <w:szCs w:val="20"/>
              </w:rPr>
              <w:t xml:space="preserve"> </w:t>
            </w:r>
            <w:r w:rsidR="009F6119" w:rsidRPr="00946CCB">
              <w:rPr>
                <w:szCs w:val="20"/>
                <w:vertAlign w:val="superscript"/>
              </w:rPr>
              <w:t>6</w:t>
            </w:r>
          </w:p>
        </w:tc>
        <w:tc>
          <w:tcPr>
            <w:tcW w:w="646" w:type="pct"/>
          </w:tcPr>
          <w:p w14:paraId="6A842C0E" w14:textId="12D03AD3" w:rsidR="009F6119" w:rsidRPr="00946CCB" w:rsidRDefault="00946CCB" w:rsidP="00C40758">
            <w:pPr>
              <w:pStyle w:val="TableText0"/>
              <w:keepLines/>
              <w:jc w:val="center"/>
              <w:rPr>
                <w:szCs w:val="20"/>
              </w:rPr>
            </w:pPr>
            <w:r w:rsidRPr="00946CCB">
              <w:rPr>
                <w:spacing w:val="41"/>
                <w:szCs w:val="20"/>
                <w:shd w:val="solid" w:color="000000" w:fill="000000"/>
                <w:fitText w:val="631" w:id="-1221925118"/>
                <w14:textFill>
                  <w14:solidFill>
                    <w14:srgbClr w14:val="000000">
                      <w14:alpha w14:val="100000"/>
                    </w14:srgbClr>
                  </w14:solidFill>
                </w14:textFill>
              </w:rPr>
              <w:t>|||||||</w:t>
            </w:r>
            <w:r w:rsidRPr="00946CCB">
              <w:rPr>
                <w:spacing w:val="4"/>
                <w:szCs w:val="20"/>
                <w:shd w:val="solid" w:color="000000" w:fill="000000"/>
                <w:fitText w:val="631" w:id="-1221925118"/>
                <w14:textFill>
                  <w14:solidFill>
                    <w14:srgbClr w14:val="000000">
                      <w14:alpha w14:val="100000"/>
                    </w14:srgbClr>
                  </w14:solidFill>
                </w14:textFill>
              </w:rPr>
              <w:t>|</w:t>
            </w:r>
            <w:r w:rsidRPr="00946CCB">
              <w:rPr>
                <w:szCs w:val="20"/>
              </w:rPr>
              <w:t xml:space="preserve"> </w:t>
            </w:r>
            <w:r w:rsidR="009F6119" w:rsidRPr="00946CCB">
              <w:rPr>
                <w:szCs w:val="20"/>
                <w:vertAlign w:val="superscript"/>
              </w:rPr>
              <w:t>6</w:t>
            </w:r>
          </w:p>
        </w:tc>
      </w:tr>
      <w:tr w:rsidR="00585D97" w:rsidRPr="00F73910" w14:paraId="14B0AC1F" w14:textId="77777777" w:rsidTr="00AA43F3">
        <w:tc>
          <w:tcPr>
            <w:tcW w:w="1119" w:type="pct"/>
            <w:shd w:val="clear" w:color="auto" w:fill="auto"/>
            <w:vAlign w:val="center"/>
          </w:tcPr>
          <w:p w14:paraId="3A5A8EC7" w14:textId="66D424DB" w:rsidR="00F73910" w:rsidRPr="00B7219E" w:rsidRDefault="00F73910" w:rsidP="00AA43F3">
            <w:pPr>
              <w:pStyle w:val="TableText0"/>
              <w:keepLines/>
              <w:rPr>
                <w:szCs w:val="20"/>
              </w:rPr>
            </w:pPr>
            <w:r w:rsidRPr="00B7219E">
              <w:rPr>
                <w:szCs w:val="20"/>
              </w:rPr>
              <w:t>Net cost to PBS/RPBS/MBS</w:t>
            </w:r>
            <w:r w:rsidR="008316AF" w:rsidRPr="00B7219E">
              <w:rPr>
                <w:szCs w:val="20"/>
              </w:rPr>
              <w:t xml:space="preserve"> ($)</w:t>
            </w:r>
          </w:p>
        </w:tc>
        <w:tc>
          <w:tcPr>
            <w:tcW w:w="593" w:type="pct"/>
            <w:gridSpan w:val="2"/>
            <w:shd w:val="clear" w:color="auto" w:fill="auto"/>
            <w:vAlign w:val="bottom"/>
          </w:tcPr>
          <w:p w14:paraId="3F2434DF" w14:textId="66170266" w:rsidR="00F73910" w:rsidRPr="00B7219E" w:rsidRDefault="00BB281C" w:rsidP="00AA43F3">
            <w:pPr>
              <w:pStyle w:val="TableText0"/>
              <w:keepLines/>
              <w:jc w:val="center"/>
              <w:rPr>
                <w:b/>
                <w:szCs w:val="20"/>
                <w:highlight w:val="darkGray"/>
              </w:rPr>
            </w:pPr>
            <w:r w:rsidRPr="00BB281C">
              <w:rPr>
                <w:b/>
                <w:color w:val="000000"/>
                <w:spacing w:val="208"/>
                <w:szCs w:val="20"/>
                <w:shd w:val="solid" w:color="000000" w:fill="000000"/>
                <w:fitText w:val="300" w:id="-1234422524"/>
                <w14:textFill>
                  <w14:solidFill>
                    <w14:srgbClr w14:val="000000">
                      <w14:alpha w14:val="100000"/>
                    </w14:srgbClr>
                  </w14:solidFill>
                </w14:textFill>
              </w:rPr>
              <w:t>|</w:t>
            </w:r>
            <w:r w:rsidRPr="00BB281C">
              <w:rPr>
                <w:b/>
                <w:color w:val="000000"/>
                <w:spacing w:val="1"/>
                <w:szCs w:val="20"/>
                <w:shd w:val="solid" w:color="000000" w:fill="000000"/>
                <w:fitText w:val="300" w:id="-1234422524"/>
                <w14:textFill>
                  <w14:solidFill>
                    <w14:srgbClr w14:val="000000">
                      <w14:alpha w14:val="100000"/>
                    </w14:srgbClr>
                  </w14:solidFill>
                </w14:textFill>
              </w:rPr>
              <w:t>|</w:t>
            </w:r>
            <w:r w:rsidR="00B7219E" w:rsidRPr="00A47E82">
              <w:rPr>
                <w:bCs w:val="0"/>
                <w:szCs w:val="20"/>
                <w:vertAlign w:val="superscript"/>
              </w:rPr>
              <w:t>4</w:t>
            </w:r>
          </w:p>
        </w:tc>
        <w:tc>
          <w:tcPr>
            <w:tcW w:w="660" w:type="pct"/>
            <w:shd w:val="clear" w:color="auto" w:fill="auto"/>
            <w:vAlign w:val="bottom"/>
          </w:tcPr>
          <w:p w14:paraId="6B0D1AE9" w14:textId="4531F1C4" w:rsidR="00F73910" w:rsidRPr="00B7219E" w:rsidRDefault="00BB281C" w:rsidP="00AA43F3">
            <w:pPr>
              <w:pStyle w:val="TableText0"/>
              <w:keepLines/>
              <w:jc w:val="center"/>
              <w:rPr>
                <w:szCs w:val="20"/>
                <w:highlight w:val="darkGray"/>
              </w:rPr>
            </w:pPr>
            <w:r w:rsidRPr="00BB281C">
              <w:rPr>
                <w:b/>
                <w:color w:val="000000"/>
                <w:spacing w:val="46"/>
                <w:szCs w:val="20"/>
                <w:shd w:val="solid" w:color="000000" w:fill="000000"/>
                <w:fitText w:val="230" w:id="-1234422523"/>
                <w14:textFill>
                  <w14:solidFill>
                    <w14:srgbClr w14:val="000000">
                      <w14:alpha w14:val="100000"/>
                    </w14:srgbClr>
                  </w14:solidFill>
                </w14:textFill>
              </w:rPr>
              <w:t>||</w:t>
            </w:r>
            <w:r w:rsidRPr="00BB281C">
              <w:rPr>
                <w:b/>
                <w:color w:val="000000"/>
                <w:spacing w:val="1"/>
                <w:szCs w:val="20"/>
                <w:shd w:val="solid" w:color="000000" w:fill="000000"/>
                <w:fitText w:val="230" w:id="-1234422523"/>
                <w14:textFill>
                  <w14:solidFill>
                    <w14:srgbClr w14:val="000000">
                      <w14:alpha w14:val="100000"/>
                    </w14:srgbClr>
                  </w14:solidFill>
                </w14:textFill>
              </w:rPr>
              <w:t>|</w:t>
            </w:r>
            <w:r w:rsidR="00B7219E">
              <w:rPr>
                <w:bCs w:val="0"/>
                <w:szCs w:val="20"/>
                <w:vertAlign w:val="superscript"/>
              </w:rPr>
              <w:t>5</w:t>
            </w:r>
          </w:p>
        </w:tc>
        <w:tc>
          <w:tcPr>
            <w:tcW w:w="660" w:type="pct"/>
            <w:gridSpan w:val="3"/>
            <w:shd w:val="clear" w:color="auto" w:fill="auto"/>
            <w:vAlign w:val="bottom"/>
          </w:tcPr>
          <w:p w14:paraId="70CE5CEB" w14:textId="0B6BD01F" w:rsidR="00F73910" w:rsidRPr="00B7219E" w:rsidRDefault="00BB281C" w:rsidP="00AA43F3">
            <w:pPr>
              <w:pStyle w:val="TableText0"/>
              <w:keepLines/>
              <w:jc w:val="center"/>
              <w:rPr>
                <w:szCs w:val="20"/>
                <w:highlight w:val="darkGray"/>
              </w:rPr>
            </w:pPr>
            <w:r w:rsidRPr="00BB281C">
              <w:rPr>
                <w:b/>
                <w:color w:val="000000"/>
                <w:spacing w:val="46"/>
                <w:szCs w:val="20"/>
                <w:shd w:val="solid" w:color="000000" w:fill="000000"/>
                <w:fitText w:val="230" w:id="-1234422522"/>
                <w14:textFill>
                  <w14:solidFill>
                    <w14:srgbClr w14:val="000000">
                      <w14:alpha w14:val="100000"/>
                    </w14:srgbClr>
                  </w14:solidFill>
                </w14:textFill>
              </w:rPr>
              <w:t>||</w:t>
            </w:r>
            <w:r w:rsidRPr="00BB281C">
              <w:rPr>
                <w:b/>
                <w:color w:val="000000"/>
                <w:spacing w:val="1"/>
                <w:szCs w:val="20"/>
                <w:shd w:val="solid" w:color="000000" w:fill="000000"/>
                <w:fitText w:val="230" w:id="-1234422522"/>
                <w14:textFill>
                  <w14:solidFill>
                    <w14:srgbClr w14:val="000000">
                      <w14:alpha w14:val="100000"/>
                    </w14:srgbClr>
                  </w14:solidFill>
                </w14:textFill>
              </w:rPr>
              <w:t>|</w:t>
            </w:r>
            <w:r w:rsidR="00B7219E">
              <w:rPr>
                <w:bCs w:val="0"/>
                <w:szCs w:val="20"/>
                <w:vertAlign w:val="superscript"/>
              </w:rPr>
              <w:t>5</w:t>
            </w:r>
          </w:p>
        </w:tc>
        <w:tc>
          <w:tcPr>
            <w:tcW w:w="661" w:type="pct"/>
            <w:gridSpan w:val="2"/>
            <w:shd w:val="clear" w:color="auto" w:fill="auto"/>
            <w:vAlign w:val="bottom"/>
          </w:tcPr>
          <w:p w14:paraId="37CFA260" w14:textId="6678BE18" w:rsidR="00F73910" w:rsidRPr="00B7219E" w:rsidRDefault="00BB281C" w:rsidP="00AA43F3">
            <w:pPr>
              <w:pStyle w:val="TableText0"/>
              <w:keepLines/>
              <w:jc w:val="center"/>
              <w:rPr>
                <w:szCs w:val="20"/>
                <w:highlight w:val="darkGray"/>
              </w:rPr>
            </w:pPr>
            <w:r w:rsidRPr="00BB281C">
              <w:rPr>
                <w:b/>
                <w:color w:val="000000"/>
                <w:spacing w:val="40"/>
                <w:szCs w:val="20"/>
                <w:shd w:val="solid" w:color="000000" w:fill="000000"/>
                <w:fitText w:val="219" w:id="-1234422521"/>
                <w14:textFill>
                  <w14:solidFill>
                    <w14:srgbClr w14:val="000000">
                      <w14:alpha w14:val="100000"/>
                    </w14:srgbClr>
                  </w14:solidFill>
                </w14:textFill>
              </w:rPr>
              <w:t>||</w:t>
            </w:r>
            <w:r w:rsidRPr="00BB281C">
              <w:rPr>
                <w:b/>
                <w:color w:val="000000"/>
                <w:spacing w:val="2"/>
                <w:szCs w:val="20"/>
                <w:shd w:val="solid" w:color="000000" w:fill="000000"/>
                <w:fitText w:val="219" w:id="-1234422521"/>
                <w14:textFill>
                  <w14:solidFill>
                    <w14:srgbClr w14:val="000000">
                      <w14:alpha w14:val="100000"/>
                    </w14:srgbClr>
                  </w14:solidFill>
                </w14:textFill>
              </w:rPr>
              <w:t>|</w:t>
            </w:r>
            <w:r w:rsidR="00B7219E">
              <w:rPr>
                <w:bCs w:val="0"/>
                <w:szCs w:val="20"/>
                <w:vertAlign w:val="superscript"/>
              </w:rPr>
              <w:t>5</w:t>
            </w:r>
          </w:p>
        </w:tc>
        <w:tc>
          <w:tcPr>
            <w:tcW w:w="661" w:type="pct"/>
            <w:gridSpan w:val="2"/>
            <w:shd w:val="clear" w:color="auto" w:fill="auto"/>
            <w:vAlign w:val="bottom"/>
          </w:tcPr>
          <w:p w14:paraId="33951238" w14:textId="7FFF7AD2" w:rsidR="00F73910" w:rsidRPr="00B7219E" w:rsidRDefault="00BB281C" w:rsidP="00AA43F3">
            <w:pPr>
              <w:pStyle w:val="TableText0"/>
              <w:keepLines/>
              <w:jc w:val="center"/>
              <w:rPr>
                <w:szCs w:val="20"/>
                <w:highlight w:val="darkGray"/>
              </w:rPr>
            </w:pPr>
            <w:r w:rsidRPr="00BB281C">
              <w:rPr>
                <w:b/>
                <w:color w:val="000000"/>
                <w:spacing w:val="46"/>
                <w:szCs w:val="20"/>
                <w:shd w:val="solid" w:color="000000" w:fill="000000"/>
                <w:fitText w:val="231" w:id="-1234422520"/>
                <w14:textFill>
                  <w14:solidFill>
                    <w14:srgbClr w14:val="000000">
                      <w14:alpha w14:val="100000"/>
                    </w14:srgbClr>
                  </w14:solidFill>
                </w14:textFill>
              </w:rPr>
              <w:t>||</w:t>
            </w:r>
            <w:r w:rsidRPr="00BB281C">
              <w:rPr>
                <w:b/>
                <w:color w:val="000000"/>
                <w:spacing w:val="2"/>
                <w:szCs w:val="20"/>
                <w:shd w:val="solid" w:color="000000" w:fill="000000"/>
                <w:fitText w:val="231" w:id="-1234422520"/>
                <w14:textFill>
                  <w14:solidFill>
                    <w14:srgbClr w14:val="000000">
                      <w14:alpha w14:val="100000"/>
                    </w14:srgbClr>
                  </w14:solidFill>
                </w14:textFill>
              </w:rPr>
              <w:t>|</w:t>
            </w:r>
            <w:r w:rsidR="00B7219E">
              <w:rPr>
                <w:bCs w:val="0"/>
                <w:szCs w:val="20"/>
                <w:vertAlign w:val="superscript"/>
              </w:rPr>
              <w:t>5</w:t>
            </w:r>
          </w:p>
        </w:tc>
        <w:tc>
          <w:tcPr>
            <w:tcW w:w="646" w:type="pct"/>
            <w:vAlign w:val="bottom"/>
          </w:tcPr>
          <w:p w14:paraId="78E8C3E9" w14:textId="41E9EAC3" w:rsidR="00F73910" w:rsidRPr="00B7219E" w:rsidRDefault="00BB281C" w:rsidP="00AA43F3">
            <w:pPr>
              <w:pStyle w:val="TableText0"/>
              <w:keepLines/>
              <w:jc w:val="center"/>
              <w:rPr>
                <w:szCs w:val="20"/>
                <w:highlight w:val="darkGray"/>
              </w:rPr>
            </w:pPr>
            <w:r w:rsidRPr="00BB281C">
              <w:rPr>
                <w:b/>
                <w:color w:val="000000"/>
                <w:spacing w:val="150"/>
                <w:szCs w:val="20"/>
                <w:shd w:val="solid" w:color="000000" w:fill="000000"/>
                <w:fitText w:val="242" w:id="-1234422272"/>
                <w14:textFill>
                  <w14:solidFill>
                    <w14:srgbClr w14:val="000000">
                      <w14:alpha w14:val="100000"/>
                    </w14:srgbClr>
                  </w14:solidFill>
                </w14:textFill>
              </w:rPr>
              <w:t>|</w:t>
            </w:r>
            <w:r w:rsidRPr="00BB281C">
              <w:rPr>
                <w:b/>
                <w:color w:val="000000"/>
                <w:spacing w:val="1"/>
                <w:szCs w:val="20"/>
                <w:shd w:val="solid" w:color="000000" w:fill="000000"/>
                <w:fitText w:val="242" w:id="-1234422272"/>
                <w14:textFill>
                  <w14:solidFill>
                    <w14:srgbClr w14:val="000000">
                      <w14:alpha w14:val="100000"/>
                    </w14:srgbClr>
                  </w14:solidFill>
                </w14:textFill>
              </w:rPr>
              <w:t>|</w:t>
            </w:r>
            <w:r w:rsidR="00B7219E">
              <w:rPr>
                <w:bCs w:val="0"/>
                <w:szCs w:val="20"/>
                <w:vertAlign w:val="superscript"/>
              </w:rPr>
              <w:t>5</w:t>
            </w:r>
          </w:p>
        </w:tc>
      </w:tr>
      <w:tr w:rsidR="00585D97" w:rsidRPr="007206E2" w14:paraId="1A22978B" w14:textId="77777777" w:rsidTr="00AA43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9" w:type="dxa"/>
            <w:right w:w="29" w:type="dxa"/>
          </w:tblCellMar>
        </w:tblPrEx>
        <w:tc>
          <w:tcPr>
            <w:tcW w:w="1475" w:type="pct"/>
            <w:gridSpan w:val="2"/>
            <w:tcBorders>
              <w:top w:val="single" w:sz="4" w:space="0" w:color="000000"/>
              <w:left w:val="single" w:sz="4" w:space="0" w:color="000000"/>
              <w:bottom w:val="single" w:sz="4" w:space="0" w:color="000000"/>
              <w:right w:val="nil"/>
            </w:tcBorders>
            <w:shd w:val="clear" w:color="auto" w:fill="auto"/>
            <w:vAlign w:val="center"/>
          </w:tcPr>
          <w:p w14:paraId="573DBC27" w14:textId="3433B883" w:rsidR="007206E2" w:rsidRPr="00B7219E" w:rsidRDefault="007206E2" w:rsidP="00AA43F3">
            <w:pPr>
              <w:pStyle w:val="Tabletext"/>
              <w:keepNext/>
              <w:keepLines/>
              <w:rPr>
                <w:b/>
                <w:bCs/>
                <w:szCs w:val="20"/>
              </w:rPr>
            </w:pPr>
            <w:r w:rsidRPr="00B7219E">
              <w:rPr>
                <w:b/>
                <w:bCs/>
                <w:szCs w:val="20"/>
              </w:rPr>
              <w:t>PSCR updated estimates</w:t>
            </w:r>
          </w:p>
        </w:tc>
        <w:tc>
          <w:tcPr>
            <w:tcW w:w="237" w:type="pct"/>
            <w:tcBorders>
              <w:top w:val="single" w:sz="4" w:space="0" w:color="000000"/>
              <w:left w:val="nil"/>
              <w:bottom w:val="single" w:sz="4" w:space="0" w:color="000000"/>
              <w:right w:val="nil"/>
            </w:tcBorders>
            <w:shd w:val="clear" w:color="auto" w:fill="auto"/>
            <w:noWrap/>
            <w:vAlign w:val="center"/>
          </w:tcPr>
          <w:p w14:paraId="766802B9" w14:textId="77777777" w:rsidR="007206E2" w:rsidRPr="00B7219E" w:rsidRDefault="007206E2" w:rsidP="00AA43F3">
            <w:pPr>
              <w:pStyle w:val="Tabletext"/>
              <w:keepNext/>
              <w:keepLines/>
              <w:jc w:val="center"/>
              <w:rPr>
                <w:b/>
                <w:bCs/>
                <w:szCs w:val="20"/>
              </w:rPr>
            </w:pPr>
          </w:p>
        </w:tc>
        <w:tc>
          <w:tcPr>
            <w:tcW w:w="660" w:type="pct"/>
            <w:tcBorders>
              <w:top w:val="single" w:sz="4" w:space="0" w:color="000000"/>
              <w:left w:val="nil"/>
              <w:bottom w:val="single" w:sz="4" w:space="0" w:color="000000"/>
              <w:right w:val="nil"/>
            </w:tcBorders>
            <w:shd w:val="clear" w:color="auto" w:fill="auto"/>
            <w:noWrap/>
            <w:vAlign w:val="center"/>
          </w:tcPr>
          <w:p w14:paraId="0F3D7C41" w14:textId="77777777" w:rsidR="007206E2" w:rsidRPr="00B7219E" w:rsidRDefault="007206E2" w:rsidP="00AA43F3">
            <w:pPr>
              <w:pStyle w:val="Tabletext"/>
              <w:keepNext/>
              <w:keepLines/>
              <w:jc w:val="center"/>
              <w:rPr>
                <w:b/>
                <w:bCs/>
                <w:szCs w:val="20"/>
              </w:rPr>
            </w:pPr>
          </w:p>
        </w:tc>
        <w:tc>
          <w:tcPr>
            <w:tcW w:w="660" w:type="pct"/>
            <w:gridSpan w:val="3"/>
            <w:tcBorders>
              <w:top w:val="single" w:sz="4" w:space="0" w:color="000000"/>
              <w:left w:val="nil"/>
              <w:bottom w:val="single" w:sz="4" w:space="0" w:color="000000"/>
              <w:right w:val="nil"/>
            </w:tcBorders>
            <w:shd w:val="clear" w:color="auto" w:fill="auto"/>
            <w:noWrap/>
            <w:vAlign w:val="center"/>
          </w:tcPr>
          <w:p w14:paraId="44D485A2" w14:textId="77777777" w:rsidR="007206E2" w:rsidRPr="00B7219E" w:rsidRDefault="007206E2" w:rsidP="00AA43F3">
            <w:pPr>
              <w:pStyle w:val="Tabletext"/>
              <w:keepNext/>
              <w:keepLines/>
              <w:jc w:val="center"/>
              <w:rPr>
                <w:b/>
                <w:bCs/>
                <w:szCs w:val="20"/>
              </w:rPr>
            </w:pPr>
          </w:p>
        </w:tc>
        <w:tc>
          <w:tcPr>
            <w:tcW w:w="661" w:type="pct"/>
            <w:gridSpan w:val="2"/>
            <w:tcBorders>
              <w:top w:val="single" w:sz="4" w:space="0" w:color="000000"/>
              <w:left w:val="nil"/>
              <w:bottom w:val="single" w:sz="4" w:space="0" w:color="000000"/>
              <w:right w:val="nil"/>
            </w:tcBorders>
            <w:shd w:val="clear" w:color="auto" w:fill="auto"/>
            <w:noWrap/>
            <w:vAlign w:val="center"/>
          </w:tcPr>
          <w:p w14:paraId="28175E49" w14:textId="77777777" w:rsidR="007206E2" w:rsidRPr="00B7219E" w:rsidRDefault="007206E2" w:rsidP="00AA43F3">
            <w:pPr>
              <w:pStyle w:val="Tabletext"/>
              <w:keepNext/>
              <w:keepLines/>
              <w:jc w:val="center"/>
              <w:rPr>
                <w:b/>
                <w:bCs/>
                <w:szCs w:val="20"/>
              </w:rPr>
            </w:pPr>
          </w:p>
        </w:tc>
        <w:tc>
          <w:tcPr>
            <w:tcW w:w="661" w:type="pct"/>
            <w:gridSpan w:val="2"/>
            <w:tcBorders>
              <w:top w:val="single" w:sz="4" w:space="0" w:color="000000"/>
              <w:left w:val="nil"/>
              <w:bottom w:val="single" w:sz="4" w:space="0" w:color="000000"/>
              <w:right w:val="nil"/>
            </w:tcBorders>
            <w:shd w:val="clear" w:color="auto" w:fill="auto"/>
            <w:noWrap/>
            <w:vAlign w:val="center"/>
          </w:tcPr>
          <w:p w14:paraId="2388E678" w14:textId="77777777" w:rsidR="007206E2" w:rsidRPr="00B7219E" w:rsidRDefault="007206E2" w:rsidP="00AA43F3">
            <w:pPr>
              <w:pStyle w:val="Tabletext"/>
              <w:keepNext/>
              <w:keepLines/>
              <w:jc w:val="center"/>
              <w:rPr>
                <w:b/>
                <w:bCs/>
                <w:szCs w:val="20"/>
              </w:rPr>
            </w:pPr>
          </w:p>
        </w:tc>
        <w:tc>
          <w:tcPr>
            <w:tcW w:w="646" w:type="pct"/>
            <w:tcBorders>
              <w:top w:val="single" w:sz="4" w:space="0" w:color="000000"/>
              <w:left w:val="nil"/>
              <w:bottom w:val="single" w:sz="4" w:space="0" w:color="000000"/>
              <w:right w:val="single" w:sz="4" w:space="0" w:color="000000"/>
            </w:tcBorders>
            <w:shd w:val="clear" w:color="auto" w:fill="auto"/>
            <w:noWrap/>
            <w:vAlign w:val="center"/>
          </w:tcPr>
          <w:p w14:paraId="55FE5C2A" w14:textId="77777777" w:rsidR="007206E2" w:rsidRPr="00B7219E" w:rsidRDefault="007206E2" w:rsidP="00AA43F3">
            <w:pPr>
              <w:pStyle w:val="Tabletext"/>
              <w:keepNext/>
              <w:keepLines/>
              <w:jc w:val="center"/>
              <w:rPr>
                <w:b/>
                <w:bCs/>
                <w:szCs w:val="20"/>
              </w:rPr>
            </w:pPr>
          </w:p>
        </w:tc>
      </w:tr>
      <w:tr w:rsidR="007206E2" w:rsidRPr="00387889" w14:paraId="5DDDA33B" w14:textId="77777777" w:rsidTr="00585D97">
        <w:tc>
          <w:tcPr>
            <w:tcW w:w="5000" w:type="pct"/>
            <w:gridSpan w:val="12"/>
            <w:shd w:val="clear" w:color="auto" w:fill="auto"/>
            <w:vAlign w:val="center"/>
          </w:tcPr>
          <w:p w14:paraId="66DD9658" w14:textId="77777777" w:rsidR="007206E2" w:rsidRPr="00B7219E" w:rsidRDefault="007206E2" w:rsidP="00AA43F3">
            <w:pPr>
              <w:keepNext/>
              <w:keepLines/>
              <w:rPr>
                <w:rFonts w:ascii="Arial Narrow" w:eastAsiaTheme="majorEastAsia" w:hAnsi="Arial Narrow"/>
                <w:b/>
                <w:bCs/>
                <w:sz w:val="20"/>
                <w:szCs w:val="20"/>
              </w:rPr>
            </w:pPr>
            <w:r w:rsidRPr="00B7219E">
              <w:rPr>
                <w:rFonts w:ascii="Arial Narrow" w:eastAsiaTheme="majorEastAsia" w:hAnsi="Arial Narrow"/>
                <w:b/>
                <w:bCs/>
                <w:sz w:val="20"/>
                <w:szCs w:val="20"/>
              </w:rPr>
              <w:t>Estimated extent of use</w:t>
            </w:r>
          </w:p>
        </w:tc>
      </w:tr>
      <w:tr w:rsidR="00585D97" w:rsidRPr="00387889" w14:paraId="0EE923DC" w14:textId="77777777" w:rsidTr="00AA43F3">
        <w:tc>
          <w:tcPr>
            <w:tcW w:w="1119" w:type="pct"/>
            <w:shd w:val="clear" w:color="auto" w:fill="auto"/>
            <w:vAlign w:val="center"/>
          </w:tcPr>
          <w:p w14:paraId="1ACBFE01" w14:textId="36E98916" w:rsidR="00C147C6" w:rsidRPr="00B7219E" w:rsidRDefault="00C147C6" w:rsidP="00AA43F3">
            <w:pPr>
              <w:pStyle w:val="Tabletext"/>
              <w:keepNext/>
              <w:keepLines/>
              <w:rPr>
                <w:szCs w:val="20"/>
              </w:rPr>
            </w:pPr>
            <w:r w:rsidRPr="00B7219E">
              <w:rPr>
                <w:szCs w:val="20"/>
              </w:rPr>
              <w:t>Total treated incident patients</w:t>
            </w:r>
          </w:p>
        </w:tc>
        <w:tc>
          <w:tcPr>
            <w:tcW w:w="593" w:type="pct"/>
            <w:gridSpan w:val="2"/>
            <w:shd w:val="clear" w:color="auto" w:fill="auto"/>
            <w:vAlign w:val="center"/>
          </w:tcPr>
          <w:p w14:paraId="1EDC3199" w14:textId="1424E58F" w:rsidR="00C147C6" w:rsidRPr="00B7219E" w:rsidRDefault="00BB281C" w:rsidP="00AA43F3">
            <w:pPr>
              <w:pStyle w:val="Tabletext"/>
              <w:keepNext/>
              <w:keepLines/>
              <w:jc w:val="center"/>
              <w:rPr>
                <w:szCs w:val="20"/>
                <w:highlight w:val="darkGray"/>
              </w:rPr>
            </w:pPr>
            <w:r w:rsidRPr="00BB281C">
              <w:rPr>
                <w:color w:val="000000"/>
                <w:spacing w:val="51"/>
                <w:szCs w:val="20"/>
                <w:shd w:val="solid" w:color="000000" w:fill="000000"/>
                <w:fitText w:val="231" w:id="-1234422271"/>
                <w14:textFill>
                  <w14:solidFill>
                    <w14:srgbClr w14:val="000000">
                      <w14:alpha w14:val="100000"/>
                    </w14:srgbClr>
                  </w14:solidFill>
                </w14:textFill>
              </w:rPr>
              <w:t>||</w:t>
            </w:r>
            <w:r w:rsidRPr="00BB281C">
              <w:rPr>
                <w:color w:val="000000"/>
                <w:spacing w:val="2"/>
                <w:szCs w:val="20"/>
                <w:shd w:val="solid" w:color="000000" w:fill="000000"/>
                <w:fitText w:val="231" w:id="-1234422271"/>
                <w14:textFill>
                  <w14:solidFill>
                    <w14:srgbClr w14:val="000000">
                      <w14:alpha w14:val="100000"/>
                    </w14:srgbClr>
                  </w14:solidFill>
                </w14:textFill>
              </w:rPr>
              <w:t>|</w:t>
            </w:r>
            <w:r w:rsidR="00B7219E" w:rsidRPr="00B7219E">
              <w:rPr>
                <w:bCs/>
                <w:szCs w:val="20"/>
                <w:vertAlign w:val="superscript"/>
              </w:rPr>
              <w:t>1</w:t>
            </w:r>
          </w:p>
        </w:tc>
        <w:tc>
          <w:tcPr>
            <w:tcW w:w="660" w:type="pct"/>
            <w:tcBorders>
              <w:top w:val="single" w:sz="4" w:space="0" w:color="auto"/>
              <w:left w:val="single" w:sz="4" w:space="0" w:color="auto"/>
              <w:bottom w:val="single" w:sz="4" w:space="0" w:color="auto"/>
              <w:right w:val="single" w:sz="4" w:space="0" w:color="auto"/>
            </w:tcBorders>
            <w:shd w:val="clear" w:color="auto" w:fill="auto"/>
            <w:vAlign w:val="center"/>
          </w:tcPr>
          <w:p w14:paraId="00678E22" w14:textId="63D58144" w:rsidR="00C147C6" w:rsidRPr="00B7219E" w:rsidRDefault="00BB281C" w:rsidP="00AA43F3">
            <w:pPr>
              <w:pStyle w:val="Tabletext"/>
              <w:keepNext/>
              <w:keepLines/>
              <w:jc w:val="center"/>
              <w:rPr>
                <w:szCs w:val="20"/>
                <w:highlight w:val="darkGray"/>
              </w:rPr>
            </w:pPr>
            <w:r w:rsidRPr="00BB281C">
              <w:rPr>
                <w:color w:val="000000"/>
                <w:spacing w:val="87"/>
                <w:szCs w:val="20"/>
                <w:shd w:val="solid" w:color="000000" w:fill="000000"/>
                <w:fitText w:val="173" w:id="-1234422270"/>
                <w14:textFill>
                  <w14:solidFill>
                    <w14:srgbClr w14:val="000000">
                      <w14:alpha w14:val="100000"/>
                    </w14:srgbClr>
                  </w14:solidFill>
                </w14:textFill>
              </w:rPr>
              <w:t>|</w:t>
            </w:r>
            <w:r w:rsidRPr="00BB281C">
              <w:rPr>
                <w:color w:val="000000"/>
                <w:spacing w:val="1"/>
                <w:szCs w:val="20"/>
                <w:shd w:val="solid" w:color="000000" w:fill="000000"/>
                <w:fitText w:val="173" w:id="-1234422270"/>
                <w14:textFill>
                  <w14:solidFill>
                    <w14:srgbClr w14:val="000000">
                      <w14:alpha w14:val="100000"/>
                    </w14:srgbClr>
                  </w14:solidFill>
                </w14:textFill>
              </w:rPr>
              <w:t>|</w:t>
            </w:r>
            <w:r w:rsidR="00B7219E" w:rsidRPr="00B7219E">
              <w:rPr>
                <w:bCs/>
                <w:szCs w:val="20"/>
                <w:vertAlign w:val="superscript"/>
              </w:rPr>
              <w:t>1</w:t>
            </w:r>
          </w:p>
        </w:tc>
        <w:tc>
          <w:tcPr>
            <w:tcW w:w="660" w:type="pct"/>
            <w:gridSpan w:val="3"/>
            <w:tcBorders>
              <w:top w:val="single" w:sz="4" w:space="0" w:color="auto"/>
              <w:left w:val="nil"/>
              <w:bottom w:val="single" w:sz="4" w:space="0" w:color="auto"/>
              <w:right w:val="single" w:sz="4" w:space="0" w:color="auto"/>
            </w:tcBorders>
            <w:shd w:val="clear" w:color="auto" w:fill="auto"/>
            <w:vAlign w:val="center"/>
          </w:tcPr>
          <w:p w14:paraId="1FC44FC6" w14:textId="4A8C277A" w:rsidR="00C147C6" w:rsidRPr="00B7219E" w:rsidRDefault="00BB281C" w:rsidP="00AA43F3">
            <w:pPr>
              <w:pStyle w:val="Tabletext"/>
              <w:keepNext/>
              <w:keepLines/>
              <w:jc w:val="center"/>
              <w:rPr>
                <w:szCs w:val="20"/>
                <w:highlight w:val="darkGray"/>
              </w:rPr>
            </w:pPr>
            <w:r w:rsidRPr="00BB281C">
              <w:rPr>
                <w:color w:val="000000"/>
                <w:spacing w:val="87"/>
                <w:szCs w:val="20"/>
                <w:shd w:val="solid" w:color="000000" w:fill="000000"/>
                <w:fitText w:val="173" w:id="-1234422269"/>
                <w14:textFill>
                  <w14:solidFill>
                    <w14:srgbClr w14:val="000000">
                      <w14:alpha w14:val="100000"/>
                    </w14:srgbClr>
                  </w14:solidFill>
                </w14:textFill>
              </w:rPr>
              <w:t>|</w:t>
            </w:r>
            <w:r w:rsidRPr="00BB281C">
              <w:rPr>
                <w:color w:val="000000"/>
                <w:spacing w:val="1"/>
                <w:szCs w:val="20"/>
                <w:shd w:val="solid" w:color="000000" w:fill="000000"/>
                <w:fitText w:val="173" w:id="-1234422269"/>
                <w14:textFill>
                  <w14:solidFill>
                    <w14:srgbClr w14:val="000000">
                      <w14:alpha w14:val="100000"/>
                    </w14:srgbClr>
                  </w14:solidFill>
                </w14:textFill>
              </w:rPr>
              <w:t>|</w:t>
            </w:r>
            <w:r w:rsidR="00B7219E" w:rsidRPr="00B7219E">
              <w:rPr>
                <w:bCs/>
                <w:szCs w:val="20"/>
                <w:vertAlign w:val="superscript"/>
              </w:rPr>
              <w:t>1</w:t>
            </w:r>
          </w:p>
        </w:tc>
        <w:tc>
          <w:tcPr>
            <w:tcW w:w="683" w:type="pct"/>
            <w:gridSpan w:val="3"/>
            <w:tcBorders>
              <w:top w:val="single" w:sz="4" w:space="0" w:color="auto"/>
              <w:left w:val="nil"/>
              <w:bottom w:val="single" w:sz="4" w:space="0" w:color="auto"/>
              <w:right w:val="single" w:sz="4" w:space="0" w:color="auto"/>
            </w:tcBorders>
            <w:shd w:val="clear" w:color="auto" w:fill="auto"/>
            <w:vAlign w:val="center"/>
          </w:tcPr>
          <w:p w14:paraId="493512DB" w14:textId="7BEC23AD" w:rsidR="00C147C6" w:rsidRPr="00B7219E" w:rsidRDefault="00BB281C" w:rsidP="00AA43F3">
            <w:pPr>
              <w:pStyle w:val="Tabletext"/>
              <w:keepNext/>
              <w:keepLines/>
              <w:jc w:val="center"/>
              <w:rPr>
                <w:szCs w:val="20"/>
                <w:highlight w:val="darkGray"/>
              </w:rPr>
            </w:pPr>
            <w:r w:rsidRPr="00BB281C">
              <w:rPr>
                <w:rFonts w:hint="eastAsia"/>
                <w:color w:val="000000"/>
                <w:w w:val="33"/>
                <w:szCs w:val="20"/>
                <w:shd w:val="solid" w:color="000000" w:fill="000000"/>
                <w:fitText w:val="150" w:id="-1234422268"/>
                <w14:textFill>
                  <w14:solidFill>
                    <w14:srgbClr w14:val="000000">
                      <w14:alpha w14:val="100000"/>
                    </w14:srgbClr>
                  </w14:solidFill>
                </w14:textFill>
              </w:rPr>
              <w:t xml:space="preserve">　</w:t>
            </w:r>
            <w:r w:rsidRPr="00BB281C">
              <w:rPr>
                <w:color w:val="000000"/>
                <w:w w:val="33"/>
                <w:szCs w:val="20"/>
                <w:shd w:val="solid" w:color="000000" w:fill="000000"/>
                <w:fitText w:val="150" w:id="-1234422268"/>
                <w14:textFill>
                  <w14:solidFill>
                    <w14:srgbClr w14:val="000000">
                      <w14:alpha w14:val="100000"/>
                    </w14:srgbClr>
                  </w14:solidFill>
                </w14:textFill>
              </w:rPr>
              <w:t>|</w:t>
            </w:r>
            <w:r w:rsidRPr="00BB281C">
              <w:rPr>
                <w:rFonts w:hint="eastAsia"/>
                <w:color w:val="000000"/>
                <w:spacing w:val="4"/>
                <w:w w:val="33"/>
                <w:szCs w:val="20"/>
                <w:shd w:val="solid" w:color="000000" w:fill="000000"/>
                <w:fitText w:val="150" w:id="-1234422268"/>
                <w14:textFill>
                  <w14:solidFill>
                    <w14:srgbClr w14:val="000000">
                      <w14:alpha w14:val="100000"/>
                    </w14:srgbClr>
                  </w14:solidFill>
                </w14:textFill>
              </w:rPr>
              <w:t xml:space="preserve">　</w:t>
            </w:r>
            <w:r w:rsidR="00B7219E" w:rsidRPr="00B7219E">
              <w:rPr>
                <w:bCs/>
                <w:szCs w:val="20"/>
                <w:vertAlign w:val="superscript"/>
              </w:rPr>
              <w:t>1</w:t>
            </w:r>
          </w:p>
        </w:tc>
        <w:tc>
          <w:tcPr>
            <w:tcW w:w="639" w:type="pct"/>
            <w:tcBorders>
              <w:top w:val="single" w:sz="4" w:space="0" w:color="auto"/>
              <w:left w:val="nil"/>
              <w:bottom w:val="single" w:sz="4" w:space="0" w:color="auto"/>
              <w:right w:val="single" w:sz="4" w:space="0" w:color="auto"/>
            </w:tcBorders>
            <w:shd w:val="clear" w:color="auto" w:fill="auto"/>
            <w:vAlign w:val="center"/>
          </w:tcPr>
          <w:p w14:paraId="14213F11" w14:textId="05539F3B" w:rsidR="00C147C6" w:rsidRPr="00B7219E" w:rsidRDefault="00BB281C" w:rsidP="00AA43F3">
            <w:pPr>
              <w:pStyle w:val="Tabletext"/>
              <w:keepNext/>
              <w:keepLines/>
              <w:jc w:val="center"/>
              <w:rPr>
                <w:szCs w:val="20"/>
                <w:highlight w:val="darkGray"/>
              </w:rPr>
            </w:pPr>
            <w:r w:rsidRPr="00BB281C">
              <w:rPr>
                <w:color w:val="000000"/>
                <w:spacing w:val="98"/>
                <w:szCs w:val="20"/>
                <w:shd w:val="solid" w:color="000000" w:fill="000000"/>
                <w:fitText w:val="184" w:id="-1234422267"/>
                <w14:textFill>
                  <w14:solidFill>
                    <w14:srgbClr w14:val="000000">
                      <w14:alpha w14:val="100000"/>
                    </w14:srgbClr>
                  </w14:solidFill>
                </w14:textFill>
              </w:rPr>
              <w:t>|</w:t>
            </w:r>
            <w:r w:rsidRPr="00BB281C">
              <w:rPr>
                <w:color w:val="000000"/>
                <w:spacing w:val="1"/>
                <w:szCs w:val="20"/>
                <w:shd w:val="solid" w:color="000000" w:fill="000000"/>
                <w:fitText w:val="184" w:id="-1234422267"/>
                <w14:textFill>
                  <w14:solidFill>
                    <w14:srgbClr w14:val="000000">
                      <w14:alpha w14:val="100000"/>
                    </w14:srgbClr>
                  </w14:solidFill>
                </w14:textFill>
              </w:rPr>
              <w:t>|</w:t>
            </w:r>
            <w:r w:rsidR="00B7219E" w:rsidRPr="00B7219E">
              <w:rPr>
                <w:bCs/>
                <w:szCs w:val="20"/>
                <w:vertAlign w:val="superscript"/>
              </w:rPr>
              <w:t>1</w:t>
            </w:r>
          </w:p>
        </w:tc>
        <w:tc>
          <w:tcPr>
            <w:tcW w:w="646" w:type="pct"/>
            <w:tcBorders>
              <w:top w:val="single" w:sz="4" w:space="0" w:color="auto"/>
              <w:left w:val="nil"/>
              <w:bottom w:val="single" w:sz="4" w:space="0" w:color="auto"/>
              <w:right w:val="single" w:sz="4" w:space="0" w:color="auto"/>
            </w:tcBorders>
            <w:shd w:val="clear" w:color="auto" w:fill="auto"/>
            <w:vAlign w:val="center"/>
          </w:tcPr>
          <w:p w14:paraId="5A7D2B0B" w14:textId="01CDF88F" w:rsidR="00C147C6" w:rsidRPr="00B7219E" w:rsidRDefault="00BB281C" w:rsidP="00AA43F3">
            <w:pPr>
              <w:pStyle w:val="Tabletext"/>
              <w:keepNext/>
              <w:keepLines/>
              <w:jc w:val="center"/>
              <w:rPr>
                <w:szCs w:val="20"/>
                <w:highlight w:val="darkGray"/>
              </w:rPr>
            </w:pPr>
            <w:r w:rsidRPr="00BB281C">
              <w:rPr>
                <w:color w:val="000000"/>
                <w:spacing w:val="98"/>
                <w:szCs w:val="20"/>
                <w:shd w:val="solid" w:color="000000" w:fill="000000"/>
                <w:fitText w:val="184" w:id="-1234422266"/>
                <w14:textFill>
                  <w14:solidFill>
                    <w14:srgbClr w14:val="000000">
                      <w14:alpha w14:val="100000"/>
                    </w14:srgbClr>
                  </w14:solidFill>
                </w14:textFill>
              </w:rPr>
              <w:t>|</w:t>
            </w:r>
            <w:r w:rsidRPr="00BB281C">
              <w:rPr>
                <w:color w:val="000000"/>
                <w:spacing w:val="1"/>
                <w:szCs w:val="20"/>
                <w:shd w:val="solid" w:color="000000" w:fill="000000"/>
                <w:fitText w:val="184" w:id="-1234422266"/>
                <w14:textFill>
                  <w14:solidFill>
                    <w14:srgbClr w14:val="000000">
                      <w14:alpha w14:val="100000"/>
                    </w14:srgbClr>
                  </w14:solidFill>
                </w14:textFill>
              </w:rPr>
              <w:t>|</w:t>
            </w:r>
            <w:r w:rsidR="00B7219E" w:rsidRPr="00B7219E">
              <w:rPr>
                <w:bCs/>
                <w:szCs w:val="20"/>
                <w:vertAlign w:val="superscript"/>
              </w:rPr>
              <w:t>1</w:t>
            </w:r>
          </w:p>
        </w:tc>
      </w:tr>
      <w:tr w:rsidR="00585D97" w:rsidRPr="00387889" w14:paraId="6DE88556" w14:textId="77777777" w:rsidTr="00AA43F3">
        <w:tc>
          <w:tcPr>
            <w:tcW w:w="1119" w:type="pct"/>
            <w:shd w:val="clear" w:color="auto" w:fill="auto"/>
            <w:vAlign w:val="center"/>
          </w:tcPr>
          <w:p w14:paraId="1324D916" w14:textId="6A89C3E7" w:rsidR="00C147C6" w:rsidRPr="00B7219E" w:rsidRDefault="00C147C6" w:rsidP="00AA43F3">
            <w:pPr>
              <w:pStyle w:val="Tabletext"/>
              <w:keepNext/>
              <w:keepLines/>
              <w:rPr>
                <w:szCs w:val="20"/>
              </w:rPr>
            </w:pPr>
            <w:r w:rsidRPr="00B7219E">
              <w:rPr>
                <w:szCs w:val="20"/>
              </w:rPr>
              <w:t>Total treated prevalent patients</w:t>
            </w:r>
          </w:p>
        </w:tc>
        <w:tc>
          <w:tcPr>
            <w:tcW w:w="593" w:type="pct"/>
            <w:gridSpan w:val="2"/>
            <w:shd w:val="clear" w:color="auto" w:fill="auto"/>
            <w:vAlign w:val="center"/>
          </w:tcPr>
          <w:p w14:paraId="07A8D333" w14:textId="43FC7694" w:rsidR="00C147C6" w:rsidRPr="00B7219E" w:rsidRDefault="00BB281C" w:rsidP="00AA43F3">
            <w:pPr>
              <w:pStyle w:val="Tabletext"/>
              <w:keepNext/>
              <w:keepLines/>
              <w:jc w:val="center"/>
              <w:rPr>
                <w:szCs w:val="20"/>
                <w:highlight w:val="darkGray"/>
              </w:rPr>
            </w:pPr>
            <w:r w:rsidRPr="00BB281C">
              <w:rPr>
                <w:color w:val="000000"/>
                <w:spacing w:val="51"/>
                <w:szCs w:val="20"/>
                <w:shd w:val="solid" w:color="000000" w:fill="000000"/>
                <w:fitText w:val="231" w:id="-1234422265"/>
                <w14:textFill>
                  <w14:solidFill>
                    <w14:srgbClr w14:val="000000">
                      <w14:alpha w14:val="100000"/>
                    </w14:srgbClr>
                  </w14:solidFill>
                </w14:textFill>
              </w:rPr>
              <w:t>||</w:t>
            </w:r>
            <w:r w:rsidRPr="00BB281C">
              <w:rPr>
                <w:color w:val="000000"/>
                <w:spacing w:val="2"/>
                <w:szCs w:val="20"/>
                <w:shd w:val="solid" w:color="000000" w:fill="000000"/>
                <w:fitText w:val="231" w:id="-1234422265"/>
                <w14:textFill>
                  <w14:solidFill>
                    <w14:srgbClr w14:val="000000">
                      <w14:alpha w14:val="100000"/>
                    </w14:srgbClr>
                  </w14:solidFill>
                </w14:textFill>
              </w:rPr>
              <w:t>|</w:t>
            </w:r>
            <w:r w:rsidR="00B7219E" w:rsidRPr="00B7219E">
              <w:rPr>
                <w:bCs/>
                <w:szCs w:val="20"/>
                <w:vertAlign w:val="superscript"/>
              </w:rPr>
              <w:t>1</w:t>
            </w:r>
          </w:p>
        </w:tc>
        <w:tc>
          <w:tcPr>
            <w:tcW w:w="660" w:type="pct"/>
            <w:tcBorders>
              <w:top w:val="single" w:sz="4" w:space="0" w:color="auto"/>
              <w:left w:val="single" w:sz="4" w:space="0" w:color="auto"/>
              <w:bottom w:val="single" w:sz="4" w:space="0" w:color="auto"/>
              <w:right w:val="single" w:sz="4" w:space="0" w:color="auto"/>
            </w:tcBorders>
            <w:shd w:val="clear" w:color="auto" w:fill="auto"/>
            <w:vAlign w:val="center"/>
          </w:tcPr>
          <w:p w14:paraId="72BAF376" w14:textId="77777777" w:rsidR="00C147C6" w:rsidRPr="00B7219E" w:rsidRDefault="00C147C6" w:rsidP="00AA43F3">
            <w:pPr>
              <w:pStyle w:val="Tabletext"/>
              <w:keepNext/>
              <w:keepLines/>
              <w:jc w:val="center"/>
              <w:rPr>
                <w:szCs w:val="20"/>
              </w:rPr>
            </w:pPr>
          </w:p>
        </w:tc>
        <w:tc>
          <w:tcPr>
            <w:tcW w:w="660" w:type="pct"/>
            <w:gridSpan w:val="3"/>
            <w:tcBorders>
              <w:top w:val="single" w:sz="4" w:space="0" w:color="auto"/>
              <w:left w:val="nil"/>
              <w:bottom w:val="single" w:sz="4" w:space="0" w:color="auto"/>
              <w:right w:val="single" w:sz="4" w:space="0" w:color="auto"/>
            </w:tcBorders>
            <w:shd w:val="clear" w:color="auto" w:fill="auto"/>
            <w:vAlign w:val="center"/>
          </w:tcPr>
          <w:p w14:paraId="091AEEF4" w14:textId="77777777" w:rsidR="00C147C6" w:rsidRPr="00B7219E" w:rsidRDefault="00C147C6" w:rsidP="00AA43F3">
            <w:pPr>
              <w:pStyle w:val="Tabletext"/>
              <w:keepNext/>
              <w:keepLines/>
              <w:jc w:val="center"/>
              <w:rPr>
                <w:szCs w:val="20"/>
              </w:rPr>
            </w:pPr>
          </w:p>
        </w:tc>
        <w:tc>
          <w:tcPr>
            <w:tcW w:w="683" w:type="pct"/>
            <w:gridSpan w:val="3"/>
            <w:tcBorders>
              <w:top w:val="single" w:sz="4" w:space="0" w:color="auto"/>
              <w:left w:val="nil"/>
              <w:bottom w:val="single" w:sz="4" w:space="0" w:color="auto"/>
              <w:right w:val="single" w:sz="4" w:space="0" w:color="auto"/>
            </w:tcBorders>
            <w:shd w:val="clear" w:color="auto" w:fill="auto"/>
            <w:vAlign w:val="center"/>
          </w:tcPr>
          <w:p w14:paraId="694DCE7F" w14:textId="77777777" w:rsidR="00C147C6" w:rsidRPr="00B7219E" w:rsidRDefault="00C147C6" w:rsidP="00AA43F3">
            <w:pPr>
              <w:pStyle w:val="Tabletext"/>
              <w:keepNext/>
              <w:keepLines/>
              <w:jc w:val="center"/>
              <w:rPr>
                <w:szCs w:val="20"/>
              </w:rPr>
            </w:pPr>
          </w:p>
        </w:tc>
        <w:tc>
          <w:tcPr>
            <w:tcW w:w="639" w:type="pct"/>
            <w:tcBorders>
              <w:top w:val="single" w:sz="4" w:space="0" w:color="auto"/>
              <w:left w:val="nil"/>
              <w:bottom w:val="single" w:sz="4" w:space="0" w:color="auto"/>
              <w:right w:val="single" w:sz="4" w:space="0" w:color="auto"/>
            </w:tcBorders>
            <w:shd w:val="clear" w:color="auto" w:fill="auto"/>
            <w:vAlign w:val="center"/>
          </w:tcPr>
          <w:p w14:paraId="68F7BF64" w14:textId="77777777" w:rsidR="00C147C6" w:rsidRPr="00B7219E" w:rsidRDefault="00C147C6" w:rsidP="00AA43F3">
            <w:pPr>
              <w:pStyle w:val="Tabletext"/>
              <w:keepNext/>
              <w:keepLines/>
              <w:jc w:val="center"/>
              <w:rPr>
                <w:szCs w:val="20"/>
              </w:rPr>
            </w:pPr>
          </w:p>
        </w:tc>
        <w:tc>
          <w:tcPr>
            <w:tcW w:w="646" w:type="pct"/>
            <w:tcBorders>
              <w:top w:val="single" w:sz="4" w:space="0" w:color="auto"/>
              <w:left w:val="nil"/>
              <w:bottom w:val="single" w:sz="4" w:space="0" w:color="auto"/>
              <w:right w:val="single" w:sz="4" w:space="0" w:color="auto"/>
            </w:tcBorders>
            <w:shd w:val="clear" w:color="auto" w:fill="auto"/>
            <w:vAlign w:val="center"/>
          </w:tcPr>
          <w:p w14:paraId="037656B1" w14:textId="77777777" w:rsidR="00C147C6" w:rsidRPr="00B7219E" w:rsidRDefault="00C147C6" w:rsidP="00AA43F3">
            <w:pPr>
              <w:pStyle w:val="Tabletext"/>
              <w:keepNext/>
              <w:keepLines/>
              <w:jc w:val="center"/>
              <w:rPr>
                <w:szCs w:val="20"/>
              </w:rPr>
            </w:pPr>
          </w:p>
        </w:tc>
      </w:tr>
      <w:tr w:rsidR="00585D97" w:rsidRPr="00387889" w14:paraId="653D4EF2" w14:textId="77777777" w:rsidTr="00AA43F3">
        <w:tc>
          <w:tcPr>
            <w:tcW w:w="1119" w:type="pct"/>
            <w:shd w:val="clear" w:color="auto" w:fill="auto"/>
            <w:vAlign w:val="center"/>
          </w:tcPr>
          <w:p w14:paraId="34D3F8D3" w14:textId="6526B59B" w:rsidR="00C147C6" w:rsidRPr="00B7219E" w:rsidRDefault="00C147C6" w:rsidP="00AA43F3">
            <w:pPr>
              <w:pStyle w:val="Tabletext"/>
              <w:keepNext/>
              <w:keepLines/>
              <w:rPr>
                <w:szCs w:val="20"/>
              </w:rPr>
            </w:pPr>
            <w:r w:rsidRPr="00B7219E">
              <w:rPr>
                <w:szCs w:val="20"/>
              </w:rPr>
              <w:t>GF patients</w:t>
            </w:r>
          </w:p>
        </w:tc>
        <w:tc>
          <w:tcPr>
            <w:tcW w:w="593" w:type="pct"/>
            <w:gridSpan w:val="2"/>
            <w:shd w:val="clear" w:color="auto" w:fill="auto"/>
            <w:vAlign w:val="center"/>
          </w:tcPr>
          <w:p w14:paraId="42FD766B" w14:textId="2EE57404" w:rsidR="00C147C6" w:rsidRPr="00B7219E" w:rsidRDefault="00BB281C" w:rsidP="00AA43F3">
            <w:pPr>
              <w:pStyle w:val="Tabletext"/>
              <w:keepNext/>
              <w:keepLines/>
              <w:jc w:val="center"/>
              <w:rPr>
                <w:szCs w:val="20"/>
                <w:highlight w:val="darkGray"/>
              </w:rPr>
            </w:pPr>
            <w:r w:rsidRPr="009F6119">
              <w:rPr>
                <w:color w:val="000000"/>
                <w:spacing w:val="51"/>
                <w:szCs w:val="20"/>
                <w:shd w:val="solid" w:color="000000" w:fill="000000"/>
                <w:fitText w:val="231" w:id="-1234422264"/>
                <w14:textFill>
                  <w14:solidFill>
                    <w14:srgbClr w14:val="000000">
                      <w14:alpha w14:val="100000"/>
                    </w14:srgbClr>
                  </w14:solidFill>
                </w14:textFill>
              </w:rPr>
              <w:t>||</w:t>
            </w:r>
            <w:r w:rsidRPr="009F6119">
              <w:rPr>
                <w:color w:val="000000"/>
                <w:spacing w:val="2"/>
                <w:szCs w:val="20"/>
                <w:shd w:val="solid" w:color="000000" w:fill="000000"/>
                <w:fitText w:val="231" w:id="-1234422264"/>
                <w14:textFill>
                  <w14:solidFill>
                    <w14:srgbClr w14:val="000000">
                      <w14:alpha w14:val="100000"/>
                    </w14:srgbClr>
                  </w14:solidFill>
                </w14:textFill>
              </w:rPr>
              <w:t>|</w:t>
            </w:r>
            <w:r w:rsidR="009F6119">
              <w:rPr>
                <w:bCs/>
                <w:szCs w:val="20"/>
                <w:vertAlign w:val="superscript"/>
              </w:rPr>
              <w:t>7</w:t>
            </w:r>
          </w:p>
        </w:tc>
        <w:tc>
          <w:tcPr>
            <w:tcW w:w="660" w:type="pct"/>
            <w:tcBorders>
              <w:top w:val="single" w:sz="4" w:space="0" w:color="auto"/>
              <w:left w:val="single" w:sz="4" w:space="0" w:color="auto"/>
              <w:bottom w:val="single" w:sz="4" w:space="0" w:color="auto"/>
              <w:right w:val="single" w:sz="4" w:space="0" w:color="auto"/>
            </w:tcBorders>
            <w:shd w:val="clear" w:color="auto" w:fill="auto"/>
            <w:vAlign w:val="center"/>
          </w:tcPr>
          <w:p w14:paraId="10B4B074" w14:textId="77777777" w:rsidR="00C147C6" w:rsidRPr="00B7219E" w:rsidRDefault="00C147C6" w:rsidP="00AA43F3">
            <w:pPr>
              <w:pStyle w:val="Tabletext"/>
              <w:keepNext/>
              <w:keepLines/>
              <w:jc w:val="center"/>
              <w:rPr>
                <w:szCs w:val="20"/>
              </w:rPr>
            </w:pPr>
          </w:p>
        </w:tc>
        <w:tc>
          <w:tcPr>
            <w:tcW w:w="660" w:type="pct"/>
            <w:gridSpan w:val="3"/>
            <w:tcBorders>
              <w:top w:val="single" w:sz="4" w:space="0" w:color="auto"/>
              <w:left w:val="nil"/>
              <w:bottom w:val="single" w:sz="4" w:space="0" w:color="auto"/>
              <w:right w:val="single" w:sz="4" w:space="0" w:color="auto"/>
            </w:tcBorders>
            <w:shd w:val="clear" w:color="auto" w:fill="auto"/>
            <w:vAlign w:val="center"/>
          </w:tcPr>
          <w:p w14:paraId="7EE213D9" w14:textId="77777777" w:rsidR="00C147C6" w:rsidRPr="00B7219E" w:rsidRDefault="00C147C6" w:rsidP="00AA43F3">
            <w:pPr>
              <w:pStyle w:val="Tabletext"/>
              <w:keepNext/>
              <w:keepLines/>
              <w:jc w:val="center"/>
              <w:rPr>
                <w:szCs w:val="20"/>
              </w:rPr>
            </w:pPr>
          </w:p>
        </w:tc>
        <w:tc>
          <w:tcPr>
            <w:tcW w:w="683" w:type="pct"/>
            <w:gridSpan w:val="3"/>
            <w:tcBorders>
              <w:top w:val="single" w:sz="4" w:space="0" w:color="auto"/>
              <w:left w:val="nil"/>
              <w:bottom w:val="single" w:sz="4" w:space="0" w:color="auto"/>
              <w:right w:val="single" w:sz="4" w:space="0" w:color="auto"/>
            </w:tcBorders>
            <w:shd w:val="clear" w:color="auto" w:fill="auto"/>
            <w:vAlign w:val="center"/>
          </w:tcPr>
          <w:p w14:paraId="42207780" w14:textId="77777777" w:rsidR="00C147C6" w:rsidRPr="00B7219E" w:rsidRDefault="00C147C6" w:rsidP="00AA43F3">
            <w:pPr>
              <w:pStyle w:val="Tabletext"/>
              <w:keepNext/>
              <w:keepLines/>
              <w:jc w:val="center"/>
              <w:rPr>
                <w:szCs w:val="20"/>
              </w:rPr>
            </w:pPr>
          </w:p>
        </w:tc>
        <w:tc>
          <w:tcPr>
            <w:tcW w:w="639" w:type="pct"/>
            <w:tcBorders>
              <w:top w:val="single" w:sz="4" w:space="0" w:color="auto"/>
              <w:left w:val="nil"/>
              <w:bottom w:val="single" w:sz="4" w:space="0" w:color="auto"/>
              <w:right w:val="single" w:sz="4" w:space="0" w:color="auto"/>
            </w:tcBorders>
            <w:shd w:val="clear" w:color="auto" w:fill="auto"/>
            <w:vAlign w:val="center"/>
          </w:tcPr>
          <w:p w14:paraId="72953327" w14:textId="77777777" w:rsidR="00C147C6" w:rsidRPr="00B7219E" w:rsidRDefault="00C147C6" w:rsidP="00AA43F3">
            <w:pPr>
              <w:pStyle w:val="Tabletext"/>
              <w:keepNext/>
              <w:keepLines/>
              <w:jc w:val="center"/>
              <w:rPr>
                <w:szCs w:val="20"/>
              </w:rPr>
            </w:pPr>
          </w:p>
        </w:tc>
        <w:tc>
          <w:tcPr>
            <w:tcW w:w="646" w:type="pct"/>
            <w:tcBorders>
              <w:top w:val="single" w:sz="4" w:space="0" w:color="auto"/>
              <w:left w:val="nil"/>
              <w:bottom w:val="single" w:sz="4" w:space="0" w:color="auto"/>
              <w:right w:val="single" w:sz="4" w:space="0" w:color="auto"/>
            </w:tcBorders>
            <w:shd w:val="clear" w:color="auto" w:fill="auto"/>
            <w:vAlign w:val="center"/>
          </w:tcPr>
          <w:p w14:paraId="60D84E36" w14:textId="77777777" w:rsidR="00C147C6" w:rsidRPr="00B7219E" w:rsidRDefault="00C147C6" w:rsidP="00AA43F3">
            <w:pPr>
              <w:pStyle w:val="Tabletext"/>
              <w:keepNext/>
              <w:keepLines/>
              <w:jc w:val="center"/>
              <w:rPr>
                <w:szCs w:val="20"/>
              </w:rPr>
            </w:pPr>
          </w:p>
        </w:tc>
      </w:tr>
      <w:tr w:rsidR="00585D97" w:rsidRPr="00387889" w14:paraId="65AD7005" w14:textId="77777777" w:rsidTr="00AA43F3">
        <w:tc>
          <w:tcPr>
            <w:tcW w:w="1119" w:type="pct"/>
            <w:shd w:val="clear" w:color="auto" w:fill="auto"/>
            <w:vAlign w:val="center"/>
          </w:tcPr>
          <w:p w14:paraId="5C7B60DB" w14:textId="6CD83D56" w:rsidR="00C147C6" w:rsidRPr="00B7219E" w:rsidRDefault="00C147C6" w:rsidP="00AA43F3">
            <w:pPr>
              <w:pStyle w:val="Tabletext"/>
              <w:keepNext/>
              <w:keepLines/>
              <w:rPr>
                <w:szCs w:val="20"/>
              </w:rPr>
            </w:pPr>
            <w:r w:rsidRPr="00B7219E">
              <w:rPr>
                <w:szCs w:val="20"/>
              </w:rPr>
              <w:t xml:space="preserve">TOTAL treated patients </w:t>
            </w:r>
            <w:r w:rsidRPr="00B7219E">
              <w:rPr>
                <w:szCs w:val="20"/>
              </w:rPr>
              <w:br/>
              <w:t>neo-adjuvant</w:t>
            </w:r>
          </w:p>
          <w:p w14:paraId="1D3C73B3" w14:textId="5231E18C" w:rsidR="00C147C6" w:rsidRPr="00B7219E" w:rsidRDefault="00C147C6" w:rsidP="00AA43F3">
            <w:pPr>
              <w:pStyle w:val="Tabletext"/>
              <w:keepNext/>
              <w:keepLines/>
              <w:rPr>
                <w:szCs w:val="20"/>
              </w:rPr>
            </w:pPr>
            <w:r w:rsidRPr="00B7219E">
              <w:rPr>
                <w:szCs w:val="20"/>
              </w:rPr>
              <w:t>adju</w:t>
            </w:r>
            <w:r w:rsidR="00585D97" w:rsidRPr="00B7219E">
              <w:rPr>
                <w:szCs w:val="20"/>
              </w:rPr>
              <w:t>v</w:t>
            </w:r>
            <w:r w:rsidRPr="00B7219E">
              <w:rPr>
                <w:szCs w:val="20"/>
              </w:rPr>
              <w:t>ant</w:t>
            </w:r>
          </w:p>
        </w:tc>
        <w:tc>
          <w:tcPr>
            <w:tcW w:w="593" w:type="pct"/>
            <w:gridSpan w:val="2"/>
            <w:shd w:val="clear" w:color="auto" w:fill="auto"/>
            <w:vAlign w:val="center"/>
          </w:tcPr>
          <w:p w14:paraId="2FB40E21" w14:textId="77777777" w:rsidR="009F6119" w:rsidRDefault="00BB281C" w:rsidP="00AA43F3">
            <w:pPr>
              <w:pStyle w:val="Tabletext"/>
              <w:keepNext/>
              <w:keepLines/>
              <w:jc w:val="center"/>
              <w:rPr>
                <w:bCs/>
                <w:szCs w:val="20"/>
                <w:vertAlign w:val="superscript"/>
              </w:rPr>
            </w:pPr>
            <w:r w:rsidRPr="00BB281C">
              <w:rPr>
                <w:color w:val="000000"/>
                <w:spacing w:val="73"/>
                <w:szCs w:val="20"/>
                <w:shd w:val="solid" w:color="000000" w:fill="000000"/>
                <w:fitText w:val="392" w:id="-1234422263"/>
                <w14:textFill>
                  <w14:solidFill>
                    <w14:srgbClr w14:val="000000">
                      <w14:alpha w14:val="100000"/>
                    </w14:srgbClr>
                  </w14:solidFill>
                </w14:textFill>
              </w:rPr>
              <w:t>|||</w:t>
            </w:r>
            <w:r w:rsidRPr="00BB281C">
              <w:rPr>
                <w:color w:val="000000"/>
                <w:spacing w:val="3"/>
                <w:szCs w:val="20"/>
                <w:shd w:val="solid" w:color="000000" w:fill="000000"/>
                <w:fitText w:val="392" w:id="-1234422263"/>
                <w14:textFill>
                  <w14:solidFill>
                    <w14:srgbClr w14:val="000000">
                      <w14:alpha w14:val="100000"/>
                    </w14:srgbClr>
                  </w14:solidFill>
                </w14:textFill>
              </w:rPr>
              <w:t>|</w:t>
            </w:r>
            <w:r w:rsidR="00B7219E" w:rsidRPr="00B7219E">
              <w:rPr>
                <w:bCs/>
                <w:szCs w:val="20"/>
                <w:vertAlign w:val="superscript"/>
              </w:rPr>
              <w:t>1</w:t>
            </w:r>
          </w:p>
          <w:p w14:paraId="332F5080" w14:textId="33A08250" w:rsidR="00C147C6" w:rsidRPr="00B7219E" w:rsidRDefault="00BB281C" w:rsidP="00AA43F3">
            <w:pPr>
              <w:pStyle w:val="Tabletext"/>
              <w:keepNext/>
              <w:keepLines/>
              <w:jc w:val="center"/>
              <w:rPr>
                <w:szCs w:val="20"/>
                <w:highlight w:val="darkGray"/>
              </w:rPr>
            </w:pPr>
            <w:r w:rsidRPr="00BB281C">
              <w:rPr>
                <w:color w:val="000000"/>
                <w:spacing w:val="46"/>
                <w:szCs w:val="20"/>
                <w:shd w:val="solid" w:color="000000" w:fill="000000"/>
                <w:fitText w:val="311" w:id="-1234422262"/>
                <w14:textFill>
                  <w14:solidFill>
                    <w14:srgbClr w14:val="000000">
                      <w14:alpha w14:val="100000"/>
                    </w14:srgbClr>
                  </w14:solidFill>
                </w14:textFill>
              </w:rPr>
              <w:t>|||</w:t>
            </w:r>
            <w:r w:rsidRPr="00BB281C">
              <w:rPr>
                <w:color w:val="000000"/>
                <w:spacing w:val="3"/>
                <w:szCs w:val="20"/>
                <w:shd w:val="solid" w:color="000000" w:fill="000000"/>
                <w:fitText w:val="311" w:id="-1234422262"/>
                <w14:textFill>
                  <w14:solidFill>
                    <w14:srgbClr w14:val="000000">
                      <w14:alpha w14:val="100000"/>
                    </w14:srgbClr>
                  </w14:solidFill>
                </w14:textFill>
              </w:rPr>
              <w:t>|</w:t>
            </w:r>
            <w:r w:rsidR="00B7219E" w:rsidRPr="00B7219E">
              <w:rPr>
                <w:bCs/>
                <w:szCs w:val="20"/>
                <w:vertAlign w:val="superscript"/>
              </w:rPr>
              <w:t>1</w:t>
            </w:r>
          </w:p>
        </w:tc>
        <w:tc>
          <w:tcPr>
            <w:tcW w:w="660" w:type="pct"/>
            <w:tcBorders>
              <w:top w:val="single" w:sz="4" w:space="0" w:color="auto"/>
              <w:left w:val="single" w:sz="4" w:space="0" w:color="auto"/>
              <w:bottom w:val="single" w:sz="4" w:space="0" w:color="auto"/>
              <w:right w:val="single" w:sz="4" w:space="0" w:color="auto"/>
            </w:tcBorders>
            <w:shd w:val="clear" w:color="auto" w:fill="auto"/>
            <w:vAlign w:val="center"/>
          </w:tcPr>
          <w:p w14:paraId="69DC0F4A" w14:textId="77777777" w:rsidR="009F6119" w:rsidRDefault="00BB281C" w:rsidP="00AA43F3">
            <w:pPr>
              <w:pStyle w:val="Tabletext"/>
              <w:keepNext/>
              <w:keepLines/>
              <w:jc w:val="center"/>
              <w:rPr>
                <w:bCs/>
                <w:szCs w:val="20"/>
                <w:vertAlign w:val="superscript"/>
              </w:rPr>
            </w:pPr>
            <w:r w:rsidRPr="00BB281C">
              <w:rPr>
                <w:color w:val="000000"/>
                <w:spacing w:val="73"/>
                <w:szCs w:val="20"/>
                <w:shd w:val="solid" w:color="000000" w:fill="000000"/>
                <w:fitText w:val="392" w:id="-1234422261"/>
                <w14:textFill>
                  <w14:solidFill>
                    <w14:srgbClr w14:val="000000">
                      <w14:alpha w14:val="100000"/>
                    </w14:srgbClr>
                  </w14:solidFill>
                </w14:textFill>
              </w:rPr>
              <w:t>|||</w:t>
            </w:r>
            <w:r w:rsidRPr="00BB281C">
              <w:rPr>
                <w:color w:val="000000"/>
                <w:spacing w:val="3"/>
                <w:szCs w:val="20"/>
                <w:shd w:val="solid" w:color="000000" w:fill="000000"/>
                <w:fitText w:val="392" w:id="-1234422261"/>
                <w14:textFill>
                  <w14:solidFill>
                    <w14:srgbClr w14:val="000000">
                      <w14:alpha w14:val="100000"/>
                    </w14:srgbClr>
                  </w14:solidFill>
                </w14:textFill>
              </w:rPr>
              <w:t>|</w:t>
            </w:r>
            <w:r w:rsidR="00B7219E" w:rsidRPr="00B7219E">
              <w:rPr>
                <w:bCs/>
                <w:szCs w:val="20"/>
                <w:vertAlign w:val="superscript"/>
              </w:rPr>
              <w:t>1</w:t>
            </w:r>
          </w:p>
          <w:p w14:paraId="39301A5D" w14:textId="298EE460" w:rsidR="00C147C6" w:rsidRPr="00B7219E" w:rsidRDefault="00BB281C" w:rsidP="00AA43F3">
            <w:pPr>
              <w:pStyle w:val="Tabletext"/>
              <w:keepNext/>
              <w:keepLines/>
              <w:jc w:val="center"/>
              <w:rPr>
                <w:szCs w:val="20"/>
                <w:highlight w:val="darkGray"/>
              </w:rPr>
            </w:pPr>
            <w:r w:rsidRPr="00BB281C">
              <w:rPr>
                <w:color w:val="000000"/>
                <w:spacing w:val="73"/>
                <w:szCs w:val="20"/>
                <w:shd w:val="solid" w:color="000000" w:fill="000000"/>
                <w:fitText w:val="392" w:id="-1234422260"/>
                <w14:textFill>
                  <w14:solidFill>
                    <w14:srgbClr w14:val="000000">
                      <w14:alpha w14:val="100000"/>
                    </w14:srgbClr>
                  </w14:solidFill>
                </w14:textFill>
              </w:rPr>
              <w:t>|||</w:t>
            </w:r>
            <w:r w:rsidRPr="00BB281C">
              <w:rPr>
                <w:color w:val="000000"/>
                <w:spacing w:val="3"/>
                <w:szCs w:val="20"/>
                <w:shd w:val="solid" w:color="000000" w:fill="000000"/>
                <w:fitText w:val="392" w:id="-1234422260"/>
                <w14:textFill>
                  <w14:solidFill>
                    <w14:srgbClr w14:val="000000">
                      <w14:alpha w14:val="100000"/>
                    </w14:srgbClr>
                  </w14:solidFill>
                </w14:textFill>
              </w:rPr>
              <w:t>|</w:t>
            </w:r>
            <w:r w:rsidR="00B7219E" w:rsidRPr="00B7219E">
              <w:rPr>
                <w:bCs/>
                <w:szCs w:val="20"/>
                <w:vertAlign w:val="superscript"/>
              </w:rPr>
              <w:t>1</w:t>
            </w:r>
          </w:p>
        </w:tc>
        <w:tc>
          <w:tcPr>
            <w:tcW w:w="660" w:type="pct"/>
            <w:gridSpan w:val="3"/>
            <w:tcBorders>
              <w:top w:val="single" w:sz="4" w:space="0" w:color="auto"/>
              <w:left w:val="nil"/>
              <w:bottom w:val="single" w:sz="4" w:space="0" w:color="auto"/>
              <w:right w:val="single" w:sz="4" w:space="0" w:color="auto"/>
            </w:tcBorders>
            <w:shd w:val="clear" w:color="auto" w:fill="auto"/>
            <w:vAlign w:val="center"/>
          </w:tcPr>
          <w:p w14:paraId="4843EBA2" w14:textId="77777777" w:rsidR="009F6119" w:rsidRDefault="00BB281C" w:rsidP="00AA43F3">
            <w:pPr>
              <w:pStyle w:val="Tabletext"/>
              <w:keepNext/>
              <w:keepLines/>
              <w:jc w:val="center"/>
              <w:rPr>
                <w:bCs/>
                <w:szCs w:val="20"/>
                <w:vertAlign w:val="superscript"/>
              </w:rPr>
            </w:pPr>
            <w:r w:rsidRPr="00BB281C">
              <w:rPr>
                <w:color w:val="000000"/>
                <w:spacing w:val="73"/>
                <w:szCs w:val="20"/>
                <w:shd w:val="solid" w:color="000000" w:fill="000000"/>
                <w:fitText w:val="392" w:id="-1234422259"/>
                <w14:textFill>
                  <w14:solidFill>
                    <w14:srgbClr w14:val="000000">
                      <w14:alpha w14:val="100000"/>
                    </w14:srgbClr>
                  </w14:solidFill>
                </w14:textFill>
              </w:rPr>
              <w:t>|||</w:t>
            </w:r>
            <w:r w:rsidRPr="00BB281C">
              <w:rPr>
                <w:color w:val="000000"/>
                <w:spacing w:val="3"/>
                <w:szCs w:val="20"/>
                <w:shd w:val="solid" w:color="000000" w:fill="000000"/>
                <w:fitText w:val="392" w:id="-1234422259"/>
                <w14:textFill>
                  <w14:solidFill>
                    <w14:srgbClr w14:val="000000">
                      <w14:alpha w14:val="100000"/>
                    </w14:srgbClr>
                  </w14:solidFill>
                </w14:textFill>
              </w:rPr>
              <w:t>|</w:t>
            </w:r>
            <w:r w:rsidR="00B7219E" w:rsidRPr="00B7219E">
              <w:rPr>
                <w:bCs/>
                <w:szCs w:val="20"/>
                <w:vertAlign w:val="superscript"/>
              </w:rPr>
              <w:t>1</w:t>
            </w:r>
          </w:p>
          <w:p w14:paraId="05702FCA" w14:textId="3A43709C" w:rsidR="00C147C6" w:rsidRPr="00B7219E" w:rsidRDefault="00BB281C" w:rsidP="00AA43F3">
            <w:pPr>
              <w:pStyle w:val="Tabletext"/>
              <w:keepNext/>
              <w:keepLines/>
              <w:jc w:val="center"/>
              <w:rPr>
                <w:szCs w:val="20"/>
                <w:highlight w:val="darkGray"/>
              </w:rPr>
            </w:pPr>
            <w:r w:rsidRPr="00BB281C">
              <w:rPr>
                <w:color w:val="000000"/>
                <w:spacing w:val="73"/>
                <w:szCs w:val="20"/>
                <w:shd w:val="solid" w:color="000000" w:fill="000000"/>
                <w:fitText w:val="391" w:id="-1234422258"/>
                <w14:textFill>
                  <w14:solidFill>
                    <w14:srgbClr w14:val="000000">
                      <w14:alpha w14:val="100000"/>
                    </w14:srgbClr>
                  </w14:solidFill>
                </w14:textFill>
              </w:rPr>
              <w:t>|||</w:t>
            </w:r>
            <w:r w:rsidRPr="00BB281C">
              <w:rPr>
                <w:color w:val="000000"/>
                <w:spacing w:val="2"/>
                <w:szCs w:val="20"/>
                <w:shd w:val="solid" w:color="000000" w:fill="000000"/>
                <w:fitText w:val="391" w:id="-1234422258"/>
                <w14:textFill>
                  <w14:solidFill>
                    <w14:srgbClr w14:val="000000">
                      <w14:alpha w14:val="100000"/>
                    </w14:srgbClr>
                  </w14:solidFill>
                </w14:textFill>
              </w:rPr>
              <w:t>|</w:t>
            </w:r>
            <w:r w:rsidR="00B7219E" w:rsidRPr="00B7219E">
              <w:rPr>
                <w:bCs/>
                <w:szCs w:val="20"/>
                <w:vertAlign w:val="superscript"/>
              </w:rPr>
              <w:t>1</w:t>
            </w:r>
          </w:p>
        </w:tc>
        <w:tc>
          <w:tcPr>
            <w:tcW w:w="683" w:type="pct"/>
            <w:gridSpan w:val="3"/>
            <w:tcBorders>
              <w:top w:val="single" w:sz="4" w:space="0" w:color="auto"/>
              <w:left w:val="nil"/>
              <w:bottom w:val="single" w:sz="4" w:space="0" w:color="auto"/>
              <w:right w:val="single" w:sz="4" w:space="0" w:color="auto"/>
            </w:tcBorders>
            <w:shd w:val="clear" w:color="auto" w:fill="auto"/>
            <w:vAlign w:val="center"/>
          </w:tcPr>
          <w:p w14:paraId="34279917" w14:textId="77777777" w:rsidR="009F6119" w:rsidRDefault="00BB281C" w:rsidP="00AA43F3">
            <w:pPr>
              <w:pStyle w:val="Tabletext"/>
              <w:keepNext/>
              <w:keepLines/>
              <w:jc w:val="center"/>
              <w:rPr>
                <w:bCs/>
                <w:szCs w:val="20"/>
                <w:vertAlign w:val="superscript"/>
              </w:rPr>
            </w:pPr>
            <w:r w:rsidRPr="00BB281C">
              <w:rPr>
                <w:color w:val="000000"/>
                <w:spacing w:val="34"/>
                <w:szCs w:val="20"/>
                <w:shd w:val="solid" w:color="000000" w:fill="000000"/>
                <w:fitText w:val="427" w:id="-1234422257"/>
                <w14:textFill>
                  <w14:solidFill>
                    <w14:srgbClr w14:val="000000">
                      <w14:alpha w14:val="100000"/>
                    </w14:srgbClr>
                  </w14:solidFill>
                </w14:textFill>
              </w:rPr>
              <w:t>|||||</w:t>
            </w:r>
            <w:r w:rsidRPr="00BB281C">
              <w:rPr>
                <w:color w:val="000000"/>
                <w:spacing w:val="2"/>
                <w:szCs w:val="20"/>
                <w:shd w:val="solid" w:color="000000" w:fill="000000"/>
                <w:fitText w:val="427" w:id="-1234422257"/>
                <w14:textFill>
                  <w14:solidFill>
                    <w14:srgbClr w14:val="000000">
                      <w14:alpha w14:val="100000"/>
                    </w14:srgbClr>
                  </w14:solidFill>
                </w14:textFill>
              </w:rPr>
              <w:t>|</w:t>
            </w:r>
            <w:r w:rsidR="00B7219E" w:rsidRPr="00B7219E">
              <w:rPr>
                <w:bCs/>
                <w:szCs w:val="20"/>
                <w:vertAlign w:val="superscript"/>
              </w:rPr>
              <w:t>1</w:t>
            </w:r>
          </w:p>
          <w:p w14:paraId="3BE60F3B" w14:textId="70B39352" w:rsidR="00C147C6" w:rsidRPr="00B7219E" w:rsidRDefault="00BB281C" w:rsidP="00AA43F3">
            <w:pPr>
              <w:pStyle w:val="Tabletext"/>
              <w:keepNext/>
              <w:keepLines/>
              <w:jc w:val="center"/>
              <w:rPr>
                <w:szCs w:val="20"/>
                <w:highlight w:val="darkGray"/>
              </w:rPr>
            </w:pPr>
            <w:r w:rsidRPr="00BB281C">
              <w:rPr>
                <w:color w:val="000000"/>
                <w:spacing w:val="73"/>
                <w:szCs w:val="20"/>
                <w:shd w:val="solid" w:color="000000" w:fill="000000"/>
                <w:fitText w:val="391" w:id="-1234422256"/>
                <w14:textFill>
                  <w14:solidFill>
                    <w14:srgbClr w14:val="000000">
                      <w14:alpha w14:val="100000"/>
                    </w14:srgbClr>
                  </w14:solidFill>
                </w14:textFill>
              </w:rPr>
              <w:t>|||</w:t>
            </w:r>
            <w:r w:rsidRPr="00BB281C">
              <w:rPr>
                <w:color w:val="000000"/>
                <w:spacing w:val="2"/>
                <w:szCs w:val="20"/>
                <w:shd w:val="solid" w:color="000000" w:fill="000000"/>
                <w:fitText w:val="391" w:id="-1234422256"/>
                <w14:textFill>
                  <w14:solidFill>
                    <w14:srgbClr w14:val="000000">
                      <w14:alpha w14:val="100000"/>
                    </w14:srgbClr>
                  </w14:solidFill>
                </w14:textFill>
              </w:rPr>
              <w:t>|</w:t>
            </w:r>
            <w:r w:rsidR="00B7219E" w:rsidRPr="00B7219E">
              <w:rPr>
                <w:bCs/>
                <w:szCs w:val="20"/>
                <w:vertAlign w:val="superscript"/>
              </w:rPr>
              <w:t>1</w:t>
            </w:r>
          </w:p>
        </w:tc>
        <w:tc>
          <w:tcPr>
            <w:tcW w:w="639" w:type="pct"/>
            <w:tcBorders>
              <w:top w:val="single" w:sz="4" w:space="0" w:color="auto"/>
              <w:left w:val="nil"/>
              <w:bottom w:val="single" w:sz="4" w:space="0" w:color="auto"/>
              <w:right w:val="single" w:sz="4" w:space="0" w:color="auto"/>
            </w:tcBorders>
            <w:shd w:val="clear" w:color="auto" w:fill="auto"/>
            <w:vAlign w:val="center"/>
          </w:tcPr>
          <w:p w14:paraId="306E172F" w14:textId="77777777" w:rsidR="009F6119" w:rsidRDefault="00BB281C" w:rsidP="00AA43F3">
            <w:pPr>
              <w:pStyle w:val="Tabletext"/>
              <w:keepNext/>
              <w:keepLines/>
              <w:jc w:val="center"/>
              <w:rPr>
                <w:bCs/>
                <w:szCs w:val="20"/>
                <w:vertAlign w:val="superscript"/>
              </w:rPr>
            </w:pPr>
            <w:r w:rsidRPr="009F6119">
              <w:rPr>
                <w:color w:val="000000"/>
                <w:spacing w:val="77"/>
                <w:szCs w:val="20"/>
                <w:shd w:val="solid" w:color="000000" w:fill="000000"/>
                <w:fitText w:val="403" w:id="-1234422272"/>
                <w14:textFill>
                  <w14:solidFill>
                    <w14:srgbClr w14:val="000000">
                      <w14:alpha w14:val="100000"/>
                    </w14:srgbClr>
                  </w14:solidFill>
                </w14:textFill>
              </w:rPr>
              <w:t>|||</w:t>
            </w:r>
            <w:r w:rsidRPr="009F6119">
              <w:rPr>
                <w:color w:val="000000"/>
                <w:spacing w:val="2"/>
                <w:szCs w:val="20"/>
                <w:shd w:val="solid" w:color="000000" w:fill="000000"/>
                <w:fitText w:val="403" w:id="-1234422272"/>
                <w14:textFill>
                  <w14:solidFill>
                    <w14:srgbClr w14:val="000000">
                      <w14:alpha w14:val="100000"/>
                    </w14:srgbClr>
                  </w14:solidFill>
                </w14:textFill>
              </w:rPr>
              <w:t>|</w:t>
            </w:r>
            <w:r w:rsidR="00B7219E" w:rsidRPr="00B7219E">
              <w:rPr>
                <w:bCs/>
                <w:szCs w:val="20"/>
                <w:vertAlign w:val="superscript"/>
              </w:rPr>
              <w:t>1</w:t>
            </w:r>
          </w:p>
          <w:p w14:paraId="03E322C7" w14:textId="6E28DB33" w:rsidR="00C147C6" w:rsidRPr="00B7219E" w:rsidRDefault="00BB281C" w:rsidP="00AA43F3">
            <w:pPr>
              <w:pStyle w:val="Tabletext"/>
              <w:keepNext/>
              <w:keepLines/>
              <w:jc w:val="center"/>
              <w:rPr>
                <w:szCs w:val="20"/>
                <w:highlight w:val="darkGray"/>
              </w:rPr>
            </w:pPr>
            <w:r w:rsidRPr="00BB281C">
              <w:rPr>
                <w:color w:val="000000"/>
                <w:spacing w:val="81"/>
                <w:szCs w:val="20"/>
                <w:shd w:val="solid" w:color="000000" w:fill="000000"/>
                <w:fitText w:val="415" w:id="-1234422271"/>
                <w14:textFill>
                  <w14:solidFill>
                    <w14:srgbClr w14:val="000000">
                      <w14:alpha w14:val="100000"/>
                    </w14:srgbClr>
                  </w14:solidFill>
                </w14:textFill>
              </w:rPr>
              <w:t>|||</w:t>
            </w:r>
            <w:r w:rsidRPr="00BB281C">
              <w:rPr>
                <w:color w:val="000000"/>
                <w:spacing w:val="2"/>
                <w:szCs w:val="20"/>
                <w:shd w:val="solid" w:color="000000" w:fill="000000"/>
                <w:fitText w:val="415" w:id="-1234422271"/>
                <w14:textFill>
                  <w14:solidFill>
                    <w14:srgbClr w14:val="000000">
                      <w14:alpha w14:val="100000"/>
                    </w14:srgbClr>
                  </w14:solidFill>
                </w14:textFill>
              </w:rPr>
              <w:t>|</w:t>
            </w:r>
            <w:r w:rsidR="00B7219E" w:rsidRPr="00B7219E">
              <w:rPr>
                <w:bCs/>
                <w:szCs w:val="20"/>
                <w:vertAlign w:val="superscript"/>
              </w:rPr>
              <w:t>1</w:t>
            </w:r>
          </w:p>
        </w:tc>
        <w:tc>
          <w:tcPr>
            <w:tcW w:w="646" w:type="pct"/>
            <w:tcBorders>
              <w:top w:val="single" w:sz="4" w:space="0" w:color="auto"/>
              <w:left w:val="nil"/>
              <w:bottom w:val="single" w:sz="4" w:space="0" w:color="auto"/>
              <w:right w:val="single" w:sz="4" w:space="0" w:color="auto"/>
            </w:tcBorders>
            <w:shd w:val="clear" w:color="auto" w:fill="auto"/>
            <w:vAlign w:val="center"/>
          </w:tcPr>
          <w:p w14:paraId="594B6118" w14:textId="77777777" w:rsidR="009F6119" w:rsidRDefault="00BB281C" w:rsidP="00AA43F3">
            <w:pPr>
              <w:pStyle w:val="Tabletext"/>
              <w:keepNext/>
              <w:keepLines/>
              <w:jc w:val="center"/>
              <w:rPr>
                <w:bCs/>
                <w:szCs w:val="20"/>
                <w:vertAlign w:val="superscript"/>
              </w:rPr>
            </w:pPr>
            <w:r w:rsidRPr="00BB281C">
              <w:rPr>
                <w:color w:val="000000"/>
                <w:spacing w:val="77"/>
                <w:szCs w:val="20"/>
                <w:shd w:val="solid" w:color="000000" w:fill="000000"/>
                <w:fitText w:val="403" w:id="-1234422270"/>
                <w14:textFill>
                  <w14:solidFill>
                    <w14:srgbClr w14:val="000000">
                      <w14:alpha w14:val="100000"/>
                    </w14:srgbClr>
                  </w14:solidFill>
                </w14:textFill>
              </w:rPr>
              <w:t>|||</w:t>
            </w:r>
            <w:r w:rsidRPr="00BB281C">
              <w:rPr>
                <w:color w:val="000000"/>
                <w:spacing w:val="2"/>
                <w:szCs w:val="20"/>
                <w:shd w:val="solid" w:color="000000" w:fill="000000"/>
                <w:fitText w:val="403" w:id="-1234422270"/>
                <w14:textFill>
                  <w14:solidFill>
                    <w14:srgbClr w14:val="000000">
                      <w14:alpha w14:val="100000"/>
                    </w14:srgbClr>
                  </w14:solidFill>
                </w14:textFill>
              </w:rPr>
              <w:t>|</w:t>
            </w:r>
            <w:r w:rsidR="00B7219E" w:rsidRPr="00B7219E">
              <w:rPr>
                <w:bCs/>
                <w:szCs w:val="20"/>
                <w:vertAlign w:val="superscript"/>
              </w:rPr>
              <w:t>1</w:t>
            </w:r>
          </w:p>
          <w:p w14:paraId="3BB9E5B0" w14:textId="0A7C3008" w:rsidR="00C147C6" w:rsidRPr="00B7219E" w:rsidRDefault="00BB281C" w:rsidP="00AA43F3">
            <w:pPr>
              <w:pStyle w:val="Tabletext"/>
              <w:keepNext/>
              <w:keepLines/>
              <w:jc w:val="center"/>
              <w:rPr>
                <w:szCs w:val="20"/>
                <w:highlight w:val="darkGray"/>
              </w:rPr>
            </w:pPr>
            <w:r w:rsidRPr="00BB281C">
              <w:rPr>
                <w:color w:val="000000"/>
                <w:spacing w:val="81"/>
                <w:szCs w:val="20"/>
                <w:shd w:val="solid" w:color="000000" w:fill="000000"/>
                <w:fitText w:val="415" w:id="-1234422269"/>
                <w14:textFill>
                  <w14:solidFill>
                    <w14:srgbClr w14:val="000000">
                      <w14:alpha w14:val="100000"/>
                    </w14:srgbClr>
                  </w14:solidFill>
                </w14:textFill>
              </w:rPr>
              <w:t>|||</w:t>
            </w:r>
            <w:r w:rsidRPr="00BB281C">
              <w:rPr>
                <w:color w:val="000000"/>
                <w:spacing w:val="2"/>
                <w:szCs w:val="20"/>
                <w:shd w:val="solid" w:color="000000" w:fill="000000"/>
                <w:fitText w:val="415" w:id="-1234422269"/>
                <w14:textFill>
                  <w14:solidFill>
                    <w14:srgbClr w14:val="000000">
                      <w14:alpha w14:val="100000"/>
                    </w14:srgbClr>
                  </w14:solidFill>
                </w14:textFill>
              </w:rPr>
              <w:t>|</w:t>
            </w:r>
            <w:r w:rsidR="00B7219E" w:rsidRPr="00B7219E">
              <w:rPr>
                <w:bCs/>
                <w:szCs w:val="20"/>
                <w:vertAlign w:val="superscript"/>
              </w:rPr>
              <w:t>1</w:t>
            </w:r>
          </w:p>
        </w:tc>
      </w:tr>
      <w:tr w:rsidR="00585D97" w:rsidRPr="00387889" w14:paraId="0361DD78" w14:textId="77777777" w:rsidTr="00AA43F3">
        <w:tc>
          <w:tcPr>
            <w:tcW w:w="1119" w:type="pct"/>
            <w:shd w:val="clear" w:color="auto" w:fill="auto"/>
            <w:vAlign w:val="center"/>
          </w:tcPr>
          <w:p w14:paraId="211160C0" w14:textId="77777777" w:rsidR="007206E2" w:rsidRPr="00B7219E" w:rsidRDefault="007206E2" w:rsidP="00AA43F3">
            <w:pPr>
              <w:keepNext/>
              <w:keepLines/>
              <w:jc w:val="left"/>
              <w:rPr>
                <w:rFonts w:ascii="Arial Narrow" w:eastAsiaTheme="majorEastAsia" w:hAnsi="Arial Narrow" w:cstheme="majorBidi"/>
                <w:bCs/>
                <w:sz w:val="20"/>
                <w:szCs w:val="20"/>
              </w:rPr>
            </w:pPr>
            <w:r w:rsidRPr="00B7219E">
              <w:rPr>
                <w:rFonts w:ascii="Arial Narrow" w:eastAsiaTheme="majorEastAsia" w:hAnsi="Arial Narrow" w:cstheme="majorBidi"/>
                <w:bCs/>
                <w:sz w:val="20"/>
                <w:szCs w:val="20"/>
              </w:rPr>
              <w:t xml:space="preserve">Number of scripts dispensed </w:t>
            </w:r>
          </w:p>
        </w:tc>
        <w:tc>
          <w:tcPr>
            <w:tcW w:w="5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B97793" w14:textId="53DF6DE7" w:rsidR="007206E2" w:rsidRPr="00B7219E" w:rsidRDefault="00BB281C" w:rsidP="00AA43F3">
            <w:pPr>
              <w:keepNext/>
              <w:keepLines/>
              <w:jc w:val="center"/>
              <w:rPr>
                <w:rFonts w:ascii="Arial Narrow" w:eastAsiaTheme="majorEastAsia" w:hAnsi="Arial Narrow" w:cstheme="majorBidi"/>
                <w:bCs/>
                <w:sz w:val="20"/>
                <w:szCs w:val="20"/>
                <w:highlight w:val="darkGray"/>
              </w:rPr>
            </w:pPr>
            <w:r w:rsidRPr="009F6119">
              <w:rPr>
                <w:rFonts w:ascii="Arial Narrow" w:hAnsi="Arial Narrow"/>
                <w:bCs/>
                <w:color w:val="000000"/>
                <w:spacing w:val="73"/>
                <w:sz w:val="20"/>
                <w:szCs w:val="20"/>
                <w:shd w:val="solid" w:color="000000" w:fill="000000"/>
                <w:fitText w:val="392" w:id="-1234422268"/>
                <w14:textFill>
                  <w14:solidFill>
                    <w14:srgbClr w14:val="000000">
                      <w14:alpha w14:val="100000"/>
                    </w14:srgbClr>
                  </w14:solidFill>
                </w14:textFill>
              </w:rPr>
              <w:t>|||</w:t>
            </w:r>
            <w:r w:rsidRPr="009F6119">
              <w:rPr>
                <w:rFonts w:ascii="Arial Narrow" w:hAnsi="Arial Narrow"/>
                <w:bCs/>
                <w:color w:val="000000"/>
                <w:spacing w:val="3"/>
                <w:sz w:val="20"/>
                <w:szCs w:val="20"/>
                <w:shd w:val="solid" w:color="000000" w:fill="000000"/>
                <w:fitText w:val="392" w:id="-1234422268"/>
                <w14:textFill>
                  <w14:solidFill>
                    <w14:srgbClr w14:val="000000">
                      <w14:alpha w14:val="100000"/>
                    </w14:srgbClr>
                  </w14:solidFill>
                </w14:textFill>
              </w:rPr>
              <w:t>|</w:t>
            </w:r>
            <w:r w:rsidR="00B7219E" w:rsidRPr="00B7219E">
              <w:rPr>
                <w:bCs/>
                <w:sz w:val="20"/>
                <w:szCs w:val="20"/>
                <w:vertAlign w:val="superscript"/>
              </w:rPr>
              <w:t>2</w:t>
            </w:r>
          </w:p>
        </w:tc>
        <w:tc>
          <w:tcPr>
            <w:tcW w:w="660" w:type="pct"/>
            <w:tcBorders>
              <w:top w:val="single" w:sz="4" w:space="0" w:color="auto"/>
              <w:left w:val="nil"/>
              <w:bottom w:val="single" w:sz="4" w:space="0" w:color="auto"/>
              <w:right w:val="single" w:sz="4" w:space="0" w:color="auto"/>
            </w:tcBorders>
            <w:shd w:val="clear" w:color="auto" w:fill="auto"/>
            <w:vAlign w:val="center"/>
          </w:tcPr>
          <w:p w14:paraId="102D035E" w14:textId="3F09CBBD" w:rsidR="007206E2" w:rsidRPr="00B7219E" w:rsidRDefault="00BB281C" w:rsidP="00AA43F3">
            <w:pPr>
              <w:keepNext/>
              <w:keepLines/>
              <w:jc w:val="center"/>
              <w:rPr>
                <w:rFonts w:ascii="Arial Narrow" w:eastAsiaTheme="majorEastAsia" w:hAnsi="Arial Narrow" w:cstheme="majorBidi"/>
                <w:bCs/>
                <w:sz w:val="20"/>
                <w:szCs w:val="20"/>
                <w:highlight w:val="darkGray"/>
              </w:rPr>
            </w:pPr>
            <w:r w:rsidRPr="00BB281C">
              <w:rPr>
                <w:rFonts w:ascii="Arial Narrow" w:hAnsi="Arial Narrow"/>
                <w:bCs/>
                <w:color w:val="000000"/>
                <w:spacing w:val="86"/>
                <w:sz w:val="20"/>
                <w:szCs w:val="20"/>
                <w:shd w:val="solid" w:color="000000" w:fill="000000"/>
                <w:fitText w:val="172" w:id="-1234422266"/>
                <w14:textFill>
                  <w14:solidFill>
                    <w14:srgbClr w14:val="000000">
                      <w14:alpha w14:val="100000"/>
                    </w14:srgbClr>
                  </w14:solidFill>
                </w14:textFill>
              </w:rPr>
              <w:t>|</w:t>
            </w:r>
            <w:r w:rsidRPr="00BB281C">
              <w:rPr>
                <w:rFonts w:ascii="Arial Narrow" w:hAnsi="Arial Narrow"/>
                <w:bCs/>
                <w:color w:val="000000"/>
                <w:spacing w:val="1"/>
                <w:sz w:val="20"/>
                <w:szCs w:val="20"/>
                <w:shd w:val="solid" w:color="000000" w:fill="000000"/>
                <w:fitText w:val="172" w:id="-1234422266"/>
                <w14:textFill>
                  <w14:solidFill>
                    <w14:srgbClr w14:val="000000">
                      <w14:alpha w14:val="100000"/>
                    </w14:srgbClr>
                  </w14:solidFill>
                </w14:textFill>
              </w:rPr>
              <w:t>|</w:t>
            </w:r>
            <w:r w:rsidR="00B7219E" w:rsidRPr="00B7219E">
              <w:rPr>
                <w:bCs/>
                <w:sz w:val="20"/>
                <w:szCs w:val="20"/>
                <w:vertAlign w:val="superscript"/>
              </w:rPr>
              <w:t>3</w:t>
            </w:r>
          </w:p>
        </w:tc>
        <w:tc>
          <w:tcPr>
            <w:tcW w:w="660" w:type="pct"/>
            <w:gridSpan w:val="3"/>
            <w:tcBorders>
              <w:top w:val="single" w:sz="4" w:space="0" w:color="auto"/>
              <w:left w:val="nil"/>
              <w:bottom w:val="single" w:sz="4" w:space="0" w:color="auto"/>
              <w:right w:val="single" w:sz="4" w:space="0" w:color="auto"/>
            </w:tcBorders>
            <w:shd w:val="clear" w:color="auto" w:fill="auto"/>
            <w:vAlign w:val="center"/>
          </w:tcPr>
          <w:p w14:paraId="29E6F322" w14:textId="2439EB17" w:rsidR="007206E2" w:rsidRPr="00B7219E" w:rsidRDefault="00BB281C" w:rsidP="00AA43F3">
            <w:pPr>
              <w:keepNext/>
              <w:keepLines/>
              <w:jc w:val="center"/>
              <w:rPr>
                <w:rFonts w:ascii="Arial Narrow" w:eastAsiaTheme="majorEastAsia" w:hAnsi="Arial Narrow" w:cstheme="majorBidi"/>
                <w:bCs/>
                <w:sz w:val="20"/>
                <w:szCs w:val="20"/>
                <w:highlight w:val="darkGray"/>
              </w:rPr>
            </w:pPr>
            <w:r w:rsidRPr="00BB281C">
              <w:rPr>
                <w:rFonts w:ascii="Arial Narrow" w:hAnsi="Arial Narrow"/>
                <w:bCs/>
                <w:color w:val="000000"/>
                <w:spacing w:val="87"/>
                <w:sz w:val="20"/>
                <w:szCs w:val="20"/>
                <w:shd w:val="solid" w:color="000000" w:fill="000000"/>
                <w:fitText w:val="173" w:id="-1234422265"/>
                <w14:textFill>
                  <w14:solidFill>
                    <w14:srgbClr w14:val="000000">
                      <w14:alpha w14:val="100000"/>
                    </w14:srgbClr>
                  </w14:solidFill>
                </w14:textFill>
              </w:rPr>
              <w:t>|</w:t>
            </w:r>
            <w:r w:rsidRPr="00BB281C">
              <w:rPr>
                <w:rFonts w:ascii="Arial Narrow" w:hAnsi="Arial Narrow"/>
                <w:bCs/>
                <w:color w:val="000000"/>
                <w:spacing w:val="1"/>
                <w:sz w:val="20"/>
                <w:szCs w:val="20"/>
                <w:shd w:val="solid" w:color="000000" w:fill="000000"/>
                <w:fitText w:val="173" w:id="-1234422265"/>
                <w14:textFill>
                  <w14:solidFill>
                    <w14:srgbClr w14:val="000000">
                      <w14:alpha w14:val="100000"/>
                    </w14:srgbClr>
                  </w14:solidFill>
                </w14:textFill>
              </w:rPr>
              <w:t>|</w:t>
            </w:r>
            <w:r w:rsidR="00B7219E" w:rsidRPr="00B7219E">
              <w:rPr>
                <w:bCs/>
                <w:sz w:val="20"/>
                <w:szCs w:val="20"/>
                <w:vertAlign w:val="superscript"/>
              </w:rPr>
              <w:t>3</w:t>
            </w:r>
          </w:p>
        </w:tc>
        <w:tc>
          <w:tcPr>
            <w:tcW w:w="683" w:type="pct"/>
            <w:gridSpan w:val="3"/>
            <w:tcBorders>
              <w:top w:val="single" w:sz="4" w:space="0" w:color="auto"/>
              <w:left w:val="nil"/>
              <w:bottom w:val="single" w:sz="4" w:space="0" w:color="auto"/>
              <w:right w:val="single" w:sz="4" w:space="0" w:color="auto"/>
            </w:tcBorders>
            <w:shd w:val="clear" w:color="auto" w:fill="auto"/>
            <w:vAlign w:val="center"/>
          </w:tcPr>
          <w:p w14:paraId="1C0A2BDB" w14:textId="5A92A192" w:rsidR="007206E2" w:rsidRPr="00B7219E" w:rsidRDefault="00BB281C" w:rsidP="00AA43F3">
            <w:pPr>
              <w:keepNext/>
              <w:keepLines/>
              <w:jc w:val="center"/>
              <w:rPr>
                <w:rFonts w:ascii="Arial Narrow" w:eastAsiaTheme="majorEastAsia" w:hAnsi="Arial Narrow" w:cstheme="majorBidi"/>
                <w:bCs/>
                <w:sz w:val="20"/>
                <w:szCs w:val="20"/>
                <w:highlight w:val="darkGray"/>
              </w:rPr>
            </w:pPr>
            <w:r w:rsidRPr="00BB281C">
              <w:rPr>
                <w:rFonts w:ascii="Arial Narrow" w:hAnsi="Arial Narrow" w:hint="eastAsia"/>
                <w:bCs/>
                <w:color w:val="000000"/>
                <w:w w:val="33"/>
                <w:sz w:val="20"/>
                <w:szCs w:val="20"/>
                <w:shd w:val="solid" w:color="000000" w:fill="000000"/>
                <w:fitText w:val="150" w:id="-1234422264"/>
                <w14:textFill>
                  <w14:solidFill>
                    <w14:srgbClr w14:val="000000">
                      <w14:alpha w14:val="100000"/>
                    </w14:srgbClr>
                  </w14:solidFill>
                </w14:textFill>
              </w:rPr>
              <w:t xml:space="preserve">　</w:t>
            </w:r>
            <w:r w:rsidRPr="00BB281C">
              <w:rPr>
                <w:rFonts w:ascii="Arial Narrow" w:hAnsi="Arial Narrow"/>
                <w:bCs/>
                <w:color w:val="000000"/>
                <w:w w:val="33"/>
                <w:sz w:val="20"/>
                <w:szCs w:val="20"/>
                <w:shd w:val="solid" w:color="000000" w:fill="000000"/>
                <w:fitText w:val="150" w:id="-1234422264"/>
                <w14:textFill>
                  <w14:solidFill>
                    <w14:srgbClr w14:val="000000">
                      <w14:alpha w14:val="100000"/>
                    </w14:srgbClr>
                  </w14:solidFill>
                </w14:textFill>
              </w:rPr>
              <w:t>|</w:t>
            </w:r>
            <w:r w:rsidRPr="00BB281C">
              <w:rPr>
                <w:rFonts w:ascii="Arial Narrow" w:hAnsi="Arial Narrow" w:hint="eastAsia"/>
                <w:bCs/>
                <w:color w:val="000000"/>
                <w:spacing w:val="4"/>
                <w:w w:val="33"/>
                <w:sz w:val="20"/>
                <w:szCs w:val="20"/>
                <w:shd w:val="solid" w:color="000000" w:fill="000000"/>
                <w:fitText w:val="150" w:id="-1234422264"/>
                <w14:textFill>
                  <w14:solidFill>
                    <w14:srgbClr w14:val="000000">
                      <w14:alpha w14:val="100000"/>
                    </w14:srgbClr>
                  </w14:solidFill>
                </w14:textFill>
              </w:rPr>
              <w:t xml:space="preserve">　</w:t>
            </w:r>
            <w:r w:rsidR="00B7219E" w:rsidRPr="00B7219E">
              <w:rPr>
                <w:bCs/>
                <w:sz w:val="20"/>
                <w:szCs w:val="20"/>
                <w:vertAlign w:val="superscript"/>
              </w:rPr>
              <w:t>3</w:t>
            </w:r>
          </w:p>
        </w:tc>
        <w:tc>
          <w:tcPr>
            <w:tcW w:w="639" w:type="pct"/>
            <w:tcBorders>
              <w:top w:val="single" w:sz="4" w:space="0" w:color="auto"/>
              <w:left w:val="nil"/>
              <w:bottom w:val="single" w:sz="4" w:space="0" w:color="auto"/>
              <w:right w:val="single" w:sz="4" w:space="0" w:color="auto"/>
            </w:tcBorders>
            <w:shd w:val="clear" w:color="auto" w:fill="auto"/>
            <w:vAlign w:val="center"/>
          </w:tcPr>
          <w:p w14:paraId="4D41357E" w14:textId="3D881973" w:rsidR="007206E2" w:rsidRPr="00B7219E" w:rsidRDefault="00BB281C" w:rsidP="00AA43F3">
            <w:pPr>
              <w:keepNext/>
              <w:keepLines/>
              <w:jc w:val="center"/>
              <w:rPr>
                <w:rFonts w:ascii="Arial Narrow" w:eastAsiaTheme="majorEastAsia" w:hAnsi="Arial Narrow" w:cstheme="majorBidi"/>
                <w:bCs/>
                <w:sz w:val="20"/>
                <w:szCs w:val="20"/>
                <w:highlight w:val="darkGray"/>
              </w:rPr>
            </w:pPr>
            <w:r w:rsidRPr="00BB281C">
              <w:rPr>
                <w:rFonts w:ascii="Arial Narrow" w:hAnsi="Arial Narrow"/>
                <w:bCs/>
                <w:color w:val="000000"/>
                <w:spacing w:val="81"/>
                <w:sz w:val="20"/>
                <w:szCs w:val="20"/>
                <w:shd w:val="solid" w:color="000000" w:fill="000000"/>
                <w:fitText w:val="415" w:id="-1234422263"/>
                <w14:textFill>
                  <w14:solidFill>
                    <w14:srgbClr w14:val="000000">
                      <w14:alpha w14:val="100000"/>
                    </w14:srgbClr>
                  </w14:solidFill>
                </w14:textFill>
              </w:rPr>
              <w:t>|||</w:t>
            </w:r>
            <w:r w:rsidRPr="00BB281C">
              <w:rPr>
                <w:rFonts w:ascii="Arial Narrow" w:hAnsi="Arial Narrow"/>
                <w:bCs/>
                <w:color w:val="000000"/>
                <w:spacing w:val="2"/>
                <w:sz w:val="20"/>
                <w:szCs w:val="20"/>
                <w:shd w:val="solid" w:color="000000" w:fill="000000"/>
                <w:fitText w:val="415" w:id="-1234422263"/>
                <w14:textFill>
                  <w14:solidFill>
                    <w14:srgbClr w14:val="000000">
                      <w14:alpha w14:val="100000"/>
                    </w14:srgbClr>
                  </w14:solidFill>
                </w14:textFill>
              </w:rPr>
              <w:t>|</w:t>
            </w:r>
            <w:r w:rsidR="00B7219E" w:rsidRPr="00B7219E">
              <w:rPr>
                <w:bCs/>
                <w:sz w:val="20"/>
                <w:szCs w:val="20"/>
                <w:vertAlign w:val="superscript"/>
              </w:rPr>
              <w:t>3</w:t>
            </w:r>
          </w:p>
        </w:tc>
        <w:tc>
          <w:tcPr>
            <w:tcW w:w="646" w:type="pct"/>
            <w:tcBorders>
              <w:top w:val="single" w:sz="4" w:space="0" w:color="auto"/>
              <w:left w:val="nil"/>
              <w:bottom w:val="single" w:sz="4" w:space="0" w:color="auto"/>
              <w:right w:val="single" w:sz="4" w:space="0" w:color="auto"/>
            </w:tcBorders>
            <w:shd w:val="clear" w:color="auto" w:fill="auto"/>
            <w:vAlign w:val="center"/>
          </w:tcPr>
          <w:p w14:paraId="59AE00CF" w14:textId="7E694CFE" w:rsidR="007206E2" w:rsidRPr="00B7219E" w:rsidRDefault="00BB281C" w:rsidP="00AA43F3">
            <w:pPr>
              <w:keepNext/>
              <w:keepLines/>
              <w:jc w:val="center"/>
              <w:rPr>
                <w:rFonts w:ascii="Arial Narrow" w:eastAsiaTheme="majorEastAsia" w:hAnsi="Arial Narrow" w:cstheme="majorBidi"/>
                <w:bCs/>
                <w:sz w:val="20"/>
                <w:szCs w:val="20"/>
                <w:highlight w:val="darkGray"/>
              </w:rPr>
            </w:pPr>
            <w:r w:rsidRPr="00BB281C">
              <w:rPr>
                <w:rFonts w:ascii="Arial Narrow" w:hAnsi="Arial Narrow"/>
                <w:bCs/>
                <w:color w:val="000000"/>
                <w:spacing w:val="99"/>
                <w:sz w:val="20"/>
                <w:szCs w:val="20"/>
                <w:shd w:val="solid" w:color="000000" w:fill="000000"/>
                <w:fitText w:val="185" w:id="-1234422261"/>
                <w14:textFill>
                  <w14:solidFill>
                    <w14:srgbClr w14:val="000000">
                      <w14:alpha w14:val="100000"/>
                    </w14:srgbClr>
                  </w14:solidFill>
                </w14:textFill>
              </w:rPr>
              <w:t>|</w:t>
            </w:r>
            <w:r w:rsidRPr="00BB281C">
              <w:rPr>
                <w:rFonts w:ascii="Arial Narrow" w:hAnsi="Arial Narrow"/>
                <w:bCs/>
                <w:color w:val="000000"/>
                <w:spacing w:val="1"/>
                <w:sz w:val="20"/>
                <w:szCs w:val="20"/>
                <w:shd w:val="solid" w:color="000000" w:fill="000000"/>
                <w:fitText w:val="185" w:id="-1234422261"/>
                <w14:textFill>
                  <w14:solidFill>
                    <w14:srgbClr w14:val="000000">
                      <w14:alpha w14:val="100000"/>
                    </w14:srgbClr>
                  </w14:solidFill>
                </w14:textFill>
              </w:rPr>
              <w:t>|</w:t>
            </w:r>
            <w:r w:rsidR="00B7219E" w:rsidRPr="00B7219E">
              <w:rPr>
                <w:bCs/>
                <w:sz w:val="20"/>
                <w:szCs w:val="20"/>
                <w:vertAlign w:val="superscript"/>
              </w:rPr>
              <w:t>3</w:t>
            </w:r>
          </w:p>
        </w:tc>
      </w:tr>
      <w:tr w:rsidR="007206E2" w:rsidRPr="00387889" w14:paraId="4E065E05" w14:textId="77777777" w:rsidTr="00585D97">
        <w:tc>
          <w:tcPr>
            <w:tcW w:w="5000" w:type="pct"/>
            <w:gridSpan w:val="12"/>
            <w:shd w:val="clear" w:color="auto" w:fill="auto"/>
            <w:vAlign w:val="center"/>
          </w:tcPr>
          <w:p w14:paraId="5C79F705" w14:textId="77777777" w:rsidR="007206E2" w:rsidRPr="00B7219E" w:rsidRDefault="007206E2" w:rsidP="007C27C9">
            <w:pPr>
              <w:keepNext/>
              <w:rPr>
                <w:rFonts w:ascii="Arial Narrow" w:eastAsiaTheme="majorEastAsia" w:hAnsi="Arial Narrow"/>
                <w:b/>
                <w:sz w:val="20"/>
                <w:szCs w:val="20"/>
              </w:rPr>
            </w:pPr>
            <w:r w:rsidRPr="00B7219E">
              <w:rPr>
                <w:rFonts w:ascii="Arial Narrow" w:eastAsiaTheme="majorEastAsia" w:hAnsi="Arial Narrow"/>
                <w:b/>
                <w:sz w:val="20"/>
                <w:szCs w:val="20"/>
              </w:rPr>
              <w:t>Estimated financial implications of pembrolizumab</w:t>
            </w:r>
          </w:p>
        </w:tc>
      </w:tr>
      <w:tr w:rsidR="00585D97" w:rsidRPr="00387889" w14:paraId="0337F6D0" w14:textId="77777777" w:rsidTr="00AA43F3">
        <w:tc>
          <w:tcPr>
            <w:tcW w:w="1119" w:type="pct"/>
            <w:tcBorders>
              <w:bottom w:val="single" w:sz="4" w:space="0" w:color="auto"/>
            </w:tcBorders>
            <w:shd w:val="clear" w:color="auto" w:fill="auto"/>
            <w:vAlign w:val="center"/>
          </w:tcPr>
          <w:p w14:paraId="6551D289" w14:textId="1BECC657" w:rsidR="007206E2" w:rsidRPr="00B7219E" w:rsidRDefault="007206E2" w:rsidP="007206E2">
            <w:pPr>
              <w:keepNext/>
              <w:jc w:val="left"/>
              <w:rPr>
                <w:rFonts w:ascii="Arial Narrow" w:eastAsiaTheme="majorEastAsia" w:hAnsi="Arial Narrow" w:cstheme="majorBidi"/>
                <w:bCs/>
                <w:sz w:val="20"/>
                <w:szCs w:val="20"/>
              </w:rPr>
            </w:pPr>
            <w:r w:rsidRPr="00B7219E">
              <w:rPr>
                <w:rFonts w:ascii="Arial Narrow" w:eastAsiaTheme="majorEastAsia" w:hAnsi="Arial Narrow" w:cstheme="majorBidi"/>
                <w:bCs/>
                <w:sz w:val="20"/>
                <w:szCs w:val="20"/>
              </w:rPr>
              <w:t>Cost to PBS/RPBS less copayments</w:t>
            </w:r>
            <w:r w:rsidR="008316AF" w:rsidRPr="00B7219E">
              <w:rPr>
                <w:rFonts w:ascii="Arial Narrow" w:eastAsiaTheme="majorEastAsia" w:hAnsi="Arial Narrow" w:cstheme="majorBidi"/>
                <w:bCs/>
                <w:sz w:val="20"/>
                <w:szCs w:val="20"/>
              </w:rPr>
              <w:t xml:space="preserve"> ($)</w:t>
            </w:r>
          </w:p>
        </w:tc>
        <w:tc>
          <w:tcPr>
            <w:tcW w:w="5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06C11E" w14:textId="4E3AB4C7" w:rsidR="007206E2" w:rsidRPr="00B7219E" w:rsidRDefault="00BB281C" w:rsidP="007C27C9">
            <w:pPr>
              <w:keepNext/>
              <w:jc w:val="center"/>
              <w:rPr>
                <w:rFonts w:ascii="Arial Narrow" w:eastAsiaTheme="majorEastAsia" w:hAnsi="Arial Narrow" w:cstheme="majorBidi"/>
                <w:bCs/>
                <w:sz w:val="20"/>
                <w:szCs w:val="20"/>
                <w:highlight w:val="darkGray"/>
              </w:rPr>
            </w:pPr>
            <w:r w:rsidRPr="00BB281C">
              <w:rPr>
                <w:rFonts w:ascii="Arial Narrow" w:hAnsi="Arial Narrow"/>
                <w:bCs/>
                <w:color w:val="000000"/>
                <w:spacing w:val="51"/>
                <w:sz w:val="20"/>
                <w:szCs w:val="20"/>
                <w:shd w:val="solid" w:color="000000" w:fill="000000"/>
                <w:fitText w:val="230" w:id="-1234422260"/>
                <w14:textFill>
                  <w14:solidFill>
                    <w14:srgbClr w14:val="000000">
                      <w14:alpha w14:val="100000"/>
                    </w14:srgbClr>
                  </w14:solidFill>
                </w14:textFill>
              </w:rPr>
              <w:t>||</w:t>
            </w:r>
            <w:r w:rsidRPr="00BB281C">
              <w:rPr>
                <w:rFonts w:ascii="Arial Narrow" w:hAnsi="Arial Narrow"/>
                <w:bCs/>
                <w:color w:val="000000"/>
                <w:spacing w:val="1"/>
                <w:sz w:val="20"/>
                <w:szCs w:val="20"/>
                <w:shd w:val="solid" w:color="000000" w:fill="000000"/>
                <w:fitText w:val="230" w:id="-1234422260"/>
                <w14:textFill>
                  <w14:solidFill>
                    <w14:srgbClr w14:val="000000">
                      <w14:alpha w14:val="100000"/>
                    </w14:srgbClr>
                  </w14:solidFill>
                </w14:textFill>
              </w:rPr>
              <w:t>|</w:t>
            </w:r>
            <w:r w:rsidR="00B7219E" w:rsidRPr="00B7219E">
              <w:rPr>
                <w:bCs/>
                <w:sz w:val="20"/>
                <w:szCs w:val="20"/>
                <w:vertAlign w:val="superscript"/>
              </w:rPr>
              <w:t>5</w:t>
            </w:r>
          </w:p>
        </w:tc>
        <w:tc>
          <w:tcPr>
            <w:tcW w:w="660" w:type="pct"/>
            <w:tcBorders>
              <w:top w:val="single" w:sz="4" w:space="0" w:color="auto"/>
              <w:left w:val="nil"/>
              <w:bottom w:val="single" w:sz="4" w:space="0" w:color="auto"/>
              <w:right w:val="single" w:sz="4" w:space="0" w:color="auto"/>
            </w:tcBorders>
            <w:shd w:val="clear" w:color="auto" w:fill="auto"/>
            <w:vAlign w:val="center"/>
          </w:tcPr>
          <w:p w14:paraId="112B4C3B" w14:textId="51A175FF" w:rsidR="007206E2" w:rsidRPr="00B7219E" w:rsidRDefault="00BB281C" w:rsidP="007C27C9">
            <w:pPr>
              <w:keepNext/>
              <w:jc w:val="center"/>
              <w:rPr>
                <w:rFonts w:ascii="Arial Narrow" w:eastAsiaTheme="majorEastAsia" w:hAnsi="Arial Narrow" w:cstheme="majorBidi"/>
                <w:bCs/>
                <w:sz w:val="20"/>
                <w:szCs w:val="20"/>
                <w:highlight w:val="darkGray"/>
              </w:rPr>
            </w:pPr>
            <w:r w:rsidRPr="00BB281C">
              <w:rPr>
                <w:rFonts w:ascii="Arial Narrow" w:hAnsi="Arial Narrow"/>
                <w:bCs/>
                <w:color w:val="000000"/>
                <w:spacing w:val="86"/>
                <w:sz w:val="20"/>
                <w:szCs w:val="20"/>
                <w:shd w:val="solid" w:color="000000" w:fill="000000"/>
                <w:fitText w:val="172" w:id="-1234422259"/>
                <w14:textFill>
                  <w14:solidFill>
                    <w14:srgbClr w14:val="000000">
                      <w14:alpha w14:val="100000"/>
                    </w14:srgbClr>
                  </w14:solidFill>
                </w14:textFill>
              </w:rPr>
              <w:t>|</w:t>
            </w:r>
            <w:r w:rsidRPr="00BB281C">
              <w:rPr>
                <w:rFonts w:ascii="Arial Narrow" w:hAnsi="Arial Narrow"/>
                <w:bCs/>
                <w:color w:val="000000"/>
                <w:spacing w:val="1"/>
                <w:sz w:val="20"/>
                <w:szCs w:val="20"/>
                <w:shd w:val="solid" w:color="000000" w:fill="000000"/>
                <w:fitText w:val="172" w:id="-1234422259"/>
                <w14:textFill>
                  <w14:solidFill>
                    <w14:srgbClr w14:val="000000">
                      <w14:alpha w14:val="100000"/>
                    </w14:srgbClr>
                  </w14:solidFill>
                </w14:textFill>
              </w:rPr>
              <w:t>|</w:t>
            </w:r>
            <w:r w:rsidR="00B7219E" w:rsidRPr="00B7219E">
              <w:rPr>
                <w:bCs/>
                <w:sz w:val="20"/>
                <w:szCs w:val="20"/>
                <w:vertAlign w:val="superscript"/>
              </w:rPr>
              <w:t>5</w:t>
            </w:r>
          </w:p>
        </w:tc>
        <w:tc>
          <w:tcPr>
            <w:tcW w:w="660" w:type="pct"/>
            <w:gridSpan w:val="3"/>
            <w:tcBorders>
              <w:top w:val="single" w:sz="4" w:space="0" w:color="auto"/>
              <w:left w:val="nil"/>
              <w:bottom w:val="single" w:sz="4" w:space="0" w:color="auto"/>
              <w:right w:val="single" w:sz="4" w:space="0" w:color="auto"/>
            </w:tcBorders>
            <w:shd w:val="clear" w:color="auto" w:fill="auto"/>
            <w:vAlign w:val="center"/>
          </w:tcPr>
          <w:p w14:paraId="45182CFB" w14:textId="4B5D08E6" w:rsidR="007206E2" w:rsidRPr="00B7219E" w:rsidRDefault="00BB281C" w:rsidP="007C27C9">
            <w:pPr>
              <w:keepNext/>
              <w:jc w:val="center"/>
              <w:rPr>
                <w:rFonts w:ascii="Arial Narrow" w:eastAsiaTheme="majorEastAsia" w:hAnsi="Arial Narrow" w:cstheme="majorBidi"/>
                <w:bCs/>
                <w:sz w:val="20"/>
                <w:szCs w:val="20"/>
                <w:highlight w:val="darkGray"/>
              </w:rPr>
            </w:pPr>
            <w:r w:rsidRPr="00BB281C">
              <w:rPr>
                <w:rFonts w:ascii="Arial Narrow" w:hAnsi="Arial Narrow"/>
                <w:bCs/>
                <w:color w:val="000000"/>
                <w:spacing w:val="87"/>
                <w:sz w:val="20"/>
                <w:szCs w:val="20"/>
                <w:shd w:val="solid" w:color="000000" w:fill="000000"/>
                <w:fitText w:val="173" w:id="-1234422258"/>
                <w14:textFill>
                  <w14:solidFill>
                    <w14:srgbClr w14:val="000000">
                      <w14:alpha w14:val="100000"/>
                    </w14:srgbClr>
                  </w14:solidFill>
                </w14:textFill>
              </w:rPr>
              <w:t>|</w:t>
            </w:r>
            <w:r w:rsidRPr="00BB281C">
              <w:rPr>
                <w:rFonts w:ascii="Arial Narrow" w:hAnsi="Arial Narrow"/>
                <w:bCs/>
                <w:color w:val="000000"/>
                <w:spacing w:val="1"/>
                <w:sz w:val="20"/>
                <w:szCs w:val="20"/>
                <w:shd w:val="solid" w:color="000000" w:fill="000000"/>
                <w:fitText w:val="173" w:id="-1234422258"/>
                <w14:textFill>
                  <w14:solidFill>
                    <w14:srgbClr w14:val="000000">
                      <w14:alpha w14:val="100000"/>
                    </w14:srgbClr>
                  </w14:solidFill>
                </w14:textFill>
              </w:rPr>
              <w:t>|</w:t>
            </w:r>
            <w:r w:rsidR="00B7219E" w:rsidRPr="00B7219E">
              <w:rPr>
                <w:bCs/>
                <w:sz w:val="20"/>
                <w:szCs w:val="20"/>
                <w:vertAlign w:val="superscript"/>
              </w:rPr>
              <w:t>5</w:t>
            </w:r>
          </w:p>
        </w:tc>
        <w:tc>
          <w:tcPr>
            <w:tcW w:w="683" w:type="pct"/>
            <w:gridSpan w:val="3"/>
            <w:tcBorders>
              <w:top w:val="single" w:sz="4" w:space="0" w:color="auto"/>
              <w:left w:val="nil"/>
              <w:bottom w:val="single" w:sz="4" w:space="0" w:color="auto"/>
              <w:right w:val="single" w:sz="4" w:space="0" w:color="auto"/>
            </w:tcBorders>
            <w:shd w:val="clear" w:color="auto" w:fill="auto"/>
            <w:vAlign w:val="center"/>
          </w:tcPr>
          <w:p w14:paraId="4B825FD7" w14:textId="3D08B1F2" w:rsidR="007206E2" w:rsidRPr="00B7219E" w:rsidRDefault="00BB281C" w:rsidP="007C27C9">
            <w:pPr>
              <w:keepNext/>
              <w:jc w:val="center"/>
              <w:rPr>
                <w:rFonts w:ascii="Arial Narrow" w:eastAsiaTheme="majorEastAsia" w:hAnsi="Arial Narrow" w:cstheme="majorBidi"/>
                <w:bCs/>
                <w:sz w:val="20"/>
                <w:szCs w:val="20"/>
                <w:highlight w:val="darkGray"/>
              </w:rPr>
            </w:pPr>
            <w:r w:rsidRPr="00BB281C">
              <w:rPr>
                <w:rFonts w:ascii="Arial Narrow" w:hAnsi="Arial Narrow" w:hint="eastAsia"/>
                <w:bCs/>
                <w:color w:val="000000"/>
                <w:w w:val="33"/>
                <w:sz w:val="20"/>
                <w:szCs w:val="20"/>
                <w:shd w:val="solid" w:color="000000" w:fill="000000"/>
                <w:fitText w:val="150" w:id="-1234422257"/>
                <w14:textFill>
                  <w14:solidFill>
                    <w14:srgbClr w14:val="000000">
                      <w14:alpha w14:val="100000"/>
                    </w14:srgbClr>
                  </w14:solidFill>
                </w14:textFill>
              </w:rPr>
              <w:t xml:space="preserve">　</w:t>
            </w:r>
            <w:r w:rsidRPr="00BB281C">
              <w:rPr>
                <w:rFonts w:ascii="Arial Narrow" w:hAnsi="Arial Narrow"/>
                <w:bCs/>
                <w:color w:val="000000"/>
                <w:w w:val="33"/>
                <w:sz w:val="20"/>
                <w:szCs w:val="20"/>
                <w:shd w:val="solid" w:color="000000" w:fill="000000"/>
                <w:fitText w:val="150" w:id="-1234422257"/>
                <w14:textFill>
                  <w14:solidFill>
                    <w14:srgbClr w14:val="000000">
                      <w14:alpha w14:val="100000"/>
                    </w14:srgbClr>
                  </w14:solidFill>
                </w14:textFill>
              </w:rPr>
              <w:t>|</w:t>
            </w:r>
            <w:r w:rsidRPr="00BB281C">
              <w:rPr>
                <w:rFonts w:ascii="Arial Narrow" w:hAnsi="Arial Narrow" w:hint="eastAsia"/>
                <w:bCs/>
                <w:color w:val="000000"/>
                <w:spacing w:val="4"/>
                <w:w w:val="33"/>
                <w:sz w:val="20"/>
                <w:szCs w:val="20"/>
                <w:shd w:val="solid" w:color="000000" w:fill="000000"/>
                <w:fitText w:val="150" w:id="-1234422257"/>
                <w14:textFill>
                  <w14:solidFill>
                    <w14:srgbClr w14:val="000000">
                      <w14:alpha w14:val="100000"/>
                    </w14:srgbClr>
                  </w14:solidFill>
                </w14:textFill>
              </w:rPr>
              <w:t xml:space="preserve">　</w:t>
            </w:r>
            <w:r w:rsidR="00B7219E" w:rsidRPr="00B7219E">
              <w:rPr>
                <w:bCs/>
                <w:sz w:val="20"/>
                <w:szCs w:val="20"/>
                <w:vertAlign w:val="superscript"/>
              </w:rPr>
              <w:t>5</w:t>
            </w:r>
          </w:p>
        </w:tc>
        <w:tc>
          <w:tcPr>
            <w:tcW w:w="639" w:type="pct"/>
            <w:tcBorders>
              <w:top w:val="single" w:sz="4" w:space="0" w:color="auto"/>
              <w:left w:val="nil"/>
              <w:bottom w:val="single" w:sz="4" w:space="0" w:color="auto"/>
              <w:right w:val="single" w:sz="4" w:space="0" w:color="auto"/>
            </w:tcBorders>
            <w:shd w:val="clear" w:color="auto" w:fill="auto"/>
            <w:vAlign w:val="center"/>
          </w:tcPr>
          <w:p w14:paraId="63A39FF5" w14:textId="7A6EA53D" w:rsidR="007206E2" w:rsidRPr="00B7219E" w:rsidRDefault="00BB281C" w:rsidP="007C27C9">
            <w:pPr>
              <w:keepNext/>
              <w:jc w:val="center"/>
              <w:rPr>
                <w:rFonts w:ascii="Arial Narrow" w:eastAsiaTheme="majorEastAsia" w:hAnsi="Arial Narrow" w:cstheme="majorBidi"/>
                <w:bCs/>
                <w:sz w:val="20"/>
                <w:szCs w:val="20"/>
                <w:highlight w:val="darkGray"/>
              </w:rPr>
            </w:pPr>
            <w:r w:rsidRPr="00BB281C">
              <w:rPr>
                <w:rFonts w:ascii="Arial Narrow" w:hAnsi="Arial Narrow"/>
                <w:bCs/>
                <w:color w:val="000000"/>
                <w:spacing w:val="110"/>
                <w:sz w:val="20"/>
                <w:szCs w:val="20"/>
                <w:shd w:val="solid" w:color="000000" w:fill="000000"/>
                <w:fitText w:val="196" w:id="-1234422256"/>
                <w14:textFill>
                  <w14:solidFill>
                    <w14:srgbClr w14:val="000000">
                      <w14:alpha w14:val="100000"/>
                    </w14:srgbClr>
                  </w14:solidFill>
                </w14:textFill>
              </w:rPr>
              <w:t>|</w:t>
            </w:r>
            <w:r w:rsidRPr="00BB281C">
              <w:rPr>
                <w:rFonts w:ascii="Arial Narrow" w:hAnsi="Arial Narrow"/>
                <w:bCs/>
                <w:color w:val="000000"/>
                <w:spacing w:val="1"/>
                <w:sz w:val="20"/>
                <w:szCs w:val="20"/>
                <w:shd w:val="solid" w:color="000000" w:fill="000000"/>
                <w:fitText w:val="196" w:id="-1234422256"/>
                <w14:textFill>
                  <w14:solidFill>
                    <w14:srgbClr w14:val="000000">
                      <w14:alpha w14:val="100000"/>
                    </w14:srgbClr>
                  </w14:solidFill>
                </w14:textFill>
              </w:rPr>
              <w:t>|</w:t>
            </w:r>
            <w:r w:rsidR="00B7219E" w:rsidRPr="00B7219E">
              <w:rPr>
                <w:bCs/>
                <w:sz w:val="20"/>
                <w:szCs w:val="20"/>
                <w:vertAlign w:val="superscript"/>
              </w:rPr>
              <w:t>5</w:t>
            </w:r>
          </w:p>
        </w:tc>
        <w:tc>
          <w:tcPr>
            <w:tcW w:w="646" w:type="pct"/>
            <w:tcBorders>
              <w:top w:val="single" w:sz="4" w:space="0" w:color="auto"/>
              <w:left w:val="nil"/>
              <w:bottom w:val="single" w:sz="4" w:space="0" w:color="auto"/>
              <w:right w:val="single" w:sz="4" w:space="0" w:color="auto"/>
            </w:tcBorders>
            <w:shd w:val="clear" w:color="auto" w:fill="auto"/>
            <w:vAlign w:val="center"/>
          </w:tcPr>
          <w:p w14:paraId="173C6694" w14:textId="3078D8C4" w:rsidR="007206E2" w:rsidRPr="00B7219E" w:rsidRDefault="00BB281C" w:rsidP="007C27C9">
            <w:pPr>
              <w:keepNext/>
              <w:jc w:val="center"/>
              <w:rPr>
                <w:rFonts w:ascii="Arial Narrow" w:eastAsiaTheme="majorEastAsia" w:hAnsi="Arial Narrow" w:cstheme="majorBidi"/>
                <w:bCs/>
                <w:sz w:val="20"/>
                <w:szCs w:val="20"/>
                <w:highlight w:val="darkGray"/>
              </w:rPr>
            </w:pPr>
            <w:r w:rsidRPr="00BB281C">
              <w:rPr>
                <w:rFonts w:ascii="Arial Narrow" w:hAnsi="Arial Narrow"/>
                <w:bCs/>
                <w:color w:val="000000"/>
                <w:spacing w:val="99"/>
                <w:sz w:val="20"/>
                <w:szCs w:val="20"/>
                <w:shd w:val="solid" w:color="000000" w:fill="000000"/>
                <w:fitText w:val="185" w:id="-1234422272"/>
                <w14:textFill>
                  <w14:solidFill>
                    <w14:srgbClr w14:val="000000">
                      <w14:alpha w14:val="100000"/>
                    </w14:srgbClr>
                  </w14:solidFill>
                </w14:textFill>
              </w:rPr>
              <w:t>|</w:t>
            </w:r>
            <w:r w:rsidRPr="00BB281C">
              <w:rPr>
                <w:rFonts w:ascii="Arial Narrow" w:hAnsi="Arial Narrow"/>
                <w:bCs/>
                <w:color w:val="000000"/>
                <w:spacing w:val="1"/>
                <w:sz w:val="20"/>
                <w:szCs w:val="20"/>
                <w:shd w:val="solid" w:color="000000" w:fill="000000"/>
                <w:fitText w:val="185" w:id="-1234422272"/>
                <w14:textFill>
                  <w14:solidFill>
                    <w14:srgbClr w14:val="000000">
                      <w14:alpha w14:val="100000"/>
                    </w14:srgbClr>
                  </w14:solidFill>
                </w14:textFill>
              </w:rPr>
              <w:t>|</w:t>
            </w:r>
            <w:r w:rsidR="00B7219E" w:rsidRPr="00B7219E">
              <w:rPr>
                <w:bCs/>
                <w:sz w:val="20"/>
                <w:szCs w:val="20"/>
                <w:vertAlign w:val="superscript"/>
              </w:rPr>
              <w:t>5</w:t>
            </w:r>
          </w:p>
        </w:tc>
      </w:tr>
      <w:tr w:rsidR="00585D97" w:rsidRPr="00387889" w14:paraId="6917CDD9" w14:textId="77777777" w:rsidTr="00AA43F3">
        <w:tc>
          <w:tcPr>
            <w:tcW w:w="2372" w:type="pct"/>
            <w:gridSpan w:val="4"/>
            <w:tcBorders>
              <w:right w:val="nil"/>
            </w:tcBorders>
            <w:shd w:val="clear" w:color="auto" w:fill="auto"/>
            <w:vAlign w:val="center"/>
          </w:tcPr>
          <w:p w14:paraId="1D954735" w14:textId="0D56BC90" w:rsidR="00C147C6" w:rsidRPr="00B7219E" w:rsidRDefault="00C147C6" w:rsidP="00C147C6">
            <w:pPr>
              <w:keepNext/>
              <w:jc w:val="left"/>
              <w:rPr>
                <w:rFonts w:ascii="Arial Narrow" w:eastAsiaTheme="majorEastAsia" w:hAnsi="Arial Narrow" w:cstheme="majorBidi"/>
                <w:b/>
                <w:sz w:val="20"/>
                <w:szCs w:val="20"/>
              </w:rPr>
            </w:pPr>
            <w:r w:rsidRPr="00B7219E">
              <w:rPr>
                <w:rFonts w:ascii="Arial Narrow" w:eastAsiaTheme="majorEastAsia" w:hAnsi="Arial Narrow" w:cstheme="majorBidi"/>
                <w:b/>
                <w:sz w:val="20"/>
                <w:szCs w:val="20"/>
              </w:rPr>
              <w:t>Net financial implications – revised pre-PBAC price</w:t>
            </w:r>
          </w:p>
        </w:tc>
        <w:tc>
          <w:tcPr>
            <w:tcW w:w="118" w:type="pct"/>
            <w:tcBorders>
              <w:top w:val="single" w:sz="4" w:space="0" w:color="auto"/>
              <w:left w:val="nil"/>
              <w:bottom w:val="single" w:sz="4" w:space="0" w:color="auto"/>
              <w:right w:val="nil"/>
            </w:tcBorders>
            <w:shd w:val="clear" w:color="auto" w:fill="auto"/>
            <w:vAlign w:val="center"/>
          </w:tcPr>
          <w:p w14:paraId="02D98DDB" w14:textId="487DFC19" w:rsidR="00C147C6" w:rsidRPr="00B7219E" w:rsidRDefault="00C147C6" w:rsidP="00C147C6">
            <w:pPr>
              <w:keepNext/>
              <w:jc w:val="center"/>
              <w:rPr>
                <w:rFonts w:ascii="Arial Narrow" w:hAnsi="Arial Narrow" w:cs="Calibri"/>
                <w:b/>
                <w:color w:val="000000"/>
                <w:sz w:val="20"/>
                <w:szCs w:val="20"/>
              </w:rPr>
            </w:pPr>
          </w:p>
        </w:tc>
        <w:tc>
          <w:tcPr>
            <w:tcW w:w="356" w:type="pct"/>
            <w:tcBorders>
              <w:top w:val="single" w:sz="4" w:space="0" w:color="auto"/>
              <w:left w:val="nil"/>
              <w:bottom w:val="single" w:sz="4" w:space="0" w:color="auto"/>
              <w:right w:val="nil"/>
            </w:tcBorders>
            <w:shd w:val="clear" w:color="auto" w:fill="auto"/>
            <w:vAlign w:val="center"/>
          </w:tcPr>
          <w:p w14:paraId="6F23B69D" w14:textId="5F011B37" w:rsidR="00C147C6" w:rsidRPr="00B7219E" w:rsidRDefault="00C147C6" w:rsidP="00C147C6">
            <w:pPr>
              <w:keepNext/>
              <w:jc w:val="center"/>
              <w:rPr>
                <w:rFonts w:ascii="Arial Narrow" w:hAnsi="Arial Narrow" w:cs="Calibri"/>
                <w:b/>
                <w:color w:val="000000"/>
                <w:sz w:val="20"/>
                <w:szCs w:val="20"/>
              </w:rPr>
            </w:pPr>
          </w:p>
        </w:tc>
        <w:tc>
          <w:tcPr>
            <w:tcW w:w="547" w:type="pct"/>
            <w:gridSpan w:val="2"/>
            <w:tcBorders>
              <w:top w:val="single" w:sz="4" w:space="0" w:color="auto"/>
              <w:left w:val="nil"/>
              <w:bottom w:val="single" w:sz="4" w:space="0" w:color="auto"/>
              <w:right w:val="nil"/>
            </w:tcBorders>
            <w:shd w:val="clear" w:color="auto" w:fill="auto"/>
            <w:vAlign w:val="center"/>
          </w:tcPr>
          <w:p w14:paraId="48219DBF" w14:textId="75F54FBE" w:rsidR="00C147C6" w:rsidRPr="00B7219E" w:rsidRDefault="00C147C6" w:rsidP="00C147C6">
            <w:pPr>
              <w:keepNext/>
              <w:jc w:val="center"/>
              <w:rPr>
                <w:rFonts w:ascii="Arial Narrow" w:hAnsi="Arial Narrow" w:cs="Calibri"/>
                <w:b/>
                <w:color w:val="000000"/>
                <w:sz w:val="20"/>
                <w:szCs w:val="20"/>
              </w:rPr>
            </w:pPr>
          </w:p>
        </w:tc>
        <w:tc>
          <w:tcPr>
            <w:tcW w:w="322" w:type="pct"/>
            <w:gridSpan w:val="2"/>
            <w:tcBorders>
              <w:top w:val="single" w:sz="4" w:space="0" w:color="auto"/>
              <w:left w:val="nil"/>
              <w:bottom w:val="single" w:sz="4" w:space="0" w:color="auto"/>
              <w:right w:val="nil"/>
            </w:tcBorders>
            <w:shd w:val="clear" w:color="auto" w:fill="auto"/>
            <w:vAlign w:val="center"/>
          </w:tcPr>
          <w:p w14:paraId="4CAD8AC4" w14:textId="51D510E0" w:rsidR="00C147C6" w:rsidRPr="00B7219E" w:rsidRDefault="00C147C6" w:rsidP="00C147C6">
            <w:pPr>
              <w:keepNext/>
              <w:jc w:val="center"/>
              <w:rPr>
                <w:rFonts w:ascii="Arial Narrow" w:hAnsi="Arial Narrow" w:cs="Calibri"/>
                <w:b/>
                <w:color w:val="000000"/>
                <w:sz w:val="20"/>
                <w:szCs w:val="20"/>
              </w:rPr>
            </w:pPr>
          </w:p>
        </w:tc>
        <w:tc>
          <w:tcPr>
            <w:tcW w:w="639" w:type="pct"/>
            <w:tcBorders>
              <w:top w:val="single" w:sz="4" w:space="0" w:color="auto"/>
              <w:left w:val="nil"/>
              <w:bottom w:val="single" w:sz="4" w:space="0" w:color="auto"/>
              <w:right w:val="nil"/>
            </w:tcBorders>
            <w:shd w:val="clear" w:color="auto" w:fill="auto"/>
            <w:vAlign w:val="center"/>
          </w:tcPr>
          <w:p w14:paraId="38B16E00" w14:textId="2AC7E626" w:rsidR="00C147C6" w:rsidRPr="00B7219E" w:rsidRDefault="00C147C6" w:rsidP="00C147C6">
            <w:pPr>
              <w:keepNext/>
              <w:jc w:val="center"/>
              <w:rPr>
                <w:rFonts w:ascii="Arial Narrow" w:hAnsi="Arial Narrow" w:cs="Calibri"/>
                <w:b/>
                <w:color w:val="000000"/>
                <w:sz w:val="20"/>
                <w:szCs w:val="20"/>
              </w:rPr>
            </w:pPr>
          </w:p>
        </w:tc>
        <w:tc>
          <w:tcPr>
            <w:tcW w:w="646" w:type="pct"/>
            <w:tcBorders>
              <w:top w:val="single" w:sz="4" w:space="0" w:color="auto"/>
              <w:left w:val="nil"/>
              <w:bottom w:val="single" w:sz="4" w:space="0" w:color="auto"/>
              <w:right w:val="single" w:sz="4" w:space="0" w:color="auto"/>
            </w:tcBorders>
            <w:shd w:val="clear" w:color="auto" w:fill="auto"/>
            <w:vAlign w:val="center"/>
          </w:tcPr>
          <w:p w14:paraId="09D5C5F4" w14:textId="5CC27323" w:rsidR="00C147C6" w:rsidRPr="00B7219E" w:rsidRDefault="00C147C6" w:rsidP="00C147C6">
            <w:pPr>
              <w:keepNext/>
              <w:jc w:val="center"/>
              <w:rPr>
                <w:rFonts w:ascii="Arial Narrow" w:hAnsi="Arial Narrow" w:cs="Calibri"/>
                <w:b/>
                <w:color w:val="000000"/>
                <w:sz w:val="20"/>
                <w:szCs w:val="20"/>
              </w:rPr>
            </w:pPr>
          </w:p>
        </w:tc>
      </w:tr>
      <w:tr w:rsidR="00585D97" w:rsidRPr="00387889" w14:paraId="645AA6E7" w14:textId="77777777" w:rsidTr="00AA43F3">
        <w:tc>
          <w:tcPr>
            <w:tcW w:w="1119" w:type="pct"/>
            <w:shd w:val="clear" w:color="auto" w:fill="auto"/>
            <w:vAlign w:val="center"/>
          </w:tcPr>
          <w:p w14:paraId="34A3F2B5" w14:textId="583F2E16" w:rsidR="00585D97" w:rsidRPr="00B7219E" w:rsidDel="00585D97" w:rsidRDefault="00585D97" w:rsidP="00585D97">
            <w:pPr>
              <w:keepNext/>
              <w:jc w:val="left"/>
              <w:rPr>
                <w:rStyle w:val="CommentReference"/>
                <w:rFonts w:cs="Times New Roman"/>
                <w:szCs w:val="20"/>
              </w:rPr>
            </w:pPr>
            <w:r w:rsidRPr="00B7219E">
              <w:rPr>
                <w:rFonts w:ascii="Arial Narrow" w:eastAsiaTheme="majorEastAsia" w:hAnsi="Arial Narrow" w:cstheme="majorBidi"/>
                <w:bCs/>
                <w:sz w:val="20"/>
                <w:szCs w:val="20"/>
              </w:rPr>
              <w:t>Cost to PBS/RPBS less copayments</w:t>
            </w:r>
            <w:r w:rsidR="008316AF" w:rsidRPr="00B7219E">
              <w:rPr>
                <w:rFonts w:ascii="Arial Narrow" w:eastAsiaTheme="majorEastAsia" w:hAnsi="Arial Narrow" w:cstheme="majorBidi"/>
                <w:bCs/>
                <w:sz w:val="20"/>
                <w:szCs w:val="20"/>
              </w:rPr>
              <w:t xml:space="preserve"> ($)</w:t>
            </w:r>
          </w:p>
        </w:tc>
        <w:tc>
          <w:tcPr>
            <w:tcW w:w="593" w:type="pct"/>
            <w:gridSpan w:val="2"/>
            <w:tcBorders>
              <w:top w:val="single" w:sz="4" w:space="0" w:color="auto"/>
              <w:left w:val="nil"/>
              <w:bottom w:val="single" w:sz="4" w:space="0" w:color="auto"/>
              <w:right w:val="single" w:sz="4" w:space="0" w:color="auto"/>
            </w:tcBorders>
            <w:shd w:val="clear" w:color="auto" w:fill="auto"/>
            <w:vAlign w:val="center"/>
          </w:tcPr>
          <w:p w14:paraId="10A2D669" w14:textId="204ED881" w:rsidR="00585D97" w:rsidRPr="00B7219E" w:rsidRDefault="00BB281C" w:rsidP="00585D97">
            <w:pPr>
              <w:keepNext/>
              <w:jc w:val="center"/>
              <w:rPr>
                <w:rFonts w:ascii="Arial Narrow" w:hAnsi="Arial Narrow"/>
                <w:color w:val="000000"/>
                <w:sz w:val="20"/>
                <w:szCs w:val="20"/>
                <w:highlight w:val="darkGray"/>
              </w:rPr>
            </w:pPr>
            <w:r w:rsidRPr="00BB281C">
              <w:rPr>
                <w:rFonts w:ascii="Arial Narrow" w:hAnsi="Arial Narrow"/>
                <w:color w:val="000000"/>
                <w:spacing w:val="51"/>
                <w:sz w:val="20"/>
                <w:szCs w:val="20"/>
                <w:shd w:val="solid" w:color="000000" w:fill="000000"/>
                <w:fitText w:val="230" w:id="-1234422271"/>
                <w14:textFill>
                  <w14:solidFill>
                    <w14:srgbClr w14:val="000000">
                      <w14:alpha w14:val="100000"/>
                    </w14:srgbClr>
                  </w14:solidFill>
                </w14:textFill>
              </w:rPr>
              <w:t>||</w:t>
            </w:r>
            <w:r w:rsidRPr="00BB281C">
              <w:rPr>
                <w:rFonts w:ascii="Arial Narrow" w:hAnsi="Arial Narrow"/>
                <w:color w:val="000000"/>
                <w:spacing w:val="1"/>
                <w:sz w:val="20"/>
                <w:szCs w:val="20"/>
                <w:shd w:val="solid" w:color="000000" w:fill="000000"/>
                <w:fitText w:val="230" w:id="-1234422271"/>
                <w14:textFill>
                  <w14:solidFill>
                    <w14:srgbClr w14:val="000000">
                      <w14:alpha w14:val="100000"/>
                    </w14:srgbClr>
                  </w14:solidFill>
                </w14:textFill>
              </w:rPr>
              <w:t>|</w:t>
            </w:r>
            <w:r w:rsidR="00B7219E" w:rsidRPr="00B7219E">
              <w:rPr>
                <w:bCs/>
                <w:sz w:val="20"/>
                <w:szCs w:val="20"/>
                <w:vertAlign w:val="superscript"/>
              </w:rPr>
              <w:t>5</w:t>
            </w:r>
          </w:p>
        </w:tc>
        <w:tc>
          <w:tcPr>
            <w:tcW w:w="660" w:type="pct"/>
            <w:tcBorders>
              <w:top w:val="single" w:sz="4" w:space="0" w:color="auto"/>
              <w:left w:val="single" w:sz="4" w:space="0" w:color="auto"/>
              <w:bottom w:val="single" w:sz="4" w:space="0" w:color="auto"/>
              <w:right w:val="single" w:sz="4" w:space="0" w:color="auto"/>
            </w:tcBorders>
            <w:shd w:val="clear" w:color="auto" w:fill="auto"/>
            <w:vAlign w:val="center"/>
          </w:tcPr>
          <w:p w14:paraId="520826A7" w14:textId="5CAEEA82" w:rsidR="00585D97" w:rsidRPr="00B7219E" w:rsidRDefault="00BB281C" w:rsidP="00585D97">
            <w:pPr>
              <w:keepNext/>
              <w:jc w:val="center"/>
              <w:rPr>
                <w:rFonts w:ascii="Arial Narrow" w:hAnsi="Arial Narrow"/>
                <w:color w:val="000000"/>
                <w:sz w:val="20"/>
                <w:szCs w:val="20"/>
                <w:highlight w:val="darkGray"/>
              </w:rPr>
            </w:pPr>
            <w:r w:rsidRPr="009F6119">
              <w:rPr>
                <w:rFonts w:ascii="Arial Narrow" w:hAnsi="Arial Narrow"/>
                <w:color w:val="000000"/>
                <w:spacing w:val="87"/>
                <w:sz w:val="20"/>
                <w:szCs w:val="20"/>
                <w:shd w:val="solid" w:color="000000" w:fill="000000"/>
                <w:fitText w:val="173" w:id="-1234422270"/>
                <w14:textFill>
                  <w14:solidFill>
                    <w14:srgbClr w14:val="000000">
                      <w14:alpha w14:val="100000"/>
                    </w14:srgbClr>
                  </w14:solidFill>
                </w14:textFill>
              </w:rPr>
              <w:t>|</w:t>
            </w:r>
            <w:r w:rsidRPr="009F6119">
              <w:rPr>
                <w:rFonts w:ascii="Arial Narrow" w:hAnsi="Arial Narrow"/>
                <w:color w:val="000000"/>
                <w:sz w:val="20"/>
                <w:szCs w:val="20"/>
                <w:shd w:val="solid" w:color="000000" w:fill="000000"/>
                <w:fitText w:val="173" w:id="-1234422270"/>
                <w14:textFill>
                  <w14:solidFill>
                    <w14:srgbClr w14:val="000000">
                      <w14:alpha w14:val="100000"/>
                    </w14:srgbClr>
                  </w14:solidFill>
                </w14:textFill>
              </w:rPr>
              <w:t>|</w:t>
            </w:r>
            <w:r w:rsidR="009F6119">
              <w:rPr>
                <w:bCs/>
                <w:sz w:val="20"/>
                <w:szCs w:val="20"/>
                <w:vertAlign w:val="superscript"/>
              </w:rPr>
              <w:t>8</w:t>
            </w:r>
          </w:p>
        </w:tc>
        <w:tc>
          <w:tcPr>
            <w:tcW w:w="66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DBFAA77" w14:textId="25CEA51F" w:rsidR="00585D97" w:rsidRPr="00B7219E" w:rsidRDefault="00BB281C" w:rsidP="00585D97">
            <w:pPr>
              <w:keepNext/>
              <w:jc w:val="center"/>
              <w:rPr>
                <w:rFonts w:ascii="Arial Narrow" w:hAnsi="Arial Narrow"/>
                <w:color w:val="000000"/>
                <w:sz w:val="20"/>
                <w:szCs w:val="20"/>
                <w:highlight w:val="darkGray"/>
              </w:rPr>
            </w:pPr>
            <w:r w:rsidRPr="00BB281C">
              <w:rPr>
                <w:rFonts w:ascii="Arial Narrow" w:hAnsi="Arial Narrow"/>
                <w:color w:val="000000"/>
                <w:spacing w:val="87"/>
                <w:sz w:val="20"/>
                <w:szCs w:val="20"/>
                <w:shd w:val="solid" w:color="000000" w:fill="000000"/>
                <w:fitText w:val="173" w:id="-1234422269"/>
                <w14:textFill>
                  <w14:solidFill>
                    <w14:srgbClr w14:val="000000">
                      <w14:alpha w14:val="100000"/>
                    </w14:srgbClr>
                  </w14:solidFill>
                </w14:textFill>
              </w:rPr>
              <w:t>|</w:t>
            </w:r>
            <w:r w:rsidRPr="00BB281C">
              <w:rPr>
                <w:rFonts w:ascii="Arial Narrow" w:hAnsi="Arial Narrow"/>
                <w:color w:val="000000"/>
                <w:spacing w:val="1"/>
                <w:sz w:val="20"/>
                <w:szCs w:val="20"/>
                <w:shd w:val="solid" w:color="000000" w:fill="000000"/>
                <w:fitText w:val="173" w:id="-1234422269"/>
                <w14:textFill>
                  <w14:solidFill>
                    <w14:srgbClr w14:val="000000">
                      <w14:alpha w14:val="100000"/>
                    </w14:srgbClr>
                  </w14:solidFill>
                </w14:textFill>
              </w:rPr>
              <w:t>|</w:t>
            </w:r>
            <w:r w:rsidR="009F6119">
              <w:rPr>
                <w:bCs/>
                <w:sz w:val="20"/>
                <w:szCs w:val="20"/>
                <w:vertAlign w:val="superscript"/>
              </w:rPr>
              <w:t>9</w:t>
            </w:r>
          </w:p>
        </w:tc>
        <w:tc>
          <w:tcPr>
            <w:tcW w:w="68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CFB49E1" w14:textId="3EF05A8D" w:rsidR="00585D97" w:rsidRPr="00B7219E" w:rsidRDefault="00BB281C" w:rsidP="00585D97">
            <w:pPr>
              <w:keepNext/>
              <w:jc w:val="center"/>
              <w:rPr>
                <w:rFonts w:ascii="Arial Narrow" w:hAnsi="Arial Narrow"/>
                <w:color w:val="000000"/>
                <w:sz w:val="20"/>
                <w:szCs w:val="20"/>
                <w:highlight w:val="darkGray"/>
              </w:rPr>
            </w:pPr>
            <w:r w:rsidRPr="00BB281C">
              <w:rPr>
                <w:rFonts w:ascii="Arial Narrow" w:hAnsi="Arial Narrow" w:hint="eastAsia"/>
                <w:color w:val="000000"/>
                <w:w w:val="33"/>
                <w:sz w:val="20"/>
                <w:szCs w:val="20"/>
                <w:shd w:val="solid" w:color="000000" w:fill="000000"/>
                <w:fitText w:val="150" w:id="-1234422268"/>
                <w14:textFill>
                  <w14:solidFill>
                    <w14:srgbClr w14:val="000000">
                      <w14:alpha w14:val="100000"/>
                    </w14:srgbClr>
                  </w14:solidFill>
                </w14:textFill>
              </w:rPr>
              <w:t xml:space="preserve">　</w:t>
            </w:r>
            <w:r w:rsidRPr="00BB281C">
              <w:rPr>
                <w:rFonts w:ascii="Arial Narrow" w:hAnsi="Arial Narrow"/>
                <w:color w:val="000000"/>
                <w:w w:val="33"/>
                <w:sz w:val="20"/>
                <w:szCs w:val="20"/>
                <w:shd w:val="solid" w:color="000000" w:fill="000000"/>
                <w:fitText w:val="150" w:id="-1234422268"/>
                <w14:textFill>
                  <w14:solidFill>
                    <w14:srgbClr w14:val="000000">
                      <w14:alpha w14:val="100000"/>
                    </w14:srgbClr>
                  </w14:solidFill>
                </w14:textFill>
              </w:rPr>
              <w:t>|</w:t>
            </w:r>
            <w:r w:rsidRPr="00BB281C">
              <w:rPr>
                <w:rFonts w:ascii="Arial Narrow" w:hAnsi="Arial Narrow" w:hint="eastAsia"/>
                <w:color w:val="000000"/>
                <w:spacing w:val="4"/>
                <w:w w:val="33"/>
                <w:sz w:val="20"/>
                <w:szCs w:val="20"/>
                <w:shd w:val="solid" w:color="000000" w:fill="000000"/>
                <w:fitText w:val="150" w:id="-1234422268"/>
                <w14:textFill>
                  <w14:solidFill>
                    <w14:srgbClr w14:val="000000">
                      <w14:alpha w14:val="100000"/>
                    </w14:srgbClr>
                  </w14:solidFill>
                </w14:textFill>
              </w:rPr>
              <w:t xml:space="preserve">　</w:t>
            </w:r>
            <w:r w:rsidR="009F6119">
              <w:rPr>
                <w:bCs/>
                <w:sz w:val="20"/>
                <w:szCs w:val="20"/>
                <w:vertAlign w:val="superscript"/>
              </w:rPr>
              <w:t>9</w:t>
            </w:r>
          </w:p>
        </w:tc>
        <w:tc>
          <w:tcPr>
            <w:tcW w:w="639" w:type="pct"/>
            <w:tcBorders>
              <w:top w:val="single" w:sz="4" w:space="0" w:color="auto"/>
              <w:left w:val="single" w:sz="4" w:space="0" w:color="auto"/>
              <w:bottom w:val="single" w:sz="4" w:space="0" w:color="auto"/>
              <w:right w:val="single" w:sz="4" w:space="0" w:color="auto"/>
            </w:tcBorders>
            <w:shd w:val="clear" w:color="auto" w:fill="auto"/>
            <w:vAlign w:val="center"/>
          </w:tcPr>
          <w:p w14:paraId="2F4E34DA" w14:textId="4A4B1EFB" w:rsidR="00585D97" w:rsidRPr="00B7219E" w:rsidRDefault="00BB281C" w:rsidP="00585D97">
            <w:pPr>
              <w:keepNext/>
              <w:jc w:val="center"/>
              <w:rPr>
                <w:rFonts w:ascii="Arial Narrow" w:hAnsi="Arial Narrow"/>
                <w:color w:val="000000"/>
                <w:sz w:val="20"/>
                <w:szCs w:val="20"/>
                <w:highlight w:val="darkGray"/>
              </w:rPr>
            </w:pPr>
            <w:r w:rsidRPr="00BB281C">
              <w:rPr>
                <w:rFonts w:ascii="Arial Narrow" w:hAnsi="Arial Narrow"/>
                <w:color w:val="000000"/>
                <w:spacing w:val="110"/>
                <w:sz w:val="20"/>
                <w:szCs w:val="20"/>
                <w:shd w:val="solid" w:color="000000" w:fill="000000"/>
                <w:fitText w:val="196" w:id="-1234422267"/>
                <w14:textFill>
                  <w14:solidFill>
                    <w14:srgbClr w14:val="000000">
                      <w14:alpha w14:val="100000"/>
                    </w14:srgbClr>
                  </w14:solidFill>
                </w14:textFill>
              </w:rPr>
              <w:t>|</w:t>
            </w:r>
            <w:r w:rsidRPr="00BB281C">
              <w:rPr>
                <w:rFonts w:ascii="Arial Narrow" w:hAnsi="Arial Narrow"/>
                <w:color w:val="000000"/>
                <w:spacing w:val="1"/>
                <w:sz w:val="20"/>
                <w:szCs w:val="20"/>
                <w:shd w:val="solid" w:color="000000" w:fill="000000"/>
                <w:fitText w:val="196" w:id="-1234422267"/>
                <w14:textFill>
                  <w14:solidFill>
                    <w14:srgbClr w14:val="000000">
                      <w14:alpha w14:val="100000"/>
                    </w14:srgbClr>
                  </w14:solidFill>
                </w14:textFill>
              </w:rPr>
              <w:t>|</w:t>
            </w:r>
            <w:r w:rsidR="009F6119">
              <w:rPr>
                <w:bCs/>
                <w:sz w:val="20"/>
                <w:szCs w:val="20"/>
                <w:vertAlign w:val="superscript"/>
              </w:rPr>
              <w:t>9</w:t>
            </w:r>
          </w:p>
        </w:tc>
        <w:tc>
          <w:tcPr>
            <w:tcW w:w="646" w:type="pct"/>
            <w:tcBorders>
              <w:top w:val="single" w:sz="4" w:space="0" w:color="auto"/>
              <w:left w:val="single" w:sz="4" w:space="0" w:color="auto"/>
              <w:bottom w:val="single" w:sz="4" w:space="0" w:color="auto"/>
              <w:right w:val="single" w:sz="4" w:space="0" w:color="auto"/>
            </w:tcBorders>
            <w:shd w:val="clear" w:color="auto" w:fill="auto"/>
            <w:vAlign w:val="center"/>
          </w:tcPr>
          <w:p w14:paraId="664E4930" w14:textId="595FC666" w:rsidR="00585D97" w:rsidRPr="00B7219E" w:rsidRDefault="00BB281C" w:rsidP="00585D97">
            <w:pPr>
              <w:keepNext/>
              <w:jc w:val="center"/>
              <w:rPr>
                <w:rFonts w:ascii="Arial Narrow" w:hAnsi="Arial Narrow"/>
                <w:color w:val="000000"/>
                <w:sz w:val="20"/>
                <w:szCs w:val="20"/>
                <w:highlight w:val="darkGray"/>
              </w:rPr>
            </w:pPr>
            <w:r w:rsidRPr="00BB281C">
              <w:rPr>
                <w:rFonts w:ascii="Arial Narrow" w:hAnsi="Arial Narrow"/>
                <w:color w:val="000000"/>
                <w:spacing w:val="98"/>
                <w:sz w:val="20"/>
                <w:szCs w:val="20"/>
                <w:shd w:val="solid" w:color="000000" w:fill="000000"/>
                <w:fitText w:val="184" w:id="-1234422266"/>
                <w14:textFill>
                  <w14:solidFill>
                    <w14:srgbClr w14:val="000000">
                      <w14:alpha w14:val="100000"/>
                    </w14:srgbClr>
                  </w14:solidFill>
                </w14:textFill>
              </w:rPr>
              <w:t>|</w:t>
            </w:r>
            <w:r w:rsidRPr="00BB281C">
              <w:rPr>
                <w:rFonts w:ascii="Arial Narrow" w:hAnsi="Arial Narrow"/>
                <w:color w:val="000000"/>
                <w:spacing w:val="1"/>
                <w:sz w:val="20"/>
                <w:szCs w:val="20"/>
                <w:shd w:val="solid" w:color="000000" w:fill="000000"/>
                <w:fitText w:val="184" w:id="-1234422266"/>
                <w14:textFill>
                  <w14:solidFill>
                    <w14:srgbClr w14:val="000000">
                      <w14:alpha w14:val="100000"/>
                    </w14:srgbClr>
                  </w14:solidFill>
                </w14:textFill>
              </w:rPr>
              <w:t>|</w:t>
            </w:r>
            <w:r w:rsidR="009F6119">
              <w:rPr>
                <w:bCs/>
                <w:sz w:val="20"/>
                <w:szCs w:val="20"/>
                <w:vertAlign w:val="superscript"/>
              </w:rPr>
              <w:t>9</w:t>
            </w:r>
          </w:p>
        </w:tc>
      </w:tr>
    </w:tbl>
    <w:p w14:paraId="4A39C64D" w14:textId="6946C630" w:rsidR="00F73910" w:rsidRPr="006919A9" w:rsidRDefault="00F73910" w:rsidP="00F73910">
      <w:pPr>
        <w:pStyle w:val="FooterTableFigure"/>
        <w:rPr>
          <w:rStyle w:val="CommentReference"/>
        </w:rPr>
      </w:pPr>
      <w:r w:rsidRPr="006919A9">
        <w:t>Source: Table 4.2-2, p156, Table 4.2-4, p159, and Table 4.6-3, p164 of the submission</w:t>
      </w:r>
      <w:r w:rsidR="00C147C6">
        <w:t>,</w:t>
      </w:r>
      <w:r w:rsidR="007206E2">
        <w:t xml:space="preserve"> Table 3, PSCR</w:t>
      </w:r>
    </w:p>
    <w:p w14:paraId="2579466D" w14:textId="77777777" w:rsidR="00F73910" w:rsidRPr="005767EF" w:rsidRDefault="00F73910" w:rsidP="00F73910">
      <w:pPr>
        <w:pStyle w:val="FooterTableFigure"/>
      </w:pPr>
      <w:proofErr w:type="spellStart"/>
      <w:r w:rsidRPr="006919A9">
        <w:rPr>
          <w:vertAlign w:val="superscript"/>
        </w:rPr>
        <w:t>a</w:t>
      </w:r>
      <w:proofErr w:type="spellEnd"/>
      <w:r w:rsidRPr="006919A9">
        <w:t xml:space="preserve"> </w:t>
      </w:r>
      <w:r w:rsidRPr="005767EF">
        <w:t>Assuming 16.47 administrations per patient for incident and prevalent patients. The submission assumed that grandfathered patients only receive half of the time on treatment.</w:t>
      </w:r>
    </w:p>
    <w:p w14:paraId="388F7DE5" w14:textId="0AD7F8AF" w:rsidR="00F73910" w:rsidRDefault="00F73910" w:rsidP="00F73910">
      <w:pPr>
        <w:pStyle w:val="FooterTableFigure"/>
      </w:pPr>
      <w:r w:rsidRPr="005767EF">
        <w:rPr>
          <w:vertAlign w:val="superscript"/>
        </w:rPr>
        <w:t xml:space="preserve">b </w:t>
      </w:r>
      <w:r w:rsidRPr="005767EF">
        <w:t>This was calculated by changing duration of treatment in ‘2d. Patients DTG’ sheet to correspond time on treatment in the neo adjuvant and adjuvant settings (22.31 weeks and 16.58 weeks, respectively, corresponding to 12.96 doses</w:t>
      </w:r>
      <w:r w:rsidRPr="006919A9">
        <w:t>). The duration of treatment for the Grandfathered patients was also updated to reflect half of the new total treatment duration.</w:t>
      </w:r>
    </w:p>
    <w:p w14:paraId="2997DAE5" w14:textId="77777777" w:rsidR="008316AF" w:rsidRPr="006D3222" w:rsidRDefault="008316AF" w:rsidP="008316AF">
      <w:pPr>
        <w:pStyle w:val="FooterTableFigure"/>
        <w:rPr>
          <w:i/>
          <w:iCs/>
          <w:szCs w:val="18"/>
        </w:rPr>
      </w:pPr>
      <w:r w:rsidRPr="006D3222">
        <w:rPr>
          <w:i/>
          <w:iCs/>
          <w:szCs w:val="18"/>
        </w:rPr>
        <w:t xml:space="preserve">The redacted values correspond to the following ranges: </w:t>
      </w:r>
    </w:p>
    <w:p w14:paraId="41B55D55" w14:textId="54F94AAF" w:rsidR="008316AF" w:rsidRPr="006D3222" w:rsidRDefault="008316AF" w:rsidP="008316AF">
      <w:pPr>
        <w:pStyle w:val="FooterTableFigure"/>
        <w:rPr>
          <w:i/>
          <w:iCs/>
          <w:szCs w:val="18"/>
          <w:vertAlign w:val="superscript"/>
        </w:rPr>
      </w:pPr>
      <w:r w:rsidRPr="006D3222">
        <w:rPr>
          <w:i/>
          <w:iCs/>
          <w:szCs w:val="18"/>
          <w:vertAlign w:val="superscript"/>
        </w:rPr>
        <w:t xml:space="preserve">1 </w:t>
      </w:r>
      <w:r w:rsidRPr="006D3222">
        <w:rPr>
          <w:i/>
          <w:iCs/>
          <w:szCs w:val="18"/>
        </w:rPr>
        <w:t>500 to &lt; 5,000</w:t>
      </w:r>
    </w:p>
    <w:p w14:paraId="65CA4D0F" w14:textId="760AB472" w:rsidR="008316AF" w:rsidRPr="006D3222" w:rsidRDefault="008316AF" w:rsidP="008316AF">
      <w:pPr>
        <w:pStyle w:val="FooterTableFigure"/>
        <w:rPr>
          <w:i/>
          <w:iCs/>
          <w:szCs w:val="18"/>
        </w:rPr>
      </w:pPr>
      <w:r w:rsidRPr="006D3222">
        <w:rPr>
          <w:i/>
          <w:iCs/>
          <w:szCs w:val="18"/>
          <w:vertAlign w:val="superscript"/>
        </w:rPr>
        <w:t>2</w:t>
      </w:r>
      <w:r w:rsidRPr="006D3222">
        <w:rPr>
          <w:i/>
          <w:iCs/>
          <w:szCs w:val="18"/>
        </w:rPr>
        <w:t>30,000 to &lt; 40,000</w:t>
      </w:r>
    </w:p>
    <w:p w14:paraId="1CFB27B8" w14:textId="380C0DC8" w:rsidR="008316AF" w:rsidRPr="006D3222" w:rsidRDefault="008316AF" w:rsidP="008316AF">
      <w:pPr>
        <w:pStyle w:val="FooterTableFigure"/>
        <w:rPr>
          <w:i/>
          <w:iCs/>
          <w:szCs w:val="18"/>
          <w:vertAlign w:val="superscript"/>
        </w:rPr>
      </w:pPr>
      <w:r w:rsidRPr="006D3222">
        <w:rPr>
          <w:i/>
          <w:iCs/>
          <w:szCs w:val="18"/>
          <w:vertAlign w:val="superscript"/>
        </w:rPr>
        <w:t xml:space="preserve">3 </w:t>
      </w:r>
      <w:r w:rsidRPr="006D3222">
        <w:rPr>
          <w:i/>
          <w:iCs/>
          <w:szCs w:val="18"/>
        </w:rPr>
        <w:t>10,000 to &lt; 20,000</w:t>
      </w:r>
    </w:p>
    <w:p w14:paraId="1A6BFA43" w14:textId="7BF0E26C" w:rsidR="008316AF" w:rsidRPr="006D3222" w:rsidRDefault="008316AF" w:rsidP="008316AF">
      <w:pPr>
        <w:pStyle w:val="FooterTableFigure"/>
        <w:rPr>
          <w:i/>
          <w:iCs/>
          <w:szCs w:val="18"/>
        </w:rPr>
      </w:pPr>
      <w:r w:rsidRPr="006D3222">
        <w:rPr>
          <w:i/>
          <w:iCs/>
          <w:szCs w:val="18"/>
          <w:vertAlign w:val="superscript"/>
        </w:rPr>
        <w:t xml:space="preserve">4 </w:t>
      </w:r>
      <w:r w:rsidRPr="006D3222">
        <w:rPr>
          <w:i/>
          <w:iCs/>
          <w:szCs w:val="18"/>
        </w:rPr>
        <w:t>$200 million to &lt; $300 million</w:t>
      </w:r>
    </w:p>
    <w:p w14:paraId="09F48432" w14:textId="4924FE34" w:rsidR="008316AF" w:rsidRPr="003F6D4D" w:rsidRDefault="008316AF" w:rsidP="008316AF">
      <w:pPr>
        <w:pStyle w:val="FooterTableFigure"/>
        <w:rPr>
          <w:i/>
          <w:iCs/>
          <w:szCs w:val="18"/>
        </w:rPr>
      </w:pPr>
      <w:r w:rsidRPr="003F6D4D">
        <w:rPr>
          <w:i/>
          <w:iCs/>
          <w:szCs w:val="18"/>
          <w:vertAlign w:val="superscript"/>
        </w:rPr>
        <w:t xml:space="preserve">5 </w:t>
      </w:r>
      <w:r w:rsidR="00B7219E" w:rsidRPr="003F6D4D">
        <w:rPr>
          <w:i/>
          <w:iCs/>
          <w:szCs w:val="18"/>
        </w:rPr>
        <w:t>$100 million to &lt; $200 million</w:t>
      </w:r>
    </w:p>
    <w:p w14:paraId="2B38FE23" w14:textId="78C5CD84" w:rsidR="00B7219E" w:rsidRPr="009F6119" w:rsidRDefault="00B7219E" w:rsidP="008316AF">
      <w:pPr>
        <w:pStyle w:val="FooterTableFigure"/>
        <w:rPr>
          <w:i/>
          <w:iCs/>
          <w:szCs w:val="18"/>
        </w:rPr>
      </w:pPr>
      <w:r w:rsidRPr="003F6D4D">
        <w:rPr>
          <w:i/>
          <w:iCs/>
          <w:szCs w:val="18"/>
          <w:vertAlign w:val="superscript"/>
        </w:rPr>
        <w:t xml:space="preserve">6 </w:t>
      </w:r>
      <w:r w:rsidR="009F6119">
        <w:rPr>
          <w:i/>
          <w:iCs/>
          <w:szCs w:val="18"/>
        </w:rPr>
        <w:t>$0 to &lt; $10 million</w:t>
      </w:r>
    </w:p>
    <w:p w14:paraId="632B39C6" w14:textId="571C7F1C" w:rsidR="008316AF" w:rsidRPr="003F6D4D" w:rsidRDefault="006D3222" w:rsidP="008316AF">
      <w:pPr>
        <w:pStyle w:val="FooterTableFigure"/>
        <w:rPr>
          <w:i/>
          <w:iCs/>
          <w:szCs w:val="18"/>
        </w:rPr>
      </w:pPr>
      <w:r w:rsidRPr="003F6D4D">
        <w:rPr>
          <w:i/>
          <w:iCs/>
          <w:szCs w:val="18"/>
          <w:vertAlign w:val="superscript"/>
        </w:rPr>
        <w:t xml:space="preserve">7 </w:t>
      </w:r>
      <w:r w:rsidR="009F6119" w:rsidRPr="003F6D4D">
        <w:rPr>
          <w:i/>
          <w:iCs/>
          <w:szCs w:val="18"/>
        </w:rPr>
        <w:t>&lt;</w:t>
      </w:r>
      <w:r w:rsidR="009F6119">
        <w:rPr>
          <w:i/>
          <w:iCs/>
          <w:szCs w:val="18"/>
        </w:rPr>
        <w:t> </w:t>
      </w:r>
      <w:r w:rsidR="009F6119" w:rsidRPr="003F6D4D">
        <w:rPr>
          <w:i/>
          <w:iCs/>
          <w:szCs w:val="18"/>
        </w:rPr>
        <w:t>500</w:t>
      </w:r>
    </w:p>
    <w:p w14:paraId="7E12CA84" w14:textId="09ACE7BA" w:rsidR="006D3222" w:rsidRDefault="006D3222" w:rsidP="008316AF">
      <w:pPr>
        <w:pStyle w:val="FooterTableFigure"/>
        <w:rPr>
          <w:i/>
          <w:iCs/>
          <w:szCs w:val="18"/>
        </w:rPr>
      </w:pPr>
      <w:r>
        <w:rPr>
          <w:i/>
          <w:iCs/>
          <w:szCs w:val="18"/>
          <w:vertAlign w:val="superscript"/>
        </w:rPr>
        <w:t>8</w:t>
      </w:r>
      <w:r w:rsidRPr="006D3222">
        <w:rPr>
          <w:i/>
          <w:iCs/>
          <w:szCs w:val="18"/>
          <w:vertAlign w:val="superscript"/>
        </w:rPr>
        <w:t xml:space="preserve"> </w:t>
      </w:r>
      <w:r w:rsidR="009F6119" w:rsidRPr="003F6D4D">
        <w:rPr>
          <w:i/>
          <w:iCs/>
          <w:szCs w:val="18"/>
        </w:rPr>
        <w:t>$50 million to &lt; $60 million</w:t>
      </w:r>
    </w:p>
    <w:p w14:paraId="376A509B" w14:textId="210C04BD" w:rsidR="009F6119" w:rsidRPr="009F6119" w:rsidRDefault="009F6119" w:rsidP="008316AF">
      <w:pPr>
        <w:pStyle w:val="FooterTableFigure"/>
        <w:rPr>
          <w:i/>
          <w:iCs/>
          <w:szCs w:val="18"/>
        </w:rPr>
      </w:pPr>
      <w:r>
        <w:rPr>
          <w:i/>
          <w:iCs/>
          <w:szCs w:val="18"/>
          <w:vertAlign w:val="superscript"/>
        </w:rPr>
        <w:t>9</w:t>
      </w:r>
      <w:r w:rsidRPr="006D3222">
        <w:rPr>
          <w:i/>
          <w:iCs/>
          <w:szCs w:val="18"/>
          <w:vertAlign w:val="superscript"/>
        </w:rPr>
        <w:t xml:space="preserve"> </w:t>
      </w:r>
      <w:r w:rsidRPr="006D3222">
        <w:rPr>
          <w:i/>
          <w:iCs/>
          <w:szCs w:val="18"/>
        </w:rPr>
        <w:t>$60 million to &lt; $70 million</w:t>
      </w:r>
    </w:p>
    <w:p w14:paraId="73DD79CD" w14:textId="655FBD75" w:rsidR="00F73910" w:rsidRPr="006919A9" w:rsidRDefault="00F73910" w:rsidP="00F73910">
      <w:pPr>
        <w:pStyle w:val="3-BodyText"/>
      </w:pPr>
      <w:r w:rsidRPr="006919A9">
        <w:t xml:space="preserve">The submission estimated a total cost to government of </w:t>
      </w:r>
      <w:r w:rsidR="006D3222" w:rsidRPr="006D3222">
        <w:t>$200</w:t>
      </w:r>
      <w:r w:rsidR="00E905C6">
        <w:t> </w:t>
      </w:r>
      <w:r w:rsidR="006D3222" w:rsidRPr="006D3222">
        <w:t>million</w:t>
      </w:r>
      <w:r w:rsidR="00E15772">
        <w:t> </w:t>
      </w:r>
      <w:r w:rsidR="006D3222" w:rsidRPr="006D3222">
        <w:t>to</w:t>
      </w:r>
      <w:r w:rsidR="00E15772">
        <w:t> </w:t>
      </w:r>
      <w:r w:rsidR="006D3222" w:rsidRPr="006D3222">
        <w:t>&lt;</w:t>
      </w:r>
      <w:r w:rsidR="00E15772">
        <w:t> </w:t>
      </w:r>
      <w:r w:rsidR="006D3222" w:rsidRPr="006D3222">
        <w:t>$300</w:t>
      </w:r>
      <w:r w:rsidR="00E905C6">
        <w:t> </w:t>
      </w:r>
      <w:r w:rsidR="006D3222" w:rsidRPr="006D3222">
        <w:t>million</w:t>
      </w:r>
      <w:r w:rsidR="00E905C6">
        <w:t xml:space="preserve"> </w:t>
      </w:r>
      <w:r w:rsidRPr="006919A9">
        <w:t xml:space="preserve">in Year 1, decreasing to </w:t>
      </w:r>
      <w:r w:rsidR="006D3222" w:rsidRPr="006D3222">
        <w:t>$100</w:t>
      </w:r>
      <w:r w:rsidR="00E905C6">
        <w:t> </w:t>
      </w:r>
      <w:r w:rsidR="006D3222" w:rsidRPr="006D3222">
        <w:t>million</w:t>
      </w:r>
      <w:r w:rsidR="00E15772">
        <w:t> </w:t>
      </w:r>
      <w:r w:rsidR="006D3222" w:rsidRPr="006D3222">
        <w:t>to</w:t>
      </w:r>
      <w:r w:rsidR="00E15772">
        <w:t> </w:t>
      </w:r>
      <w:r w:rsidR="006D3222" w:rsidRPr="006D3222">
        <w:t>&lt;</w:t>
      </w:r>
      <w:r w:rsidR="00E15772">
        <w:t> </w:t>
      </w:r>
      <w:r w:rsidR="006D3222" w:rsidRPr="006D3222">
        <w:t>$200</w:t>
      </w:r>
      <w:r w:rsidR="00E905C6">
        <w:t> </w:t>
      </w:r>
      <w:r w:rsidR="006D3222" w:rsidRPr="006D3222">
        <w:t>million</w:t>
      </w:r>
      <w:r w:rsidR="00E905C6">
        <w:t xml:space="preserve"> </w:t>
      </w:r>
      <w:r w:rsidRPr="006919A9">
        <w:t xml:space="preserve">in Year 2, increasing to </w:t>
      </w:r>
      <w:r w:rsidR="006D3222" w:rsidRPr="006D3222">
        <w:t>$100</w:t>
      </w:r>
      <w:r w:rsidR="00E905C6">
        <w:t> </w:t>
      </w:r>
      <w:r w:rsidR="006D3222" w:rsidRPr="006D3222">
        <w:t>million</w:t>
      </w:r>
      <w:r w:rsidR="00E15772">
        <w:t> </w:t>
      </w:r>
      <w:r w:rsidR="006D3222" w:rsidRPr="006D3222">
        <w:t>to</w:t>
      </w:r>
      <w:r w:rsidR="00E15772">
        <w:t> </w:t>
      </w:r>
      <w:r w:rsidR="006D3222" w:rsidRPr="006D3222">
        <w:t>&lt;</w:t>
      </w:r>
      <w:r w:rsidR="00E15772">
        <w:t> </w:t>
      </w:r>
      <w:r w:rsidR="006D3222" w:rsidRPr="006D3222">
        <w:t>$200 million</w:t>
      </w:r>
      <w:r w:rsidR="00E905C6">
        <w:t xml:space="preserve"> </w:t>
      </w:r>
      <w:r w:rsidRPr="006919A9">
        <w:t xml:space="preserve">in Year 6 for a total of </w:t>
      </w:r>
      <w:r w:rsidR="006D3222" w:rsidRPr="006D3222">
        <w:t>$700</w:t>
      </w:r>
      <w:r w:rsidR="00E905C6">
        <w:t> </w:t>
      </w:r>
      <w:r w:rsidR="006D3222" w:rsidRPr="006D3222">
        <w:t>million</w:t>
      </w:r>
      <w:r w:rsidR="00E15772">
        <w:t> </w:t>
      </w:r>
      <w:r w:rsidR="006D3222" w:rsidRPr="006D3222">
        <w:t>to</w:t>
      </w:r>
      <w:r w:rsidR="00E15772">
        <w:t> </w:t>
      </w:r>
      <w:r w:rsidR="006D3222" w:rsidRPr="006D3222">
        <w:t>&lt;</w:t>
      </w:r>
      <w:r w:rsidR="00E15772">
        <w:t> </w:t>
      </w:r>
      <w:r w:rsidR="006D3222" w:rsidRPr="006D3222">
        <w:t>$800</w:t>
      </w:r>
      <w:r w:rsidR="002621D4">
        <w:t> </w:t>
      </w:r>
      <w:r w:rsidR="006D3222" w:rsidRPr="006D3222">
        <w:t>million</w:t>
      </w:r>
      <w:r w:rsidR="0088025F">
        <w:t xml:space="preserve"> </w:t>
      </w:r>
      <w:r w:rsidRPr="006919A9">
        <w:t>over the first six years of listing.</w:t>
      </w:r>
      <w:r w:rsidR="00C147C6">
        <w:t xml:space="preserve"> This was reduced to </w:t>
      </w:r>
      <w:r w:rsidR="00C147C6" w:rsidRPr="006919A9">
        <w:t xml:space="preserve">a total of </w:t>
      </w:r>
      <w:r w:rsidR="006D3222" w:rsidRPr="006D3222">
        <w:t>$400</w:t>
      </w:r>
      <w:r w:rsidR="002621D4">
        <w:t> </w:t>
      </w:r>
      <w:r w:rsidR="006D3222" w:rsidRPr="006D3222">
        <w:t>million</w:t>
      </w:r>
      <w:r w:rsidR="00E15772">
        <w:t> </w:t>
      </w:r>
      <w:r w:rsidR="006D3222" w:rsidRPr="006D3222">
        <w:t>to</w:t>
      </w:r>
      <w:r w:rsidR="00E15772">
        <w:t> </w:t>
      </w:r>
      <w:r w:rsidR="006D3222" w:rsidRPr="006D3222">
        <w:t>&lt;</w:t>
      </w:r>
      <w:r w:rsidR="00E15772">
        <w:t> </w:t>
      </w:r>
      <w:r w:rsidR="006D3222" w:rsidRPr="006D3222">
        <w:t>$500</w:t>
      </w:r>
      <w:r w:rsidR="002621D4">
        <w:t> </w:t>
      </w:r>
      <w:r w:rsidR="006D3222" w:rsidRPr="006D3222">
        <w:t>million</w:t>
      </w:r>
      <w:r w:rsidR="0088025F">
        <w:t xml:space="preserve"> </w:t>
      </w:r>
      <w:r w:rsidR="00C147C6" w:rsidRPr="006919A9">
        <w:t>over the first six years of listing</w:t>
      </w:r>
      <w:r w:rsidR="00C147C6">
        <w:t xml:space="preserve"> with the change</w:t>
      </w:r>
      <w:r w:rsidR="00F671EE">
        <w:t>s</w:t>
      </w:r>
      <w:r w:rsidR="00C147C6">
        <w:t xml:space="preserve"> </w:t>
      </w:r>
      <w:r w:rsidR="00C147C6">
        <w:lastRenderedPageBreak/>
        <w:t>applied in the PSCR and the revised pembrolizumab price from the pre-PBAC response.</w:t>
      </w:r>
    </w:p>
    <w:p w14:paraId="1296B5D8" w14:textId="428C4090" w:rsidR="00F73910" w:rsidRPr="00F73910" w:rsidRDefault="00C147C6" w:rsidP="00F73910">
      <w:pPr>
        <w:pStyle w:val="3-BodyText"/>
      </w:pPr>
      <w:r>
        <w:t>The submission’s</w:t>
      </w:r>
      <w:r w:rsidR="00F73910" w:rsidRPr="00F73910">
        <w:t xml:space="preserve"> assumption that 100% of patients would be treated with pembrolizumab in the adjuvant setting likely led to an overestimate of costs to the PBS/RPBS. </w:t>
      </w:r>
      <w:r>
        <w:t xml:space="preserve">The PSCR provided revised estimates assuming 75% of patients who initiate neo-adjuvant pembrolizumab go on to receive adjuvant pembrolizumab. The </w:t>
      </w:r>
      <w:r w:rsidR="00853129">
        <w:t xml:space="preserve">submission assumed 78% of patients would have ECOG 0 or 1. </w:t>
      </w:r>
      <w:r w:rsidR="00853129" w:rsidRPr="00F73910">
        <w:t xml:space="preserve">DUSC </w:t>
      </w:r>
      <w:r w:rsidR="00853129">
        <w:t>considered</w:t>
      </w:r>
      <w:r w:rsidR="00853129" w:rsidRPr="00F73910">
        <w:t xml:space="preserve"> this may be an underestimate for the early TNBC population</w:t>
      </w:r>
      <w:r w:rsidR="00853129">
        <w:t xml:space="preserve"> and 95% (as updated in the PSCR) was reasonable.</w:t>
      </w:r>
    </w:p>
    <w:p w14:paraId="3ACAE96C" w14:textId="764C11F6" w:rsidR="00F73910" w:rsidRPr="00F73910" w:rsidRDefault="00F73910" w:rsidP="00F73910">
      <w:pPr>
        <w:pStyle w:val="3-BodyText"/>
      </w:pPr>
      <w:r w:rsidRPr="006919A9">
        <w:t xml:space="preserve">The submission included </w:t>
      </w:r>
      <w:r w:rsidR="006D3222" w:rsidRPr="006D3222">
        <w:t>&lt;</w:t>
      </w:r>
      <w:r w:rsidR="002621D4">
        <w:t> </w:t>
      </w:r>
      <w:r w:rsidR="006D3222" w:rsidRPr="006D3222">
        <w:t>500</w:t>
      </w:r>
      <w:r w:rsidRPr="006919A9">
        <w:t xml:space="preserve"> grandfather patients under the assumption that they would have accessed a sponsor access program or have been self-funded. This was subtracted from the prevalent pool, which was reasonable.</w:t>
      </w:r>
      <w:r w:rsidRPr="00F73910">
        <w:t xml:space="preserve"> But this was subtracted from all prevalent patients rather than just patients with ECOG status of 0-1, which slightly overestimated the number of prevalent patients. The submission also assumed that the grandfather patients would receive half the treatment duration as incident and prevalent patients. </w:t>
      </w:r>
    </w:p>
    <w:p w14:paraId="13E2EE15" w14:textId="78140416" w:rsidR="00F73910" w:rsidRDefault="00F73910" w:rsidP="00F73910">
      <w:pPr>
        <w:pStyle w:val="3-BodyText"/>
        <w:rPr>
          <w:i/>
          <w:iCs/>
        </w:rPr>
      </w:pPr>
      <w:r w:rsidRPr="006919A9">
        <w:t>The submission also presented financial estimate</w:t>
      </w:r>
      <w:r>
        <w:t>s</w:t>
      </w:r>
      <w:r w:rsidRPr="006919A9">
        <w:t xml:space="preserve"> which considered the listing of pembrolizumab in both eTNBC and mTNBC settings. </w:t>
      </w:r>
      <w:r w:rsidR="00853129">
        <w:t>T</w:t>
      </w:r>
      <w:r w:rsidRPr="006919A9">
        <w:t xml:space="preserve">he usage of pembrolizumab in the eTNBC setting was </w:t>
      </w:r>
      <w:r w:rsidRPr="00F73910">
        <w:t>appropriately</w:t>
      </w:r>
      <w:r w:rsidRPr="006919A9">
        <w:rPr>
          <w:i/>
          <w:iCs/>
        </w:rPr>
        <w:t xml:space="preserve"> </w:t>
      </w:r>
      <w:r w:rsidRPr="006919A9">
        <w:t xml:space="preserve">unaffected by the combination of listings though slight differences in cost existed due to a different assumption of the ratio of PBS to RPBS scripts. </w:t>
      </w:r>
    </w:p>
    <w:p w14:paraId="4A49EBA1" w14:textId="5F5A04B9" w:rsidR="00F73910" w:rsidRDefault="00F73910" w:rsidP="00F73910">
      <w:pPr>
        <w:pStyle w:val="3-BodyText"/>
      </w:pPr>
      <w:r w:rsidRPr="008F7E93">
        <w:t xml:space="preserve">DUSC noted that eTNBC typically occurs in younger patients and clinicians may be motivated towards using combination therapies e.g. pembrolizumab + olaparib/ pembrolizumab + capecitabine as seen overseas in an effort to reduce </w:t>
      </w:r>
      <w:r>
        <w:t xml:space="preserve">risk of </w:t>
      </w:r>
      <w:r w:rsidRPr="008F7E93">
        <w:t xml:space="preserve">metastatic </w:t>
      </w:r>
      <w:r>
        <w:t xml:space="preserve">disease. </w:t>
      </w:r>
      <w:r w:rsidRPr="00514C17">
        <w:t xml:space="preserve">DUSC considered </w:t>
      </w:r>
      <w:r>
        <w:t>the</w:t>
      </w:r>
      <w:r w:rsidRPr="00514C17">
        <w:t xml:space="preserve"> </w:t>
      </w:r>
      <w:r>
        <w:t xml:space="preserve">assumption that </w:t>
      </w:r>
      <w:r w:rsidRPr="00514C17">
        <w:t>75%</w:t>
      </w:r>
      <w:r>
        <w:t xml:space="preserve"> of </w:t>
      </w:r>
      <w:r w:rsidRPr="00514C17">
        <w:t xml:space="preserve">patients receive pembrolizumab in </w:t>
      </w:r>
      <w:r>
        <w:t xml:space="preserve">the </w:t>
      </w:r>
      <w:r w:rsidRPr="00514C17">
        <w:t>adjuvant setting</w:t>
      </w:r>
      <w:r>
        <w:t xml:space="preserve"> </w:t>
      </w:r>
      <w:r w:rsidRPr="00514C17">
        <w:t xml:space="preserve">may be overestimated with patients </w:t>
      </w:r>
      <w:r>
        <w:t xml:space="preserve">who have not achieved </w:t>
      </w:r>
      <w:r w:rsidR="00664B1E">
        <w:t>p</w:t>
      </w:r>
      <w:r>
        <w:t xml:space="preserve">CR </w:t>
      </w:r>
      <w:r w:rsidRPr="00514C17">
        <w:t>switching to capecitabine which has mature data in the adjuvant setting relative to pembrolizumab.</w:t>
      </w:r>
      <w:r w:rsidR="00854F5E">
        <w:t xml:space="preserve"> The pre</w:t>
      </w:r>
      <w:r w:rsidR="00664B1E">
        <w:noBreakHyphen/>
      </w:r>
      <w:r w:rsidR="00854F5E">
        <w:t xml:space="preserve">PBAC response </w:t>
      </w:r>
      <w:r w:rsidR="00664B1E">
        <w:t>maintained</w:t>
      </w:r>
      <w:r w:rsidR="00854F5E">
        <w:t xml:space="preserve"> that the assumption that 75% of patients receive adjuvant pemb</w:t>
      </w:r>
      <w:r w:rsidR="00664B1E">
        <w:t>rolizumab was reasonable, as it is likely that clinicians will add capecitabine to pembrolizumab for patients without pCR, rather than replacing adjuvant pembrolizumab.</w:t>
      </w:r>
    </w:p>
    <w:p w14:paraId="03D46729" w14:textId="77777777" w:rsidR="00F73910" w:rsidRPr="006919A9" w:rsidRDefault="00F73910" w:rsidP="00F73910">
      <w:pPr>
        <w:pStyle w:val="4-SubsectionHeading"/>
      </w:pPr>
      <w:r w:rsidRPr="006919A9">
        <w:t>Quality Use of Medicines</w:t>
      </w:r>
    </w:p>
    <w:p w14:paraId="068646F8" w14:textId="5B2E17FF" w:rsidR="00F73910" w:rsidRPr="006919A9" w:rsidRDefault="00F73910" w:rsidP="00F73910">
      <w:pPr>
        <w:pStyle w:val="3-BodyText"/>
      </w:pPr>
      <w:r w:rsidRPr="006919A9">
        <w:t>The submission stated that the sponsor is committed to achieving the best possible outcomes for patients with</w:t>
      </w:r>
      <w:r w:rsidR="00AA43F3">
        <w:t xml:space="preserve"> </w:t>
      </w:r>
      <w:r w:rsidRPr="006919A9">
        <w:t>TNBC and that quality use of medicines (QUM) is a critical determinant of this.</w:t>
      </w:r>
    </w:p>
    <w:p w14:paraId="685D5EF9" w14:textId="77777777" w:rsidR="00F73910" w:rsidRPr="006919A9" w:rsidRDefault="00F73910" w:rsidP="00F73910">
      <w:pPr>
        <w:pStyle w:val="3-BodyText"/>
      </w:pPr>
      <w:r w:rsidRPr="006919A9">
        <w:t xml:space="preserve">The submission outlined the following QUM activities: </w:t>
      </w:r>
    </w:p>
    <w:p w14:paraId="61117037" w14:textId="77777777" w:rsidR="00F73910" w:rsidRPr="006919A9" w:rsidRDefault="00F73910" w:rsidP="00F4757F">
      <w:pPr>
        <w:pStyle w:val="ListParagraph"/>
        <w:numPr>
          <w:ilvl w:val="0"/>
          <w:numId w:val="10"/>
        </w:numPr>
        <w:ind w:left="1134" w:hanging="425"/>
      </w:pPr>
      <w:r w:rsidRPr="006919A9">
        <w:t>The sponsor will develop materials to provide the latest information to physicians, nurses, pharmacists and patients about how to identify and manage potential treatment-related adverse events in particular immune-related adverse events.</w:t>
      </w:r>
    </w:p>
    <w:p w14:paraId="750ACE2F" w14:textId="77777777" w:rsidR="00F73910" w:rsidRPr="006919A9" w:rsidRDefault="00F73910" w:rsidP="00F4757F">
      <w:pPr>
        <w:pStyle w:val="ListParagraph"/>
        <w:numPr>
          <w:ilvl w:val="0"/>
          <w:numId w:val="10"/>
        </w:numPr>
        <w:ind w:left="1134" w:hanging="425"/>
      </w:pPr>
      <w:r w:rsidRPr="006919A9">
        <w:lastRenderedPageBreak/>
        <w:t>The sponsor has a number of education activities planned, including face to face workshop sessions aligned to major oncology clinician and nurse conferences.</w:t>
      </w:r>
    </w:p>
    <w:p w14:paraId="3A94E9F8" w14:textId="77777777" w:rsidR="00F73910" w:rsidRPr="006919A9" w:rsidRDefault="00F73910" w:rsidP="00F4757F">
      <w:pPr>
        <w:pStyle w:val="ListParagraph"/>
        <w:numPr>
          <w:ilvl w:val="0"/>
          <w:numId w:val="10"/>
        </w:numPr>
        <w:ind w:left="1134" w:hanging="425"/>
      </w:pPr>
      <w:r w:rsidRPr="006919A9">
        <w:t>The sponsor provides an 1800 medical information service to respond to questions from patients, carers and health care professionals</w:t>
      </w:r>
      <w:r>
        <w:t>.</w:t>
      </w:r>
      <w:r w:rsidRPr="006919A9">
        <w:t xml:space="preserve"> </w:t>
      </w:r>
    </w:p>
    <w:p w14:paraId="6015A395" w14:textId="2EDB6A4E" w:rsidR="00576972" w:rsidRPr="006919A9" w:rsidRDefault="00576972" w:rsidP="00606FBA">
      <w:pPr>
        <w:pStyle w:val="4-SubsectionHeading"/>
      </w:pPr>
      <w:bookmarkStart w:id="79" w:name="_Toc22897649"/>
      <w:bookmarkStart w:id="80" w:name="_Toc124710222"/>
      <w:bookmarkEnd w:id="75"/>
      <w:bookmarkEnd w:id="76"/>
      <w:r w:rsidRPr="006919A9">
        <w:t>Financial Management – Risk Sharing Arrangements</w:t>
      </w:r>
      <w:bookmarkEnd w:id="79"/>
      <w:bookmarkEnd w:id="80"/>
    </w:p>
    <w:p w14:paraId="0A9BD3A2" w14:textId="2B2CC721" w:rsidR="00E26CE9" w:rsidRPr="006919A9" w:rsidRDefault="00E26CE9" w:rsidP="00E26CE9">
      <w:pPr>
        <w:pStyle w:val="3-BodyText"/>
      </w:pPr>
      <w:r w:rsidRPr="006919A9">
        <w:t>The submission stated that, if required, to manage any residual uncertainty, the sponsor is willing to discuss and agree on the parameters of any risk sharing arrangement with the Department of Health.</w:t>
      </w:r>
    </w:p>
    <w:p w14:paraId="77B6B625" w14:textId="602911D6" w:rsidR="00F756C7" w:rsidRPr="00AA43F3" w:rsidRDefault="00F756C7" w:rsidP="00AA43F3">
      <w:pPr>
        <w:ind w:firstLine="720"/>
        <w:rPr>
          <w:i/>
          <w:iCs/>
        </w:rPr>
      </w:pPr>
      <w:r w:rsidRPr="00F756C7">
        <w:rPr>
          <w:i/>
          <w:iCs/>
        </w:rPr>
        <w:t>For more detail on PBAC’s view, see section 7 PBAC outcome.</w:t>
      </w:r>
    </w:p>
    <w:p w14:paraId="46EFFAB9" w14:textId="77777777" w:rsidR="00F73910" w:rsidRPr="0090150D" w:rsidRDefault="00F73910" w:rsidP="00AA43F3">
      <w:pPr>
        <w:pStyle w:val="2-SectionHeading"/>
      </w:pPr>
      <w:bookmarkStart w:id="81" w:name="_Hlk76381249"/>
      <w:bookmarkStart w:id="82" w:name="_Hlk76377955"/>
      <w:r w:rsidRPr="0090150D">
        <w:t>PBAC Outcome</w:t>
      </w:r>
    </w:p>
    <w:p w14:paraId="0BEA2709" w14:textId="2830C38B" w:rsidR="00EB1653" w:rsidRPr="00EB1653" w:rsidRDefault="00EB1653" w:rsidP="00EB1653">
      <w:pPr>
        <w:pStyle w:val="3-BodyText"/>
      </w:pPr>
      <w:r>
        <w:t xml:space="preserve">The PBAC </w:t>
      </w:r>
      <w:r w:rsidRPr="00EB1653">
        <w:t>did not</w:t>
      </w:r>
      <w:r>
        <w:t xml:space="preserve"> </w:t>
      </w:r>
      <w:r w:rsidRPr="00EB1653">
        <w:t>recommend</w:t>
      </w:r>
      <w:r>
        <w:t xml:space="preserve"> the listing of pembrolizumab, for the treatment of early stage triple negative breast cancer. The PBAC noted there is a high clinical need for effective treatment in this patient population, who are typically young and have a poor prognosis. The PBAC considered that pembrolizumab in combination with chemotherapy provides a meaningful improvement in event free survival, compared with standard chemotherapy alone, however overall survival data were immature. The PBAC advised that inputs to the economic model should be revised to reflect the uncertainty in overall survival, and a price reduction would be required for pembrolizumab to be considered cost effective in the early stage treatment setting. </w:t>
      </w:r>
    </w:p>
    <w:p w14:paraId="14B3B33D" w14:textId="229E282B" w:rsidR="00F73910" w:rsidRPr="00B030A1" w:rsidRDefault="00B030A1" w:rsidP="00B030A1">
      <w:pPr>
        <w:pStyle w:val="3-BodyText"/>
      </w:pPr>
      <w:r w:rsidRPr="00B030A1">
        <w:t xml:space="preserve">The PBAC noted that there is limited data on combination treatment of pembrolizumab and capecitabine, or pembrolizumab and olaparib. This provides a challenge to clinicians in determining optimal adjuvant treatment for patients, who do not achieve a pCR. </w:t>
      </w:r>
      <w:r w:rsidR="00524952" w:rsidRPr="00B030A1">
        <w:t>The PBAC considered that the majority of patients without pCR would currently receive capecitabine and clinicians may still choose to treat patients with capecitabine in the adjuvant setting where their response to neoadjuvant pembrolizumab has been incomplete. The PBAC considered</w:t>
      </w:r>
      <w:r w:rsidR="00524952">
        <w:t xml:space="preserve"> it would be appropriate for the</w:t>
      </w:r>
      <w:r w:rsidR="004415CF">
        <w:t xml:space="preserve"> listing</w:t>
      </w:r>
      <w:r w:rsidR="00524952">
        <w:t xml:space="preserve"> to remain silent regarding capecitabine use, to allow </w:t>
      </w:r>
      <w:r>
        <w:t>use in combination with adjuvant pembrolizumab where clinically appropriate</w:t>
      </w:r>
      <w:r w:rsidR="00585D97">
        <w:t>, noting that there is some safety data</w:t>
      </w:r>
      <w:r w:rsidR="002E1A50">
        <w:t xml:space="preserve"> for this combination from other settings</w:t>
      </w:r>
      <w:r>
        <w:t>. The PBAC considered that, if listed, olaparib would be the preferred agent for patients with BRCAm, and patients would likely start neoadjuvant pembrolizumab then switch to adjuvant olaparib as BRCA status is often discovered towards the end of neoadjuvant chemotherapy treatment. The PBAC considered that combination use of pembrolizumab and olaparib (for patients with BRCAm) would not be appropriate as this combination is unlikely to be cost-effective and there is a lack of safety and efficacy data to support it. Therefore</w:t>
      </w:r>
      <w:r w:rsidR="00AA43F3">
        <w:t>,</w:t>
      </w:r>
      <w:r>
        <w:t xml:space="preserve"> the restrictions should prevent combination use of olaparib and pembrolizumab.</w:t>
      </w:r>
    </w:p>
    <w:p w14:paraId="4B27E036" w14:textId="1B741EE0" w:rsidR="00B030A1" w:rsidRDefault="00B030A1" w:rsidP="00B030A1">
      <w:pPr>
        <w:pStyle w:val="3-BodyText"/>
      </w:pPr>
      <w:r>
        <w:t xml:space="preserve">The PBAC considered that it would be appropriate for the indication to specify </w:t>
      </w:r>
      <w:r w:rsidR="002621D4">
        <w:t>Stage </w:t>
      </w:r>
      <w:r>
        <w:t>2-3 eTNBC to limit use to the high</w:t>
      </w:r>
      <w:r w:rsidR="00AA43F3">
        <w:t>-</w:t>
      </w:r>
      <w:r>
        <w:t>risk population</w:t>
      </w:r>
      <w:r w:rsidR="00E52307">
        <w:t xml:space="preserve"> and considered it was not necessary to include criteria specifying HER2 and HR status in the restriction as TNBC in the </w:t>
      </w:r>
      <w:r w:rsidR="00E52307">
        <w:lastRenderedPageBreak/>
        <w:t>indication was sufficient to define the patient population</w:t>
      </w:r>
      <w:r>
        <w:t xml:space="preserve">. The PBAC considered that a single restriction combining neoadjuvant and adjuvant treatment would be preferable, with a limit on the total treatment duration aligned with the KN-522 trial and a requirement for patients to discontinue treatment where disease recurrence is evident. The PBAC considered that the restrictions should specify that treatment initiation is in combination with chemotherapy. </w:t>
      </w:r>
    </w:p>
    <w:p w14:paraId="4CEFE707" w14:textId="61A61ABA" w:rsidR="00F73910" w:rsidRPr="00F671EE" w:rsidRDefault="00A85C0A" w:rsidP="00F671EE">
      <w:pPr>
        <w:pStyle w:val="3-BodyText"/>
      </w:pPr>
      <w:r w:rsidRPr="00B030A1">
        <w:t xml:space="preserve">The submission noted that patients with some residual cancer burden (RCB 1-3) can currently receive capecitabine, however, capecitabine was not included in the pivotal KN-522 trial. The </w:t>
      </w:r>
      <w:r w:rsidR="007903A3">
        <w:t>PBAC considered</w:t>
      </w:r>
      <w:r w:rsidRPr="00B030A1">
        <w:t xml:space="preserve"> that capecitabine was a relevant comparator for patients without pCR, but noted a formal indirect treatment comparison may not have been informative given the applicability issues with the current available evidence. </w:t>
      </w:r>
    </w:p>
    <w:p w14:paraId="5ACE71EB" w14:textId="180BE503" w:rsidR="007903A3" w:rsidRPr="007903A3" w:rsidRDefault="007903A3" w:rsidP="00E34644">
      <w:pPr>
        <w:pStyle w:val="3-BodyText"/>
        <w:widowControl w:val="0"/>
        <w:snapToGrid w:val="0"/>
        <w:rPr>
          <w:lang w:val="en-GB"/>
        </w:rPr>
      </w:pPr>
      <w:r>
        <w:t xml:space="preserve">The submission was based on one placebo-controlled trial (KN-522, n=225) where patients were randomised 2:1 to pembrolizumab + chemotherapy or placebo + chemotherapy as neoadjuvant treatment, followed by pembrolizumab or placebo as adjuvant treatment. </w:t>
      </w:r>
      <w:r w:rsidR="00663829">
        <w:t xml:space="preserve">The PBAC noted that the primary outcomes for KN-522 were pCR and EFS, with OS being a secondary endpoint. </w:t>
      </w:r>
      <w:r>
        <w:t>The PBAC noted that the structure of the trial did not allow for assessment of the effect of adjuvant pembrolizumab, especially for patients achieving a pCR</w:t>
      </w:r>
      <w:r w:rsidR="00663829">
        <w:t xml:space="preserve"> and only </w:t>
      </w:r>
      <w:r w:rsidR="002E1A50">
        <w:t>75</w:t>
      </w:r>
      <w:r w:rsidR="00663829">
        <w:t>% of patients in the pembrolizumab arm went on the receive adjuvant pembrolizumab</w:t>
      </w:r>
      <w:r>
        <w:t xml:space="preserve">. The PBAC also considered that it </w:t>
      </w:r>
      <w:r w:rsidR="009D2917">
        <w:t xml:space="preserve">is </w:t>
      </w:r>
      <w:r>
        <w:t>likely that the benefit of pembrolizumab treatment in KN</w:t>
      </w:r>
      <w:r w:rsidR="00663829">
        <w:noBreakHyphen/>
      </w:r>
      <w:r>
        <w:t>522 would be overestimated due to exclusion of capecitabine as a comparator for patients without pCR.</w:t>
      </w:r>
      <w:r w:rsidR="00663829">
        <w:t xml:space="preserve"> </w:t>
      </w:r>
    </w:p>
    <w:p w14:paraId="4796D218" w14:textId="5F4D165F" w:rsidR="009E034F" w:rsidRPr="009E034F" w:rsidRDefault="00663829" w:rsidP="009E034F">
      <w:pPr>
        <w:widowControl w:val="0"/>
        <w:numPr>
          <w:ilvl w:val="1"/>
          <w:numId w:val="1"/>
        </w:numPr>
        <w:spacing w:after="120"/>
        <w:rPr>
          <w:rFonts w:asciiTheme="minorHAnsi" w:hAnsiTheme="minorHAnsi"/>
          <w:snapToGrid w:val="0"/>
          <w:szCs w:val="20"/>
        </w:rPr>
      </w:pPr>
      <w:r>
        <w:rPr>
          <w:rFonts w:asciiTheme="minorHAnsi" w:hAnsiTheme="minorHAnsi"/>
          <w:snapToGrid w:val="0"/>
          <w:lang w:val="en-GB"/>
        </w:rPr>
        <w:t>The PBAC noted that a</w:t>
      </w:r>
      <w:r w:rsidRPr="00663829">
        <w:rPr>
          <w:rFonts w:asciiTheme="minorHAnsi" w:hAnsiTheme="minorHAnsi"/>
          <w:snapToGrid w:val="0"/>
          <w:lang w:val="en-GB"/>
        </w:rPr>
        <w:t xml:space="preserve"> higher proportion of patients randomised to pembrolizumab </w:t>
      </w:r>
      <w:r>
        <w:rPr>
          <w:rFonts w:asciiTheme="minorHAnsi" w:hAnsiTheme="minorHAnsi"/>
          <w:snapToGrid w:val="0"/>
          <w:lang w:val="en-GB"/>
        </w:rPr>
        <w:t>+</w:t>
      </w:r>
      <w:r w:rsidRPr="00663829">
        <w:rPr>
          <w:rFonts w:asciiTheme="minorHAnsi" w:hAnsiTheme="minorHAnsi"/>
          <w:snapToGrid w:val="0"/>
          <w:lang w:val="en-GB"/>
        </w:rPr>
        <w:t xml:space="preserve"> chemotherapy reported pCR compared to patients randomised to placebo + chemotherapy at IA4, </w:t>
      </w:r>
      <w:r w:rsidR="00D153C5">
        <w:rPr>
          <w:rFonts w:asciiTheme="minorHAnsi" w:hAnsiTheme="minorHAnsi"/>
          <w:snapToGrid w:val="0"/>
          <w:lang w:val="en-GB"/>
        </w:rPr>
        <w:t xml:space="preserve">(63.0% versus 55.6%, respectively, </w:t>
      </w:r>
      <w:r w:rsidRPr="00663829">
        <w:rPr>
          <w:rFonts w:asciiTheme="minorHAnsi" w:hAnsiTheme="minorHAnsi"/>
          <w:snapToGrid w:val="0"/>
          <w:lang w:val="en-GB"/>
        </w:rPr>
        <w:t>with an absolute difference of 7.5% in the ITT population</w:t>
      </w:r>
      <w:r w:rsidR="00D153C5">
        <w:rPr>
          <w:rFonts w:asciiTheme="minorHAnsi" w:hAnsiTheme="minorHAnsi"/>
          <w:snapToGrid w:val="0"/>
          <w:lang w:val="en-GB"/>
        </w:rPr>
        <w:t>)</w:t>
      </w:r>
      <w:r w:rsidRPr="00663829">
        <w:rPr>
          <w:rFonts w:asciiTheme="minorHAnsi" w:hAnsiTheme="minorHAnsi"/>
          <w:snapToGrid w:val="0"/>
          <w:lang w:val="en-GB"/>
        </w:rPr>
        <w:t xml:space="preserve">. </w:t>
      </w:r>
      <w:r w:rsidR="00D153C5" w:rsidRPr="00D153C5">
        <w:rPr>
          <w:rFonts w:asciiTheme="minorHAnsi" w:hAnsiTheme="minorHAnsi"/>
          <w:snapToGrid w:val="0"/>
          <w:lang w:val="en-GB"/>
        </w:rPr>
        <w:t>Treatment with pembrolizumab</w:t>
      </w:r>
      <w:r w:rsidR="00D153C5">
        <w:rPr>
          <w:rFonts w:asciiTheme="minorHAnsi" w:hAnsiTheme="minorHAnsi"/>
          <w:snapToGrid w:val="0"/>
          <w:lang w:val="en-GB"/>
        </w:rPr>
        <w:t xml:space="preserve"> +</w:t>
      </w:r>
      <w:r w:rsidR="00D153C5">
        <w:rPr>
          <w:rFonts w:asciiTheme="minorHAnsi" w:hAnsiTheme="minorHAnsi"/>
          <w:snapToGrid w:val="0"/>
          <w:vertAlign w:val="subscript"/>
          <w:lang w:val="en-GB"/>
        </w:rPr>
        <w:t xml:space="preserve"> </w:t>
      </w:r>
      <w:r w:rsidR="00D153C5" w:rsidRPr="00D153C5">
        <w:rPr>
          <w:rFonts w:asciiTheme="minorHAnsi" w:hAnsiTheme="minorHAnsi"/>
          <w:snapToGrid w:val="0"/>
          <w:lang w:val="en-GB"/>
        </w:rPr>
        <w:t xml:space="preserve">chemotherapy was associated with a </w:t>
      </w:r>
      <w:r w:rsidR="00517DAD">
        <w:rPr>
          <w:rFonts w:asciiTheme="minorHAnsi" w:hAnsiTheme="minorHAnsi"/>
          <w:snapToGrid w:val="0"/>
          <w:lang w:val="en-GB"/>
        </w:rPr>
        <w:t>7.7</w:t>
      </w:r>
      <w:r w:rsidR="004415CF">
        <w:rPr>
          <w:rFonts w:asciiTheme="minorHAnsi" w:hAnsiTheme="minorHAnsi"/>
          <w:snapToGrid w:val="0"/>
          <w:lang w:val="en-GB"/>
        </w:rPr>
        <w:t xml:space="preserve"> percentage point</w:t>
      </w:r>
      <w:r w:rsidR="00517DAD">
        <w:rPr>
          <w:rFonts w:asciiTheme="minorHAnsi" w:hAnsiTheme="minorHAnsi"/>
          <w:snapToGrid w:val="0"/>
          <w:lang w:val="en-GB"/>
        </w:rPr>
        <w:t xml:space="preserve"> </w:t>
      </w:r>
      <w:r w:rsidR="00D153C5" w:rsidRPr="00D153C5">
        <w:rPr>
          <w:rFonts w:asciiTheme="minorHAnsi" w:hAnsiTheme="minorHAnsi"/>
          <w:snapToGrid w:val="0"/>
          <w:lang w:val="en-GB"/>
        </w:rPr>
        <w:t xml:space="preserve">reduction in the risk of events </w:t>
      </w:r>
      <w:r w:rsidR="00532B0D">
        <w:t xml:space="preserve">at 36 months </w:t>
      </w:r>
      <w:r w:rsidR="00D153C5" w:rsidRPr="00D153C5">
        <w:rPr>
          <w:rFonts w:asciiTheme="minorHAnsi" w:hAnsiTheme="minorHAnsi"/>
          <w:snapToGrid w:val="0"/>
          <w:lang w:val="en-GB"/>
        </w:rPr>
        <w:t xml:space="preserve">compared with placebo </w:t>
      </w:r>
      <w:r w:rsidR="00D153C5">
        <w:rPr>
          <w:rFonts w:asciiTheme="minorHAnsi" w:hAnsiTheme="minorHAnsi"/>
          <w:snapToGrid w:val="0"/>
          <w:lang w:val="en-GB"/>
        </w:rPr>
        <w:t>+</w:t>
      </w:r>
      <w:r w:rsidR="00D153C5" w:rsidRPr="00D153C5">
        <w:rPr>
          <w:rFonts w:asciiTheme="minorHAnsi" w:hAnsiTheme="minorHAnsi"/>
          <w:snapToGrid w:val="0"/>
          <w:lang w:val="en-GB"/>
        </w:rPr>
        <w:t xml:space="preserve"> chemotherapy (HR 0.63 (95% CI: 0.48, 0.82; p = 0.0003093</w:t>
      </w:r>
      <w:r w:rsidR="00532B0D">
        <w:t>, EFS rate at 36 months 84.5% vs 76.8%</w:t>
      </w:r>
      <w:r w:rsidR="00D153C5" w:rsidRPr="00D153C5">
        <w:rPr>
          <w:rFonts w:asciiTheme="minorHAnsi" w:hAnsiTheme="minorHAnsi"/>
          <w:snapToGrid w:val="0"/>
          <w:lang w:val="en-GB"/>
        </w:rPr>
        <w:t>). Median EFS in both treatment groups had not been reached at the time of data cut off.</w:t>
      </w:r>
      <w:r w:rsidR="00D153C5">
        <w:rPr>
          <w:rFonts w:asciiTheme="minorHAnsi" w:hAnsiTheme="minorHAnsi"/>
          <w:snapToGrid w:val="0"/>
          <w:lang w:val="en-GB"/>
        </w:rPr>
        <w:t xml:space="preserve"> </w:t>
      </w:r>
      <w:r w:rsidR="009E034F" w:rsidRPr="009E034F">
        <w:rPr>
          <w:rFonts w:asciiTheme="minorHAnsi" w:hAnsiTheme="minorHAnsi"/>
          <w:iCs/>
          <w:snapToGrid w:val="0"/>
        </w:rPr>
        <w:t>The</w:t>
      </w:r>
      <w:r w:rsidR="009E034F" w:rsidRPr="009E034F">
        <w:rPr>
          <w:rFonts w:asciiTheme="minorHAnsi" w:hAnsiTheme="minorHAnsi"/>
          <w:snapToGrid w:val="0"/>
          <w:szCs w:val="20"/>
        </w:rPr>
        <w:t xml:space="preserve"> PBAC considered that the claim of superior comparative effectiveness was reasonable, with a clinically significant benefit based on improved EFS. The PBAC noted that KN-522 showed that patients benefited from pembrolizumab in the </w:t>
      </w:r>
      <w:r w:rsidR="009D2917">
        <w:rPr>
          <w:rFonts w:asciiTheme="minorHAnsi" w:hAnsiTheme="minorHAnsi"/>
          <w:snapToGrid w:val="0"/>
          <w:szCs w:val="20"/>
        </w:rPr>
        <w:t>neo</w:t>
      </w:r>
      <w:r w:rsidR="009E034F" w:rsidRPr="009E034F">
        <w:rPr>
          <w:rFonts w:asciiTheme="minorHAnsi" w:hAnsiTheme="minorHAnsi"/>
          <w:snapToGrid w:val="0"/>
          <w:szCs w:val="20"/>
        </w:rPr>
        <w:t xml:space="preserve">adjuvant setting, however it was unclear whether there was any benefit from adjuvant pembrolizumab, especially for patients with a pCR. The PBAC considered that there remained uncertainty regarding the magnitude of OS benefit as the data are immature. </w:t>
      </w:r>
    </w:p>
    <w:p w14:paraId="0006CE8B" w14:textId="5D833082" w:rsidR="009E034F" w:rsidRPr="00412F08" w:rsidRDefault="00412F08" w:rsidP="00700FED">
      <w:pPr>
        <w:pStyle w:val="3-BodyText"/>
        <w:rPr>
          <w:szCs w:val="20"/>
        </w:rPr>
      </w:pPr>
      <w:r>
        <w:t>The PBAC noted that there was a higher rate grade 3 to 5 adverse events in the pembrolizumab + chemotherapy arm (82.4% versus 78.7%) as well as a higher rate of serious drug related adverse events (34.1% versus 20.1%), and a higher proportion of patients discontinued pembrolizumab than placebo (17.9% versus 6.7%)</w:t>
      </w:r>
      <w:r w:rsidR="00370C54">
        <w:t xml:space="preserve">. </w:t>
      </w:r>
      <w:r>
        <w:t xml:space="preserve">In addition, deaths due to AEs occurred in seven patients (0.9%) in the pembrolizumab + chemotherapy arm and one patient (0.3%) in the placebo + chemotherapy arm. </w:t>
      </w:r>
      <w:r w:rsidR="009E034F" w:rsidRPr="00412F08">
        <w:rPr>
          <w:szCs w:val="20"/>
        </w:rPr>
        <w:t xml:space="preserve">The PBAC considered that the claim of inferior comparative safety was reasonable. The </w:t>
      </w:r>
      <w:r w:rsidR="009E034F" w:rsidRPr="00412F08">
        <w:rPr>
          <w:szCs w:val="20"/>
        </w:rPr>
        <w:lastRenderedPageBreak/>
        <w:t xml:space="preserve">PBAC </w:t>
      </w:r>
      <w:r>
        <w:rPr>
          <w:szCs w:val="20"/>
        </w:rPr>
        <w:t>considered</w:t>
      </w:r>
      <w:r w:rsidR="009E034F" w:rsidRPr="00412F08">
        <w:rPr>
          <w:szCs w:val="20"/>
        </w:rPr>
        <w:t xml:space="preserve"> that most AEs are manageable in clinical practice, however there is a potential for life</w:t>
      </w:r>
      <w:r>
        <w:rPr>
          <w:szCs w:val="20"/>
        </w:rPr>
        <w:noBreakHyphen/>
      </w:r>
      <w:r w:rsidR="009E034F" w:rsidRPr="00412F08">
        <w:rPr>
          <w:szCs w:val="20"/>
        </w:rPr>
        <w:t xml:space="preserve">threatening toxicities, and </w:t>
      </w:r>
      <w:r w:rsidR="009E034F" w:rsidRPr="00412F08">
        <w:rPr>
          <w:bCs/>
        </w:rPr>
        <w:t xml:space="preserve">long-term immune mediated toxicities, </w:t>
      </w:r>
      <w:r w:rsidR="009E034F" w:rsidRPr="00412F08">
        <w:rPr>
          <w:szCs w:val="20"/>
        </w:rPr>
        <w:t>which is a significant concern given that TNBC patients are generally younger and treatment in the eTNBC stage is given with curative intent.</w:t>
      </w:r>
    </w:p>
    <w:p w14:paraId="36BA1205" w14:textId="2F85C5AB" w:rsidR="002B270E" w:rsidRPr="002B270E" w:rsidRDefault="00F671EE" w:rsidP="006F05CA">
      <w:pPr>
        <w:widowControl w:val="0"/>
        <w:numPr>
          <w:ilvl w:val="1"/>
          <w:numId w:val="1"/>
        </w:numPr>
        <w:spacing w:after="120"/>
        <w:rPr>
          <w:rFonts w:asciiTheme="minorHAnsi" w:hAnsiTheme="minorHAnsi"/>
          <w:snapToGrid w:val="0"/>
          <w:lang w:val="en-GB"/>
        </w:rPr>
      </w:pPr>
      <w:bookmarkStart w:id="83" w:name="_Ref131593673"/>
      <w:r w:rsidRPr="00F671EE">
        <w:rPr>
          <w:rFonts w:asciiTheme="minorHAnsi" w:hAnsiTheme="minorHAnsi"/>
          <w:snapToGrid w:val="0"/>
          <w:lang w:val="en-GB"/>
        </w:rPr>
        <w:t xml:space="preserve">The PBAC noted that the submission presented a cost-utility analysis based on the outcomes of the KN-522 trial, with outcomes extrapolated to 30 years in the base case. </w:t>
      </w:r>
      <w:r w:rsidR="002B270E">
        <w:t>The PBAC noted that the model generated a greater increment in EFS (and consequently OS) over time. By the end of the 30-year time horizon, the model estimated an increment of 24.5% EFS events compared with 7.7% at the longest follow-up from KN-522 (36 months). The PBAC considered it was not clinically plausible for the EFS increment to con</w:t>
      </w:r>
      <w:r w:rsidR="00BD7728">
        <w:t>tinue to increase beyond 5 years</w:t>
      </w:r>
      <w:r w:rsidR="00BD7728" w:rsidRPr="00BD7728">
        <w:t xml:space="preserve"> </w:t>
      </w:r>
      <w:r w:rsidR="00BD7728">
        <w:t xml:space="preserve">as the vast majority of TNBC relapse occurs within the first 5 years. The PBAC noted that the pre-PBAC response proposed applying treatment waning from 8 years, which resulted in a 9.35% OS benefit after 30 years. The PBAC considered that this remained optimistic, particularly in the context of </w:t>
      </w:r>
      <w:r w:rsidR="00993732">
        <w:t>im</w:t>
      </w:r>
      <w:r w:rsidR="00BD7728">
        <w:t xml:space="preserve">mature OS data, and </w:t>
      </w:r>
      <w:r w:rsidR="003D3FD9">
        <w:t>considered</w:t>
      </w:r>
      <w:r w:rsidR="00BD7728">
        <w:t xml:space="preserve"> it would be appropriate to apply treatment waning from 5 years to reflect the clinical course of eTNBC.</w:t>
      </w:r>
      <w:r w:rsidR="00993732" w:rsidRPr="00993732">
        <w:t xml:space="preserve"> </w:t>
      </w:r>
      <w:r w:rsidR="00993732">
        <w:t>The PBAC noted that the use of a 30-year time horizon, where the trial median follow</w:t>
      </w:r>
      <w:r w:rsidR="00993732">
        <w:noBreakHyphen/>
        <w:t xml:space="preserve">up was just over 3 years and OS data were immature, introduced additional uncertainty into the modelled outcomes. However, the PBAC considered that a 30-year time horizon was reasonable, </w:t>
      </w:r>
      <w:r w:rsidR="00993732">
        <w:rPr>
          <w:szCs w:val="20"/>
        </w:rPr>
        <w:t xml:space="preserve">in the context of more conservative treatment waning </w:t>
      </w:r>
      <w:r w:rsidR="00993732">
        <w:rPr>
          <w:iCs/>
        </w:rPr>
        <w:t xml:space="preserve">and given the aim of treatment is cure, in </w:t>
      </w:r>
      <w:r w:rsidR="00993732">
        <w:t>patients with eTNBC who are typically relatively young.</w:t>
      </w:r>
      <w:bookmarkEnd w:id="83"/>
    </w:p>
    <w:p w14:paraId="3F8A7E3F" w14:textId="59B547CA" w:rsidR="00AB337D" w:rsidRPr="003D3FD9" w:rsidRDefault="003D3FD9" w:rsidP="006F05CA">
      <w:pPr>
        <w:widowControl w:val="0"/>
        <w:numPr>
          <w:ilvl w:val="1"/>
          <w:numId w:val="1"/>
        </w:numPr>
        <w:spacing w:after="120"/>
        <w:rPr>
          <w:rFonts w:asciiTheme="minorHAnsi" w:hAnsiTheme="minorHAnsi"/>
          <w:snapToGrid w:val="0"/>
          <w:lang w:val="en-GB"/>
        </w:rPr>
      </w:pPr>
      <w:bookmarkStart w:id="84" w:name="_Ref131593700"/>
      <w:r>
        <w:t>As adjuvant capecitabine was considered an appropriate comparator to pembrolizumab for patients with residual disease, the PBAC</w:t>
      </w:r>
      <w:r w:rsidR="00AB337D" w:rsidRPr="00F756C7">
        <w:t xml:space="preserve"> considered that it would be appropriate for the model to include adjustment to account for capecitabine use in these patients</w:t>
      </w:r>
      <w:r>
        <w:t xml:space="preserve">, as applied in the pre-PBAC revised base case. Although </w:t>
      </w:r>
      <w:r w:rsidR="00AB337D" w:rsidRPr="00F756C7">
        <w:t>it was uncertain whether the adjustment applied in the sensitivity analysis appropriately captured the benefit for capecitabine</w:t>
      </w:r>
      <w:r>
        <w:t>, the PBAC considered that the approach appeared reasonable</w:t>
      </w:r>
      <w:r w:rsidR="00AB337D" w:rsidRPr="00F756C7">
        <w:t>.</w:t>
      </w:r>
      <w:r>
        <w:t xml:space="preserve"> The PBAC also considered that revision of the terminal care costs to $6</w:t>
      </w:r>
      <w:r w:rsidR="009D2917">
        <w:t>,</w:t>
      </w:r>
      <w:r>
        <w:t>050, in the pre-PBAC revised base case was appropriate</w:t>
      </w:r>
      <w:r w:rsidRPr="003D3FD9">
        <w:t xml:space="preserve"> </w:t>
      </w:r>
      <w:r>
        <w:t xml:space="preserve">and consistent with terminal care costs in the sacituzumab </w:t>
      </w:r>
      <w:r w:rsidR="00AA43F3">
        <w:t>govitecan</w:t>
      </w:r>
      <w:r>
        <w:t xml:space="preserve"> submission.</w:t>
      </w:r>
      <w:bookmarkEnd w:id="84"/>
    </w:p>
    <w:p w14:paraId="64AF89BC" w14:textId="341980C6" w:rsidR="003D3FD9" w:rsidRPr="00F671EE" w:rsidRDefault="003D3FD9" w:rsidP="006F05CA">
      <w:pPr>
        <w:widowControl w:val="0"/>
        <w:numPr>
          <w:ilvl w:val="1"/>
          <w:numId w:val="1"/>
        </w:numPr>
        <w:spacing w:after="120"/>
        <w:rPr>
          <w:rFonts w:asciiTheme="minorHAnsi" w:hAnsiTheme="minorHAnsi"/>
          <w:snapToGrid w:val="0"/>
          <w:lang w:val="en-GB"/>
        </w:rPr>
      </w:pPr>
      <w:r>
        <w:t xml:space="preserve">The PBAC noted that with these revisions the ICER increased to </w:t>
      </w:r>
      <w:r w:rsidR="00D2385A">
        <w:t>$</w:t>
      </w:r>
      <w:r w:rsidR="002621D4">
        <w:t>55,000 to &lt; $75,000 per QALY</w:t>
      </w:r>
      <w:r w:rsidR="006C710D">
        <w:t xml:space="preserve">. The PBAC considered that </w:t>
      </w:r>
      <w:r w:rsidR="00993732">
        <w:t xml:space="preserve">an ICER of up to </w:t>
      </w:r>
      <w:r w:rsidR="00993732" w:rsidRPr="00A47E82">
        <w:t>$35,000/QALY</w:t>
      </w:r>
      <w:r w:rsidR="00993732">
        <w:t xml:space="preserve"> gained would account for the uncertainty regarding the modelled </w:t>
      </w:r>
      <w:r w:rsidR="00C976EE">
        <w:t xml:space="preserve">outcomes (as discussed in paragraph </w:t>
      </w:r>
      <w:r w:rsidR="00C976EE">
        <w:fldChar w:fldCharType="begin" w:fldLock="1"/>
      </w:r>
      <w:r w:rsidR="00C976EE">
        <w:instrText xml:space="preserve"> REF _Ref131593673 \r \h </w:instrText>
      </w:r>
      <w:r w:rsidR="00C976EE">
        <w:fldChar w:fldCharType="separate"/>
      </w:r>
      <w:r w:rsidR="00FC05E9">
        <w:t>7.8</w:t>
      </w:r>
      <w:r w:rsidR="00C976EE">
        <w:fldChar w:fldCharType="end"/>
      </w:r>
      <w:r w:rsidR="00C976EE">
        <w:t xml:space="preserve">). </w:t>
      </w:r>
    </w:p>
    <w:p w14:paraId="21740B6E" w14:textId="789ECB46" w:rsidR="00F73910" w:rsidRPr="00CE42B4" w:rsidRDefault="00993732" w:rsidP="008E0500">
      <w:pPr>
        <w:pStyle w:val="3-BodyText"/>
        <w:widowControl w:val="0"/>
      </w:pPr>
      <w:bookmarkStart w:id="85" w:name="_Ref131593842"/>
      <w:r w:rsidRPr="00993732">
        <w:rPr>
          <w:lang w:val="en-GB"/>
        </w:rPr>
        <w:t>The PBAC noted that the submission estimated a</w:t>
      </w:r>
      <w:r w:rsidRPr="006919A9">
        <w:t xml:space="preserve"> total </w:t>
      </w:r>
      <w:r>
        <w:t xml:space="preserve">cost </w:t>
      </w:r>
      <w:r w:rsidRPr="006919A9">
        <w:t xml:space="preserve">of </w:t>
      </w:r>
      <w:r w:rsidR="001618F0" w:rsidRPr="001618F0">
        <w:t>$400</w:t>
      </w:r>
      <w:r w:rsidR="003F6D4D">
        <w:t> </w:t>
      </w:r>
      <w:r w:rsidR="001618F0" w:rsidRPr="001618F0">
        <w:t>million</w:t>
      </w:r>
      <w:r w:rsidR="002621D4">
        <w:t> </w:t>
      </w:r>
      <w:r w:rsidR="001618F0" w:rsidRPr="001618F0">
        <w:t>to &lt;</w:t>
      </w:r>
      <w:r w:rsidR="00E15772">
        <w:t> </w:t>
      </w:r>
      <w:r w:rsidR="001618F0" w:rsidRPr="001618F0">
        <w:t>$500</w:t>
      </w:r>
      <w:r w:rsidR="003F6D4D">
        <w:t> </w:t>
      </w:r>
      <w:r w:rsidR="001618F0" w:rsidRPr="001618F0">
        <w:t>million</w:t>
      </w:r>
      <w:r w:rsidR="0088025F">
        <w:t xml:space="preserve"> </w:t>
      </w:r>
      <w:r w:rsidRPr="006919A9">
        <w:t>over the first six years of listing</w:t>
      </w:r>
      <w:r>
        <w:t xml:space="preserve"> with the changes applied in the PSCR and the revised pembrolizumab price from the pre-PBAC response. The PBAC considered that the budget impact was high and may be overestimated. </w:t>
      </w:r>
      <w:r w:rsidR="00B355AA" w:rsidRPr="00993732">
        <w:rPr>
          <w:lang w:val="en-GB"/>
        </w:rPr>
        <w:t>The PBAC considered that newly diagnosed eTNBC patients would begin treatment immediately or be enrolled on an access program</w:t>
      </w:r>
      <w:r w:rsidR="005E78D8" w:rsidRPr="00993732">
        <w:rPr>
          <w:lang w:val="en-GB"/>
        </w:rPr>
        <w:t xml:space="preserve">, therefore </w:t>
      </w:r>
      <w:r w:rsidR="00B355AA" w:rsidRPr="00993732">
        <w:rPr>
          <w:lang w:val="en-GB"/>
        </w:rPr>
        <w:t xml:space="preserve">inclusion of a prevalent pool of patients (other than Grandfather patients) overestimated the </w:t>
      </w:r>
      <w:r w:rsidR="00AE3CE3" w:rsidRPr="00993732">
        <w:rPr>
          <w:lang w:val="en-GB"/>
        </w:rPr>
        <w:t xml:space="preserve">number of patients in </w:t>
      </w:r>
      <w:r w:rsidR="00AE3CE3" w:rsidRPr="00993732">
        <w:rPr>
          <w:lang w:val="en-GB"/>
        </w:rPr>
        <w:lastRenderedPageBreak/>
        <w:t>year 1</w:t>
      </w:r>
      <w:r w:rsidR="00B355AA" w:rsidRPr="00993732">
        <w:rPr>
          <w:lang w:val="en-GB"/>
        </w:rPr>
        <w:t>.</w:t>
      </w:r>
      <w:r w:rsidR="00AE3CE3" w:rsidRPr="00993732">
        <w:rPr>
          <w:lang w:val="en-GB"/>
        </w:rPr>
        <w:t xml:space="preserve"> The PBAC considered that the PSCR’s amendment to the proportion of patients with ECOG 0-1 to 95% was reasonable for the eTNBC setting. The PBAC also considered the amendment of uptake in the adjuvant setting from 100% of patients treated in the neo-adjuvant setting to 75% was reasonable and was consistent with the KN-522 trial. However, the PBAC noted that if olaparib is listed for patients with BRCAm early breast cancer the utilisation of adjuvant pembrolizumab would be expected to decrease to around 60% of neo-adjuvant patients as olaparib would be the preferred adjuvant treatment for </w:t>
      </w:r>
      <w:r w:rsidR="00F671EE" w:rsidRPr="00993732">
        <w:rPr>
          <w:lang w:val="en-GB"/>
        </w:rPr>
        <w:t>the 15% of patients with BRCAm</w:t>
      </w:r>
      <w:r w:rsidR="00AE3CE3" w:rsidRPr="00993732">
        <w:rPr>
          <w:lang w:val="en-GB"/>
        </w:rPr>
        <w:t>.</w:t>
      </w:r>
      <w:r w:rsidR="00E109FA" w:rsidRPr="00993732">
        <w:rPr>
          <w:lang w:val="en-GB"/>
        </w:rPr>
        <w:t xml:space="preserve"> The PBAC considered that the changes to the treatment duration applied in the PSCR to reflect the extrapolated time on treatment from KN-522 were also reasonable. </w:t>
      </w:r>
      <w:r w:rsidR="00F671EE" w:rsidRPr="00993732">
        <w:rPr>
          <w:lang w:val="en-GB"/>
        </w:rPr>
        <w:t xml:space="preserve">The PBAC </w:t>
      </w:r>
      <w:r>
        <w:rPr>
          <w:lang w:val="en-GB"/>
        </w:rPr>
        <w:t>considered</w:t>
      </w:r>
      <w:r w:rsidR="00F671EE" w:rsidRPr="00993732">
        <w:rPr>
          <w:lang w:val="en-GB"/>
        </w:rPr>
        <w:t xml:space="preserve"> that </w:t>
      </w:r>
      <w:r>
        <w:rPr>
          <w:lang w:val="en-GB"/>
        </w:rPr>
        <w:t>listing of pembrolizumab in eTNBC sh</w:t>
      </w:r>
      <w:r w:rsidR="00F671EE" w:rsidRPr="00993732">
        <w:rPr>
          <w:lang w:val="en-GB"/>
        </w:rPr>
        <w:t xml:space="preserve">ould </w:t>
      </w:r>
      <w:r>
        <w:rPr>
          <w:lang w:val="en-GB"/>
        </w:rPr>
        <w:t>result in</w:t>
      </w:r>
      <w:r w:rsidR="00F671EE" w:rsidRPr="00993732">
        <w:rPr>
          <w:lang w:val="en-GB"/>
        </w:rPr>
        <w:t xml:space="preserve"> offsets for pembrolizumab utilisation in the locally advanced metastatic TNBC setting from patients without disease progression and patients who progress but are not eligible for retreatment with pembrolizumab.</w:t>
      </w:r>
      <w:bookmarkEnd w:id="85"/>
    </w:p>
    <w:p w14:paraId="3C4DF2D6" w14:textId="7574B8FD" w:rsidR="00F73910" w:rsidRPr="00783D74" w:rsidRDefault="00F73910" w:rsidP="00370C54">
      <w:pPr>
        <w:widowControl w:val="0"/>
        <w:numPr>
          <w:ilvl w:val="1"/>
          <w:numId w:val="1"/>
        </w:numPr>
        <w:spacing w:after="120"/>
        <w:rPr>
          <w:rFonts w:asciiTheme="minorHAnsi" w:hAnsiTheme="minorHAnsi"/>
          <w:snapToGrid w:val="0"/>
          <w:lang w:val="en-GB"/>
        </w:rPr>
      </w:pPr>
      <w:r w:rsidRPr="00783D74">
        <w:rPr>
          <w:rFonts w:asciiTheme="minorHAnsi" w:hAnsiTheme="minorHAnsi"/>
          <w:snapToGrid w:val="0"/>
          <w:lang w:val="en-GB"/>
        </w:rPr>
        <w:t xml:space="preserve">The PBAC considered the outstanding issues could be easily resolved in a simple resubmission for </w:t>
      </w:r>
      <w:r w:rsidR="00370C54">
        <w:rPr>
          <w:rFonts w:asciiTheme="minorHAnsi" w:hAnsiTheme="minorHAnsi"/>
          <w:snapToGrid w:val="0"/>
          <w:lang w:val="en-GB"/>
        </w:rPr>
        <w:t>pembrolizumab</w:t>
      </w:r>
      <w:r w:rsidRPr="00783D74">
        <w:rPr>
          <w:rFonts w:asciiTheme="minorHAnsi" w:hAnsiTheme="minorHAnsi"/>
          <w:snapToGrid w:val="0"/>
          <w:lang w:val="en-GB"/>
        </w:rPr>
        <w:t xml:space="preserve"> using the early re-entry pathway. If the sponsor accepts this pathway, the following changes may address these outstanding issues without requiring further re-evaluation. </w:t>
      </w:r>
    </w:p>
    <w:p w14:paraId="46B48676" w14:textId="40B0415A" w:rsidR="00370C54" w:rsidRPr="00C31AFD" w:rsidRDefault="00370C54" w:rsidP="00C31AFD">
      <w:pPr>
        <w:pStyle w:val="ListParagraph"/>
        <w:widowControl w:val="0"/>
        <w:numPr>
          <w:ilvl w:val="0"/>
          <w:numId w:val="45"/>
        </w:numPr>
        <w:rPr>
          <w:lang w:val="en-GB"/>
        </w:rPr>
      </w:pPr>
      <w:r w:rsidRPr="00C31AFD">
        <w:rPr>
          <w:lang w:val="en-GB"/>
        </w:rPr>
        <w:t>Revision of inputs to the economic evaluation:</w:t>
      </w:r>
    </w:p>
    <w:p w14:paraId="0F0B76AC" w14:textId="31AE217A" w:rsidR="00370C54" w:rsidRDefault="00370C54" w:rsidP="00370C54">
      <w:pPr>
        <w:pStyle w:val="ListParagraph"/>
        <w:widowControl w:val="0"/>
        <w:numPr>
          <w:ilvl w:val="0"/>
          <w:numId w:val="42"/>
        </w:numPr>
        <w:rPr>
          <w:lang w:val="en-GB"/>
        </w:rPr>
      </w:pPr>
      <w:r>
        <w:rPr>
          <w:lang w:val="en-GB"/>
        </w:rPr>
        <w:t>Time horizon of 30 years (see paragraph</w:t>
      </w:r>
      <w:r w:rsidR="00660FCC">
        <w:rPr>
          <w:lang w:val="en-GB"/>
        </w:rPr>
        <w:t xml:space="preserve"> </w:t>
      </w:r>
      <w:r w:rsidR="00660FCC">
        <w:rPr>
          <w:lang w:val="en-GB"/>
        </w:rPr>
        <w:fldChar w:fldCharType="begin" w:fldLock="1"/>
      </w:r>
      <w:r w:rsidR="00660FCC">
        <w:rPr>
          <w:lang w:val="en-GB"/>
        </w:rPr>
        <w:instrText xml:space="preserve"> REF _Ref131593673 \r \h </w:instrText>
      </w:r>
      <w:r w:rsidR="00660FCC">
        <w:rPr>
          <w:lang w:val="en-GB"/>
        </w:rPr>
      </w:r>
      <w:r w:rsidR="00660FCC">
        <w:rPr>
          <w:lang w:val="en-GB"/>
        </w:rPr>
        <w:fldChar w:fldCharType="separate"/>
      </w:r>
      <w:r w:rsidR="00FC05E9">
        <w:rPr>
          <w:lang w:val="en-GB"/>
        </w:rPr>
        <w:t>7.8</w:t>
      </w:r>
      <w:r w:rsidR="00660FCC">
        <w:rPr>
          <w:lang w:val="en-GB"/>
        </w:rPr>
        <w:fldChar w:fldCharType="end"/>
      </w:r>
      <w:r>
        <w:rPr>
          <w:lang w:val="en-GB"/>
        </w:rPr>
        <w:t>)</w:t>
      </w:r>
    </w:p>
    <w:p w14:paraId="716FB0A4" w14:textId="4266A65F" w:rsidR="00660FCC" w:rsidRPr="00822154" w:rsidRDefault="00660FCC" w:rsidP="00660FCC">
      <w:pPr>
        <w:pStyle w:val="ListParagraph"/>
        <w:widowControl w:val="0"/>
        <w:numPr>
          <w:ilvl w:val="0"/>
          <w:numId w:val="42"/>
        </w:numPr>
        <w:rPr>
          <w:lang w:val="en-GB"/>
        </w:rPr>
      </w:pPr>
      <w:r>
        <w:t xml:space="preserve">Application of treatment waning from 5 years (see paragraph </w:t>
      </w:r>
      <w:r>
        <w:fldChar w:fldCharType="begin" w:fldLock="1"/>
      </w:r>
      <w:r>
        <w:instrText xml:space="preserve"> REF _Ref131593673 \r \h </w:instrText>
      </w:r>
      <w:r>
        <w:fldChar w:fldCharType="separate"/>
      </w:r>
      <w:r w:rsidR="00FC05E9">
        <w:t>7.8</w:t>
      </w:r>
      <w:r>
        <w:fldChar w:fldCharType="end"/>
      </w:r>
      <w:r>
        <w:t>)</w:t>
      </w:r>
    </w:p>
    <w:p w14:paraId="418CD629" w14:textId="3C30E9B7" w:rsidR="00370C54" w:rsidRDefault="00370C54" w:rsidP="00370C54">
      <w:pPr>
        <w:pStyle w:val="ListParagraph"/>
        <w:widowControl w:val="0"/>
        <w:numPr>
          <w:ilvl w:val="0"/>
          <w:numId w:val="42"/>
        </w:numPr>
        <w:rPr>
          <w:lang w:val="en-GB"/>
        </w:rPr>
      </w:pPr>
      <w:r>
        <w:rPr>
          <w:lang w:val="en-GB"/>
        </w:rPr>
        <w:t>Inclusion of adjustment of costs and outcomes to include adjuvant capecitabine</w:t>
      </w:r>
      <w:r w:rsidR="00660FCC">
        <w:rPr>
          <w:lang w:val="en-GB"/>
        </w:rPr>
        <w:t xml:space="preserve"> as in the pre-PBAC revised based case</w:t>
      </w:r>
      <w:r>
        <w:rPr>
          <w:lang w:val="en-GB"/>
        </w:rPr>
        <w:t xml:space="preserve"> (see paragraph </w:t>
      </w:r>
      <w:r w:rsidR="00660FCC">
        <w:rPr>
          <w:lang w:val="en-GB"/>
        </w:rPr>
        <w:fldChar w:fldCharType="begin" w:fldLock="1"/>
      </w:r>
      <w:r w:rsidR="00660FCC">
        <w:rPr>
          <w:lang w:val="en-GB"/>
        </w:rPr>
        <w:instrText xml:space="preserve"> REF _Ref131593700 \r \h </w:instrText>
      </w:r>
      <w:r w:rsidR="00660FCC">
        <w:rPr>
          <w:lang w:val="en-GB"/>
        </w:rPr>
      </w:r>
      <w:r w:rsidR="00660FCC">
        <w:rPr>
          <w:lang w:val="en-GB"/>
        </w:rPr>
        <w:fldChar w:fldCharType="separate"/>
      </w:r>
      <w:r w:rsidR="00FC05E9">
        <w:rPr>
          <w:lang w:val="en-GB"/>
        </w:rPr>
        <w:t>7.9</w:t>
      </w:r>
      <w:r w:rsidR="00660FCC">
        <w:rPr>
          <w:lang w:val="en-GB"/>
        </w:rPr>
        <w:fldChar w:fldCharType="end"/>
      </w:r>
      <w:r>
        <w:rPr>
          <w:lang w:val="en-GB"/>
        </w:rPr>
        <w:t>)</w:t>
      </w:r>
    </w:p>
    <w:p w14:paraId="3AA3E430" w14:textId="263A551B" w:rsidR="00370C54" w:rsidRPr="00370C54" w:rsidRDefault="00370C54" w:rsidP="00370C54">
      <w:pPr>
        <w:pStyle w:val="ListParagraph"/>
        <w:widowControl w:val="0"/>
        <w:numPr>
          <w:ilvl w:val="0"/>
          <w:numId w:val="42"/>
        </w:numPr>
        <w:rPr>
          <w:lang w:val="en-GB"/>
        </w:rPr>
      </w:pPr>
      <w:r>
        <w:rPr>
          <w:lang w:val="en-GB"/>
        </w:rPr>
        <w:t xml:space="preserve">Revision of terminal care costs </w:t>
      </w:r>
      <w:r>
        <w:t>to $6,050</w:t>
      </w:r>
      <w:r w:rsidR="00660FCC">
        <w:t xml:space="preserve"> as in the pre-PBAC</w:t>
      </w:r>
      <w:r>
        <w:t xml:space="preserve"> </w:t>
      </w:r>
      <w:r w:rsidR="00660FCC">
        <w:t xml:space="preserve">revised base case </w:t>
      </w:r>
      <w:r>
        <w:t xml:space="preserve">(see paragraph </w:t>
      </w:r>
      <w:r w:rsidR="00660FCC">
        <w:fldChar w:fldCharType="begin" w:fldLock="1"/>
      </w:r>
      <w:r w:rsidR="00660FCC">
        <w:instrText xml:space="preserve"> REF _Ref131593700 \r \h </w:instrText>
      </w:r>
      <w:r w:rsidR="00660FCC">
        <w:fldChar w:fldCharType="separate"/>
      </w:r>
      <w:r w:rsidR="00FC05E9">
        <w:t>7.9</w:t>
      </w:r>
      <w:r w:rsidR="00660FCC">
        <w:fldChar w:fldCharType="end"/>
      </w:r>
      <w:r>
        <w:t xml:space="preserve">) </w:t>
      </w:r>
    </w:p>
    <w:p w14:paraId="58699888" w14:textId="3B41812C" w:rsidR="00822154" w:rsidRDefault="00822154" w:rsidP="00AA43F3">
      <w:pPr>
        <w:widowControl w:val="0"/>
        <w:spacing w:after="120"/>
        <w:ind w:left="720"/>
        <w:rPr>
          <w:rFonts w:asciiTheme="minorHAnsi" w:hAnsiTheme="minorHAnsi"/>
          <w:snapToGrid w:val="0"/>
          <w:lang w:val="en-GB"/>
        </w:rPr>
      </w:pPr>
      <w:r w:rsidRPr="00822154">
        <w:rPr>
          <w:rFonts w:asciiTheme="minorHAnsi" w:hAnsiTheme="minorHAnsi"/>
          <w:snapToGrid w:val="0"/>
          <w:lang w:val="en-GB"/>
        </w:rPr>
        <w:t>The PBAC considered that with the above revisions to the economic model pembrolizumab would be acceptably cost-effective at a price that gives an ICER of less than $</w:t>
      </w:r>
      <w:r w:rsidR="00F671EE">
        <w:rPr>
          <w:rFonts w:asciiTheme="minorHAnsi" w:hAnsiTheme="minorHAnsi"/>
          <w:snapToGrid w:val="0"/>
          <w:lang w:val="en-GB"/>
        </w:rPr>
        <w:t>3</w:t>
      </w:r>
      <w:r w:rsidRPr="00822154">
        <w:rPr>
          <w:rFonts w:asciiTheme="minorHAnsi" w:hAnsiTheme="minorHAnsi"/>
          <w:snapToGrid w:val="0"/>
          <w:lang w:val="en-GB"/>
        </w:rPr>
        <w:t>5,000 per QALY.</w:t>
      </w:r>
    </w:p>
    <w:p w14:paraId="15D4E454" w14:textId="6CC15A6E" w:rsidR="00822154" w:rsidRPr="00C31AFD" w:rsidRDefault="00822154" w:rsidP="00C31AFD">
      <w:pPr>
        <w:pStyle w:val="ListParagraph"/>
        <w:widowControl w:val="0"/>
        <w:numPr>
          <w:ilvl w:val="0"/>
          <w:numId w:val="45"/>
        </w:numPr>
        <w:rPr>
          <w:lang w:val="en-GB"/>
        </w:rPr>
      </w:pPr>
      <w:r w:rsidRPr="00C31AFD">
        <w:rPr>
          <w:lang w:val="en-GB"/>
        </w:rPr>
        <w:t>Revision of inputs to the financial estimates</w:t>
      </w:r>
      <w:r w:rsidR="00CC73A9">
        <w:rPr>
          <w:lang w:val="en-GB"/>
        </w:rPr>
        <w:t xml:space="preserve"> (see paragraph</w:t>
      </w:r>
      <w:r w:rsidR="00660FCC">
        <w:rPr>
          <w:lang w:val="en-GB"/>
        </w:rPr>
        <w:t xml:space="preserve"> </w:t>
      </w:r>
      <w:r w:rsidR="00660FCC">
        <w:rPr>
          <w:lang w:val="en-GB"/>
        </w:rPr>
        <w:fldChar w:fldCharType="begin" w:fldLock="1"/>
      </w:r>
      <w:r w:rsidR="00660FCC">
        <w:rPr>
          <w:lang w:val="en-GB"/>
        </w:rPr>
        <w:instrText xml:space="preserve"> REF _Ref131593842 \r \h </w:instrText>
      </w:r>
      <w:r w:rsidR="00660FCC">
        <w:rPr>
          <w:lang w:val="en-GB"/>
        </w:rPr>
      </w:r>
      <w:r w:rsidR="00660FCC">
        <w:rPr>
          <w:lang w:val="en-GB"/>
        </w:rPr>
        <w:fldChar w:fldCharType="separate"/>
      </w:r>
      <w:r w:rsidR="00FC05E9">
        <w:rPr>
          <w:lang w:val="en-GB"/>
        </w:rPr>
        <w:t>7.11</w:t>
      </w:r>
      <w:r w:rsidR="00660FCC">
        <w:rPr>
          <w:lang w:val="en-GB"/>
        </w:rPr>
        <w:fldChar w:fldCharType="end"/>
      </w:r>
      <w:r w:rsidR="00CC73A9">
        <w:rPr>
          <w:lang w:val="en-GB"/>
        </w:rPr>
        <w:t>)</w:t>
      </w:r>
      <w:r w:rsidRPr="00C31AFD">
        <w:rPr>
          <w:lang w:val="en-GB"/>
        </w:rPr>
        <w:t>:</w:t>
      </w:r>
    </w:p>
    <w:p w14:paraId="0BF4150E" w14:textId="21A375AE" w:rsidR="00822154" w:rsidRDefault="00822154" w:rsidP="00822154">
      <w:pPr>
        <w:pStyle w:val="ListParagraph"/>
        <w:widowControl w:val="0"/>
        <w:numPr>
          <w:ilvl w:val="0"/>
          <w:numId w:val="43"/>
        </w:numPr>
        <w:rPr>
          <w:lang w:val="en-GB"/>
        </w:rPr>
      </w:pPr>
      <w:r>
        <w:rPr>
          <w:lang w:val="en-GB"/>
        </w:rPr>
        <w:t xml:space="preserve">Removal of the prevalent population from the patient numbers </w:t>
      </w:r>
    </w:p>
    <w:p w14:paraId="207B8D64" w14:textId="497C1A87" w:rsidR="00822154" w:rsidRDefault="00822154" w:rsidP="00822154">
      <w:pPr>
        <w:pStyle w:val="ListParagraph"/>
        <w:widowControl w:val="0"/>
        <w:numPr>
          <w:ilvl w:val="0"/>
          <w:numId w:val="43"/>
        </w:numPr>
        <w:rPr>
          <w:lang w:val="en-GB"/>
        </w:rPr>
      </w:pPr>
      <w:r>
        <w:rPr>
          <w:lang w:val="en-GB"/>
        </w:rPr>
        <w:t>75% uptake in the adjuvant setting, or 60% uptake i</w:t>
      </w:r>
      <w:r w:rsidR="009D2917">
        <w:rPr>
          <w:lang w:val="en-GB"/>
        </w:rPr>
        <w:t>f</w:t>
      </w:r>
      <w:r>
        <w:rPr>
          <w:lang w:val="en-GB"/>
        </w:rPr>
        <w:t xml:space="preserve"> olaparib is PBS listed for early breast cancer</w:t>
      </w:r>
    </w:p>
    <w:p w14:paraId="106359F1" w14:textId="6E5EC7F1" w:rsidR="00822154" w:rsidRDefault="00822154" w:rsidP="002621D4">
      <w:pPr>
        <w:pStyle w:val="ListBullet"/>
        <w:numPr>
          <w:ilvl w:val="0"/>
          <w:numId w:val="45"/>
        </w:numPr>
        <w:spacing w:after="120"/>
        <w:ind w:left="1077" w:hanging="357"/>
        <w:contextualSpacing w:val="0"/>
        <w:rPr>
          <w:lang w:val="en-GB"/>
        </w:rPr>
      </w:pPr>
      <w:r>
        <w:rPr>
          <w:lang w:val="en-GB"/>
        </w:rPr>
        <w:t>The PBAC considered that an RSA across early and metastatic settings would be required, with appropriate offsets in mTNBC to account for cure</w:t>
      </w:r>
      <w:r w:rsidR="00C31AFD">
        <w:rPr>
          <w:lang w:val="en-GB"/>
        </w:rPr>
        <w:t>d patients</w:t>
      </w:r>
      <w:r>
        <w:rPr>
          <w:lang w:val="en-GB"/>
        </w:rPr>
        <w:t xml:space="preserve"> and early relapsers</w:t>
      </w:r>
      <w:r w:rsidR="00C31AFD">
        <w:rPr>
          <w:lang w:val="en-GB"/>
        </w:rPr>
        <w:t>:</w:t>
      </w:r>
    </w:p>
    <w:p w14:paraId="2C3089A6" w14:textId="5CEFF227" w:rsidR="00C31AFD" w:rsidRDefault="00C31AFD" w:rsidP="002621D4">
      <w:pPr>
        <w:pStyle w:val="ListBullet"/>
        <w:numPr>
          <w:ilvl w:val="0"/>
          <w:numId w:val="44"/>
        </w:numPr>
        <w:spacing w:after="120"/>
        <w:ind w:left="1434" w:hanging="357"/>
        <w:contextualSpacing w:val="0"/>
        <w:rPr>
          <w:lang w:val="en-GB"/>
        </w:rPr>
      </w:pPr>
      <w:r>
        <w:rPr>
          <w:lang w:val="en-GB"/>
        </w:rPr>
        <w:t>Assuming 8% cured</w:t>
      </w:r>
    </w:p>
    <w:p w14:paraId="7C29B1A8" w14:textId="29A8F9D5" w:rsidR="00C31AFD" w:rsidRDefault="00C31AFD" w:rsidP="00AA43F3">
      <w:pPr>
        <w:pStyle w:val="ListBullet"/>
        <w:numPr>
          <w:ilvl w:val="0"/>
          <w:numId w:val="44"/>
        </w:numPr>
        <w:spacing w:after="120"/>
        <w:rPr>
          <w:lang w:val="en-GB"/>
        </w:rPr>
      </w:pPr>
      <w:r>
        <w:rPr>
          <w:lang w:val="en-GB"/>
        </w:rPr>
        <w:t>At least 16% patients who have relapsed following eTNBC treatment with pembrolizumab (not eligible for retreatment with pembrolizumab)</w:t>
      </w:r>
    </w:p>
    <w:p w14:paraId="7242DBD3" w14:textId="77777777" w:rsidR="00C31AFD" w:rsidRPr="00C31AFD" w:rsidRDefault="00F73910" w:rsidP="00C31AFD">
      <w:pPr>
        <w:widowControl w:val="0"/>
        <w:numPr>
          <w:ilvl w:val="1"/>
          <w:numId w:val="1"/>
        </w:numPr>
        <w:spacing w:after="120"/>
        <w:rPr>
          <w:rFonts w:asciiTheme="minorHAnsi" w:hAnsiTheme="minorHAnsi"/>
          <w:snapToGrid w:val="0"/>
          <w:lang w:val="en-GB"/>
        </w:rPr>
      </w:pPr>
      <w:r w:rsidRPr="00C31AFD">
        <w:rPr>
          <w:rFonts w:asciiTheme="minorHAnsi" w:hAnsiTheme="minorHAnsi"/>
          <w:snapToGrid w:val="0"/>
          <w:lang w:val="en-GB"/>
        </w:rPr>
        <w:lastRenderedPageBreak/>
        <w:t xml:space="preserve">The PBAC noted that this submission is eligible for an Independent Review. </w:t>
      </w:r>
    </w:p>
    <w:p w14:paraId="2B40D2A3" w14:textId="7CF230B0" w:rsidR="00F73910" w:rsidRPr="00525B39" w:rsidRDefault="00F73910" w:rsidP="00F73910">
      <w:pPr>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7B3B401B" w14:textId="7465CEC9" w:rsidR="000B5598" w:rsidRPr="00666177" w:rsidRDefault="00F73910" w:rsidP="00666177">
      <w:pPr>
        <w:rPr>
          <w:rFonts w:asciiTheme="minorHAnsi" w:hAnsiTheme="minorHAnsi"/>
          <w:bCs/>
          <w:snapToGrid w:val="0"/>
          <w:lang w:val="en-GB"/>
        </w:rPr>
      </w:pPr>
      <w:r>
        <w:rPr>
          <w:rFonts w:asciiTheme="minorHAnsi" w:hAnsiTheme="minorHAnsi"/>
          <w:bCs/>
          <w:snapToGrid w:val="0"/>
          <w:lang w:val="en-GB"/>
        </w:rPr>
        <w:t>Not recommended</w:t>
      </w:r>
      <w:bookmarkEnd w:id="81"/>
      <w:bookmarkEnd w:id="82"/>
    </w:p>
    <w:p w14:paraId="0746E385" w14:textId="48533847" w:rsidR="00F73910" w:rsidRDefault="00F73910" w:rsidP="005E09A4">
      <w:pPr>
        <w:pStyle w:val="3-BodyText"/>
        <w:numPr>
          <w:ilvl w:val="0"/>
          <w:numId w:val="0"/>
        </w:numPr>
        <w:ind w:left="720" w:hanging="11"/>
        <w:rPr>
          <w:i/>
          <w:iCs/>
        </w:rPr>
      </w:pPr>
    </w:p>
    <w:p w14:paraId="2CFA7A16" w14:textId="3EA80D32" w:rsidR="004D3FE2" w:rsidRPr="004D3FE2" w:rsidRDefault="004D3FE2" w:rsidP="004D3FE2">
      <w:pPr>
        <w:pStyle w:val="2-SectionHeading"/>
      </w:pPr>
      <w:bookmarkStart w:id="86" w:name="_Hlk112834232"/>
      <w:r w:rsidRPr="00C07617">
        <w:t>Context for Decision</w:t>
      </w:r>
    </w:p>
    <w:p w14:paraId="202A5D4F" w14:textId="77777777" w:rsidR="004D3FE2" w:rsidRPr="007129F2" w:rsidRDefault="004D3FE2" w:rsidP="002621D4">
      <w:pPr>
        <w:spacing w:after="120"/>
        <w:ind w:left="720"/>
        <w:rPr>
          <w:bCs/>
          <w:lang w:val="en-GB"/>
        </w:rPr>
      </w:pPr>
      <w:r w:rsidRPr="007129F2">
        <w:rPr>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144A65D6" w14:textId="500F1B31" w:rsidR="004D3FE2" w:rsidRPr="004D3FE2" w:rsidRDefault="004D3FE2" w:rsidP="004D3FE2">
      <w:pPr>
        <w:pStyle w:val="2-SectionHeading"/>
      </w:pPr>
      <w:r>
        <w:t>Sponsor’s Comment</w:t>
      </w:r>
    </w:p>
    <w:p w14:paraId="30FA8FC8" w14:textId="43104FA0" w:rsidR="00177A20" w:rsidRPr="00C07617" w:rsidRDefault="00177A20" w:rsidP="002621D4">
      <w:pPr>
        <w:spacing w:after="120"/>
        <w:ind w:left="720"/>
        <w:rPr>
          <w:bCs/>
        </w:rPr>
      </w:pPr>
      <w:r w:rsidRPr="0040232E">
        <w:rPr>
          <w:bCs/>
        </w:rPr>
        <w:t>MSD welcomes that the PBAC has acknowledged that there is a high clinical need for effective treatment in this patient population. Treatments for early stage, aggressive cancers such as triple negative breast cancer will have challenges regarding timing and maturity of survival outcomes. MSD is committed to working with the PBAC to expedite availability of pembrolizumab, so patients can get access to treatment without needing to await final overall survival data.</w:t>
      </w:r>
    </w:p>
    <w:p w14:paraId="0AF89EA1" w14:textId="735B9DC4" w:rsidR="00E55915" w:rsidRPr="006919A9" w:rsidRDefault="00E55915" w:rsidP="00E52307">
      <w:pPr>
        <w:spacing w:after="120"/>
        <w:rPr>
          <w:rFonts w:asciiTheme="minorHAnsi" w:hAnsiTheme="minorHAnsi"/>
          <w:b/>
          <w:snapToGrid w:val="0"/>
          <w:sz w:val="32"/>
          <w:szCs w:val="32"/>
        </w:rPr>
      </w:pPr>
      <w:bookmarkStart w:id="87" w:name="_Toc341702043"/>
      <w:bookmarkStart w:id="88" w:name="_Toc380742621"/>
      <w:bookmarkStart w:id="89" w:name="_Toc380746188"/>
      <w:bookmarkStart w:id="90" w:name="_Toc380746314"/>
      <w:bookmarkStart w:id="91" w:name="_Toc380746595"/>
      <w:bookmarkEnd w:id="86"/>
      <w:bookmarkEnd w:id="87"/>
      <w:bookmarkEnd w:id="88"/>
      <w:bookmarkEnd w:id="89"/>
      <w:bookmarkEnd w:id="90"/>
      <w:bookmarkEnd w:id="91"/>
    </w:p>
    <w:sectPr w:rsidR="00E55915" w:rsidRPr="006919A9" w:rsidSect="00251006">
      <w:headerReference w:type="even" r:id="rId15"/>
      <w:headerReference w:type="default" r:id="rId16"/>
      <w:footerReference w:type="even" r:id="rId17"/>
      <w:footerReference w:type="default" r:id="rId18"/>
      <w:headerReference w:type="first" r:id="rId19"/>
      <w:footerReference w:type="first" r:id="rId20"/>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EFD6B" w14:textId="77777777" w:rsidR="00C551B4" w:rsidRDefault="00C551B4" w:rsidP="00124A51">
      <w:r>
        <w:separator/>
      </w:r>
    </w:p>
    <w:p w14:paraId="10ECAF2A" w14:textId="77777777" w:rsidR="00C551B4" w:rsidRDefault="00C551B4"/>
  </w:endnote>
  <w:endnote w:type="continuationSeparator" w:id="0">
    <w:p w14:paraId="5E24446E" w14:textId="77777777" w:rsidR="00C551B4" w:rsidRDefault="00C551B4" w:rsidP="00124A51">
      <w:r>
        <w:continuationSeparator/>
      </w:r>
    </w:p>
    <w:p w14:paraId="306208E7" w14:textId="77777777" w:rsidR="00C551B4" w:rsidRDefault="00C551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0Ví'83$">
    <w:altName w:val="Calibri"/>
    <w:charset w:val="4D"/>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8B564" w14:textId="77777777" w:rsidR="00740AEA" w:rsidRDefault="00740A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63511" w14:textId="092C8A39" w:rsidR="00D843F2" w:rsidRDefault="00D843F2" w:rsidP="00753B29">
    <w:pPr>
      <w:pStyle w:val="Footer"/>
      <w:jc w:val="center"/>
    </w:pPr>
  </w:p>
  <w:p w14:paraId="37484CD3" w14:textId="18158CD4" w:rsidR="00D843F2" w:rsidRPr="00F756C7" w:rsidRDefault="00740AEA" w:rsidP="00753B29">
    <w:pPr>
      <w:pStyle w:val="Footer"/>
      <w:jc w:val="center"/>
      <w:rPr>
        <w:b/>
        <w:bCs/>
      </w:rPr>
    </w:pPr>
    <w:sdt>
      <w:sdtPr>
        <w:rPr>
          <w:b/>
          <w:bCs/>
        </w:rPr>
        <w:id w:val="1036156457"/>
        <w:docPartObj>
          <w:docPartGallery w:val="Page Numbers (Bottom of Page)"/>
          <w:docPartUnique/>
        </w:docPartObj>
      </w:sdtPr>
      <w:sdtEndPr>
        <w:rPr>
          <w:noProof/>
        </w:rPr>
      </w:sdtEndPr>
      <w:sdtContent>
        <w:r w:rsidR="00D843F2" w:rsidRPr="00F756C7">
          <w:rPr>
            <w:b/>
            <w:bCs/>
          </w:rPr>
          <w:fldChar w:fldCharType="begin"/>
        </w:r>
        <w:r w:rsidR="00D843F2" w:rsidRPr="00F756C7">
          <w:rPr>
            <w:b/>
            <w:bCs/>
          </w:rPr>
          <w:instrText xml:space="preserve"> PAGE   \* MERGEFORMAT </w:instrText>
        </w:r>
        <w:r w:rsidR="00D843F2" w:rsidRPr="00F756C7">
          <w:rPr>
            <w:b/>
            <w:bCs/>
          </w:rPr>
          <w:fldChar w:fldCharType="separate"/>
        </w:r>
        <w:r w:rsidR="00D843F2" w:rsidRPr="00F756C7">
          <w:rPr>
            <w:b/>
            <w:bCs/>
            <w:noProof/>
          </w:rPr>
          <w:t>2</w:t>
        </w:r>
        <w:r w:rsidR="00D843F2" w:rsidRPr="00F756C7">
          <w:rPr>
            <w:b/>
            <w:bCs/>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3D5ED" w14:textId="77777777" w:rsidR="00740AEA" w:rsidRDefault="00740A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C732F" w14:textId="77777777" w:rsidR="00C551B4" w:rsidRDefault="00C551B4" w:rsidP="00124A51">
      <w:r>
        <w:separator/>
      </w:r>
    </w:p>
    <w:p w14:paraId="1C4BAA7E" w14:textId="77777777" w:rsidR="00C551B4" w:rsidRDefault="00C551B4"/>
  </w:footnote>
  <w:footnote w:type="continuationSeparator" w:id="0">
    <w:p w14:paraId="11866DAE" w14:textId="77777777" w:rsidR="00C551B4" w:rsidRDefault="00C551B4" w:rsidP="00124A51">
      <w:r>
        <w:continuationSeparator/>
      </w:r>
    </w:p>
    <w:p w14:paraId="6D2A7351" w14:textId="77777777" w:rsidR="00C551B4" w:rsidRDefault="00C551B4"/>
  </w:footnote>
  <w:footnote w:id="1">
    <w:p w14:paraId="5D5688FD" w14:textId="28C85D88" w:rsidR="00474153" w:rsidRPr="00AA43F3" w:rsidRDefault="00474153" w:rsidP="00474153">
      <w:pPr>
        <w:widowControl w:val="0"/>
        <w:spacing w:after="120"/>
        <w:rPr>
          <w:rFonts w:asciiTheme="minorHAnsi" w:hAnsiTheme="minorHAnsi"/>
          <w:bCs/>
          <w:snapToGrid w:val="0"/>
          <w:sz w:val="20"/>
          <w:szCs w:val="20"/>
        </w:rPr>
      </w:pPr>
      <w:r w:rsidRPr="00AA43F3">
        <w:rPr>
          <w:rStyle w:val="FootnoteReference"/>
          <w:sz w:val="20"/>
          <w:szCs w:val="20"/>
        </w:rPr>
        <w:footnoteRef/>
      </w:r>
      <w:r w:rsidRPr="00AA43F3">
        <w:rPr>
          <w:sz w:val="20"/>
          <w:szCs w:val="20"/>
        </w:rPr>
        <w:t xml:space="preserve"> </w:t>
      </w:r>
      <w:r w:rsidRPr="00AA43F3">
        <w:rPr>
          <w:rFonts w:asciiTheme="minorHAnsi" w:hAnsiTheme="minorHAnsi"/>
          <w:bCs/>
          <w:snapToGrid w:val="0"/>
          <w:sz w:val="20"/>
          <w:szCs w:val="20"/>
        </w:rPr>
        <w:t>Cherny NI, Dafni U, Bogaerts J, et al: ESMO-Magnitude of Clinical Benefit Scale version 1.1. Annals of Oncology 28:2340-2366, 2017</w:t>
      </w:r>
    </w:p>
    <w:p w14:paraId="5BD2417A" w14:textId="77777777" w:rsidR="00474153" w:rsidRPr="006A3976" w:rsidRDefault="00474153" w:rsidP="00474153">
      <w:pPr>
        <w:pStyle w:val="FootnoteText"/>
      </w:pPr>
    </w:p>
  </w:footnote>
  <w:footnote w:id="2">
    <w:p w14:paraId="0B7F2224" w14:textId="54214F0D" w:rsidR="00B66651" w:rsidRDefault="00B66651">
      <w:pPr>
        <w:pStyle w:val="FootnoteText"/>
      </w:pPr>
      <w:r>
        <w:rPr>
          <w:rStyle w:val="FootnoteReference"/>
        </w:rPr>
        <w:footnoteRef/>
      </w:r>
      <w:r>
        <w:t xml:space="preserve"> Source: Table 2.5-3 of submission</w:t>
      </w:r>
    </w:p>
  </w:footnote>
  <w:footnote w:id="3">
    <w:p w14:paraId="0036690F" w14:textId="77777777" w:rsidR="00473A7D" w:rsidRPr="003F53AE" w:rsidRDefault="00473A7D" w:rsidP="00473A7D">
      <w:pPr>
        <w:pStyle w:val="FootnoteText"/>
        <w:rPr>
          <w:lang w:val="en-US"/>
        </w:rPr>
      </w:pPr>
      <w:r>
        <w:rPr>
          <w:rStyle w:val="FootnoteReference"/>
        </w:rPr>
        <w:footnoteRef/>
      </w:r>
      <w:r>
        <w:t xml:space="preserve"> Gyawali, B., D’andrea, E., Franklin, J.M., Kesselheim, A.S. A correlation analysis to assess event-free survival as a trial-level surrogate for overall survival in early breast cancer. EClinicalMedicine 32 (2021) 100730. Available at: </w:t>
      </w:r>
      <w:r w:rsidRPr="006C6D6F">
        <w:t>https://www.thelancet.com/action/showPdf?pii=S2589-5370%2821%2900010-9</w:t>
      </w:r>
    </w:p>
  </w:footnote>
  <w:footnote w:id="4">
    <w:p w14:paraId="62D97C90" w14:textId="1F305008" w:rsidR="004B7582" w:rsidRPr="004B7582" w:rsidRDefault="004B7582" w:rsidP="004B7582">
      <w:pPr>
        <w:pStyle w:val="FootnoteText"/>
        <w:jc w:val="left"/>
        <w:rPr>
          <w:rStyle w:val="FootnoteReference"/>
        </w:rPr>
      </w:pPr>
      <w:r>
        <w:rPr>
          <w:rStyle w:val="FootnoteReference"/>
        </w:rPr>
        <w:footnoteRef/>
      </w:r>
      <w:r w:rsidRPr="004B7582">
        <w:rPr>
          <w:rStyle w:val="FootnoteReference"/>
        </w:rPr>
        <w:t xml:space="preserve"> </w:t>
      </w:r>
      <w:r w:rsidRPr="004B7582">
        <w:t>Gion, M., Pérez-García, J.M., Llombardt-Cussac, A., et al. Surrogate endpoints for early-stage breast cancer: a review of the state of the art, controversies, and future prospects. Ther Adv Med Oncol 2021, Vol. 13: 1– 30.</w:t>
      </w:r>
    </w:p>
    <w:p w14:paraId="5D6489D6" w14:textId="4C8C78CD" w:rsidR="004B7582" w:rsidRDefault="004B7582">
      <w:pPr>
        <w:pStyle w:val="FootnoteText"/>
      </w:pPr>
    </w:p>
  </w:footnote>
  <w:footnote w:id="5">
    <w:p w14:paraId="17E4F67B" w14:textId="3AB48C00" w:rsidR="00241B75" w:rsidRDefault="00241B75">
      <w:pPr>
        <w:pStyle w:val="FootnoteText"/>
      </w:pPr>
      <w:r>
        <w:rPr>
          <w:rStyle w:val="FootnoteReference"/>
        </w:rPr>
        <w:footnoteRef/>
      </w:r>
      <w:r>
        <w:t xml:space="preserve"> </w:t>
      </w:r>
      <w:r w:rsidRPr="00241B75">
        <w:t>Naher S, Tognela A, Moylan E, Adams DH, Kiely BE. Patterns of care and outcomes among triple-negative early breast cancer patients in South Western Sydney. Intern Med J. 2018 May;48(5):567-572.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B5950" w14:textId="77777777" w:rsidR="00740AEA" w:rsidRDefault="00740A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F943B" w14:textId="319399EE" w:rsidR="00D843F2" w:rsidRDefault="00381ACB">
    <w:pPr>
      <w:pStyle w:val="Header"/>
      <w:rPr>
        <w:rFonts w:asciiTheme="minorHAnsi" w:hAnsiTheme="minorHAnsi"/>
        <w:i/>
        <w:color w:val="808080"/>
      </w:rPr>
    </w:pPr>
    <w:r>
      <w:rPr>
        <w:rFonts w:asciiTheme="minorHAnsi" w:hAnsiTheme="minorHAnsi"/>
        <w:i/>
        <w:color w:val="808080"/>
      </w:rPr>
      <w:t xml:space="preserve">Public Summary Document - March 2023 </w:t>
    </w:r>
    <w:r w:rsidRPr="00195452">
      <w:rPr>
        <w:rFonts w:asciiTheme="minorHAnsi" w:hAnsiTheme="minorHAnsi"/>
        <w:i/>
        <w:color w:val="808080"/>
      </w:rPr>
      <w:t>PBAC Meeting</w:t>
    </w:r>
  </w:p>
  <w:p w14:paraId="216F2AE9" w14:textId="77777777" w:rsidR="00381ACB" w:rsidRPr="008C7ECB" w:rsidRDefault="00381A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9249" w14:textId="77777777" w:rsidR="00740AEA" w:rsidRDefault="00740A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4F166F68"/>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245E90F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1EF5823"/>
    <w:multiLevelType w:val="hybridMultilevel"/>
    <w:tmpl w:val="DA2AF9F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E534040"/>
    <w:multiLevelType w:val="hybridMultilevel"/>
    <w:tmpl w:val="205CB7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4C05109"/>
    <w:multiLevelType w:val="hybridMultilevel"/>
    <w:tmpl w:val="2F90EFF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3B6274A"/>
    <w:multiLevelType w:val="hybridMultilevel"/>
    <w:tmpl w:val="00122482"/>
    <w:lvl w:ilvl="0" w:tplc="D33EADB2">
      <w:start w:val="1"/>
      <w:numFmt w:val="decimal"/>
      <w:pStyle w:val="Numbered"/>
      <w:lvlText w:val="%1."/>
      <w:lvlJc w:val="left"/>
      <w:pPr>
        <w:ind w:left="3218" w:hanging="36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0"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94273C4"/>
    <w:multiLevelType w:val="hybridMultilevel"/>
    <w:tmpl w:val="F196C04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A783F47"/>
    <w:multiLevelType w:val="hybridMultilevel"/>
    <w:tmpl w:val="70D63A6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C742FB"/>
    <w:multiLevelType w:val="hybridMultilevel"/>
    <w:tmpl w:val="92B6EA10"/>
    <w:lvl w:ilvl="0" w:tplc="6930B7FA">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458D67A6"/>
    <w:multiLevelType w:val="hybridMultilevel"/>
    <w:tmpl w:val="51CA1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901B63"/>
    <w:multiLevelType w:val="hybridMultilevel"/>
    <w:tmpl w:val="D10C56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D7C52F2"/>
    <w:multiLevelType w:val="hybridMultilevel"/>
    <w:tmpl w:val="C09226A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6733404"/>
    <w:multiLevelType w:val="hybridMultilevel"/>
    <w:tmpl w:val="15CC7382"/>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0E0EA0"/>
    <w:multiLevelType w:val="hybridMultilevel"/>
    <w:tmpl w:val="BF5CBE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A872B15"/>
    <w:multiLevelType w:val="hybridMultilevel"/>
    <w:tmpl w:val="F678F0C2"/>
    <w:lvl w:ilvl="0" w:tplc="7F1E10C6">
      <w:start w:val="2"/>
      <w:numFmt w:val="bullet"/>
      <w:lvlText w:val="-"/>
      <w:lvlJc w:val="left"/>
      <w:pPr>
        <w:ind w:left="720" w:hanging="360"/>
      </w:pPr>
      <w:rPr>
        <w:rFonts w:ascii="Arial Narrow" w:eastAsiaTheme="majorEastAsia" w:hAnsi="Arial Narrow" w:cstheme="maj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D1C4B58"/>
    <w:multiLevelType w:val="hybridMultilevel"/>
    <w:tmpl w:val="82C89D6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5"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6" w15:restartNumberingAfterBreak="0">
    <w:nsid w:val="68777BC3"/>
    <w:multiLevelType w:val="hybridMultilevel"/>
    <w:tmpl w:val="76AE7456"/>
    <w:lvl w:ilvl="0" w:tplc="5E78B000">
      <w:start w:val="6"/>
      <w:numFmt w:val="bullet"/>
      <w:lvlText w:val="•"/>
      <w:lvlJc w:val="left"/>
      <w:pPr>
        <w:ind w:left="72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F22442"/>
    <w:multiLevelType w:val="hybridMultilevel"/>
    <w:tmpl w:val="1CC047F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AFA3C06"/>
    <w:multiLevelType w:val="hybridMultilevel"/>
    <w:tmpl w:val="C478C4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9EC272B"/>
    <w:multiLevelType w:val="hybridMultilevel"/>
    <w:tmpl w:val="7DE2D0BA"/>
    <w:lvl w:ilvl="0" w:tplc="0C090001">
      <w:start w:val="1"/>
      <w:numFmt w:val="bullet"/>
      <w:lvlText w:val=""/>
      <w:lvlJc w:val="left"/>
      <w:pPr>
        <w:ind w:left="720" w:hanging="360"/>
      </w:pPr>
      <w:rPr>
        <w:rFonts w:ascii="Symbol" w:hAnsi="Symbol" w:hint="default"/>
      </w:rPr>
    </w:lvl>
    <w:lvl w:ilvl="1" w:tplc="CE90FA60">
      <w:numFmt w:val="bullet"/>
      <w:lvlText w:val="-"/>
      <w:lvlJc w:val="left"/>
      <w:pPr>
        <w:ind w:left="1800" w:hanging="720"/>
      </w:pPr>
      <w:rPr>
        <w:rFonts w:ascii="Calibri" w:eastAsia="Times New Roman" w:hAnsi="Calibri" w:cs="Calibri" w:hint="default"/>
      </w:rPr>
    </w:lvl>
    <w:lvl w:ilvl="2" w:tplc="EC0084FE">
      <w:start w:val="6"/>
      <w:numFmt w:val="bullet"/>
      <w:lvlText w:val="•"/>
      <w:lvlJc w:val="left"/>
      <w:pPr>
        <w:ind w:left="2520" w:hanging="720"/>
      </w:pPr>
      <w:rPr>
        <w:rFonts w:ascii="Calibri" w:eastAsia="Times New Roman" w:hAnsi="Calibri" w:cs="Calibri"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F53672A"/>
    <w:multiLevelType w:val="hybridMultilevel"/>
    <w:tmpl w:val="A4B43658"/>
    <w:lvl w:ilvl="0" w:tplc="1788446E">
      <w:start w:val="1"/>
      <w:numFmt w:val="decimal"/>
      <w:lvlText w:val="%1."/>
      <w:lvlJc w:val="left"/>
      <w:pPr>
        <w:ind w:left="829" w:hanging="360"/>
      </w:pPr>
      <w:rPr>
        <w:i/>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num w:numId="1">
    <w:abstractNumId w:val="30"/>
  </w:num>
  <w:num w:numId="2">
    <w:abstractNumId w:val="14"/>
  </w:num>
  <w:num w:numId="3">
    <w:abstractNumId w:val="1"/>
  </w:num>
  <w:num w:numId="4">
    <w:abstractNumId w:val="30"/>
  </w:num>
  <w:num w:numId="5">
    <w:abstractNumId w:val="31"/>
  </w:num>
  <w:num w:numId="6">
    <w:abstractNumId w:val="25"/>
  </w:num>
  <w:num w:numId="7">
    <w:abstractNumId w:val="0"/>
  </w:num>
  <w:num w:numId="8">
    <w:abstractNumId w:val="20"/>
  </w:num>
  <w:num w:numId="9">
    <w:abstractNumId w:val="6"/>
  </w:num>
  <w:num w:numId="10">
    <w:abstractNumId w:val="26"/>
  </w:num>
  <w:num w:numId="11">
    <w:abstractNumId w:val="7"/>
  </w:num>
  <w:num w:numId="12">
    <w:abstractNumId w:val="11"/>
  </w:num>
  <w:num w:numId="13">
    <w:abstractNumId w:val="9"/>
  </w:num>
  <w:num w:numId="14">
    <w:abstractNumId w:val="32"/>
  </w:num>
  <w:num w:numId="15">
    <w:abstractNumId w:val="27"/>
  </w:num>
  <w:num w:numId="16">
    <w:abstractNumId w:val="22"/>
  </w:num>
  <w:num w:numId="17">
    <w:abstractNumId w:val="16"/>
  </w:num>
  <w:num w:numId="18">
    <w:abstractNumId w:val="21"/>
  </w:num>
  <w:num w:numId="19">
    <w:abstractNumId w:val="30"/>
  </w:num>
  <w:num w:numId="20">
    <w:abstractNumId w:val="4"/>
  </w:num>
  <w:num w:numId="21">
    <w:abstractNumId w:val="28"/>
  </w:num>
  <w:num w:numId="22">
    <w:abstractNumId w:val="17"/>
  </w:num>
  <w:num w:numId="23">
    <w:abstractNumId w:val="3"/>
  </w:num>
  <w:num w:numId="24">
    <w:abstractNumId w:val="19"/>
  </w:num>
  <w:num w:numId="25">
    <w:abstractNumId w:val="5"/>
  </w:num>
  <w:num w:numId="26">
    <w:abstractNumId w:val="2"/>
  </w:num>
  <w:num w:numId="27">
    <w:abstractNumId w:val="10"/>
  </w:num>
  <w:num w:numId="28">
    <w:abstractNumId w:val="12"/>
  </w:num>
  <w:num w:numId="29">
    <w:abstractNumId w:val="8"/>
  </w:num>
  <w:num w:numId="30">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 w:numId="34">
    <w:abstractNumId w:val="30"/>
  </w:num>
  <w:num w:numId="35">
    <w:abstractNumId w:val="30"/>
  </w:num>
  <w:num w:numId="36">
    <w:abstractNumId w:val="30"/>
  </w:num>
  <w:num w:numId="37">
    <w:abstractNumId w:val="30"/>
  </w:num>
  <w:num w:numId="38">
    <w:abstractNumId w:val="30"/>
  </w:num>
  <w:num w:numId="39">
    <w:abstractNumId w:val="30"/>
  </w:num>
  <w:num w:numId="40">
    <w:abstractNumId w:val="30"/>
  </w:num>
  <w:num w:numId="41">
    <w:abstractNumId w:val="20"/>
  </w:num>
  <w:num w:numId="42">
    <w:abstractNumId w:val="18"/>
  </w:num>
  <w:num w:numId="43">
    <w:abstractNumId w:val="13"/>
  </w:num>
  <w:num w:numId="44">
    <w:abstractNumId w:val="23"/>
  </w:num>
  <w:num w:numId="45">
    <w:abstractNumId w:val="15"/>
  </w:num>
  <w:num w:numId="46">
    <w:abstractNumId w:val="30"/>
  </w:num>
  <w:num w:numId="47">
    <w:abstractNumId w:val="30"/>
  </w:num>
  <w:num w:numId="48">
    <w:abstractNumId w:val="3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790"/>
    <w:rsid w:val="00000D46"/>
    <w:rsid w:val="0000110B"/>
    <w:rsid w:val="00001C99"/>
    <w:rsid w:val="00002720"/>
    <w:rsid w:val="0000307F"/>
    <w:rsid w:val="00003499"/>
    <w:rsid w:val="000039B7"/>
    <w:rsid w:val="00003A12"/>
    <w:rsid w:val="000056B9"/>
    <w:rsid w:val="00005D29"/>
    <w:rsid w:val="000060F2"/>
    <w:rsid w:val="0000639A"/>
    <w:rsid w:val="00012FAE"/>
    <w:rsid w:val="0001304A"/>
    <w:rsid w:val="00013247"/>
    <w:rsid w:val="000138B4"/>
    <w:rsid w:val="0001415F"/>
    <w:rsid w:val="00015886"/>
    <w:rsid w:val="00015C9D"/>
    <w:rsid w:val="000162EF"/>
    <w:rsid w:val="00016338"/>
    <w:rsid w:val="00017717"/>
    <w:rsid w:val="00020496"/>
    <w:rsid w:val="000207C9"/>
    <w:rsid w:val="00022152"/>
    <w:rsid w:val="0002225F"/>
    <w:rsid w:val="00022334"/>
    <w:rsid w:val="00022CDC"/>
    <w:rsid w:val="00023715"/>
    <w:rsid w:val="00023763"/>
    <w:rsid w:val="00023883"/>
    <w:rsid w:val="00024EB5"/>
    <w:rsid w:val="000274B8"/>
    <w:rsid w:val="00027524"/>
    <w:rsid w:val="00030B67"/>
    <w:rsid w:val="000311B2"/>
    <w:rsid w:val="0003346F"/>
    <w:rsid w:val="00033863"/>
    <w:rsid w:val="00033DD3"/>
    <w:rsid w:val="000348A0"/>
    <w:rsid w:val="00034D66"/>
    <w:rsid w:val="000350DD"/>
    <w:rsid w:val="00035746"/>
    <w:rsid w:val="00035DC0"/>
    <w:rsid w:val="00036829"/>
    <w:rsid w:val="000403E3"/>
    <w:rsid w:val="00040895"/>
    <w:rsid w:val="00040B1F"/>
    <w:rsid w:val="000410A0"/>
    <w:rsid w:val="0004182B"/>
    <w:rsid w:val="000419CC"/>
    <w:rsid w:val="00042E2F"/>
    <w:rsid w:val="00043171"/>
    <w:rsid w:val="000435EE"/>
    <w:rsid w:val="00043C37"/>
    <w:rsid w:val="00045017"/>
    <w:rsid w:val="0004532E"/>
    <w:rsid w:val="000456DB"/>
    <w:rsid w:val="0004583F"/>
    <w:rsid w:val="00045A2B"/>
    <w:rsid w:val="00045C63"/>
    <w:rsid w:val="00045E36"/>
    <w:rsid w:val="0004698F"/>
    <w:rsid w:val="00046D64"/>
    <w:rsid w:val="000508C2"/>
    <w:rsid w:val="00050C2F"/>
    <w:rsid w:val="0005118F"/>
    <w:rsid w:val="00051828"/>
    <w:rsid w:val="00051D6B"/>
    <w:rsid w:val="00052289"/>
    <w:rsid w:val="0005397B"/>
    <w:rsid w:val="000539D0"/>
    <w:rsid w:val="00054621"/>
    <w:rsid w:val="000546D7"/>
    <w:rsid w:val="00054835"/>
    <w:rsid w:val="00054A8D"/>
    <w:rsid w:val="00054D16"/>
    <w:rsid w:val="0005636C"/>
    <w:rsid w:val="00056461"/>
    <w:rsid w:val="0005698D"/>
    <w:rsid w:val="00056ECF"/>
    <w:rsid w:val="000604DF"/>
    <w:rsid w:val="00062324"/>
    <w:rsid w:val="000628F1"/>
    <w:rsid w:val="000653B5"/>
    <w:rsid w:val="00065EDA"/>
    <w:rsid w:val="00066360"/>
    <w:rsid w:val="00066AF8"/>
    <w:rsid w:val="00067836"/>
    <w:rsid w:val="00070F00"/>
    <w:rsid w:val="00071248"/>
    <w:rsid w:val="000720B9"/>
    <w:rsid w:val="0007239F"/>
    <w:rsid w:val="000735C6"/>
    <w:rsid w:val="000737F7"/>
    <w:rsid w:val="00073937"/>
    <w:rsid w:val="000740CB"/>
    <w:rsid w:val="00074180"/>
    <w:rsid w:val="000742B0"/>
    <w:rsid w:val="000743D3"/>
    <w:rsid w:val="00074C96"/>
    <w:rsid w:val="000751E1"/>
    <w:rsid w:val="0007672F"/>
    <w:rsid w:val="000768F8"/>
    <w:rsid w:val="00076B54"/>
    <w:rsid w:val="000774F0"/>
    <w:rsid w:val="00077DAD"/>
    <w:rsid w:val="0008066E"/>
    <w:rsid w:val="00080909"/>
    <w:rsid w:val="000812CA"/>
    <w:rsid w:val="00081E63"/>
    <w:rsid w:val="0008258D"/>
    <w:rsid w:val="00082D9D"/>
    <w:rsid w:val="00082F9E"/>
    <w:rsid w:val="00083B3B"/>
    <w:rsid w:val="00083E99"/>
    <w:rsid w:val="00084DB2"/>
    <w:rsid w:val="00084FA8"/>
    <w:rsid w:val="00084FE6"/>
    <w:rsid w:val="000856C5"/>
    <w:rsid w:val="00085C31"/>
    <w:rsid w:val="00085EDE"/>
    <w:rsid w:val="000902D9"/>
    <w:rsid w:val="00090C7E"/>
    <w:rsid w:val="000911AC"/>
    <w:rsid w:val="00092600"/>
    <w:rsid w:val="0009262B"/>
    <w:rsid w:val="00093310"/>
    <w:rsid w:val="00094398"/>
    <w:rsid w:val="0009445C"/>
    <w:rsid w:val="0009515A"/>
    <w:rsid w:val="00095200"/>
    <w:rsid w:val="00095B06"/>
    <w:rsid w:val="00095FE5"/>
    <w:rsid w:val="00096284"/>
    <w:rsid w:val="00096978"/>
    <w:rsid w:val="00096B52"/>
    <w:rsid w:val="00096F11"/>
    <w:rsid w:val="00097FD2"/>
    <w:rsid w:val="000A147E"/>
    <w:rsid w:val="000A1BC0"/>
    <w:rsid w:val="000A2F9E"/>
    <w:rsid w:val="000A3963"/>
    <w:rsid w:val="000A3E47"/>
    <w:rsid w:val="000A522B"/>
    <w:rsid w:val="000A5E72"/>
    <w:rsid w:val="000A6039"/>
    <w:rsid w:val="000A694F"/>
    <w:rsid w:val="000A72FA"/>
    <w:rsid w:val="000A7453"/>
    <w:rsid w:val="000A7D08"/>
    <w:rsid w:val="000A7DE7"/>
    <w:rsid w:val="000B0121"/>
    <w:rsid w:val="000B0338"/>
    <w:rsid w:val="000B0670"/>
    <w:rsid w:val="000B0CFE"/>
    <w:rsid w:val="000B0DD0"/>
    <w:rsid w:val="000B0E75"/>
    <w:rsid w:val="000B165B"/>
    <w:rsid w:val="000B1ACA"/>
    <w:rsid w:val="000B20A1"/>
    <w:rsid w:val="000B25DA"/>
    <w:rsid w:val="000B2DCB"/>
    <w:rsid w:val="000B329B"/>
    <w:rsid w:val="000B46A6"/>
    <w:rsid w:val="000B46CC"/>
    <w:rsid w:val="000B5598"/>
    <w:rsid w:val="000B5CE0"/>
    <w:rsid w:val="000B5F46"/>
    <w:rsid w:val="000B6933"/>
    <w:rsid w:val="000B6CAC"/>
    <w:rsid w:val="000B7193"/>
    <w:rsid w:val="000B742B"/>
    <w:rsid w:val="000B7612"/>
    <w:rsid w:val="000B78AE"/>
    <w:rsid w:val="000C26FD"/>
    <w:rsid w:val="000C3791"/>
    <w:rsid w:val="000C3DF9"/>
    <w:rsid w:val="000C4CF2"/>
    <w:rsid w:val="000C4D08"/>
    <w:rsid w:val="000C63C3"/>
    <w:rsid w:val="000C6713"/>
    <w:rsid w:val="000C6894"/>
    <w:rsid w:val="000C6A0A"/>
    <w:rsid w:val="000C7797"/>
    <w:rsid w:val="000D1674"/>
    <w:rsid w:val="000D1BFC"/>
    <w:rsid w:val="000D1D5D"/>
    <w:rsid w:val="000D281A"/>
    <w:rsid w:val="000D2829"/>
    <w:rsid w:val="000D2848"/>
    <w:rsid w:val="000D326A"/>
    <w:rsid w:val="000D3727"/>
    <w:rsid w:val="000D3E67"/>
    <w:rsid w:val="000D495F"/>
    <w:rsid w:val="000D51FB"/>
    <w:rsid w:val="000D5E36"/>
    <w:rsid w:val="000D60AF"/>
    <w:rsid w:val="000E014C"/>
    <w:rsid w:val="000E0640"/>
    <w:rsid w:val="000E12DD"/>
    <w:rsid w:val="000E135D"/>
    <w:rsid w:val="000E1DD1"/>
    <w:rsid w:val="000E1FC6"/>
    <w:rsid w:val="000E40FB"/>
    <w:rsid w:val="000E4F2E"/>
    <w:rsid w:val="000E5F4B"/>
    <w:rsid w:val="000E6419"/>
    <w:rsid w:val="000E7D02"/>
    <w:rsid w:val="000E7E57"/>
    <w:rsid w:val="000E7FBC"/>
    <w:rsid w:val="000F00BA"/>
    <w:rsid w:val="000F1620"/>
    <w:rsid w:val="000F20B8"/>
    <w:rsid w:val="000F309B"/>
    <w:rsid w:val="000F316A"/>
    <w:rsid w:val="000F3819"/>
    <w:rsid w:val="000F3C74"/>
    <w:rsid w:val="000F4198"/>
    <w:rsid w:val="000F4BB8"/>
    <w:rsid w:val="000F4FA9"/>
    <w:rsid w:val="000F53FB"/>
    <w:rsid w:val="000F5BB3"/>
    <w:rsid w:val="000F6671"/>
    <w:rsid w:val="000F7127"/>
    <w:rsid w:val="000F73AD"/>
    <w:rsid w:val="000F7B54"/>
    <w:rsid w:val="001000B3"/>
    <w:rsid w:val="001008EA"/>
    <w:rsid w:val="00100F8A"/>
    <w:rsid w:val="00101177"/>
    <w:rsid w:val="0010329C"/>
    <w:rsid w:val="001033A8"/>
    <w:rsid w:val="00103EF0"/>
    <w:rsid w:val="0010452E"/>
    <w:rsid w:val="001045F0"/>
    <w:rsid w:val="00105AE2"/>
    <w:rsid w:val="00105B00"/>
    <w:rsid w:val="001060C6"/>
    <w:rsid w:val="00106219"/>
    <w:rsid w:val="00106B80"/>
    <w:rsid w:val="0011015E"/>
    <w:rsid w:val="0011032E"/>
    <w:rsid w:val="00112C1F"/>
    <w:rsid w:val="0011348B"/>
    <w:rsid w:val="0011420E"/>
    <w:rsid w:val="0011597D"/>
    <w:rsid w:val="00115982"/>
    <w:rsid w:val="00115E8F"/>
    <w:rsid w:val="00116C53"/>
    <w:rsid w:val="001206BA"/>
    <w:rsid w:val="00120CBD"/>
    <w:rsid w:val="00120D62"/>
    <w:rsid w:val="00121799"/>
    <w:rsid w:val="00121CA0"/>
    <w:rsid w:val="001222FC"/>
    <w:rsid w:val="00123293"/>
    <w:rsid w:val="00123902"/>
    <w:rsid w:val="00124A51"/>
    <w:rsid w:val="00124D33"/>
    <w:rsid w:val="001252BD"/>
    <w:rsid w:val="001259CF"/>
    <w:rsid w:val="00126621"/>
    <w:rsid w:val="00126A1B"/>
    <w:rsid w:val="00126B1D"/>
    <w:rsid w:val="00126FCC"/>
    <w:rsid w:val="001274D0"/>
    <w:rsid w:val="001301E9"/>
    <w:rsid w:val="001304D8"/>
    <w:rsid w:val="00131D82"/>
    <w:rsid w:val="00131DCB"/>
    <w:rsid w:val="00132898"/>
    <w:rsid w:val="00132B22"/>
    <w:rsid w:val="00133D36"/>
    <w:rsid w:val="00134A41"/>
    <w:rsid w:val="00137645"/>
    <w:rsid w:val="0014015A"/>
    <w:rsid w:val="00140969"/>
    <w:rsid w:val="00140E99"/>
    <w:rsid w:val="001417F2"/>
    <w:rsid w:val="00141D7B"/>
    <w:rsid w:val="00141EC0"/>
    <w:rsid w:val="00142072"/>
    <w:rsid w:val="00142B36"/>
    <w:rsid w:val="00143F67"/>
    <w:rsid w:val="00144FFC"/>
    <w:rsid w:val="001451FB"/>
    <w:rsid w:val="00145234"/>
    <w:rsid w:val="00145435"/>
    <w:rsid w:val="00145540"/>
    <w:rsid w:val="001456B0"/>
    <w:rsid w:val="00147BAA"/>
    <w:rsid w:val="00147CE3"/>
    <w:rsid w:val="0015025C"/>
    <w:rsid w:val="001511B5"/>
    <w:rsid w:val="00151FD2"/>
    <w:rsid w:val="001527E5"/>
    <w:rsid w:val="00152F0F"/>
    <w:rsid w:val="00154342"/>
    <w:rsid w:val="001547AB"/>
    <w:rsid w:val="00154E41"/>
    <w:rsid w:val="00155724"/>
    <w:rsid w:val="00155D5D"/>
    <w:rsid w:val="00156F8F"/>
    <w:rsid w:val="00157130"/>
    <w:rsid w:val="001576B1"/>
    <w:rsid w:val="0016047B"/>
    <w:rsid w:val="00160A4C"/>
    <w:rsid w:val="0016110E"/>
    <w:rsid w:val="00161719"/>
    <w:rsid w:val="001618F0"/>
    <w:rsid w:val="00162913"/>
    <w:rsid w:val="00162AC2"/>
    <w:rsid w:val="00162D41"/>
    <w:rsid w:val="00163794"/>
    <w:rsid w:val="00163EFF"/>
    <w:rsid w:val="00163F66"/>
    <w:rsid w:val="0016478E"/>
    <w:rsid w:val="00165D25"/>
    <w:rsid w:val="00165EC4"/>
    <w:rsid w:val="001661FB"/>
    <w:rsid w:val="001671A0"/>
    <w:rsid w:val="0016767F"/>
    <w:rsid w:val="00167AC9"/>
    <w:rsid w:val="001717B4"/>
    <w:rsid w:val="00171F6D"/>
    <w:rsid w:val="00172302"/>
    <w:rsid w:val="001723C5"/>
    <w:rsid w:val="00173565"/>
    <w:rsid w:val="00173B07"/>
    <w:rsid w:val="001751FA"/>
    <w:rsid w:val="00175D98"/>
    <w:rsid w:val="00177A20"/>
    <w:rsid w:val="00181C10"/>
    <w:rsid w:val="00181D9C"/>
    <w:rsid w:val="001837FF"/>
    <w:rsid w:val="00183A05"/>
    <w:rsid w:val="00184B0E"/>
    <w:rsid w:val="0018723F"/>
    <w:rsid w:val="0018752F"/>
    <w:rsid w:val="00190185"/>
    <w:rsid w:val="00190659"/>
    <w:rsid w:val="00193838"/>
    <w:rsid w:val="00193DA7"/>
    <w:rsid w:val="001942EA"/>
    <w:rsid w:val="0019452F"/>
    <w:rsid w:val="00194AD8"/>
    <w:rsid w:val="0019502C"/>
    <w:rsid w:val="00195222"/>
    <w:rsid w:val="00195452"/>
    <w:rsid w:val="00195916"/>
    <w:rsid w:val="00196541"/>
    <w:rsid w:val="001975D8"/>
    <w:rsid w:val="001A064B"/>
    <w:rsid w:val="001A0A36"/>
    <w:rsid w:val="001A1392"/>
    <w:rsid w:val="001A178E"/>
    <w:rsid w:val="001A43FA"/>
    <w:rsid w:val="001A47C5"/>
    <w:rsid w:val="001A4FAF"/>
    <w:rsid w:val="001A59FB"/>
    <w:rsid w:val="001A5A70"/>
    <w:rsid w:val="001A5E9E"/>
    <w:rsid w:val="001A6354"/>
    <w:rsid w:val="001A6366"/>
    <w:rsid w:val="001A7AA6"/>
    <w:rsid w:val="001A7AB1"/>
    <w:rsid w:val="001A7AE8"/>
    <w:rsid w:val="001B072F"/>
    <w:rsid w:val="001B0A9C"/>
    <w:rsid w:val="001B0AF1"/>
    <w:rsid w:val="001B204E"/>
    <w:rsid w:val="001B2372"/>
    <w:rsid w:val="001B3443"/>
    <w:rsid w:val="001B48D0"/>
    <w:rsid w:val="001B4BD5"/>
    <w:rsid w:val="001B4D20"/>
    <w:rsid w:val="001B4ED4"/>
    <w:rsid w:val="001B7529"/>
    <w:rsid w:val="001B7F84"/>
    <w:rsid w:val="001C0966"/>
    <w:rsid w:val="001C0FEA"/>
    <w:rsid w:val="001C2338"/>
    <w:rsid w:val="001C27C1"/>
    <w:rsid w:val="001C2A9B"/>
    <w:rsid w:val="001C3DD6"/>
    <w:rsid w:val="001C4299"/>
    <w:rsid w:val="001C4874"/>
    <w:rsid w:val="001C4FD9"/>
    <w:rsid w:val="001C5F94"/>
    <w:rsid w:val="001C6075"/>
    <w:rsid w:val="001C61AA"/>
    <w:rsid w:val="001C6E1E"/>
    <w:rsid w:val="001C6E66"/>
    <w:rsid w:val="001C731B"/>
    <w:rsid w:val="001D1100"/>
    <w:rsid w:val="001D1391"/>
    <w:rsid w:val="001D1ACE"/>
    <w:rsid w:val="001D25D7"/>
    <w:rsid w:val="001D31FC"/>
    <w:rsid w:val="001D50B2"/>
    <w:rsid w:val="001D5AD3"/>
    <w:rsid w:val="001D63ED"/>
    <w:rsid w:val="001D6744"/>
    <w:rsid w:val="001D69D2"/>
    <w:rsid w:val="001D71F4"/>
    <w:rsid w:val="001D7645"/>
    <w:rsid w:val="001D769B"/>
    <w:rsid w:val="001D7D24"/>
    <w:rsid w:val="001E13AA"/>
    <w:rsid w:val="001E1E86"/>
    <w:rsid w:val="001E238E"/>
    <w:rsid w:val="001E2483"/>
    <w:rsid w:val="001E25BD"/>
    <w:rsid w:val="001E2B1E"/>
    <w:rsid w:val="001E2C4E"/>
    <w:rsid w:val="001E2CFF"/>
    <w:rsid w:val="001E2F24"/>
    <w:rsid w:val="001E30D4"/>
    <w:rsid w:val="001E34DF"/>
    <w:rsid w:val="001E35BE"/>
    <w:rsid w:val="001E52EB"/>
    <w:rsid w:val="001E61D2"/>
    <w:rsid w:val="001E7257"/>
    <w:rsid w:val="001E740C"/>
    <w:rsid w:val="001E78E8"/>
    <w:rsid w:val="001E7D7F"/>
    <w:rsid w:val="001E7E17"/>
    <w:rsid w:val="001F0039"/>
    <w:rsid w:val="001F026B"/>
    <w:rsid w:val="001F065F"/>
    <w:rsid w:val="001F1235"/>
    <w:rsid w:val="001F1A15"/>
    <w:rsid w:val="001F1CB3"/>
    <w:rsid w:val="001F3428"/>
    <w:rsid w:val="001F38B5"/>
    <w:rsid w:val="001F4081"/>
    <w:rsid w:val="001F712C"/>
    <w:rsid w:val="001F7361"/>
    <w:rsid w:val="002011B0"/>
    <w:rsid w:val="00201410"/>
    <w:rsid w:val="002016EC"/>
    <w:rsid w:val="00202488"/>
    <w:rsid w:val="002028FE"/>
    <w:rsid w:val="00203181"/>
    <w:rsid w:val="00203783"/>
    <w:rsid w:val="0020385F"/>
    <w:rsid w:val="00205617"/>
    <w:rsid w:val="0020671D"/>
    <w:rsid w:val="002068A0"/>
    <w:rsid w:val="00207021"/>
    <w:rsid w:val="0020704D"/>
    <w:rsid w:val="0020732F"/>
    <w:rsid w:val="00207D00"/>
    <w:rsid w:val="002105C1"/>
    <w:rsid w:val="002116FD"/>
    <w:rsid w:val="00211F60"/>
    <w:rsid w:val="00212058"/>
    <w:rsid w:val="002129D2"/>
    <w:rsid w:val="00213EF5"/>
    <w:rsid w:val="002168DB"/>
    <w:rsid w:val="00216BF5"/>
    <w:rsid w:val="00217013"/>
    <w:rsid w:val="00223B49"/>
    <w:rsid w:val="00223D5A"/>
    <w:rsid w:val="00224213"/>
    <w:rsid w:val="0022460D"/>
    <w:rsid w:val="00224DD4"/>
    <w:rsid w:val="00224E27"/>
    <w:rsid w:val="00225A88"/>
    <w:rsid w:val="00225D0F"/>
    <w:rsid w:val="002278A0"/>
    <w:rsid w:val="00227DAC"/>
    <w:rsid w:val="002309CC"/>
    <w:rsid w:val="00230C22"/>
    <w:rsid w:val="00231ADA"/>
    <w:rsid w:val="00231BA9"/>
    <w:rsid w:val="0023209F"/>
    <w:rsid w:val="00232CB6"/>
    <w:rsid w:val="00232D64"/>
    <w:rsid w:val="002330CB"/>
    <w:rsid w:val="00233C01"/>
    <w:rsid w:val="00234101"/>
    <w:rsid w:val="0023413C"/>
    <w:rsid w:val="002346F0"/>
    <w:rsid w:val="00234B4B"/>
    <w:rsid w:val="00234E9E"/>
    <w:rsid w:val="00235347"/>
    <w:rsid w:val="002356A9"/>
    <w:rsid w:val="0023585C"/>
    <w:rsid w:val="0023629D"/>
    <w:rsid w:val="00236786"/>
    <w:rsid w:val="002368F1"/>
    <w:rsid w:val="00237255"/>
    <w:rsid w:val="002408BA"/>
    <w:rsid w:val="00241914"/>
    <w:rsid w:val="00241B75"/>
    <w:rsid w:val="002424AF"/>
    <w:rsid w:val="002439DC"/>
    <w:rsid w:val="002441D2"/>
    <w:rsid w:val="00244DC8"/>
    <w:rsid w:val="00245513"/>
    <w:rsid w:val="002458BA"/>
    <w:rsid w:val="00245B69"/>
    <w:rsid w:val="00245CE9"/>
    <w:rsid w:val="0024636C"/>
    <w:rsid w:val="002476BA"/>
    <w:rsid w:val="00247925"/>
    <w:rsid w:val="00250F5E"/>
    <w:rsid w:val="00251006"/>
    <w:rsid w:val="00252132"/>
    <w:rsid w:val="002524D5"/>
    <w:rsid w:val="002527C2"/>
    <w:rsid w:val="00252B6B"/>
    <w:rsid w:val="00253B1D"/>
    <w:rsid w:val="00254DCF"/>
    <w:rsid w:val="0025534B"/>
    <w:rsid w:val="00255875"/>
    <w:rsid w:val="00255BB7"/>
    <w:rsid w:val="002570B2"/>
    <w:rsid w:val="00257541"/>
    <w:rsid w:val="0025795E"/>
    <w:rsid w:val="00257A39"/>
    <w:rsid w:val="00257A95"/>
    <w:rsid w:val="00257AC4"/>
    <w:rsid w:val="00257BBE"/>
    <w:rsid w:val="00260B4B"/>
    <w:rsid w:val="00260F90"/>
    <w:rsid w:val="00261EEF"/>
    <w:rsid w:val="002621D4"/>
    <w:rsid w:val="002625BA"/>
    <w:rsid w:val="00262A1A"/>
    <w:rsid w:val="00262A87"/>
    <w:rsid w:val="00264D26"/>
    <w:rsid w:val="00265AB9"/>
    <w:rsid w:val="00266BA6"/>
    <w:rsid w:val="00267341"/>
    <w:rsid w:val="00267642"/>
    <w:rsid w:val="00267AB2"/>
    <w:rsid w:val="00267AEA"/>
    <w:rsid w:val="002700E6"/>
    <w:rsid w:val="002712D5"/>
    <w:rsid w:val="00272536"/>
    <w:rsid w:val="0027294B"/>
    <w:rsid w:val="00273EB4"/>
    <w:rsid w:val="0027425B"/>
    <w:rsid w:val="00274682"/>
    <w:rsid w:val="002747D0"/>
    <w:rsid w:val="00275158"/>
    <w:rsid w:val="00275C5A"/>
    <w:rsid w:val="00276419"/>
    <w:rsid w:val="002802DB"/>
    <w:rsid w:val="00281014"/>
    <w:rsid w:val="00281273"/>
    <w:rsid w:val="002812EC"/>
    <w:rsid w:val="00281D83"/>
    <w:rsid w:val="002848A5"/>
    <w:rsid w:val="00284EC1"/>
    <w:rsid w:val="0028547E"/>
    <w:rsid w:val="00285BCE"/>
    <w:rsid w:val="0028665D"/>
    <w:rsid w:val="00286DA6"/>
    <w:rsid w:val="00287265"/>
    <w:rsid w:val="00287839"/>
    <w:rsid w:val="00296F6D"/>
    <w:rsid w:val="00297899"/>
    <w:rsid w:val="002A128C"/>
    <w:rsid w:val="002A14AB"/>
    <w:rsid w:val="002A2235"/>
    <w:rsid w:val="002A2ADE"/>
    <w:rsid w:val="002A2F50"/>
    <w:rsid w:val="002A3619"/>
    <w:rsid w:val="002A5374"/>
    <w:rsid w:val="002A5856"/>
    <w:rsid w:val="002A6073"/>
    <w:rsid w:val="002A7059"/>
    <w:rsid w:val="002A717C"/>
    <w:rsid w:val="002A7943"/>
    <w:rsid w:val="002A7A4D"/>
    <w:rsid w:val="002B05A1"/>
    <w:rsid w:val="002B09A4"/>
    <w:rsid w:val="002B11B5"/>
    <w:rsid w:val="002B1C1F"/>
    <w:rsid w:val="002B270E"/>
    <w:rsid w:val="002B2723"/>
    <w:rsid w:val="002B3038"/>
    <w:rsid w:val="002B432F"/>
    <w:rsid w:val="002B5415"/>
    <w:rsid w:val="002B543A"/>
    <w:rsid w:val="002B62B3"/>
    <w:rsid w:val="002B6485"/>
    <w:rsid w:val="002B6754"/>
    <w:rsid w:val="002B6CCE"/>
    <w:rsid w:val="002C2510"/>
    <w:rsid w:val="002C2775"/>
    <w:rsid w:val="002C27C1"/>
    <w:rsid w:val="002C28BC"/>
    <w:rsid w:val="002C36E3"/>
    <w:rsid w:val="002C5099"/>
    <w:rsid w:val="002C56AF"/>
    <w:rsid w:val="002C5889"/>
    <w:rsid w:val="002C5A24"/>
    <w:rsid w:val="002C71CE"/>
    <w:rsid w:val="002D08F8"/>
    <w:rsid w:val="002D2356"/>
    <w:rsid w:val="002D577C"/>
    <w:rsid w:val="002D5798"/>
    <w:rsid w:val="002D5905"/>
    <w:rsid w:val="002D6FDF"/>
    <w:rsid w:val="002D7832"/>
    <w:rsid w:val="002E1071"/>
    <w:rsid w:val="002E15B9"/>
    <w:rsid w:val="002E1646"/>
    <w:rsid w:val="002E1A50"/>
    <w:rsid w:val="002E2158"/>
    <w:rsid w:val="002E2B0F"/>
    <w:rsid w:val="002E2F1E"/>
    <w:rsid w:val="002E3708"/>
    <w:rsid w:val="002E38DB"/>
    <w:rsid w:val="002E4887"/>
    <w:rsid w:val="002E4F02"/>
    <w:rsid w:val="002E5C41"/>
    <w:rsid w:val="002E5FE3"/>
    <w:rsid w:val="002E644F"/>
    <w:rsid w:val="002E7722"/>
    <w:rsid w:val="002E7974"/>
    <w:rsid w:val="002F07BA"/>
    <w:rsid w:val="002F0DA9"/>
    <w:rsid w:val="002F1014"/>
    <w:rsid w:val="002F1591"/>
    <w:rsid w:val="002F1E3B"/>
    <w:rsid w:val="002F21A6"/>
    <w:rsid w:val="002F3C35"/>
    <w:rsid w:val="002F50D2"/>
    <w:rsid w:val="002F52C7"/>
    <w:rsid w:val="002F643C"/>
    <w:rsid w:val="002F71C0"/>
    <w:rsid w:val="002F74F1"/>
    <w:rsid w:val="003006B2"/>
    <w:rsid w:val="00300986"/>
    <w:rsid w:val="00301017"/>
    <w:rsid w:val="0030155F"/>
    <w:rsid w:val="00303D29"/>
    <w:rsid w:val="0030418C"/>
    <w:rsid w:val="0030587B"/>
    <w:rsid w:val="00306822"/>
    <w:rsid w:val="00306D98"/>
    <w:rsid w:val="00306F67"/>
    <w:rsid w:val="00307747"/>
    <w:rsid w:val="0030786C"/>
    <w:rsid w:val="003079EB"/>
    <w:rsid w:val="00307E55"/>
    <w:rsid w:val="0031031A"/>
    <w:rsid w:val="00310981"/>
    <w:rsid w:val="00311678"/>
    <w:rsid w:val="00311D9B"/>
    <w:rsid w:val="003124D9"/>
    <w:rsid w:val="00312594"/>
    <w:rsid w:val="00312E4E"/>
    <w:rsid w:val="00314CA4"/>
    <w:rsid w:val="00315498"/>
    <w:rsid w:val="00315793"/>
    <w:rsid w:val="00315931"/>
    <w:rsid w:val="003160CE"/>
    <w:rsid w:val="00316474"/>
    <w:rsid w:val="00316DA2"/>
    <w:rsid w:val="00317929"/>
    <w:rsid w:val="00317C2B"/>
    <w:rsid w:val="00320321"/>
    <w:rsid w:val="00320EA1"/>
    <w:rsid w:val="0032155F"/>
    <w:rsid w:val="00322107"/>
    <w:rsid w:val="003222B9"/>
    <w:rsid w:val="00322355"/>
    <w:rsid w:val="00322524"/>
    <w:rsid w:val="003226EE"/>
    <w:rsid w:val="00322846"/>
    <w:rsid w:val="0032536E"/>
    <w:rsid w:val="0032606E"/>
    <w:rsid w:val="00326DA7"/>
    <w:rsid w:val="003270E4"/>
    <w:rsid w:val="00330DAA"/>
    <w:rsid w:val="00330F5C"/>
    <w:rsid w:val="00332FE0"/>
    <w:rsid w:val="00335B7B"/>
    <w:rsid w:val="003366C9"/>
    <w:rsid w:val="003371B0"/>
    <w:rsid w:val="00337E50"/>
    <w:rsid w:val="00340CDA"/>
    <w:rsid w:val="00340DF1"/>
    <w:rsid w:val="00341BC3"/>
    <w:rsid w:val="00342572"/>
    <w:rsid w:val="00342864"/>
    <w:rsid w:val="0034445F"/>
    <w:rsid w:val="00344F5D"/>
    <w:rsid w:val="0034692E"/>
    <w:rsid w:val="003517F9"/>
    <w:rsid w:val="00351BA9"/>
    <w:rsid w:val="00351E55"/>
    <w:rsid w:val="00352A42"/>
    <w:rsid w:val="00352E7C"/>
    <w:rsid w:val="00354DE1"/>
    <w:rsid w:val="00354F64"/>
    <w:rsid w:val="00354FEB"/>
    <w:rsid w:val="00355234"/>
    <w:rsid w:val="0035620E"/>
    <w:rsid w:val="003562AE"/>
    <w:rsid w:val="003575BE"/>
    <w:rsid w:val="00357BA7"/>
    <w:rsid w:val="00360345"/>
    <w:rsid w:val="0036065F"/>
    <w:rsid w:val="003617CF"/>
    <w:rsid w:val="0036193E"/>
    <w:rsid w:val="00361A05"/>
    <w:rsid w:val="00361E9A"/>
    <w:rsid w:val="003621C2"/>
    <w:rsid w:val="003624C4"/>
    <w:rsid w:val="00363B00"/>
    <w:rsid w:val="00365327"/>
    <w:rsid w:val="003654AC"/>
    <w:rsid w:val="003660A8"/>
    <w:rsid w:val="00366718"/>
    <w:rsid w:val="00367F4C"/>
    <w:rsid w:val="00370C54"/>
    <w:rsid w:val="003710CF"/>
    <w:rsid w:val="00372469"/>
    <w:rsid w:val="0037358A"/>
    <w:rsid w:val="003750F6"/>
    <w:rsid w:val="003759E3"/>
    <w:rsid w:val="00375B85"/>
    <w:rsid w:val="00375EA5"/>
    <w:rsid w:val="003760FC"/>
    <w:rsid w:val="003769C0"/>
    <w:rsid w:val="003804EC"/>
    <w:rsid w:val="00381ACB"/>
    <w:rsid w:val="00382EA4"/>
    <w:rsid w:val="0038365C"/>
    <w:rsid w:val="0038369B"/>
    <w:rsid w:val="00383B78"/>
    <w:rsid w:val="00385021"/>
    <w:rsid w:val="003854E9"/>
    <w:rsid w:val="00385A32"/>
    <w:rsid w:val="00385A9D"/>
    <w:rsid w:val="00387121"/>
    <w:rsid w:val="0038769F"/>
    <w:rsid w:val="003902B1"/>
    <w:rsid w:val="0039179C"/>
    <w:rsid w:val="00392FAD"/>
    <w:rsid w:val="00394AAA"/>
    <w:rsid w:val="00395440"/>
    <w:rsid w:val="003954A5"/>
    <w:rsid w:val="00396896"/>
    <w:rsid w:val="00396953"/>
    <w:rsid w:val="00396FD0"/>
    <w:rsid w:val="003A0D6B"/>
    <w:rsid w:val="003A1A7A"/>
    <w:rsid w:val="003A2392"/>
    <w:rsid w:val="003A246E"/>
    <w:rsid w:val="003A2831"/>
    <w:rsid w:val="003A2F94"/>
    <w:rsid w:val="003A3CB6"/>
    <w:rsid w:val="003A3ED1"/>
    <w:rsid w:val="003A44DB"/>
    <w:rsid w:val="003A45B5"/>
    <w:rsid w:val="003A4C14"/>
    <w:rsid w:val="003A56EC"/>
    <w:rsid w:val="003A651E"/>
    <w:rsid w:val="003A7093"/>
    <w:rsid w:val="003A77FE"/>
    <w:rsid w:val="003B068A"/>
    <w:rsid w:val="003B0A71"/>
    <w:rsid w:val="003B2548"/>
    <w:rsid w:val="003B2832"/>
    <w:rsid w:val="003B3971"/>
    <w:rsid w:val="003B3C8C"/>
    <w:rsid w:val="003B55D1"/>
    <w:rsid w:val="003B570C"/>
    <w:rsid w:val="003B5B61"/>
    <w:rsid w:val="003B6653"/>
    <w:rsid w:val="003B6799"/>
    <w:rsid w:val="003B7F4A"/>
    <w:rsid w:val="003B7FFC"/>
    <w:rsid w:val="003C14E7"/>
    <w:rsid w:val="003C1654"/>
    <w:rsid w:val="003C17D7"/>
    <w:rsid w:val="003C22FD"/>
    <w:rsid w:val="003C49D2"/>
    <w:rsid w:val="003C4BDD"/>
    <w:rsid w:val="003C5542"/>
    <w:rsid w:val="003C7C15"/>
    <w:rsid w:val="003C7D19"/>
    <w:rsid w:val="003C7D2F"/>
    <w:rsid w:val="003D0C5A"/>
    <w:rsid w:val="003D15C6"/>
    <w:rsid w:val="003D1828"/>
    <w:rsid w:val="003D1DA7"/>
    <w:rsid w:val="003D1DE4"/>
    <w:rsid w:val="003D1E9A"/>
    <w:rsid w:val="003D1FBD"/>
    <w:rsid w:val="003D2422"/>
    <w:rsid w:val="003D2456"/>
    <w:rsid w:val="003D29A9"/>
    <w:rsid w:val="003D2A04"/>
    <w:rsid w:val="003D39A1"/>
    <w:rsid w:val="003D3FBF"/>
    <w:rsid w:val="003D3FD9"/>
    <w:rsid w:val="003D418E"/>
    <w:rsid w:val="003D47AC"/>
    <w:rsid w:val="003D4A30"/>
    <w:rsid w:val="003D4C41"/>
    <w:rsid w:val="003D4EF3"/>
    <w:rsid w:val="003D632C"/>
    <w:rsid w:val="003D7452"/>
    <w:rsid w:val="003D79BB"/>
    <w:rsid w:val="003D7C98"/>
    <w:rsid w:val="003D7D9D"/>
    <w:rsid w:val="003E0543"/>
    <w:rsid w:val="003E1C2E"/>
    <w:rsid w:val="003E37E4"/>
    <w:rsid w:val="003E3A84"/>
    <w:rsid w:val="003E4432"/>
    <w:rsid w:val="003E5603"/>
    <w:rsid w:val="003E749E"/>
    <w:rsid w:val="003E79EB"/>
    <w:rsid w:val="003E7D3C"/>
    <w:rsid w:val="003F1346"/>
    <w:rsid w:val="003F4156"/>
    <w:rsid w:val="003F53AE"/>
    <w:rsid w:val="003F5ADF"/>
    <w:rsid w:val="003F5E9D"/>
    <w:rsid w:val="003F5EB4"/>
    <w:rsid w:val="003F5F44"/>
    <w:rsid w:val="003F6D4D"/>
    <w:rsid w:val="00400565"/>
    <w:rsid w:val="004006E4"/>
    <w:rsid w:val="00400B29"/>
    <w:rsid w:val="00400E6C"/>
    <w:rsid w:val="0040232E"/>
    <w:rsid w:val="00402812"/>
    <w:rsid w:val="00402F04"/>
    <w:rsid w:val="004031C2"/>
    <w:rsid w:val="0040504B"/>
    <w:rsid w:val="004059F4"/>
    <w:rsid w:val="0040661D"/>
    <w:rsid w:val="004073FF"/>
    <w:rsid w:val="00407FE5"/>
    <w:rsid w:val="004101B0"/>
    <w:rsid w:val="00410326"/>
    <w:rsid w:val="00410708"/>
    <w:rsid w:val="00410EC7"/>
    <w:rsid w:val="004118C2"/>
    <w:rsid w:val="00411B39"/>
    <w:rsid w:val="004127A7"/>
    <w:rsid w:val="00412F08"/>
    <w:rsid w:val="004130F0"/>
    <w:rsid w:val="00413A1E"/>
    <w:rsid w:val="00414476"/>
    <w:rsid w:val="00414C2E"/>
    <w:rsid w:val="004151CF"/>
    <w:rsid w:val="00416364"/>
    <w:rsid w:val="00416767"/>
    <w:rsid w:val="00416988"/>
    <w:rsid w:val="0042047F"/>
    <w:rsid w:val="00420AA6"/>
    <w:rsid w:val="00420B9F"/>
    <w:rsid w:val="0042192C"/>
    <w:rsid w:val="00421AF8"/>
    <w:rsid w:val="00422260"/>
    <w:rsid w:val="0042255D"/>
    <w:rsid w:val="00423435"/>
    <w:rsid w:val="0042413F"/>
    <w:rsid w:val="004245AA"/>
    <w:rsid w:val="00425B6F"/>
    <w:rsid w:val="00426595"/>
    <w:rsid w:val="00427131"/>
    <w:rsid w:val="004319F8"/>
    <w:rsid w:val="00431E55"/>
    <w:rsid w:val="004321F6"/>
    <w:rsid w:val="00432479"/>
    <w:rsid w:val="00433044"/>
    <w:rsid w:val="0043327B"/>
    <w:rsid w:val="00433490"/>
    <w:rsid w:val="00433DA1"/>
    <w:rsid w:val="00434088"/>
    <w:rsid w:val="004346E4"/>
    <w:rsid w:val="004375B9"/>
    <w:rsid w:val="004406A4"/>
    <w:rsid w:val="00440E8C"/>
    <w:rsid w:val="004415CF"/>
    <w:rsid w:val="00441FDD"/>
    <w:rsid w:val="0044228C"/>
    <w:rsid w:val="004428D0"/>
    <w:rsid w:val="004431D0"/>
    <w:rsid w:val="00444185"/>
    <w:rsid w:val="004443A7"/>
    <w:rsid w:val="0044442C"/>
    <w:rsid w:val="0044486C"/>
    <w:rsid w:val="00445193"/>
    <w:rsid w:val="00445941"/>
    <w:rsid w:val="0044635B"/>
    <w:rsid w:val="004464EB"/>
    <w:rsid w:val="00447D26"/>
    <w:rsid w:val="00447DFC"/>
    <w:rsid w:val="00450AFD"/>
    <w:rsid w:val="00450EF4"/>
    <w:rsid w:val="00452AE6"/>
    <w:rsid w:val="00452C77"/>
    <w:rsid w:val="00453314"/>
    <w:rsid w:val="00454DC7"/>
    <w:rsid w:val="004553CE"/>
    <w:rsid w:val="0045570E"/>
    <w:rsid w:val="00455932"/>
    <w:rsid w:val="00455D45"/>
    <w:rsid w:val="00461BF1"/>
    <w:rsid w:val="00464595"/>
    <w:rsid w:val="00464B69"/>
    <w:rsid w:val="00465125"/>
    <w:rsid w:val="004658B5"/>
    <w:rsid w:val="00466941"/>
    <w:rsid w:val="00467528"/>
    <w:rsid w:val="00467F07"/>
    <w:rsid w:val="004702D9"/>
    <w:rsid w:val="00471353"/>
    <w:rsid w:val="00471EA5"/>
    <w:rsid w:val="00472876"/>
    <w:rsid w:val="00472A79"/>
    <w:rsid w:val="00473168"/>
    <w:rsid w:val="00473A7D"/>
    <w:rsid w:val="00473F19"/>
    <w:rsid w:val="00474153"/>
    <w:rsid w:val="00474326"/>
    <w:rsid w:val="00475250"/>
    <w:rsid w:val="00475E22"/>
    <w:rsid w:val="00477703"/>
    <w:rsid w:val="0048088E"/>
    <w:rsid w:val="00480F2B"/>
    <w:rsid w:val="00481760"/>
    <w:rsid w:val="00481836"/>
    <w:rsid w:val="004818C6"/>
    <w:rsid w:val="004820F1"/>
    <w:rsid w:val="00482720"/>
    <w:rsid w:val="004835E7"/>
    <w:rsid w:val="00483693"/>
    <w:rsid w:val="004859E1"/>
    <w:rsid w:val="00485F70"/>
    <w:rsid w:val="004867E2"/>
    <w:rsid w:val="004879B6"/>
    <w:rsid w:val="00487DF9"/>
    <w:rsid w:val="004905C1"/>
    <w:rsid w:val="00490936"/>
    <w:rsid w:val="00490B17"/>
    <w:rsid w:val="00491673"/>
    <w:rsid w:val="00491B3A"/>
    <w:rsid w:val="00492CFD"/>
    <w:rsid w:val="004936DE"/>
    <w:rsid w:val="004938A9"/>
    <w:rsid w:val="00494207"/>
    <w:rsid w:val="00494DD5"/>
    <w:rsid w:val="00494FD2"/>
    <w:rsid w:val="004962D2"/>
    <w:rsid w:val="0049685D"/>
    <w:rsid w:val="004979F5"/>
    <w:rsid w:val="00497A94"/>
    <w:rsid w:val="004A0074"/>
    <w:rsid w:val="004A0DA1"/>
    <w:rsid w:val="004A13D6"/>
    <w:rsid w:val="004A2DF0"/>
    <w:rsid w:val="004A32A1"/>
    <w:rsid w:val="004A52E9"/>
    <w:rsid w:val="004A6040"/>
    <w:rsid w:val="004A6597"/>
    <w:rsid w:val="004A688F"/>
    <w:rsid w:val="004A6D93"/>
    <w:rsid w:val="004A6E2A"/>
    <w:rsid w:val="004A7848"/>
    <w:rsid w:val="004A793B"/>
    <w:rsid w:val="004B02DF"/>
    <w:rsid w:val="004B1427"/>
    <w:rsid w:val="004B1CB4"/>
    <w:rsid w:val="004B2F18"/>
    <w:rsid w:val="004B395E"/>
    <w:rsid w:val="004B3DDB"/>
    <w:rsid w:val="004B44FD"/>
    <w:rsid w:val="004B5CFC"/>
    <w:rsid w:val="004B6F79"/>
    <w:rsid w:val="004B7582"/>
    <w:rsid w:val="004B774D"/>
    <w:rsid w:val="004C0A9A"/>
    <w:rsid w:val="004C14FB"/>
    <w:rsid w:val="004C1E58"/>
    <w:rsid w:val="004C2739"/>
    <w:rsid w:val="004C2AC2"/>
    <w:rsid w:val="004C3B90"/>
    <w:rsid w:val="004C4AED"/>
    <w:rsid w:val="004C5DE9"/>
    <w:rsid w:val="004C65B1"/>
    <w:rsid w:val="004D04E3"/>
    <w:rsid w:val="004D2C2D"/>
    <w:rsid w:val="004D3FE2"/>
    <w:rsid w:val="004D69B5"/>
    <w:rsid w:val="004D7227"/>
    <w:rsid w:val="004D7B5E"/>
    <w:rsid w:val="004E0E6A"/>
    <w:rsid w:val="004E0E7F"/>
    <w:rsid w:val="004E0EB8"/>
    <w:rsid w:val="004E106F"/>
    <w:rsid w:val="004E1141"/>
    <w:rsid w:val="004E1369"/>
    <w:rsid w:val="004E18E9"/>
    <w:rsid w:val="004E1A33"/>
    <w:rsid w:val="004E2962"/>
    <w:rsid w:val="004E2ADC"/>
    <w:rsid w:val="004E3C83"/>
    <w:rsid w:val="004E43B2"/>
    <w:rsid w:val="004E48EA"/>
    <w:rsid w:val="004E5C5F"/>
    <w:rsid w:val="004E6CF0"/>
    <w:rsid w:val="004E6F78"/>
    <w:rsid w:val="004E7258"/>
    <w:rsid w:val="004F1D02"/>
    <w:rsid w:val="004F2194"/>
    <w:rsid w:val="004F2679"/>
    <w:rsid w:val="004F290B"/>
    <w:rsid w:val="004F2F21"/>
    <w:rsid w:val="004F3DE5"/>
    <w:rsid w:val="004F5535"/>
    <w:rsid w:val="004F6913"/>
    <w:rsid w:val="004F6C3E"/>
    <w:rsid w:val="004F7865"/>
    <w:rsid w:val="00500832"/>
    <w:rsid w:val="0050174E"/>
    <w:rsid w:val="00501854"/>
    <w:rsid w:val="00501AFC"/>
    <w:rsid w:val="0050219B"/>
    <w:rsid w:val="00503F17"/>
    <w:rsid w:val="00503F3A"/>
    <w:rsid w:val="005051A0"/>
    <w:rsid w:val="00506928"/>
    <w:rsid w:val="00506BBE"/>
    <w:rsid w:val="005077EF"/>
    <w:rsid w:val="00510EB5"/>
    <w:rsid w:val="00511AD5"/>
    <w:rsid w:val="00511DC7"/>
    <w:rsid w:val="00513FB1"/>
    <w:rsid w:val="005142C5"/>
    <w:rsid w:val="005145F2"/>
    <w:rsid w:val="00514683"/>
    <w:rsid w:val="0051501B"/>
    <w:rsid w:val="005152B5"/>
    <w:rsid w:val="00515465"/>
    <w:rsid w:val="00515886"/>
    <w:rsid w:val="005158BE"/>
    <w:rsid w:val="0051621C"/>
    <w:rsid w:val="00516CF3"/>
    <w:rsid w:val="00517DAD"/>
    <w:rsid w:val="00520411"/>
    <w:rsid w:val="0052123C"/>
    <w:rsid w:val="00521319"/>
    <w:rsid w:val="00521851"/>
    <w:rsid w:val="0052234F"/>
    <w:rsid w:val="00522BC8"/>
    <w:rsid w:val="005239C0"/>
    <w:rsid w:val="00523C28"/>
    <w:rsid w:val="00523DD0"/>
    <w:rsid w:val="00524952"/>
    <w:rsid w:val="00524B29"/>
    <w:rsid w:val="00525154"/>
    <w:rsid w:val="00525D48"/>
    <w:rsid w:val="00527AFD"/>
    <w:rsid w:val="0053176B"/>
    <w:rsid w:val="00532616"/>
    <w:rsid w:val="00532B0D"/>
    <w:rsid w:val="005341B3"/>
    <w:rsid w:val="005353B3"/>
    <w:rsid w:val="00536125"/>
    <w:rsid w:val="00536F42"/>
    <w:rsid w:val="00537182"/>
    <w:rsid w:val="00541EDD"/>
    <w:rsid w:val="00542743"/>
    <w:rsid w:val="00542888"/>
    <w:rsid w:val="00542BC3"/>
    <w:rsid w:val="00542C2D"/>
    <w:rsid w:val="00545148"/>
    <w:rsid w:val="00545346"/>
    <w:rsid w:val="00545E96"/>
    <w:rsid w:val="00546B87"/>
    <w:rsid w:val="005478BD"/>
    <w:rsid w:val="005479E3"/>
    <w:rsid w:val="00547EEB"/>
    <w:rsid w:val="00550089"/>
    <w:rsid w:val="005513A4"/>
    <w:rsid w:val="005514C3"/>
    <w:rsid w:val="00551636"/>
    <w:rsid w:val="00551985"/>
    <w:rsid w:val="00552783"/>
    <w:rsid w:val="00552BD3"/>
    <w:rsid w:val="005532A0"/>
    <w:rsid w:val="00553383"/>
    <w:rsid w:val="00553B9E"/>
    <w:rsid w:val="00554BF9"/>
    <w:rsid w:val="00555109"/>
    <w:rsid w:val="0055575D"/>
    <w:rsid w:val="00555A71"/>
    <w:rsid w:val="00556753"/>
    <w:rsid w:val="00556B35"/>
    <w:rsid w:val="0055741A"/>
    <w:rsid w:val="00557DB0"/>
    <w:rsid w:val="005611B7"/>
    <w:rsid w:val="005618D4"/>
    <w:rsid w:val="00561BB2"/>
    <w:rsid w:val="00561C8A"/>
    <w:rsid w:val="00564867"/>
    <w:rsid w:val="00565C79"/>
    <w:rsid w:val="00565DF0"/>
    <w:rsid w:val="0056696F"/>
    <w:rsid w:val="00566BE0"/>
    <w:rsid w:val="00566BE8"/>
    <w:rsid w:val="005708A6"/>
    <w:rsid w:val="00572269"/>
    <w:rsid w:val="0057244A"/>
    <w:rsid w:val="00572F26"/>
    <w:rsid w:val="00573842"/>
    <w:rsid w:val="00574A86"/>
    <w:rsid w:val="005750C5"/>
    <w:rsid w:val="005752DE"/>
    <w:rsid w:val="00575D60"/>
    <w:rsid w:val="00575D8D"/>
    <w:rsid w:val="005767EF"/>
    <w:rsid w:val="00576972"/>
    <w:rsid w:val="00577248"/>
    <w:rsid w:val="005802B3"/>
    <w:rsid w:val="00581967"/>
    <w:rsid w:val="005819DC"/>
    <w:rsid w:val="005829CA"/>
    <w:rsid w:val="00582A8A"/>
    <w:rsid w:val="00583699"/>
    <w:rsid w:val="005838B0"/>
    <w:rsid w:val="00584867"/>
    <w:rsid w:val="00585325"/>
    <w:rsid w:val="00585CDD"/>
    <w:rsid w:val="00585D97"/>
    <w:rsid w:val="00587058"/>
    <w:rsid w:val="005900DA"/>
    <w:rsid w:val="00590B2F"/>
    <w:rsid w:val="00591957"/>
    <w:rsid w:val="00591CFD"/>
    <w:rsid w:val="005921CA"/>
    <w:rsid w:val="00592DDB"/>
    <w:rsid w:val="00593397"/>
    <w:rsid w:val="00593B4E"/>
    <w:rsid w:val="00593C98"/>
    <w:rsid w:val="0059430B"/>
    <w:rsid w:val="00594B6F"/>
    <w:rsid w:val="00594FE0"/>
    <w:rsid w:val="00595236"/>
    <w:rsid w:val="00596D1C"/>
    <w:rsid w:val="0059718C"/>
    <w:rsid w:val="00597BF9"/>
    <w:rsid w:val="005A016A"/>
    <w:rsid w:val="005A0A14"/>
    <w:rsid w:val="005A0C11"/>
    <w:rsid w:val="005A13B8"/>
    <w:rsid w:val="005A309A"/>
    <w:rsid w:val="005A373D"/>
    <w:rsid w:val="005A4B11"/>
    <w:rsid w:val="005A6308"/>
    <w:rsid w:val="005A757A"/>
    <w:rsid w:val="005B06FA"/>
    <w:rsid w:val="005B0B58"/>
    <w:rsid w:val="005B1242"/>
    <w:rsid w:val="005B1A34"/>
    <w:rsid w:val="005B3A85"/>
    <w:rsid w:val="005B4BCB"/>
    <w:rsid w:val="005B4E53"/>
    <w:rsid w:val="005B5857"/>
    <w:rsid w:val="005B6624"/>
    <w:rsid w:val="005B71EA"/>
    <w:rsid w:val="005B73E1"/>
    <w:rsid w:val="005B7429"/>
    <w:rsid w:val="005B7FCA"/>
    <w:rsid w:val="005C08FE"/>
    <w:rsid w:val="005C0A2D"/>
    <w:rsid w:val="005C0C20"/>
    <w:rsid w:val="005C19C4"/>
    <w:rsid w:val="005C1B83"/>
    <w:rsid w:val="005C25FF"/>
    <w:rsid w:val="005C2D55"/>
    <w:rsid w:val="005C346B"/>
    <w:rsid w:val="005C35B2"/>
    <w:rsid w:val="005C3B2E"/>
    <w:rsid w:val="005C5336"/>
    <w:rsid w:val="005C5ABC"/>
    <w:rsid w:val="005C5C63"/>
    <w:rsid w:val="005C6D93"/>
    <w:rsid w:val="005C793A"/>
    <w:rsid w:val="005D044D"/>
    <w:rsid w:val="005D0ABD"/>
    <w:rsid w:val="005D0CC8"/>
    <w:rsid w:val="005D13EC"/>
    <w:rsid w:val="005D1880"/>
    <w:rsid w:val="005D18AD"/>
    <w:rsid w:val="005D24DC"/>
    <w:rsid w:val="005D26B4"/>
    <w:rsid w:val="005D4BE5"/>
    <w:rsid w:val="005D72B3"/>
    <w:rsid w:val="005D7FFB"/>
    <w:rsid w:val="005E0240"/>
    <w:rsid w:val="005E0625"/>
    <w:rsid w:val="005E09A4"/>
    <w:rsid w:val="005E12CA"/>
    <w:rsid w:val="005E1995"/>
    <w:rsid w:val="005E3179"/>
    <w:rsid w:val="005E4ED5"/>
    <w:rsid w:val="005E5076"/>
    <w:rsid w:val="005E58D9"/>
    <w:rsid w:val="005E5919"/>
    <w:rsid w:val="005E5FC4"/>
    <w:rsid w:val="005E65C9"/>
    <w:rsid w:val="005E68E2"/>
    <w:rsid w:val="005E6CBC"/>
    <w:rsid w:val="005E72FF"/>
    <w:rsid w:val="005E73C0"/>
    <w:rsid w:val="005E78D8"/>
    <w:rsid w:val="005F07ED"/>
    <w:rsid w:val="005F09B9"/>
    <w:rsid w:val="005F0E36"/>
    <w:rsid w:val="005F1C40"/>
    <w:rsid w:val="005F2068"/>
    <w:rsid w:val="005F2706"/>
    <w:rsid w:val="005F3D59"/>
    <w:rsid w:val="005F54EA"/>
    <w:rsid w:val="005F6A8F"/>
    <w:rsid w:val="005F6BB7"/>
    <w:rsid w:val="005F6BFF"/>
    <w:rsid w:val="005F7588"/>
    <w:rsid w:val="0060249A"/>
    <w:rsid w:val="00602FA9"/>
    <w:rsid w:val="0060306D"/>
    <w:rsid w:val="00603DB9"/>
    <w:rsid w:val="006061D6"/>
    <w:rsid w:val="00606433"/>
    <w:rsid w:val="00606FBA"/>
    <w:rsid w:val="00607669"/>
    <w:rsid w:val="006076C2"/>
    <w:rsid w:val="006076F4"/>
    <w:rsid w:val="00607AFD"/>
    <w:rsid w:val="006108DA"/>
    <w:rsid w:val="00611035"/>
    <w:rsid w:val="00611388"/>
    <w:rsid w:val="00611B12"/>
    <w:rsid w:val="00611B3D"/>
    <w:rsid w:val="006128AA"/>
    <w:rsid w:val="00612F97"/>
    <w:rsid w:val="0061345D"/>
    <w:rsid w:val="006135F9"/>
    <w:rsid w:val="006148FF"/>
    <w:rsid w:val="0061549B"/>
    <w:rsid w:val="00616802"/>
    <w:rsid w:val="006170D7"/>
    <w:rsid w:val="00617476"/>
    <w:rsid w:val="00617E12"/>
    <w:rsid w:val="00620C25"/>
    <w:rsid w:val="006213B3"/>
    <w:rsid w:val="00621477"/>
    <w:rsid w:val="00621ADA"/>
    <w:rsid w:val="00621B49"/>
    <w:rsid w:val="00621EC2"/>
    <w:rsid w:val="0062367B"/>
    <w:rsid w:val="00623F7B"/>
    <w:rsid w:val="006240CE"/>
    <w:rsid w:val="00624BD4"/>
    <w:rsid w:val="00627648"/>
    <w:rsid w:val="00630C06"/>
    <w:rsid w:val="0063158F"/>
    <w:rsid w:val="006315A2"/>
    <w:rsid w:val="00631A49"/>
    <w:rsid w:val="00631D6B"/>
    <w:rsid w:val="00632183"/>
    <w:rsid w:val="006330A1"/>
    <w:rsid w:val="00633647"/>
    <w:rsid w:val="00633948"/>
    <w:rsid w:val="0063479F"/>
    <w:rsid w:val="0063504F"/>
    <w:rsid w:val="006353F0"/>
    <w:rsid w:val="00635667"/>
    <w:rsid w:val="006357B5"/>
    <w:rsid w:val="00636367"/>
    <w:rsid w:val="006364A1"/>
    <w:rsid w:val="0063678E"/>
    <w:rsid w:val="00637B98"/>
    <w:rsid w:val="00637BFD"/>
    <w:rsid w:val="00637C5C"/>
    <w:rsid w:val="00640E2C"/>
    <w:rsid w:val="00640E40"/>
    <w:rsid w:val="00641C4E"/>
    <w:rsid w:val="00641FB3"/>
    <w:rsid w:val="00643AAC"/>
    <w:rsid w:val="006440A7"/>
    <w:rsid w:val="0064434C"/>
    <w:rsid w:val="006457AB"/>
    <w:rsid w:val="006471CC"/>
    <w:rsid w:val="006472FE"/>
    <w:rsid w:val="00647A29"/>
    <w:rsid w:val="00647F38"/>
    <w:rsid w:val="00650490"/>
    <w:rsid w:val="0065079F"/>
    <w:rsid w:val="0065234A"/>
    <w:rsid w:val="00652706"/>
    <w:rsid w:val="00652A28"/>
    <w:rsid w:val="00652C95"/>
    <w:rsid w:val="00652D63"/>
    <w:rsid w:val="0065371E"/>
    <w:rsid w:val="0065379F"/>
    <w:rsid w:val="006540D7"/>
    <w:rsid w:val="00654B22"/>
    <w:rsid w:val="00656188"/>
    <w:rsid w:val="00656B77"/>
    <w:rsid w:val="0065715A"/>
    <w:rsid w:val="00660FCC"/>
    <w:rsid w:val="006610F1"/>
    <w:rsid w:val="00661C6B"/>
    <w:rsid w:val="00661E58"/>
    <w:rsid w:val="00661F55"/>
    <w:rsid w:val="006621AD"/>
    <w:rsid w:val="00662530"/>
    <w:rsid w:val="006629C6"/>
    <w:rsid w:val="00662D3E"/>
    <w:rsid w:val="00663829"/>
    <w:rsid w:val="006639C9"/>
    <w:rsid w:val="00663A0F"/>
    <w:rsid w:val="00664284"/>
    <w:rsid w:val="00664B1E"/>
    <w:rsid w:val="00664F05"/>
    <w:rsid w:val="00665A7E"/>
    <w:rsid w:val="00665C32"/>
    <w:rsid w:val="00665D78"/>
    <w:rsid w:val="00666177"/>
    <w:rsid w:val="006674FB"/>
    <w:rsid w:val="00667BE3"/>
    <w:rsid w:val="00671004"/>
    <w:rsid w:val="0067192A"/>
    <w:rsid w:val="006719A9"/>
    <w:rsid w:val="00672081"/>
    <w:rsid w:val="00672381"/>
    <w:rsid w:val="00672478"/>
    <w:rsid w:val="00672646"/>
    <w:rsid w:val="006730FA"/>
    <w:rsid w:val="00673C44"/>
    <w:rsid w:val="0067416F"/>
    <w:rsid w:val="00674E42"/>
    <w:rsid w:val="00675080"/>
    <w:rsid w:val="00675C4D"/>
    <w:rsid w:val="00675CE2"/>
    <w:rsid w:val="00675E54"/>
    <w:rsid w:val="00676563"/>
    <w:rsid w:val="00677F54"/>
    <w:rsid w:val="00681194"/>
    <w:rsid w:val="006813F8"/>
    <w:rsid w:val="00682112"/>
    <w:rsid w:val="00682BA6"/>
    <w:rsid w:val="006832CE"/>
    <w:rsid w:val="006838B7"/>
    <w:rsid w:val="00685EBB"/>
    <w:rsid w:val="0068622E"/>
    <w:rsid w:val="0068647B"/>
    <w:rsid w:val="00686957"/>
    <w:rsid w:val="00686CF4"/>
    <w:rsid w:val="00687078"/>
    <w:rsid w:val="006872BA"/>
    <w:rsid w:val="00690132"/>
    <w:rsid w:val="00690795"/>
    <w:rsid w:val="006907D5"/>
    <w:rsid w:val="006914F5"/>
    <w:rsid w:val="00691648"/>
    <w:rsid w:val="006917D7"/>
    <w:rsid w:val="00691873"/>
    <w:rsid w:val="006919A9"/>
    <w:rsid w:val="006925CB"/>
    <w:rsid w:val="0069312E"/>
    <w:rsid w:val="0069434C"/>
    <w:rsid w:val="006949F8"/>
    <w:rsid w:val="00694F44"/>
    <w:rsid w:val="006956DD"/>
    <w:rsid w:val="006967AF"/>
    <w:rsid w:val="00696EF9"/>
    <w:rsid w:val="00696F51"/>
    <w:rsid w:val="006979A5"/>
    <w:rsid w:val="00697AF0"/>
    <w:rsid w:val="006A016F"/>
    <w:rsid w:val="006A0507"/>
    <w:rsid w:val="006A0DF7"/>
    <w:rsid w:val="006A1B76"/>
    <w:rsid w:val="006A3E81"/>
    <w:rsid w:val="006A4321"/>
    <w:rsid w:val="006A43D9"/>
    <w:rsid w:val="006A52C9"/>
    <w:rsid w:val="006A550F"/>
    <w:rsid w:val="006A616E"/>
    <w:rsid w:val="006A6B99"/>
    <w:rsid w:val="006A6BB8"/>
    <w:rsid w:val="006A7BE1"/>
    <w:rsid w:val="006A7E5F"/>
    <w:rsid w:val="006B07A2"/>
    <w:rsid w:val="006B08F5"/>
    <w:rsid w:val="006B17D6"/>
    <w:rsid w:val="006B261B"/>
    <w:rsid w:val="006B2B3C"/>
    <w:rsid w:val="006B2C90"/>
    <w:rsid w:val="006B2D1E"/>
    <w:rsid w:val="006B35E6"/>
    <w:rsid w:val="006B465A"/>
    <w:rsid w:val="006B5905"/>
    <w:rsid w:val="006B5F5F"/>
    <w:rsid w:val="006B6DD0"/>
    <w:rsid w:val="006C0399"/>
    <w:rsid w:val="006C1CF1"/>
    <w:rsid w:val="006C1CF4"/>
    <w:rsid w:val="006C23B7"/>
    <w:rsid w:val="006C2A8E"/>
    <w:rsid w:val="006C3255"/>
    <w:rsid w:val="006C36A6"/>
    <w:rsid w:val="006C3F26"/>
    <w:rsid w:val="006C479B"/>
    <w:rsid w:val="006C47D8"/>
    <w:rsid w:val="006C49F1"/>
    <w:rsid w:val="006C4E75"/>
    <w:rsid w:val="006C4F1A"/>
    <w:rsid w:val="006C54BC"/>
    <w:rsid w:val="006C5FAF"/>
    <w:rsid w:val="006C6D6F"/>
    <w:rsid w:val="006C710D"/>
    <w:rsid w:val="006D0D17"/>
    <w:rsid w:val="006D11D1"/>
    <w:rsid w:val="006D2922"/>
    <w:rsid w:val="006D3222"/>
    <w:rsid w:val="006D38F8"/>
    <w:rsid w:val="006D3C7D"/>
    <w:rsid w:val="006D4089"/>
    <w:rsid w:val="006D4659"/>
    <w:rsid w:val="006D5D5F"/>
    <w:rsid w:val="006D66B8"/>
    <w:rsid w:val="006D68FB"/>
    <w:rsid w:val="006D6C97"/>
    <w:rsid w:val="006E1476"/>
    <w:rsid w:val="006E1D70"/>
    <w:rsid w:val="006E2868"/>
    <w:rsid w:val="006E4A89"/>
    <w:rsid w:val="006E50A0"/>
    <w:rsid w:val="006E528E"/>
    <w:rsid w:val="006E64A3"/>
    <w:rsid w:val="006E7D6B"/>
    <w:rsid w:val="006F08A6"/>
    <w:rsid w:val="006F1631"/>
    <w:rsid w:val="006F215B"/>
    <w:rsid w:val="006F306C"/>
    <w:rsid w:val="006F3217"/>
    <w:rsid w:val="006F3417"/>
    <w:rsid w:val="006F3FA8"/>
    <w:rsid w:val="006F47C2"/>
    <w:rsid w:val="006F5186"/>
    <w:rsid w:val="006F60F1"/>
    <w:rsid w:val="006F63A5"/>
    <w:rsid w:val="006F67EB"/>
    <w:rsid w:val="006F6C38"/>
    <w:rsid w:val="006F70BA"/>
    <w:rsid w:val="00700AD1"/>
    <w:rsid w:val="0070142B"/>
    <w:rsid w:val="0070276E"/>
    <w:rsid w:val="00702F8F"/>
    <w:rsid w:val="00702F9A"/>
    <w:rsid w:val="00703F1D"/>
    <w:rsid w:val="0070477E"/>
    <w:rsid w:val="00706520"/>
    <w:rsid w:val="00707256"/>
    <w:rsid w:val="007079FC"/>
    <w:rsid w:val="00711A36"/>
    <w:rsid w:val="00711BCD"/>
    <w:rsid w:val="007125D3"/>
    <w:rsid w:val="00712DBD"/>
    <w:rsid w:val="00713E5D"/>
    <w:rsid w:val="00714C26"/>
    <w:rsid w:val="00715230"/>
    <w:rsid w:val="0071529C"/>
    <w:rsid w:val="0071564D"/>
    <w:rsid w:val="00715CD8"/>
    <w:rsid w:val="00716098"/>
    <w:rsid w:val="007170DA"/>
    <w:rsid w:val="007172AD"/>
    <w:rsid w:val="00717546"/>
    <w:rsid w:val="00717AD3"/>
    <w:rsid w:val="007206E2"/>
    <w:rsid w:val="00720801"/>
    <w:rsid w:val="00721E1A"/>
    <w:rsid w:val="007229B2"/>
    <w:rsid w:val="00722B1B"/>
    <w:rsid w:val="0072332C"/>
    <w:rsid w:val="007233E3"/>
    <w:rsid w:val="00723609"/>
    <w:rsid w:val="0072416F"/>
    <w:rsid w:val="0072661A"/>
    <w:rsid w:val="00727561"/>
    <w:rsid w:val="00727C94"/>
    <w:rsid w:val="00730499"/>
    <w:rsid w:val="00731B0A"/>
    <w:rsid w:val="00731B94"/>
    <w:rsid w:val="00731EAE"/>
    <w:rsid w:val="00733073"/>
    <w:rsid w:val="00734F0A"/>
    <w:rsid w:val="00735033"/>
    <w:rsid w:val="00735328"/>
    <w:rsid w:val="0073533A"/>
    <w:rsid w:val="0073555D"/>
    <w:rsid w:val="00735B5B"/>
    <w:rsid w:val="0073685B"/>
    <w:rsid w:val="00736BC8"/>
    <w:rsid w:val="0073772F"/>
    <w:rsid w:val="007377FE"/>
    <w:rsid w:val="00740845"/>
    <w:rsid w:val="00740AEA"/>
    <w:rsid w:val="00741F6C"/>
    <w:rsid w:val="0074248A"/>
    <w:rsid w:val="00743155"/>
    <w:rsid w:val="007449BF"/>
    <w:rsid w:val="00744B36"/>
    <w:rsid w:val="00745218"/>
    <w:rsid w:val="007455CB"/>
    <w:rsid w:val="00745821"/>
    <w:rsid w:val="007463FE"/>
    <w:rsid w:val="00746BC0"/>
    <w:rsid w:val="00747D00"/>
    <w:rsid w:val="007510B4"/>
    <w:rsid w:val="007510FE"/>
    <w:rsid w:val="007518D8"/>
    <w:rsid w:val="0075212F"/>
    <w:rsid w:val="00752142"/>
    <w:rsid w:val="007523F9"/>
    <w:rsid w:val="007524DA"/>
    <w:rsid w:val="00752FE6"/>
    <w:rsid w:val="0075357E"/>
    <w:rsid w:val="00753765"/>
    <w:rsid w:val="00753B29"/>
    <w:rsid w:val="0075420F"/>
    <w:rsid w:val="0075446E"/>
    <w:rsid w:val="00754D40"/>
    <w:rsid w:val="00755108"/>
    <w:rsid w:val="00755E2D"/>
    <w:rsid w:val="007566C5"/>
    <w:rsid w:val="007573E8"/>
    <w:rsid w:val="007579EF"/>
    <w:rsid w:val="00760C4E"/>
    <w:rsid w:val="00760F9E"/>
    <w:rsid w:val="007616E6"/>
    <w:rsid w:val="007626C4"/>
    <w:rsid w:val="007627BE"/>
    <w:rsid w:val="00764E75"/>
    <w:rsid w:val="00764EFE"/>
    <w:rsid w:val="00764F03"/>
    <w:rsid w:val="00765949"/>
    <w:rsid w:val="00765B1A"/>
    <w:rsid w:val="00765DC1"/>
    <w:rsid w:val="007663A9"/>
    <w:rsid w:val="00766BF0"/>
    <w:rsid w:val="00767005"/>
    <w:rsid w:val="0076703E"/>
    <w:rsid w:val="00767A14"/>
    <w:rsid w:val="00773197"/>
    <w:rsid w:val="007731D7"/>
    <w:rsid w:val="00775702"/>
    <w:rsid w:val="00776686"/>
    <w:rsid w:val="00776C9F"/>
    <w:rsid w:val="00777335"/>
    <w:rsid w:val="0078388A"/>
    <w:rsid w:val="00783B32"/>
    <w:rsid w:val="0078404F"/>
    <w:rsid w:val="007843F2"/>
    <w:rsid w:val="007846FA"/>
    <w:rsid w:val="0078487E"/>
    <w:rsid w:val="0078564A"/>
    <w:rsid w:val="00785A9F"/>
    <w:rsid w:val="0078669D"/>
    <w:rsid w:val="00787EA8"/>
    <w:rsid w:val="007903A3"/>
    <w:rsid w:val="007925DF"/>
    <w:rsid w:val="007926B0"/>
    <w:rsid w:val="0079278B"/>
    <w:rsid w:val="0079569C"/>
    <w:rsid w:val="0079654E"/>
    <w:rsid w:val="007A08AA"/>
    <w:rsid w:val="007A0924"/>
    <w:rsid w:val="007A0A12"/>
    <w:rsid w:val="007A132D"/>
    <w:rsid w:val="007A1345"/>
    <w:rsid w:val="007A2D92"/>
    <w:rsid w:val="007A2DDB"/>
    <w:rsid w:val="007A4E04"/>
    <w:rsid w:val="007A5A39"/>
    <w:rsid w:val="007A70BA"/>
    <w:rsid w:val="007A72BC"/>
    <w:rsid w:val="007A75EC"/>
    <w:rsid w:val="007A7E76"/>
    <w:rsid w:val="007A7ED5"/>
    <w:rsid w:val="007B0D68"/>
    <w:rsid w:val="007B251D"/>
    <w:rsid w:val="007B3180"/>
    <w:rsid w:val="007B31D1"/>
    <w:rsid w:val="007B32A0"/>
    <w:rsid w:val="007B3533"/>
    <w:rsid w:val="007B4C6F"/>
    <w:rsid w:val="007B4F58"/>
    <w:rsid w:val="007B528D"/>
    <w:rsid w:val="007B63CA"/>
    <w:rsid w:val="007B77D1"/>
    <w:rsid w:val="007B784A"/>
    <w:rsid w:val="007B7A6D"/>
    <w:rsid w:val="007C07C7"/>
    <w:rsid w:val="007C16EF"/>
    <w:rsid w:val="007C1CD9"/>
    <w:rsid w:val="007C2B89"/>
    <w:rsid w:val="007C32EF"/>
    <w:rsid w:val="007C3553"/>
    <w:rsid w:val="007C361D"/>
    <w:rsid w:val="007C4B84"/>
    <w:rsid w:val="007C5511"/>
    <w:rsid w:val="007C635C"/>
    <w:rsid w:val="007C70FF"/>
    <w:rsid w:val="007C7101"/>
    <w:rsid w:val="007C7C25"/>
    <w:rsid w:val="007D004F"/>
    <w:rsid w:val="007D035F"/>
    <w:rsid w:val="007D0412"/>
    <w:rsid w:val="007D069E"/>
    <w:rsid w:val="007D06B2"/>
    <w:rsid w:val="007D0961"/>
    <w:rsid w:val="007D0B38"/>
    <w:rsid w:val="007D16EF"/>
    <w:rsid w:val="007D2CD6"/>
    <w:rsid w:val="007D2D00"/>
    <w:rsid w:val="007D5440"/>
    <w:rsid w:val="007D5593"/>
    <w:rsid w:val="007D68AE"/>
    <w:rsid w:val="007D69EB"/>
    <w:rsid w:val="007D6DFB"/>
    <w:rsid w:val="007E0AEA"/>
    <w:rsid w:val="007E128F"/>
    <w:rsid w:val="007E3916"/>
    <w:rsid w:val="007E41C1"/>
    <w:rsid w:val="007E67B9"/>
    <w:rsid w:val="007F1017"/>
    <w:rsid w:val="007F14F7"/>
    <w:rsid w:val="007F1813"/>
    <w:rsid w:val="007F187E"/>
    <w:rsid w:val="007F4A3F"/>
    <w:rsid w:val="007F4A61"/>
    <w:rsid w:val="007F4D48"/>
    <w:rsid w:val="007F5255"/>
    <w:rsid w:val="007F56CC"/>
    <w:rsid w:val="007F61C2"/>
    <w:rsid w:val="007F7657"/>
    <w:rsid w:val="008001EA"/>
    <w:rsid w:val="00802950"/>
    <w:rsid w:val="00803954"/>
    <w:rsid w:val="00804612"/>
    <w:rsid w:val="00804AFC"/>
    <w:rsid w:val="0080508E"/>
    <w:rsid w:val="00805142"/>
    <w:rsid w:val="00805FCE"/>
    <w:rsid w:val="00807A8B"/>
    <w:rsid w:val="00811383"/>
    <w:rsid w:val="00812149"/>
    <w:rsid w:val="00812CAC"/>
    <w:rsid w:val="00814B8C"/>
    <w:rsid w:val="008155F2"/>
    <w:rsid w:val="00815643"/>
    <w:rsid w:val="008157CF"/>
    <w:rsid w:val="00815A25"/>
    <w:rsid w:val="00816361"/>
    <w:rsid w:val="008166EF"/>
    <w:rsid w:val="00816FEF"/>
    <w:rsid w:val="00817984"/>
    <w:rsid w:val="00820A8C"/>
    <w:rsid w:val="00820EED"/>
    <w:rsid w:val="008215FB"/>
    <w:rsid w:val="00821B6B"/>
    <w:rsid w:val="00821ED0"/>
    <w:rsid w:val="008220CC"/>
    <w:rsid w:val="00822154"/>
    <w:rsid w:val="00822AF6"/>
    <w:rsid w:val="00823174"/>
    <w:rsid w:val="00823645"/>
    <w:rsid w:val="00823C42"/>
    <w:rsid w:val="00825741"/>
    <w:rsid w:val="00825751"/>
    <w:rsid w:val="00825F74"/>
    <w:rsid w:val="008264EB"/>
    <w:rsid w:val="00826537"/>
    <w:rsid w:val="008268CE"/>
    <w:rsid w:val="00826C3A"/>
    <w:rsid w:val="00826C92"/>
    <w:rsid w:val="00827C23"/>
    <w:rsid w:val="00830DDA"/>
    <w:rsid w:val="008316AF"/>
    <w:rsid w:val="00831730"/>
    <w:rsid w:val="0083335D"/>
    <w:rsid w:val="0083362E"/>
    <w:rsid w:val="00833B05"/>
    <w:rsid w:val="00835779"/>
    <w:rsid w:val="00835D63"/>
    <w:rsid w:val="008362B4"/>
    <w:rsid w:val="00837BA2"/>
    <w:rsid w:val="00837FC1"/>
    <w:rsid w:val="00840CA2"/>
    <w:rsid w:val="00841594"/>
    <w:rsid w:val="00842A7B"/>
    <w:rsid w:val="008432AE"/>
    <w:rsid w:val="0084374F"/>
    <w:rsid w:val="00844A22"/>
    <w:rsid w:val="00845B62"/>
    <w:rsid w:val="00846072"/>
    <w:rsid w:val="00846E29"/>
    <w:rsid w:val="008471DE"/>
    <w:rsid w:val="00847703"/>
    <w:rsid w:val="00847DF5"/>
    <w:rsid w:val="00851540"/>
    <w:rsid w:val="008528B4"/>
    <w:rsid w:val="00852CDF"/>
    <w:rsid w:val="0085309D"/>
    <w:rsid w:val="00853129"/>
    <w:rsid w:val="00853B61"/>
    <w:rsid w:val="00854F5E"/>
    <w:rsid w:val="008550D2"/>
    <w:rsid w:val="0085547E"/>
    <w:rsid w:val="008564DC"/>
    <w:rsid w:val="00856897"/>
    <w:rsid w:val="00856A45"/>
    <w:rsid w:val="00856E9A"/>
    <w:rsid w:val="0086075D"/>
    <w:rsid w:val="00861D64"/>
    <w:rsid w:val="00862014"/>
    <w:rsid w:val="00862502"/>
    <w:rsid w:val="00862A2F"/>
    <w:rsid w:val="00862CC1"/>
    <w:rsid w:val="00863995"/>
    <w:rsid w:val="00864260"/>
    <w:rsid w:val="008642A7"/>
    <w:rsid w:val="008660D4"/>
    <w:rsid w:val="008665BE"/>
    <w:rsid w:val="00866D9C"/>
    <w:rsid w:val="008679D3"/>
    <w:rsid w:val="00867A1D"/>
    <w:rsid w:val="00871B5E"/>
    <w:rsid w:val="00871FA9"/>
    <w:rsid w:val="008726E9"/>
    <w:rsid w:val="00872822"/>
    <w:rsid w:val="008728E9"/>
    <w:rsid w:val="00873B36"/>
    <w:rsid w:val="00873C07"/>
    <w:rsid w:val="00874CA9"/>
    <w:rsid w:val="00876D5F"/>
    <w:rsid w:val="008775C9"/>
    <w:rsid w:val="00877EFF"/>
    <w:rsid w:val="0088025F"/>
    <w:rsid w:val="00880A50"/>
    <w:rsid w:val="00882092"/>
    <w:rsid w:val="00882874"/>
    <w:rsid w:val="00882E3C"/>
    <w:rsid w:val="0088308A"/>
    <w:rsid w:val="00883787"/>
    <w:rsid w:val="008838BF"/>
    <w:rsid w:val="00883B76"/>
    <w:rsid w:val="00884CCC"/>
    <w:rsid w:val="0088557D"/>
    <w:rsid w:val="008855E4"/>
    <w:rsid w:val="00886CD2"/>
    <w:rsid w:val="00891E6F"/>
    <w:rsid w:val="00891F13"/>
    <w:rsid w:val="0089275D"/>
    <w:rsid w:val="008929B0"/>
    <w:rsid w:val="00892A36"/>
    <w:rsid w:val="008931E1"/>
    <w:rsid w:val="00893239"/>
    <w:rsid w:val="00893F06"/>
    <w:rsid w:val="00894489"/>
    <w:rsid w:val="008947B1"/>
    <w:rsid w:val="008948BE"/>
    <w:rsid w:val="00894B4A"/>
    <w:rsid w:val="00894CD6"/>
    <w:rsid w:val="008963A5"/>
    <w:rsid w:val="00896D5D"/>
    <w:rsid w:val="008976A3"/>
    <w:rsid w:val="008A0084"/>
    <w:rsid w:val="008A3158"/>
    <w:rsid w:val="008A3363"/>
    <w:rsid w:val="008A3371"/>
    <w:rsid w:val="008A3750"/>
    <w:rsid w:val="008A3C3E"/>
    <w:rsid w:val="008A40DC"/>
    <w:rsid w:val="008A65B0"/>
    <w:rsid w:val="008A6C67"/>
    <w:rsid w:val="008A7175"/>
    <w:rsid w:val="008A79DE"/>
    <w:rsid w:val="008B04DA"/>
    <w:rsid w:val="008B1757"/>
    <w:rsid w:val="008B18AF"/>
    <w:rsid w:val="008B1C33"/>
    <w:rsid w:val="008B43E0"/>
    <w:rsid w:val="008B4B6F"/>
    <w:rsid w:val="008B66E5"/>
    <w:rsid w:val="008B6915"/>
    <w:rsid w:val="008B6F49"/>
    <w:rsid w:val="008B7992"/>
    <w:rsid w:val="008B79A8"/>
    <w:rsid w:val="008B7D7E"/>
    <w:rsid w:val="008B7F79"/>
    <w:rsid w:val="008C1547"/>
    <w:rsid w:val="008C1912"/>
    <w:rsid w:val="008C2079"/>
    <w:rsid w:val="008C4598"/>
    <w:rsid w:val="008C5353"/>
    <w:rsid w:val="008C5610"/>
    <w:rsid w:val="008C5739"/>
    <w:rsid w:val="008C7282"/>
    <w:rsid w:val="008C7427"/>
    <w:rsid w:val="008C7ECB"/>
    <w:rsid w:val="008D0FF7"/>
    <w:rsid w:val="008D2BCF"/>
    <w:rsid w:val="008D31CD"/>
    <w:rsid w:val="008D3B86"/>
    <w:rsid w:val="008D3ED3"/>
    <w:rsid w:val="008D4398"/>
    <w:rsid w:val="008D43FD"/>
    <w:rsid w:val="008D4755"/>
    <w:rsid w:val="008D4C3D"/>
    <w:rsid w:val="008D743C"/>
    <w:rsid w:val="008D75FD"/>
    <w:rsid w:val="008E0618"/>
    <w:rsid w:val="008E0D3C"/>
    <w:rsid w:val="008E1B9E"/>
    <w:rsid w:val="008E39D0"/>
    <w:rsid w:val="008E55AB"/>
    <w:rsid w:val="008E68C1"/>
    <w:rsid w:val="008E6ED8"/>
    <w:rsid w:val="008E7810"/>
    <w:rsid w:val="008F02ED"/>
    <w:rsid w:val="008F05E2"/>
    <w:rsid w:val="008F0C36"/>
    <w:rsid w:val="008F120A"/>
    <w:rsid w:val="008F27E0"/>
    <w:rsid w:val="008F48EB"/>
    <w:rsid w:val="008F4F0B"/>
    <w:rsid w:val="008F6AAD"/>
    <w:rsid w:val="008F75FE"/>
    <w:rsid w:val="008F7714"/>
    <w:rsid w:val="009003ED"/>
    <w:rsid w:val="0090088E"/>
    <w:rsid w:val="00901F2D"/>
    <w:rsid w:val="0090266C"/>
    <w:rsid w:val="009046C4"/>
    <w:rsid w:val="009049D7"/>
    <w:rsid w:val="00904BC2"/>
    <w:rsid w:val="00905071"/>
    <w:rsid w:val="00906031"/>
    <w:rsid w:val="009062A5"/>
    <w:rsid w:val="00906876"/>
    <w:rsid w:val="00907525"/>
    <w:rsid w:val="00907699"/>
    <w:rsid w:val="00910B7E"/>
    <w:rsid w:val="00910FA7"/>
    <w:rsid w:val="00911272"/>
    <w:rsid w:val="00911339"/>
    <w:rsid w:val="00912964"/>
    <w:rsid w:val="00912C36"/>
    <w:rsid w:val="009130FF"/>
    <w:rsid w:val="009135D6"/>
    <w:rsid w:val="00914141"/>
    <w:rsid w:val="0091440B"/>
    <w:rsid w:val="009146E4"/>
    <w:rsid w:val="00914C77"/>
    <w:rsid w:val="00917450"/>
    <w:rsid w:val="009178B1"/>
    <w:rsid w:val="00917C5C"/>
    <w:rsid w:val="009213E8"/>
    <w:rsid w:val="00921ACB"/>
    <w:rsid w:val="00921FCD"/>
    <w:rsid w:val="0092369B"/>
    <w:rsid w:val="0092478D"/>
    <w:rsid w:val="00926183"/>
    <w:rsid w:val="00931A90"/>
    <w:rsid w:val="00933620"/>
    <w:rsid w:val="00933639"/>
    <w:rsid w:val="00934988"/>
    <w:rsid w:val="00934F39"/>
    <w:rsid w:val="00935B0F"/>
    <w:rsid w:val="00935B9B"/>
    <w:rsid w:val="00936D1D"/>
    <w:rsid w:val="00936E5F"/>
    <w:rsid w:val="00937089"/>
    <w:rsid w:val="009370BF"/>
    <w:rsid w:val="00937C19"/>
    <w:rsid w:val="0094017F"/>
    <w:rsid w:val="00940612"/>
    <w:rsid w:val="0094257E"/>
    <w:rsid w:val="0094289B"/>
    <w:rsid w:val="00943463"/>
    <w:rsid w:val="00944F8A"/>
    <w:rsid w:val="009457D8"/>
    <w:rsid w:val="00946CCB"/>
    <w:rsid w:val="00947C76"/>
    <w:rsid w:val="00947CCE"/>
    <w:rsid w:val="009510A2"/>
    <w:rsid w:val="0095192A"/>
    <w:rsid w:val="0095273E"/>
    <w:rsid w:val="00953257"/>
    <w:rsid w:val="00953297"/>
    <w:rsid w:val="00953F4B"/>
    <w:rsid w:val="009540AB"/>
    <w:rsid w:val="0095474C"/>
    <w:rsid w:val="00954AA5"/>
    <w:rsid w:val="009563EF"/>
    <w:rsid w:val="009565B4"/>
    <w:rsid w:val="00956D42"/>
    <w:rsid w:val="00956EF1"/>
    <w:rsid w:val="009578BF"/>
    <w:rsid w:val="00957D92"/>
    <w:rsid w:val="009607C3"/>
    <w:rsid w:val="00962CB9"/>
    <w:rsid w:val="009636A7"/>
    <w:rsid w:val="00963E5D"/>
    <w:rsid w:val="00964312"/>
    <w:rsid w:val="0096486B"/>
    <w:rsid w:val="00964F79"/>
    <w:rsid w:val="009652CA"/>
    <w:rsid w:val="00965B8A"/>
    <w:rsid w:val="00965DA0"/>
    <w:rsid w:val="00967FD9"/>
    <w:rsid w:val="0097071F"/>
    <w:rsid w:val="009717AC"/>
    <w:rsid w:val="00973CE9"/>
    <w:rsid w:val="00973FAF"/>
    <w:rsid w:val="00974C7B"/>
    <w:rsid w:val="00974E1B"/>
    <w:rsid w:val="009751C1"/>
    <w:rsid w:val="00980450"/>
    <w:rsid w:val="00980A8C"/>
    <w:rsid w:val="009811F1"/>
    <w:rsid w:val="0098179B"/>
    <w:rsid w:val="00981BE5"/>
    <w:rsid w:val="00983067"/>
    <w:rsid w:val="00983E51"/>
    <w:rsid w:val="00983E57"/>
    <w:rsid w:val="00984041"/>
    <w:rsid w:val="009840B3"/>
    <w:rsid w:val="0098526D"/>
    <w:rsid w:val="009852BC"/>
    <w:rsid w:val="009854EB"/>
    <w:rsid w:val="00985DE2"/>
    <w:rsid w:val="0098675D"/>
    <w:rsid w:val="00987BA4"/>
    <w:rsid w:val="009909B1"/>
    <w:rsid w:val="00990C3B"/>
    <w:rsid w:val="00991618"/>
    <w:rsid w:val="009926E0"/>
    <w:rsid w:val="0099296E"/>
    <w:rsid w:val="00993732"/>
    <w:rsid w:val="00993B54"/>
    <w:rsid w:val="0099451E"/>
    <w:rsid w:val="0099634F"/>
    <w:rsid w:val="00996B1A"/>
    <w:rsid w:val="009A18F6"/>
    <w:rsid w:val="009A2DCC"/>
    <w:rsid w:val="009A2EDB"/>
    <w:rsid w:val="009A306A"/>
    <w:rsid w:val="009A3982"/>
    <w:rsid w:val="009A3C63"/>
    <w:rsid w:val="009A4090"/>
    <w:rsid w:val="009A451F"/>
    <w:rsid w:val="009A5ABC"/>
    <w:rsid w:val="009A7F10"/>
    <w:rsid w:val="009B151A"/>
    <w:rsid w:val="009B22B1"/>
    <w:rsid w:val="009B3E26"/>
    <w:rsid w:val="009B5216"/>
    <w:rsid w:val="009B5E90"/>
    <w:rsid w:val="009B5EE2"/>
    <w:rsid w:val="009B6AC6"/>
    <w:rsid w:val="009B7EF5"/>
    <w:rsid w:val="009C1271"/>
    <w:rsid w:val="009C14BC"/>
    <w:rsid w:val="009C1F1F"/>
    <w:rsid w:val="009C3330"/>
    <w:rsid w:val="009C3706"/>
    <w:rsid w:val="009C3A3A"/>
    <w:rsid w:val="009C4BF5"/>
    <w:rsid w:val="009C5829"/>
    <w:rsid w:val="009C594C"/>
    <w:rsid w:val="009C6CEA"/>
    <w:rsid w:val="009C7B85"/>
    <w:rsid w:val="009C7DBE"/>
    <w:rsid w:val="009D0254"/>
    <w:rsid w:val="009D0F5D"/>
    <w:rsid w:val="009D1A64"/>
    <w:rsid w:val="009D1F4D"/>
    <w:rsid w:val="009D2917"/>
    <w:rsid w:val="009D2A8D"/>
    <w:rsid w:val="009D3207"/>
    <w:rsid w:val="009D3619"/>
    <w:rsid w:val="009D3F48"/>
    <w:rsid w:val="009D4135"/>
    <w:rsid w:val="009D5B91"/>
    <w:rsid w:val="009D792E"/>
    <w:rsid w:val="009E034F"/>
    <w:rsid w:val="009E0DFE"/>
    <w:rsid w:val="009E13AA"/>
    <w:rsid w:val="009E1B5D"/>
    <w:rsid w:val="009E1D69"/>
    <w:rsid w:val="009E28F5"/>
    <w:rsid w:val="009E31F6"/>
    <w:rsid w:val="009E4B30"/>
    <w:rsid w:val="009E4C07"/>
    <w:rsid w:val="009E5B9B"/>
    <w:rsid w:val="009E60B5"/>
    <w:rsid w:val="009E777F"/>
    <w:rsid w:val="009F195B"/>
    <w:rsid w:val="009F3304"/>
    <w:rsid w:val="009F6119"/>
    <w:rsid w:val="009F6120"/>
    <w:rsid w:val="009F7E4E"/>
    <w:rsid w:val="009F7F0D"/>
    <w:rsid w:val="00A00D76"/>
    <w:rsid w:val="00A01184"/>
    <w:rsid w:val="00A01449"/>
    <w:rsid w:val="00A037C2"/>
    <w:rsid w:val="00A03D43"/>
    <w:rsid w:val="00A04380"/>
    <w:rsid w:val="00A04786"/>
    <w:rsid w:val="00A05179"/>
    <w:rsid w:val="00A05472"/>
    <w:rsid w:val="00A05C32"/>
    <w:rsid w:val="00A05C5E"/>
    <w:rsid w:val="00A05DB1"/>
    <w:rsid w:val="00A0653F"/>
    <w:rsid w:val="00A06670"/>
    <w:rsid w:val="00A1018F"/>
    <w:rsid w:val="00A11CD0"/>
    <w:rsid w:val="00A11F3D"/>
    <w:rsid w:val="00A130B0"/>
    <w:rsid w:val="00A13948"/>
    <w:rsid w:val="00A13E92"/>
    <w:rsid w:val="00A1555B"/>
    <w:rsid w:val="00A155C5"/>
    <w:rsid w:val="00A16AD8"/>
    <w:rsid w:val="00A1785D"/>
    <w:rsid w:val="00A2021E"/>
    <w:rsid w:val="00A213DA"/>
    <w:rsid w:val="00A2184E"/>
    <w:rsid w:val="00A21C95"/>
    <w:rsid w:val="00A21CF3"/>
    <w:rsid w:val="00A21D8A"/>
    <w:rsid w:val="00A241BF"/>
    <w:rsid w:val="00A24813"/>
    <w:rsid w:val="00A24B66"/>
    <w:rsid w:val="00A253D9"/>
    <w:rsid w:val="00A256D3"/>
    <w:rsid w:val="00A25E70"/>
    <w:rsid w:val="00A260C3"/>
    <w:rsid w:val="00A27AEC"/>
    <w:rsid w:val="00A308FA"/>
    <w:rsid w:val="00A320DB"/>
    <w:rsid w:val="00A338FF"/>
    <w:rsid w:val="00A34541"/>
    <w:rsid w:val="00A35409"/>
    <w:rsid w:val="00A35580"/>
    <w:rsid w:val="00A35D16"/>
    <w:rsid w:val="00A37BCD"/>
    <w:rsid w:val="00A4070E"/>
    <w:rsid w:val="00A41689"/>
    <w:rsid w:val="00A42259"/>
    <w:rsid w:val="00A42592"/>
    <w:rsid w:val="00A43AA4"/>
    <w:rsid w:val="00A43C59"/>
    <w:rsid w:val="00A43F91"/>
    <w:rsid w:val="00A44329"/>
    <w:rsid w:val="00A47E82"/>
    <w:rsid w:val="00A5029D"/>
    <w:rsid w:val="00A50ECD"/>
    <w:rsid w:val="00A518F3"/>
    <w:rsid w:val="00A52729"/>
    <w:rsid w:val="00A53675"/>
    <w:rsid w:val="00A53CFA"/>
    <w:rsid w:val="00A55EC6"/>
    <w:rsid w:val="00A564D7"/>
    <w:rsid w:val="00A56B6A"/>
    <w:rsid w:val="00A56D82"/>
    <w:rsid w:val="00A578DC"/>
    <w:rsid w:val="00A617E8"/>
    <w:rsid w:val="00A618C1"/>
    <w:rsid w:val="00A640E2"/>
    <w:rsid w:val="00A64D65"/>
    <w:rsid w:val="00A64EB0"/>
    <w:rsid w:val="00A669E1"/>
    <w:rsid w:val="00A6725B"/>
    <w:rsid w:val="00A70391"/>
    <w:rsid w:val="00A70605"/>
    <w:rsid w:val="00A73134"/>
    <w:rsid w:val="00A7365A"/>
    <w:rsid w:val="00A7485E"/>
    <w:rsid w:val="00A76001"/>
    <w:rsid w:val="00A762AA"/>
    <w:rsid w:val="00A76DEF"/>
    <w:rsid w:val="00A773B4"/>
    <w:rsid w:val="00A777B2"/>
    <w:rsid w:val="00A811EE"/>
    <w:rsid w:val="00A813BA"/>
    <w:rsid w:val="00A819BB"/>
    <w:rsid w:val="00A825D4"/>
    <w:rsid w:val="00A828F6"/>
    <w:rsid w:val="00A82B73"/>
    <w:rsid w:val="00A856A2"/>
    <w:rsid w:val="00A85B88"/>
    <w:rsid w:val="00A85C0A"/>
    <w:rsid w:val="00A86E8B"/>
    <w:rsid w:val="00A87125"/>
    <w:rsid w:val="00A87164"/>
    <w:rsid w:val="00A871A9"/>
    <w:rsid w:val="00A875AB"/>
    <w:rsid w:val="00A91198"/>
    <w:rsid w:val="00A9126A"/>
    <w:rsid w:val="00A915E4"/>
    <w:rsid w:val="00A92CF2"/>
    <w:rsid w:val="00A92DCD"/>
    <w:rsid w:val="00A92F43"/>
    <w:rsid w:val="00A93072"/>
    <w:rsid w:val="00A938BD"/>
    <w:rsid w:val="00A93953"/>
    <w:rsid w:val="00A94278"/>
    <w:rsid w:val="00A9515D"/>
    <w:rsid w:val="00A952AF"/>
    <w:rsid w:val="00A959D8"/>
    <w:rsid w:val="00A96309"/>
    <w:rsid w:val="00A96456"/>
    <w:rsid w:val="00A96F3E"/>
    <w:rsid w:val="00A971A9"/>
    <w:rsid w:val="00AA02AA"/>
    <w:rsid w:val="00AA03F8"/>
    <w:rsid w:val="00AA113D"/>
    <w:rsid w:val="00AA1221"/>
    <w:rsid w:val="00AA1948"/>
    <w:rsid w:val="00AA1D67"/>
    <w:rsid w:val="00AA272E"/>
    <w:rsid w:val="00AA3010"/>
    <w:rsid w:val="00AA353E"/>
    <w:rsid w:val="00AA3AC2"/>
    <w:rsid w:val="00AA43F3"/>
    <w:rsid w:val="00AA5AD1"/>
    <w:rsid w:val="00AA6BD5"/>
    <w:rsid w:val="00AA6BD8"/>
    <w:rsid w:val="00AA6C7D"/>
    <w:rsid w:val="00AA798D"/>
    <w:rsid w:val="00AA7FD6"/>
    <w:rsid w:val="00AB0285"/>
    <w:rsid w:val="00AB042A"/>
    <w:rsid w:val="00AB11AD"/>
    <w:rsid w:val="00AB19EF"/>
    <w:rsid w:val="00AB2495"/>
    <w:rsid w:val="00AB2D34"/>
    <w:rsid w:val="00AB317F"/>
    <w:rsid w:val="00AB337D"/>
    <w:rsid w:val="00AB3430"/>
    <w:rsid w:val="00AB37B9"/>
    <w:rsid w:val="00AB4133"/>
    <w:rsid w:val="00AB4AD1"/>
    <w:rsid w:val="00AB520E"/>
    <w:rsid w:val="00AB5E07"/>
    <w:rsid w:val="00AB6759"/>
    <w:rsid w:val="00AB6B85"/>
    <w:rsid w:val="00AB6F6C"/>
    <w:rsid w:val="00AB773A"/>
    <w:rsid w:val="00AB7CFA"/>
    <w:rsid w:val="00AC0112"/>
    <w:rsid w:val="00AC04A0"/>
    <w:rsid w:val="00AC2250"/>
    <w:rsid w:val="00AC304C"/>
    <w:rsid w:val="00AC32D9"/>
    <w:rsid w:val="00AC33DA"/>
    <w:rsid w:val="00AC4B7F"/>
    <w:rsid w:val="00AC5B42"/>
    <w:rsid w:val="00AC5B48"/>
    <w:rsid w:val="00AC62F8"/>
    <w:rsid w:val="00AC7A68"/>
    <w:rsid w:val="00AD0003"/>
    <w:rsid w:val="00AD1450"/>
    <w:rsid w:val="00AD15E8"/>
    <w:rsid w:val="00AD2454"/>
    <w:rsid w:val="00AD356D"/>
    <w:rsid w:val="00AD41CF"/>
    <w:rsid w:val="00AD5BA8"/>
    <w:rsid w:val="00AD5DA1"/>
    <w:rsid w:val="00AD5F3E"/>
    <w:rsid w:val="00AD6502"/>
    <w:rsid w:val="00AD6B0C"/>
    <w:rsid w:val="00AE0695"/>
    <w:rsid w:val="00AE09D4"/>
    <w:rsid w:val="00AE1FE5"/>
    <w:rsid w:val="00AE2012"/>
    <w:rsid w:val="00AE22BB"/>
    <w:rsid w:val="00AE3CE3"/>
    <w:rsid w:val="00AE3E7E"/>
    <w:rsid w:val="00AE69ED"/>
    <w:rsid w:val="00AE6F73"/>
    <w:rsid w:val="00AE753F"/>
    <w:rsid w:val="00AE77F1"/>
    <w:rsid w:val="00AE7E53"/>
    <w:rsid w:val="00AF00F6"/>
    <w:rsid w:val="00AF0E2C"/>
    <w:rsid w:val="00AF1315"/>
    <w:rsid w:val="00AF19BF"/>
    <w:rsid w:val="00AF2DC3"/>
    <w:rsid w:val="00AF2F35"/>
    <w:rsid w:val="00AF5295"/>
    <w:rsid w:val="00AF7E42"/>
    <w:rsid w:val="00B023B8"/>
    <w:rsid w:val="00B02EEB"/>
    <w:rsid w:val="00B030A1"/>
    <w:rsid w:val="00B033E5"/>
    <w:rsid w:val="00B03A63"/>
    <w:rsid w:val="00B03DE1"/>
    <w:rsid w:val="00B04BFF"/>
    <w:rsid w:val="00B06672"/>
    <w:rsid w:val="00B06E05"/>
    <w:rsid w:val="00B101C4"/>
    <w:rsid w:val="00B103B8"/>
    <w:rsid w:val="00B10B83"/>
    <w:rsid w:val="00B11B5A"/>
    <w:rsid w:val="00B12865"/>
    <w:rsid w:val="00B129A4"/>
    <w:rsid w:val="00B12D55"/>
    <w:rsid w:val="00B13EFC"/>
    <w:rsid w:val="00B1552F"/>
    <w:rsid w:val="00B15ABD"/>
    <w:rsid w:val="00B163DD"/>
    <w:rsid w:val="00B201A4"/>
    <w:rsid w:val="00B201D1"/>
    <w:rsid w:val="00B20246"/>
    <w:rsid w:val="00B213A6"/>
    <w:rsid w:val="00B21BDD"/>
    <w:rsid w:val="00B22C0B"/>
    <w:rsid w:val="00B234A6"/>
    <w:rsid w:val="00B235B0"/>
    <w:rsid w:val="00B23F47"/>
    <w:rsid w:val="00B244E1"/>
    <w:rsid w:val="00B24DF6"/>
    <w:rsid w:val="00B27A61"/>
    <w:rsid w:val="00B27B01"/>
    <w:rsid w:val="00B27EF5"/>
    <w:rsid w:val="00B31ABE"/>
    <w:rsid w:val="00B33ADF"/>
    <w:rsid w:val="00B34300"/>
    <w:rsid w:val="00B3452A"/>
    <w:rsid w:val="00B34A32"/>
    <w:rsid w:val="00B34CDA"/>
    <w:rsid w:val="00B34FE2"/>
    <w:rsid w:val="00B35166"/>
    <w:rsid w:val="00B355AA"/>
    <w:rsid w:val="00B355ED"/>
    <w:rsid w:val="00B357D8"/>
    <w:rsid w:val="00B358AD"/>
    <w:rsid w:val="00B360F4"/>
    <w:rsid w:val="00B36A00"/>
    <w:rsid w:val="00B37621"/>
    <w:rsid w:val="00B3792B"/>
    <w:rsid w:val="00B37BFC"/>
    <w:rsid w:val="00B40358"/>
    <w:rsid w:val="00B40A1A"/>
    <w:rsid w:val="00B4126B"/>
    <w:rsid w:val="00B41614"/>
    <w:rsid w:val="00B41914"/>
    <w:rsid w:val="00B42851"/>
    <w:rsid w:val="00B42BC3"/>
    <w:rsid w:val="00B42E4D"/>
    <w:rsid w:val="00B42F80"/>
    <w:rsid w:val="00B435CB"/>
    <w:rsid w:val="00B4402F"/>
    <w:rsid w:val="00B4442E"/>
    <w:rsid w:val="00B44F3B"/>
    <w:rsid w:val="00B460E3"/>
    <w:rsid w:val="00B465EC"/>
    <w:rsid w:val="00B477B4"/>
    <w:rsid w:val="00B503A3"/>
    <w:rsid w:val="00B505C8"/>
    <w:rsid w:val="00B50B11"/>
    <w:rsid w:val="00B50D42"/>
    <w:rsid w:val="00B50DB8"/>
    <w:rsid w:val="00B51078"/>
    <w:rsid w:val="00B518A5"/>
    <w:rsid w:val="00B52204"/>
    <w:rsid w:val="00B53506"/>
    <w:rsid w:val="00B53611"/>
    <w:rsid w:val="00B53654"/>
    <w:rsid w:val="00B53905"/>
    <w:rsid w:val="00B546DB"/>
    <w:rsid w:val="00B54B5B"/>
    <w:rsid w:val="00B5501A"/>
    <w:rsid w:val="00B5562E"/>
    <w:rsid w:val="00B55862"/>
    <w:rsid w:val="00B55D65"/>
    <w:rsid w:val="00B56305"/>
    <w:rsid w:val="00B57000"/>
    <w:rsid w:val="00B603FE"/>
    <w:rsid w:val="00B604F7"/>
    <w:rsid w:val="00B60939"/>
    <w:rsid w:val="00B60AFD"/>
    <w:rsid w:val="00B6112A"/>
    <w:rsid w:val="00B62715"/>
    <w:rsid w:val="00B63D76"/>
    <w:rsid w:val="00B64CDA"/>
    <w:rsid w:val="00B64DED"/>
    <w:rsid w:val="00B64F97"/>
    <w:rsid w:val="00B65611"/>
    <w:rsid w:val="00B66651"/>
    <w:rsid w:val="00B66708"/>
    <w:rsid w:val="00B66D93"/>
    <w:rsid w:val="00B67CCF"/>
    <w:rsid w:val="00B709E5"/>
    <w:rsid w:val="00B70E8E"/>
    <w:rsid w:val="00B7219E"/>
    <w:rsid w:val="00B723CA"/>
    <w:rsid w:val="00B72538"/>
    <w:rsid w:val="00B726FA"/>
    <w:rsid w:val="00B72CE0"/>
    <w:rsid w:val="00B736E5"/>
    <w:rsid w:val="00B7588F"/>
    <w:rsid w:val="00B75F8B"/>
    <w:rsid w:val="00B76C92"/>
    <w:rsid w:val="00B77297"/>
    <w:rsid w:val="00B773B9"/>
    <w:rsid w:val="00B77856"/>
    <w:rsid w:val="00B77894"/>
    <w:rsid w:val="00B80EFD"/>
    <w:rsid w:val="00B80F7A"/>
    <w:rsid w:val="00B81587"/>
    <w:rsid w:val="00B818A4"/>
    <w:rsid w:val="00B832BF"/>
    <w:rsid w:val="00B83739"/>
    <w:rsid w:val="00B8386A"/>
    <w:rsid w:val="00B83E08"/>
    <w:rsid w:val="00B84117"/>
    <w:rsid w:val="00B8415E"/>
    <w:rsid w:val="00B848E4"/>
    <w:rsid w:val="00B858F0"/>
    <w:rsid w:val="00B85AA2"/>
    <w:rsid w:val="00B8649C"/>
    <w:rsid w:val="00B8656B"/>
    <w:rsid w:val="00B868FE"/>
    <w:rsid w:val="00B8695D"/>
    <w:rsid w:val="00B875CB"/>
    <w:rsid w:val="00B87F0A"/>
    <w:rsid w:val="00B902BA"/>
    <w:rsid w:val="00B9136D"/>
    <w:rsid w:val="00B91763"/>
    <w:rsid w:val="00B92D0B"/>
    <w:rsid w:val="00B93401"/>
    <w:rsid w:val="00B9481C"/>
    <w:rsid w:val="00B94945"/>
    <w:rsid w:val="00B94DD6"/>
    <w:rsid w:val="00B953F0"/>
    <w:rsid w:val="00B977EA"/>
    <w:rsid w:val="00BA074A"/>
    <w:rsid w:val="00BA0D57"/>
    <w:rsid w:val="00BA0D60"/>
    <w:rsid w:val="00BA162C"/>
    <w:rsid w:val="00BA1DF8"/>
    <w:rsid w:val="00BA25A3"/>
    <w:rsid w:val="00BA273E"/>
    <w:rsid w:val="00BA2DD5"/>
    <w:rsid w:val="00BA322D"/>
    <w:rsid w:val="00BA33AC"/>
    <w:rsid w:val="00BA63FA"/>
    <w:rsid w:val="00BA6FDE"/>
    <w:rsid w:val="00BA7B5E"/>
    <w:rsid w:val="00BA7D0A"/>
    <w:rsid w:val="00BB00B3"/>
    <w:rsid w:val="00BB0427"/>
    <w:rsid w:val="00BB05E2"/>
    <w:rsid w:val="00BB0BDD"/>
    <w:rsid w:val="00BB1392"/>
    <w:rsid w:val="00BB176C"/>
    <w:rsid w:val="00BB1D7E"/>
    <w:rsid w:val="00BB281C"/>
    <w:rsid w:val="00BB2A73"/>
    <w:rsid w:val="00BB3A45"/>
    <w:rsid w:val="00BB4ACC"/>
    <w:rsid w:val="00BB4F18"/>
    <w:rsid w:val="00BB703E"/>
    <w:rsid w:val="00BB732D"/>
    <w:rsid w:val="00BB7405"/>
    <w:rsid w:val="00BB7D65"/>
    <w:rsid w:val="00BC28E5"/>
    <w:rsid w:val="00BC3631"/>
    <w:rsid w:val="00BC3802"/>
    <w:rsid w:val="00BC591F"/>
    <w:rsid w:val="00BC6018"/>
    <w:rsid w:val="00BC794A"/>
    <w:rsid w:val="00BC7D6D"/>
    <w:rsid w:val="00BD034A"/>
    <w:rsid w:val="00BD05F0"/>
    <w:rsid w:val="00BD1EE4"/>
    <w:rsid w:val="00BD2108"/>
    <w:rsid w:val="00BD2E55"/>
    <w:rsid w:val="00BD416A"/>
    <w:rsid w:val="00BD4961"/>
    <w:rsid w:val="00BD4985"/>
    <w:rsid w:val="00BD5D79"/>
    <w:rsid w:val="00BD68A3"/>
    <w:rsid w:val="00BD6938"/>
    <w:rsid w:val="00BD6CF3"/>
    <w:rsid w:val="00BD7728"/>
    <w:rsid w:val="00BD7F72"/>
    <w:rsid w:val="00BE0682"/>
    <w:rsid w:val="00BE0ECA"/>
    <w:rsid w:val="00BE13F4"/>
    <w:rsid w:val="00BE1F9C"/>
    <w:rsid w:val="00BE2180"/>
    <w:rsid w:val="00BE21F2"/>
    <w:rsid w:val="00BE299D"/>
    <w:rsid w:val="00BE3E14"/>
    <w:rsid w:val="00BE4275"/>
    <w:rsid w:val="00BE6AE7"/>
    <w:rsid w:val="00BE6E58"/>
    <w:rsid w:val="00BE7130"/>
    <w:rsid w:val="00BE7591"/>
    <w:rsid w:val="00BE7F58"/>
    <w:rsid w:val="00BF06AE"/>
    <w:rsid w:val="00BF0F95"/>
    <w:rsid w:val="00BF1D60"/>
    <w:rsid w:val="00BF2433"/>
    <w:rsid w:val="00BF2E6E"/>
    <w:rsid w:val="00BF3917"/>
    <w:rsid w:val="00BF4B44"/>
    <w:rsid w:val="00BF4DCB"/>
    <w:rsid w:val="00BF61C9"/>
    <w:rsid w:val="00BF6C94"/>
    <w:rsid w:val="00BF6EA6"/>
    <w:rsid w:val="00C00424"/>
    <w:rsid w:val="00C00BB0"/>
    <w:rsid w:val="00C010DD"/>
    <w:rsid w:val="00C026C9"/>
    <w:rsid w:val="00C02FFD"/>
    <w:rsid w:val="00C03DC4"/>
    <w:rsid w:val="00C048B7"/>
    <w:rsid w:val="00C05A61"/>
    <w:rsid w:val="00C111DA"/>
    <w:rsid w:val="00C1179F"/>
    <w:rsid w:val="00C123C7"/>
    <w:rsid w:val="00C127B9"/>
    <w:rsid w:val="00C128FA"/>
    <w:rsid w:val="00C12A65"/>
    <w:rsid w:val="00C12C14"/>
    <w:rsid w:val="00C147C6"/>
    <w:rsid w:val="00C14A06"/>
    <w:rsid w:val="00C14D8F"/>
    <w:rsid w:val="00C1517F"/>
    <w:rsid w:val="00C15F04"/>
    <w:rsid w:val="00C160F6"/>
    <w:rsid w:val="00C16627"/>
    <w:rsid w:val="00C16640"/>
    <w:rsid w:val="00C16D7C"/>
    <w:rsid w:val="00C17051"/>
    <w:rsid w:val="00C179B3"/>
    <w:rsid w:val="00C17E3F"/>
    <w:rsid w:val="00C200AA"/>
    <w:rsid w:val="00C23212"/>
    <w:rsid w:val="00C237ED"/>
    <w:rsid w:val="00C241D5"/>
    <w:rsid w:val="00C24632"/>
    <w:rsid w:val="00C25418"/>
    <w:rsid w:val="00C255EA"/>
    <w:rsid w:val="00C25850"/>
    <w:rsid w:val="00C25D9C"/>
    <w:rsid w:val="00C25E39"/>
    <w:rsid w:val="00C2778B"/>
    <w:rsid w:val="00C2783C"/>
    <w:rsid w:val="00C31649"/>
    <w:rsid w:val="00C31AFD"/>
    <w:rsid w:val="00C32834"/>
    <w:rsid w:val="00C34230"/>
    <w:rsid w:val="00C3434C"/>
    <w:rsid w:val="00C346CC"/>
    <w:rsid w:val="00C3784C"/>
    <w:rsid w:val="00C40045"/>
    <w:rsid w:val="00C40385"/>
    <w:rsid w:val="00C40606"/>
    <w:rsid w:val="00C416A3"/>
    <w:rsid w:val="00C41768"/>
    <w:rsid w:val="00C431E9"/>
    <w:rsid w:val="00C43AA9"/>
    <w:rsid w:val="00C463FF"/>
    <w:rsid w:val="00C469F0"/>
    <w:rsid w:val="00C475AA"/>
    <w:rsid w:val="00C47E93"/>
    <w:rsid w:val="00C50ED4"/>
    <w:rsid w:val="00C51551"/>
    <w:rsid w:val="00C527C7"/>
    <w:rsid w:val="00C53965"/>
    <w:rsid w:val="00C53C98"/>
    <w:rsid w:val="00C551B4"/>
    <w:rsid w:val="00C551CC"/>
    <w:rsid w:val="00C5585C"/>
    <w:rsid w:val="00C56EF2"/>
    <w:rsid w:val="00C56FCF"/>
    <w:rsid w:val="00C5767D"/>
    <w:rsid w:val="00C57B6C"/>
    <w:rsid w:val="00C60519"/>
    <w:rsid w:val="00C61A59"/>
    <w:rsid w:val="00C61D2E"/>
    <w:rsid w:val="00C62284"/>
    <w:rsid w:val="00C626A6"/>
    <w:rsid w:val="00C628A6"/>
    <w:rsid w:val="00C64344"/>
    <w:rsid w:val="00C65108"/>
    <w:rsid w:val="00C65576"/>
    <w:rsid w:val="00C66165"/>
    <w:rsid w:val="00C66D3E"/>
    <w:rsid w:val="00C67790"/>
    <w:rsid w:val="00C70432"/>
    <w:rsid w:val="00C7060A"/>
    <w:rsid w:val="00C7151A"/>
    <w:rsid w:val="00C71711"/>
    <w:rsid w:val="00C717E3"/>
    <w:rsid w:val="00C71BB6"/>
    <w:rsid w:val="00C71F60"/>
    <w:rsid w:val="00C72241"/>
    <w:rsid w:val="00C7378C"/>
    <w:rsid w:val="00C7379E"/>
    <w:rsid w:val="00C73F38"/>
    <w:rsid w:val="00C74E5F"/>
    <w:rsid w:val="00C750C8"/>
    <w:rsid w:val="00C75375"/>
    <w:rsid w:val="00C753C6"/>
    <w:rsid w:val="00C7560F"/>
    <w:rsid w:val="00C75A6E"/>
    <w:rsid w:val="00C75DD9"/>
    <w:rsid w:val="00C76D0F"/>
    <w:rsid w:val="00C76DE2"/>
    <w:rsid w:val="00C773C9"/>
    <w:rsid w:val="00C800F7"/>
    <w:rsid w:val="00C80A0E"/>
    <w:rsid w:val="00C8213F"/>
    <w:rsid w:val="00C82E28"/>
    <w:rsid w:val="00C8303F"/>
    <w:rsid w:val="00C85154"/>
    <w:rsid w:val="00C85532"/>
    <w:rsid w:val="00C85770"/>
    <w:rsid w:val="00C85A70"/>
    <w:rsid w:val="00C866C9"/>
    <w:rsid w:val="00C8706C"/>
    <w:rsid w:val="00C87205"/>
    <w:rsid w:val="00C875F9"/>
    <w:rsid w:val="00C8797A"/>
    <w:rsid w:val="00C900B8"/>
    <w:rsid w:val="00C90197"/>
    <w:rsid w:val="00C90C71"/>
    <w:rsid w:val="00C91FD1"/>
    <w:rsid w:val="00C93004"/>
    <w:rsid w:val="00C931CF"/>
    <w:rsid w:val="00C938CF"/>
    <w:rsid w:val="00C94053"/>
    <w:rsid w:val="00C94374"/>
    <w:rsid w:val="00C9472D"/>
    <w:rsid w:val="00C95145"/>
    <w:rsid w:val="00C9624D"/>
    <w:rsid w:val="00C969DA"/>
    <w:rsid w:val="00C976EE"/>
    <w:rsid w:val="00CA186F"/>
    <w:rsid w:val="00CA1F8B"/>
    <w:rsid w:val="00CA2C77"/>
    <w:rsid w:val="00CA3EE2"/>
    <w:rsid w:val="00CA444F"/>
    <w:rsid w:val="00CA4829"/>
    <w:rsid w:val="00CA5245"/>
    <w:rsid w:val="00CA68E1"/>
    <w:rsid w:val="00CA71F4"/>
    <w:rsid w:val="00CA7B09"/>
    <w:rsid w:val="00CB01B0"/>
    <w:rsid w:val="00CB12A5"/>
    <w:rsid w:val="00CB1CAC"/>
    <w:rsid w:val="00CB1F54"/>
    <w:rsid w:val="00CB21A6"/>
    <w:rsid w:val="00CB2877"/>
    <w:rsid w:val="00CB2F2A"/>
    <w:rsid w:val="00CB38BC"/>
    <w:rsid w:val="00CB3981"/>
    <w:rsid w:val="00CB4A37"/>
    <w:rsid w:val="00CB5B1A"/>
    <w:rsid w:val="00CB6B22"/>
    <w:rsid w:val="00CB7903"/>
    <w:rsid w:val="00CB7F5F"/>
    <w:rsid w:val="00CC0D16"/>
    <w:rsid w:val="00CC1254"/>
    <w:rsid w:val="00CC1B39"/>
    <w:rsid w:val="00CC1BFA"/>
    <w:rsid w:val="00CC1C3D"/>
    <w:rsid w:val="00CC28EE"/>
    <w:rsid w:val="00CC2E9F"/>
    <w:rsid w:val="00CC35EA"/>
    <w:rsid w:val="00CC3848"/>
    <w:rsid w:val="00CC4A98"/>
    <w:rsid w:val="00CC506F"/>
    <w:rsid w:val="00CC5F58"/>
    <w:rsid w:val="00CC60F8"/>
    <w:rsid w:val="00CC6D5E"/>
    <w:rsid w:val="00CC71C1"/>
    <w:rsid w:val="00CC73A9"/>
    <w:rsid w:val="00CC7F49"/>
    <w:rsid w:val="00CD0029"/>
    <w:rsid w:val="00CD0200"/>
    <w:rsid w:val="00CD24BA"/>
    <w:rsid w:val="00CD2794"/>
    <w:rsid w:val="00CD3F77"/>
    <w:rsid w:val="00CD65BC"/>
    <w:rsid w:val="00CD6ADC"/>
    <w:rsid w:val="00CD6E6D"/>
    <w:rsid w:val="00CD7193"/>
    <w:rsid w:val="00CD73AD"/>
    <w:rsid w:val="00CD7CBA"/>
    <w:rsid w:val="00CD7FEA"/>
    <w:rsid w:val="00CE121D"/>
    <w:rsid w:val="00CE142A"/>
    <w:rsid w:val="00CE1A0B"/>
    <w:rsid w:val="00CE1C72"/>
    <w:rsid w:val="00CE22DC"/>
    <w:rsid w:val="00CE2D16"/>
    <w:rsid w:val="00CE380E"/>
    <w:rsid w:val="00CE38C8"/>
    <w:rsid w:val="00CE4E01"/>
    <w:rsid w:val="00CE524F"/>
    <w:rsid w:val="00CE58CC"/>
    <w:rsid w:val="00CE6274"/>
    <w:rsid w:val="00CE6ACD"/>
    <w:rsid w:val="00CE6B75"/>
    <w:rsid w:val="00CE77B6"/>
    <w:rsid w:val="00CF1452"/>
    <w:rsid w:val="00CF207A"/>
    <w:rsid w:val="00CF2725"/>
    <w:rsid w:val="00CF2B8D"/>
    <w:rsid w:val="00CF2F8F"/>
    <w:rsid w:val="00CF33E5"/>
    <w:rsid w:val="00CF3A1B"/>
    <w:rsid w:val="00CF456B"/>
    <w:rsid w:val="00CF4E4C"/>
    <w:rsid w:val="00CF570A"/>
    <w:rsid w:val="00CF5A22"/>
    <w:rsid w:val="00CF6486"/>
    <w:rsid w:val="00CF6B66"/>
    <w:rsid w:val="00CF7DBB"/>
    <w:rsid w:val="00CF7E23"/>
    <w:rsid w:val="00D000F4"/>
    <w:rsid w:val="00D00F36"/>
    <w:rsid w:val="00D01CF4"/>
    <w:rsid w:val="00D0262E"/>
    <w:rsid w:val="00D03679"/>
    <w:rsid w:val="00D03B7E"/>
    <w:rsid w:val="00D04A15"/>
    <w:rsid w:val="00D05E3D"/>
    <w:rsid w:val="00D06139"/>
    <w:rsid w:val="00D07570"/>
    <w:rsid w:val="00D110BD"/>
    <w:rsid w:val="00D1186E"/>
    <w:rsid w:val="00D13675"/>
    <w:rsid w:val="00D141E1"/>
    <w:rsid w:val="00D14272"/>
    <w:rsid w:val="00D15314"/>
    <w:rsid w:val="00D153C5"/>
    <w:rsid w:val="00D15B48"/>
    <w:rsid w:val="00D16799"/>
    <w:rsid w:val="00D17436"/>
    <w:rsid w:val="00D17783"/>
    <w:rsid w:val="00D17D33"/>
    <w:rsid w:val="00D17D6C"/>
    <w:rsid w:val="00D2042F"/>
    <w:rsid w:val="00D20885"/>
    <w:rsid w:val="00D20E5A"/>
    <w:rsid w:val="00D20F76"/>
    <w:rsid w:val="00D2155B"/>
    <w:rsid w:val="00D2385A"/>
    <w:rsid w:val="00D23D11"/>
    <w:rsid w:val="00D244B6"/>
    <w:rsid w:val="00D245CD"/>
    <w:rsid w:val="00D27470"/>
    <w:rsid w:val="00D2754D"/>
    <w:rsid w:val="00D27B27"/>
    <w:rsid w:val="00D3058E"/>
    <w:rsid w:val="00D3066A"/>
    <w:rsid w:val="00D30D5B"/>
    <w:rsid w:val="00D31258"/>
    <w:rsid w:val="00D31DD3"/>
    <w:rsid w:val="00D32130"/>
    <w:rsid w:val="00D334F1"/>
    <w:rsid w:val="00D33BE9"/>
    <w:rsid w:val="00D33F93"/>
    <w:rsid w:val="00D357FF"/>
    <w:rsid w:val="00D370E0"/>
    <w:rsid w:val="00D37AEC"/>
    <w:rsid w:val="00D4081B"/>
    <w:rsid w:val="00D42332"/>
    <w:rsid w:val="00D424C7"/>
    <w:rsid w:val="00D4349B"/>
    <w:rsid w:val="00D43B2A"/>
    <w:rsid w:val="00D43CF1"/>
    <w:rsid w:val="00D43D83"/>
    <w:rsid w:val="00D46A34"/>
    <w:rsid w:val="00D47174"/>
    <w:rsid w:val="00D47575"/>
    <w:rsid w:val="00D479AF"/>
    <w:rsid w:val="00D5243B"/>
    <w:rsid w:val="00D52F3C"/>
    <w:rsid w:val="00D533EC"/>
    <w:rsid w:val="00D54354"/>
    <w:rsid w:val="00D5512D"/>
    <w:rsid w:val="00D556CA"/>
    <w:rsid w:val="00D557F0"/>
    <w:rsid w:val="00D56181"/>
    <w:rsid w:val="00D5673B"/>
    <w:rsid w:val="00D56A95"/>
    <w:rsid w:val="00D57F0D"/>
    <w:rsid w:val="00D6076E"/>
    <w:rsid w:val="00D61444"/>
    <w:rsid w:val="00D62483"/>
    <w:rsid w:val="00D62CDB"/>
    <w:rsid w:val="00D630B9"/>
    <w:rsid w:val="00D63215"/>
    <w:rsid w:val="00D6472A"/>
    <w:rsid w:val="00D6569B"/>
    <w:rsid w:val="00D7027F"/>
    <w:rsid w:val="00D70357"/>
    <w:rsid w:val="00D7059F"/>
    <w:rsid w:val="00D709DC"/>
    <w:rsid w:val="00D70F16"/>
    <w:rsid w:val="00D7130C"/>
    <w:rsid w:val="00D72617"/>
    <w:rsid w:val="00D72F57"/>
    <w:rsid w:val="00D73ED5"/>
    <w:rsid w:val="00D73F5F"/>
    <w:rsid w:val="00D75407"/>
    <w:rsid w:val="00D75FF1"/>
    <w:rsid w:val="00D76182"/>
    <w:rsid w:val="00D76345"/>
    <w:rsid w:val="00D76A44"/>
    <w:rsid w:val="00D76FBD"/>
    <w:rsid w:val="00D770A6"/>
    <w:rsid w:val="00D80A56"/>
    <w:rsid w:val="00D815EF"/>
    <w:rsid w:val="00D815F1"/>
    <w:rsid w:val="00D81949"/>
    <w:rsid w:val="00D81F26"/>
    <w:rsid w:val="00D821FC"/>
    <w:rsid w:val="00D822E2"/>
    <w:rsid w:val="00D8396C"/>
    <w:rsid w:val="00D843F2"/>
    <w:rsid w:val="00D84AA5"/>
    <w:rsid w:val="00D86231"/>
    <w:rsid w:val="00D86F6A"/>
    <w:rsid w:val="00D87266"/>
    <w:rsid w:val="00D875C9"/>
    <w:rsid w:val="00D912AB"/>
    <w:rsid w:val="00D91923"/>
    <w:rsid w:val="00D925B0"/>
    <w:rsid w:val="00D927B5"/>
    <w:rsid w:val="00D928B1"/>
    <w:rsid w:val="00D93753"/>
    <w:rsid w:val="00D93CA2"/>
    <w:rsid w:val="00D94001"/>
    <w:rsid w:val="00D94320"/>
    <w:rsid w:val="00D94772"/>
    <w:rsid w:val="00D9571E"/>
    <w:rsid w:val="00D95BD2"/>
    <w:rsid w:val="00D95F2D"/>
    <w:rsid w:val="00D97398"/>
    <w:rsid w:val="00D9770D"/>
    <w:rsid w:val="00DA022D"/>
    <w:rsid w:val="00DA0EA4"/>
    <w:rsid w:val="00DA3167"/>
    <w:rsid w:val="00DA360B"/>
    <w:rsid w:val="00DA4A93"/>
    <w:rsid w:val="00DA4DC3"/>
    <w:rsid w:val="00DA5C0C"/>
    <w:rsid w:val="00DA6F77"/>
    <w:rsid w:val="00DA77A5"/>
    <w:rsid w:val="00DA798F"/>
    <w:rsid w:val="00DB0330"/>
    <w:rsid w:val="00DB0E36"/>
    <w:rsid w:val="00DB1033"/>
    <w:rsid w:val="00DB2056"/>
    <w:rsid w:val="00DB2978"/>
    <w:rsid w:val="00DB2E7A"/>
    <w:rsid w:val="00DB2EF9"/>
    <w:rsid w:val="00DB3DBF"/>
    <w:rsid w:val="00DB484F"/>
    <w:rsid w:val="00DB491C"/>
    <w:rsid w:val="00DB6946"/>
    <w:rsid w:val="00DB6BD9"/>
    <w:rsid w:val="00DB7972"/>
    <w:rsid w:val="00DC04F6"/>
    <w:rsid w:val="00DC0690"/>
    <w:rsid w:val="00DC18E5"/>
    <w:rsid w:val="00DC1B32"/>
    <w:rsid w:val="00DC1D65"/>
    <w:rsid w:val="00DC220C"/>
    <w:rsid w:val="00DC3B64"/>
    <w:rsid w:val="00DC3C57"/>
    <w:rsid w:val="00DC3D09"/>
    <w:rsid w:val="00DC4DF9"/>
    <w:rsid w:val="00DC51A3"/>
    <w:rsid w:val="00DC5501"/>
    <w:rsid w:val="00DC573F"/>
    <w:rsid w:val="00DC576F"/>
    <w:rsid w:val="00DC5DE4"/>
    <w:rsid w:val="00DC5FD8"/>
    <w:rsid w:val="00DC7154"/>
    <w:rsid w:val="00DC7E8A"/>
    <w:rsid w:val="00DD04B7"/>
    <w:rsid w:val="00DD0F78"/>
    <w:rsid w:val="00DD273C"/>
    <w:rsid w:val="00DD286F"/>
    <w:rsid w:val="00DD3191"/>
    <w:rsid w:val="00DD3673"/>
    <w:rsid w:val="00DD3F28"/>
    <w:rsid w:val="00DD4446"/>
    <w:rsid w:val="00DD4537"/>
    <w:rsid w:val="00DD4E15"/>
    <w:rsid w:val="00DD6FF7"/>
    <w:rsid w:val="00DE08EB"/>
    <w:rsid w:val="00DE0D05"/>
    <w:rsid w:val="00DE0F87"/>
    <w:rsid w:val="00DE22DA"/>
    <w:rsid w:val="00DE2304"/>
    <w:rsid w:val="00DE3138"/>
    <w:rsid w:val="00DE37F8"/>
    <w:rsid w:val="00DE3FC6"/>
    <w:rsid w:val="00DE4273"/>
    <w:rsid w:val="00DE4C4E"/>
    <w:rsid w:val="00DE4FCB"/>
    <w:rsid w:val="00DE5D07"/>
    <w:rsid w:val="00DE72A7"/>
    <w:rsid w:val="00DE7832"/>
    <w:rsid w:val="00DF18FC"/>
    <w:rsid w:val="00DF2184"/>
    <w:rsid w:val="00DF22DB"/>
    <w:rsid w:val="00DF2438"/>
    <w:rsid w:val="00DF4281"/>
    <w:rsid w:val="00DF49F5"/>
    <w:rsid w:val="00DF5A4F"/>
    <w:rsid w:val="00DF5D2B"/>
    <w:rsid w:val="00DF6341"/>
    <w:rsid w:val="00DF74CB"/>
    <w:rsid w:val="00DF7EED"/>
    <w:rsid w:val="00E000D5"/>
    <w:rsid w:val="00E002E0"/>
    <w:rsid w:val="00E00E8E"/>
    <w:rsid w:val="00E02717"/>
    <w:rsid w:val="00E048AF"/>
    <w:rsid w:val="00E05630"/>
    <w:rsid w:val="00E06057"/>
    <w:rsid w:val="00E06DBB"/>
    <w:rsid w:val="00E0708A"/>
    <w:rsid w:val="00E07430"/>
    <w:rsid w:val="00E10149"/>
    <w:rsid w:val="00E109FA"/>
    <w:rsid w:val="00E11340"/>
    <w:rsid w:val="00E113EF"/>
    <w:rsid w:val="00E122A1"/>
    <w:rsid w:val="00E149F9"/>
    <w:rsid w:val="00E156C2"/>
    <w:rsid w:val="00E15772"/>
    <w:rsid w:val="00E16372"/>
    <w:rsid w:val="00E16AD8"/>
    <w:rsid w:val="00E17137"/>
    <w:rsid w:val="00E17438"/>
    <w:rsid w:val="00E1792E"/>
    <w:rsid w:val="00E17D3E"/>
    <w:rsid w:val="00E17FFA"/>
    <w:rsid w:val="00E20E4D"/>
    <w:rsid w:val="00E20ED6"/>
    <w:rsid w:val="00E21358"/>
    <w:rsid w:val="00E21606"/>
    <w:rsid w:val="00E2249B"/>
    <w:rsid w:val="00E22A0D"/>
    <w:rsid w:val="00E23FE2"/>
    <w:rsid w:val="00E2424F"/>
    <w:rsid w:val="00E244F6"/>
    <w:rsid w:val="00E24991"/>
    <w:rsid w:val="00E258DB"/>
    <w:rsid w:val="00E26548"/>
    <w:rsid w:val="00E26936"/>
    <w:rsid w:val="00E26CE9"/>
    <w:rsid w:val="00E2771E"/>
    <w:rsid w:val="00E3045F"/>
    <w:rsid w:val="00E3046F"/>
    <w:rsid w:val="00E311EF"/>
    <w:rsid w:val="00E319E6"/>
    <w:rsid w:val="00E32114"/>
    <w:rsid w:val="00E32180"/>
    <w:rsid w:val="00E325E2"/>
    <w:rsid w:val="00E32B66"/>
    <w:rsid w:val="00E3300F"/>
    <w:rsid w:val="00E34948"/>
    <w:rsid w:val="00E34C67"/>
    <w:rsid w:val="00E36C1D"/>
    <w:rsid w:val="00E36FE2"/>
    <w:rsid w:val="00E37569"/>
    <w:rsid w:val="00E37F85"/>
    <w:rsid w:val="00E401B2"/>
    <w:rsid w:val="00E41A73"/>
    <w:rsid w:val="00E41E30"/>
    <w:rsid w:val="00E42F73"/>
    <w:rsid w:val="00E43D70"/>
    <w:rsid w:val="00E44E71"/>
    <w:rsid w:val="00E458AF"/>
    <w:rsid w:val="00E466F3"/>
    <w:rsid w:val="00E471EC"/>
    <w:rsid w:val="00E47B2C"/>
    <w:rsid w:val="00E500F0"/>
    <w:rsid w:val="00E51527"/>
    <w:rsid w:val="00E51560"/>
    <w:rsid w:val="00E51821"/>
    <w:rsid w:val="00E52307"/>
    <w:rsid w:val="00E52328"/>
    <w:rsid w:val="00E52BA0"/>
    <w:rsid w:val="00E53ACC"/>
    <w:rsid w:val="00E53DBB"/>
    <w:rsid w:val="00E53F5B"/>
    <w:rsid w:val="00E53FC8"/>
    <w:rsid w:val="00E54347"/>
    <w:rsid w:val="00E55424"/>
    <w:rsid w:val="00E55716"/>
    <w:rsid w:val="00E55915"/>
    <w:rsid w:val="00E55BB5"/>
    <w:rsid w:val="00E56764"/>
    <w:rsid w:val="00E5725F"/>
    <w:rsid w:val="00E5758E"/>
    <w:rsid w:val="00E611DF"/>
    <w:rsid w:val="00E61528"/>
    <w:rsid w:val="00E61646"/>
    <w:rsid w:val="00E620F6"/>
    <w:rsid w:val="00E65091"/>
    <w:rsid w:val="00E6574D"/>
    <w:rsid w:val="00E65E79"/>
    <w:rsid w:val="00E65FC5"/>
    <w:rsid w:val="00E66BA2"/>
    <w:rsid w:val="00E66FC6"/>
    <w:rsid w:val="00E67416"/>
    <w:rsid w:val="00E70920"/>
    <w:rsid w:val="00E718B6"/>
    <w:rsid w:val="00E723BA"/>
    <w:rsid w:val="00E73581"/>
    <w:rsid w:val="00E736D1"/>
    <w:rsid w:val="00E73AD7"/>
    <w:rsid w:val="00E74DA3"/>
    <w:rsid w:val="00E755ED"/>
    <w:rsid w:val="00E7682C"/>
    <w:rsid w:val="00E81772"/>
    <w:rsid w:val="00E818AD"/>
    <w:rsid w:val="00E81A60"/>
    <w:rsid w:val="00E81EF9"/>
    <w:rsid w:val="00E8240F"/>
    <w:rsid w:val="00E833F7"/>
    <w:rsid w:val="00E8353E"/>
    <w:rsid w:val="00E838C6"/>
    <w:rsid w:val="00E83BDF"/>
    <w:rsid w:val="00E83C4E"/>
    <w:rsid w:val="00E8487D"/>
    <w:rsid w:val="00E84C9C"/>
    <w:rsid w:val="00E85C48"/>
    <w:rsid w:val="00E86FCC"/>
    <w:rsid w:val="00E87A1D"/>
    <w:rsid w:val="00E87FBE"/>
    <w:rsid w:val="00E905C6"/>
    <w:rsid w:val="00E9094A"/>
    <w:rsid w:val="00E9106C"/>
    <w:rsid w:val="00E91D35"/>
    <w:rsid w:val="00E926A5"/>
    <w:rsid w:val="00E9421F"/>
    <w:rsid w:val="00E94CBC"/>
    <w:rsid w:val="00E956E5"/>
    <w:rsid w:val="00E962CC"/>
    <w:rsid w:val="00E96BDF"/>
    <w:rsid w:val="00E97C68"/>
    <w:rsid w:val="00EA14F7"/>
    <w:rsid w:val="00EA17C3"/>
    <w:rsid w:val="00EA1D46"/>
    <w:rsid w:val="00EA2CAA"/>
    <w:rsid w:val="00EA34ED"/>
    <w:rsid w:val="00EA3864"/>
    <w:rsid w:val="00EA3E98"/>
    <w:rsid w:val="00EA46AC"/>
    <w:rsid w:val="00EA74B7"/>
    <w:rsid w:val="00EA7576"/>
    <w:rsid w:val="00EA7DA7"/>
    <w:rsid w:val="00EA7F1C"/>
    <w:rsid w:val="00EB10DD"/>
    <w:rsid w:val="00EB149D"/>
    <w:rsid w:val="00EB15B6"/>
    <w:rsid w:val="00EB1653"/>
    <w:rsid w:val="00EB3D06"/>
    <w:rsid w:val="00EB4916"/>
    <w:rsid w:val="00EB4FBE"/>
    <w:rsid w:val="00EB65AC"/>
    <w:rsid w:val="00EB6716"/>
    <w:rsid w:val="00EB6D1E"/>
    <w:rsid w:val="00EB7035"/>
    <w:rsid w:val="00EB76E6"/>
    <w:rsid w:val="00EC00C9"/>
    <w:rsid w:val="00EC0DD9"/>
    <w:rsid w:val="00EC2649"/>
    <w:rsid w:val="00EC2A03"/>
    <w:rsid w:val="00EC31ED"/>
    <w:rsid w:val="00EC327E"/>
    <w:rsid w:val="00EC3BF8"/>
    <w:rsid w:val="00EC3D12"/>
    <w:rsid w:val="00EC4121"/>
    <w:rsid w:val="00EC5836"/>
    <w:rsid w:val="00EC602D"/>
    <w:rsid w:val="00EC688C"/>
    <w:rsid w:val="00ED0B92"/>
    <w:rsid w:val="00ED12E3"/>
    <w:rsid w:val="00ED19FA"/>
    <w:rsid w:val="00ED1A1C"/>
    <w:rsid w:val="00ED2471"/>
    <w:rsid w:val="00ED4B04"/>
    <w:rsid w:val="00ED51AA"/>
    <w:rsid w:val="00ED57EA"/>
    <w:rsid w:val="00ED5BD4"/>
    <w:rsid w:val="00ED7BFA"/>
    <w:rsid w:val="00EE07D3"/>
    <w:rsid w:val="00EE0D5A"/>
    <w:rsid w:val="00EE1575"/>
    <w:rsid w:val="00EE172A"/>
    <w:rsid w:val="00EE1996"/>
    <w:rsid w:val="00EE1C01"/>
    <w:rsid w:val="00EE1D91"/>
    <w:rsid w:val="00EE22AF"/>
    <w:rsid w:val="00EE2E32"/>
    <w:rsid w:val="00EE3ED6"/>
    <w:rsid w:val="00EE581B"/>
    <w:rsid w:val="00EE6202"/>
    <w:rsid w:val="00EF0171"/>
    <w:rsid w:val="00EF0C6A"/>
    <w:rsid w:val="00EF0F22"/>
    <w:rsid w:val="00EF13E7"/>
    <w:rsid w:val="00EF1839"/>
    <w:rsid w:val="00EF1B25"/>
    <w:rsid w:val="00EF1DA0"/>
    <w:rsid w:val="00EF2E39"/>
    <w:rsid w:val="00EF4747"/>
    <w:rsid w:val="00EF4BF8"/>
    <w:rsid w:val="00EF5129"/>
    <w:rsid w:val="00EF5F06"/>
    <w:rsid w:val="00EF6039"/>
    <w:rsid w:val="00F02253"/>
    <w:rsid w:val="00F02C73"/>
    <w:rsid w:val="00F03C2E"/>
    <w:rsid w:val="00F03CD1"/>
    <w:rsid w:val="00F04A66"/>
    <w:rsid w:val="00F04B4B"/>
    <w:rsid w:val="00F0516C"/>
    <w:rsid w:val="00F05A1B"/>
    <w:rsid w:val="00F067A2"/>
    <w:rsid w:val="00F07B9E"/>
    <w:rsid w:val="00F07DC7"/>
    <w:rsid w:val="00F10956"/>
    <w:rsid w:val="00F1116F"/>
    <w:rsid w:val="00F1263A"/>
    <w:rsid w:val="00F13509"/>
    <w:rsid w:val="00F139C5"/>
    <w:rsid w:val="00F13F75"/>
    <w:rsid w:val="00F15A92"/>
    <w:rsid w:val="00F15B77"/>
    <w:rsid w:val="00F15D14"/>
    <w:rsid w:val="00F1762A"/>
    <w:rsid w:val="00F176B8"/>
    <w:rsid w:val="00F21236"/>
    <w:rsid w:val="00F223A4"/>
    <w:rsid w:val="00F239DF"/>
    <w:rsid w:val="00F23BA5"/>
    <w:rsid w:val="00F24094"/>
    <w:rsid w:val="00F24837"/>
    <w:rsid w:val="00F2575F"/>
    <w:rsid w:val="00F25AC9"/>
    <w:rsid w:val="00F2641E"/>
    <w:rsid w:val="00F26AFC"/>
    <w:rsid w:val="00F27565"/>
    <w:rsid w:val="00F310D4"/>
    <w:rsid w:val="00F314D5"/>
    <w:rsid w:val="00F3186E"/>
    <w:rsid w:val="00F31D5A"/>
    <w:rsid w:val="00F33975"/>
    <w:rsid w:val="00F33DBB"/>
    <w:rsid w:val="00F33DE9"/>
    <w:rsid w:val="00F34B41"/>
    <w:rsid w:val="00F35525"/>
    <w:rsid w:val="00F35E6D"/>
    <w:rsid w:val="00F3619A"/>
    <w:rsid w:val="00F36B65"/>
    <w:rsid w:val="00F37ADC"/>
    <w:rsid w:val="00F37B48"/>
    <w:rsid w:val="00F37DC4"/>
    <w:rsid w:val="00F40AAA"/>
    <w:rsid w:val="00F40BA7"/>
    <w:rsid w:val="00F40F9D"/>
    <w:rsid w:val="00F41018"/>
    <w:rsid w:val="00F41A2F"/>
    <w:rsid w:val="00F41ACD"/>
    <w:rsid w:val="00F437CE"/>
    <w:rsid w:val="00F44747"/>
    <w:rsid w:val="00F46CB6"/>
    <w:rsid w:val="00F4756D"/>
    <w:rsid w:val="00F4757F"/>
    <w:rsid w:val="00F47DE8"/>
    <w:rsid w:val="00F50211"/>
    <w:rsid w:val="00F50E87"/>
    <w:rsid w:val="00F51874"/>
    <w:rsid w:val="00F542C1"/>
    <w:rsid w:val="00F550E3"/>
    <w:rsid w:val="00F555A6"/>
    <w:rsid w:val="00F55685"/>
    <w:rsid w:val="00F55E73"/>
    <w:rsid w:val="00F55EDA"/>
    <w:rsid w:val="00F564BC"/>
    <w:rsid w:val="00F56C80"/>
    <w:rsid w:val="00F570CA"/>
    <w:rsid w:val="00F57342"/>
    <w:rsid w:val="00F60092"/>
    <w:rsid w:val="00F60F2E"/>
    <w:rsid w:val="00F610D6"/>
    <w:rsid w:val="00F612FA"/>
    <w:rsid w:val="00F61C18"/>
    <w:rsid w:val="00F65F4B"/>
    <w:rsid w:val="00F671EE"/>
    <w:rsid w:val="00F67867"/>
    <w:rsid w:val="00F67A69"/>
    <w:rsid w:val="00F70BFF"/>
    <w:rsid w:val="00F70C9D"/>
    <w:rsid w:val="00F71191"/>
    <w:rsid w:val="00F73194"/>
    <w:rsid w:val="00F73765"/>
    <w:rsid w:val="00F73910"/>
    <w:rsid w:val="00F73E08"/>
    <w:rsid w:val="00F74CD9"/>
    <w:rsid w:val="00F756C7"/>
    <w:rsid w:val="00F756D5"/>
    <w:rsid w:val="00F76607"/>
    <w:rsid w:val="00F77B27"/>
    <w:rsid w:val="00F80082"/>
    <w:rsid w:val="00F800B6"/>
    <w:rsid w:val="00F80A7B"/>
    <w:rsid w:val="00F80E5D"/>
    <w:rsid w:val="00F8100F"/>
    <w:rsid w:val="00F81E78"/>
    <w:rsid w:val="00F82724"/>
    <w:rsid w:val="00F83916"/>
    <w:rsid w:val="00F84B2D"/>
    <w:rsid w:val="00F851CE"/>
    <w:rsid w:val="00F855DA"/>
    <w:rsid w:val="00F86A31"/>
    <w:rsid w:val="00F86F77"/>
    <w:rsid w:val="00F87C94"/>
    <w:rsid w:val="00F90434"/>
    <w:rsid w:val="00F91219"/>
    <w:rsid w:val="00F920AC"/>
    <w:rsid w:val="00F92444"/>
    <w:rsid w:val="00F93275"/>
    <w:rsid w:val="00F9393E"/>
    <w:rsid w:val="00F93B87"/>
    <w:rsid w:val="00F95D7A"/>
    <w:rsid w:val="00F96FD0"/>
    <w:rsid w:val="00F9707F"/>
    <w:rsid w:val="00F97110"/>
    <w:rsid w:val="00F97A78"/>
    <w:rsid w:val="00F97CE4"/>
    <w:rsid w:val="00FA024A"/>
    <w:rsid w:val="00FA0B20"/>
    <w:rsid w:val="00FA1C7C"/>
    <w:rsid w:val="00FA24E7"/>
    <w:rsid w:val="00FA2A10"/>
    <w:rsid w:val="00FA314C"/>
    <w:rsid w:val="00FA46E0"/>
    <w:rsid w:val="00FA4B16"/>
    <w:rsid w:val="00FA5EE6"/>
    <w:rsid w:val="00FA62DA"/>
    <w:rsid w:val="00FA6D6D"/>
    <w:rsid w:val="00FA7956"/>
    <w:rsid w:val="00FB0824"/>
    <w:rsid w:val="00FB2581"/>
    <w:rsid w:val="00FB2F50"/>
    <w:rsid w:val="00FB2FCB"/>
    <w:rsid w:val="00FB4181"/>
    <w:rsid w:val="00FB47D2"/>
    <w:rsid w:val="00FB4871"/>
    <w:rsid w:val="00FB4C9C"/>
    <w:rsid w:val="00FB54E0"/>
    <w:rsid w:val="00FB69DE"/>
    <w:rsid w:val="00FB7C55"/>
    <w:rsid w:val="00FB7E23"/>
    <w:rsid w:val="00FB7ED0"/>
    <w:rsid w:val="00FC05E9"/>
    <w:rsid w:val="00FC09F2"/>
    <w:rsid w:val="00FC1074"/>
    <w:rsid w:val="00FC1884"/>
    <w:rsid w:val="00FC2583"/>
    <w:rsid w:val="00FC371D"/>
    <w:rsid w:val="00FC545E"/>
    <w:rsid w:val="00FC5F0B"/>
    <w:rsid w:val="00FC665F"/>
    <w:rsid w:val="00FC672D"/>
    <w:rsid w:val="00FC763D"/>
    <w:rsid w:val="00FD0ED6"/>
    <w:rsid w:val="00FD2100"/>
    <w:rsid w:val="00FD28D0"/>
    <w:rsid w:val="00FD436C"/>
    <w:rsid w:val="00FD446D"/>
    <w:rsid w:val="00FD4F2C"/>
    <w:rsid w:val="00FD6394"/>
    <w:rsid w:val="00FD7961"/>
    <w:rsid w:val="00FE0CC9"/>
    <w:rsid w:val="00FE0E6C"/>
    <w:rsid w:val="00FE1CDC"/>
    <w:rsid w:val="00FE4709"/>
    <w:rsid w:val="00FE48F6"/>
    <w:rsid w:val="00FE4A72"/>
    <w:rsid w:val="00FE4B6D"/>
    <w:rsid w:val="00FE4F5F"/>
    <w:rsid w:val="00FE65A9"/>
    <w:rsid w:val="00FE70C3"/>
    <w:rsid w:val="00FE7ED6"/>
    <w:rsid w:val="00FF0984"/>
    <w:rsid w:val="00FF1157"/>
    <w:rsid w:val="00FF1A8B"/>
    <w:rsid w:val="00FF22CC"/>
    <w:rsid w:val="00FF2AD9"/>
    <w:rsid w:val="00FF31CD"/>
    <w:rsid w:val="00FF359F"/>
    <w:rsid w:val="00FF3DCF"/>
    <w:rsid w:val="00FF492C"/>
    <w:rsid w:val="00FF4A21"/>
    <w:rsid w:val="00FF4F85"/>
    <w:rsid w:val="00FF58DB"/>
    <w:rsid w:val="00FF5AA3"/>
    <w:rsid w:val="00FF5AD8"/>
    <w:rsid w:val="00FF6EBE"/>
    <w:rsid w:val="00FF74B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shapelayout v:ext="edit">
      <o:idmap v:ext="edit" data="1"/>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4354"/>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Normal"/>
    <w:next w:val="Normal"/>
    <w:link w:val="CaptionChar"/>
    <w:unhideWhenUsed/>
    <w:qFormat/>
    <w:rsid w:val="00E16AD8"/>
    <w:pPr>
      <w:keepNext/>
      <w:keepLines/>
    </w:pPr>
    <w:rPr>
      <w:rFonts w:ascii="Arial Narrow" w:hAnsi="Arial Narrow"/>
      <w:b/>
      <w:bCs/>
      <w:sz w:val="20"/>
      <w:szCs w:val="18"/>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link w:val="Caption"/>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1. Bullet Blank,Bullet1,Bulleted - 2,Bullets Points,ES Paragraph,PBAC ES Paragraph,PBAC normal points"/>
    <w:next w:val="ListBullet"/>
    <w:link w:val="ListParagraphChar"/>
    <w:uiPriority w:val="34"/>
    <w:qFormat/>
    <w:rsid w:val="00BB00B3"/>
    <w:p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1. Bullet Blank Char,Bullet1 Char,Bulleted - 2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MSD Table Grid,Dossier table,Section 3- footnotes,Header Table,NICE instructions,Source table_,HealthConsult,new style,PBAC table,Lash Style Table,HTAtableplain,Summary Table"/>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Table HEADER PBAC,-H18"/>
    <w:uiPriority w:val="99"/>
    <w:qFormat/>
    <w:rsid w:val="001E30D4"/>
    <w:rPr>
      <w:rFonts w:ascii="Arial Narrow" w:hAnsi="Arial Narrow"/>
      <w:b/>
      <w:sz w:val="20"/>
      <w:szCs w:val="16"/>
    </w:rPr>
  </w:style>
  <w:style w:type="paragraph" w:customStyle="1" w:styleId="Tabletext">
    <w:name w:val="Table text"/>
    <w:basedOn w:val="Normal"/>
    <w:link w:val="TabletextChar"/>
    <w:uiPriority w:val="2"/>
    <w:qFormat/>
    <w:rsid w:val="00A518F3"/>
    <w:pPr>
      <w:jc w:val="left"/>
    </w:pPr>
    <w:rPr>
      <w:rFonts w:ascii="Arial Narrow" w:hAnsi="Arial Narrow" w:cs="Times New Roman"/>
      <w:snapToGrid w:val="0"/>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317C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aliases w:val="- H19,Comment Text Char1 Char,Comment Text Char Char Char"/>
    <w:basedOn w:val="Normal"/>
    <w:link w:val="CommentTextChar"/>
    <w:uiPriority w:val="99"/>
    <w:qFormat/>
    <w:rsid w:val="00FD2100"/>
    <w:rPr>
      <w:rFonts w:ascii="Times New Roman" w:hAnsi="Times New Roman" w:cs="Times New Roman"/>
      <w:sz w:val="20"/>
    </w:rPr>
  </w:style>
  <w:style w:type="character" w:customStyle="1" w:styleId="CommentTextChar">
    <w:name w:val="Comment Text Char"/>
    <w:aliases w:val="- H19 Char,Comment Text Char1 Char Char,Comment Text Char Char Char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iPriority w:val="99"/>
    <w:unhideWhenUsed/>
    <w:rsid w:val="00EE1996"/>
    <w:pPr>
      <w:numPr>
        <w:numId w:val="3"/>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6"/>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styleId="ListBullet2">
    <w:name w:val="List Bullet 2"/>
    <w:basedOn w:val="Normal"/>
    <w:semiHidden/>
    <w:unhideWhenUsed/>
    <w:rsid w:val="00584867"/>
    <w:pPr>
      <w:numPr>
        <w:numId w:val="7"/>
      </w:numPr>
      <w:tabs>
        <w:tab w:val="clear" w:pos="720"/>
        <w:tab w:val="num" w:pos="360"/>
      </w:tabs>
      <w:ind w:left="0" w:firstLine="0"/>
      <w:contextualSpacing/>
    </w:pPr>
  </w:style>
  <w:style w:type="table" w:styleId="ColorfulGrid-Accent5">
    <w:name w:val="Colorful Grid Accent 5"/>
    <w:basedOn w:val="TableNormal"/>
    <w:uiPriority w:val="73"/>
    <w:rsid w:val="00124D33"/>
    <w:rPr>
      <w:rFonts w:ascii="Arial" w:eastAsiaTheme="minorHAnsi" w:hAnsi="Arial" w:cstheme="minorBidi"/>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SDShaded">
    <w:name w:val="MSD Shaded"/>
    <w:basedOn w:val="TableGrid"/>
    <w:uiPriority w:val="99"/>
    <w:rsid w:val="00124D33"/>
    <w:pPr>
      <w:spacing w:after="120" w:line="360" w:lineRule="auto"/>
      <w:ind w:left="57" w:right="57"/>
    </w:pPr>
    <w:rPr>
      <w:rFonts w:ascii="Arial" w:eastAsiaTheme="minorHAnsi" w:hAnsi="Arial" w:cstheme="minorBidi"/>
      <w:lang w:eastAsia="en-US"/>
    </w:rPr>
    <w:tblPr>
      <w:tblStyleRowBandSize w:val="1"/>
      <w:tblBorders>
        <w:top w:val="single" w:sz="12" w:space="0" w:color="4BACC6" w:themeColor="accent5"/>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Pr>
    <w:tblStylePr w:type="firstRow">
      <w:pPr>
        <w:wordWrap/>
        <w:spacing w:line="276" w:lineRule="auto"/>
      </w:pPr>
      <w:rPr>
        <w:b/>
      </w:rPr>
      <w:tblPr/>
      <w:trPr>
        <w:cantSplit/>
        <w:tblHeader/>
      </w:tr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lastRow">
      <w:rPr>
        <w:b/>
      </w:rPr>
      <w:tbl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firstCol">
      <w:rPr>
        <w:b/>
      </w:rPr>
    </w:tblStylePr>
    <w:tblStylePr w:type="lastCol">
      <w:rPr>
        <w:b/>
      </w:rPr>
    </w:tblStylePr>
    <w:tblStylePr w:type="band2Horz">
      <w:tblPr/>
      <w:tcPr>
        <w:shd w:val="clear" w:color="auto" w:fill="F2DBDB" w:themeFill="accent2" w:themeFillTint="33"/>
      </w:tcPr>
    </w:tblStylePr>
  </w:style>
  <w:style w:type="paragraph" w:styleId="FootnoteText">
    <w:name w:val="footnote text"/>
    <w:aliases w:val="Footnote Text Char Char,Footnote Text Char2,Footnote Text Char Char1,Footnote Text Char1"/>
    <w:basedOn w:val="Normal"/>
    <w:link w:val="FootnoteTextChar"/>
    <w:uiPriority w:val="99"/>
    <w:unhideWhenUsed/>
    <w:rsid w:val="00C416A3"/>
    <w:rPr>
      <w:sz w:val="20"/>
      <w:szCs w:val="20"/>
    </w:rPr>
  </w:style>
  <w:style w:type="character" w:customStyle="1" w:styleId="FootnoteTextChar">
    <w:name w:val="Footnote Text Char"/>
    <w:aliases w:val="Footnote Text Char Char Char,Footnote Text Char2 Char,Footnote Text Char Char1 Char,Footnote Text Char1 Char"/>
    <w:basedOn w:val="DefaultParagraphFont"/>
    <w:link w:val="FootnoteText"/>
    <w:uiPriority w:val="99"/>
    <w:rsid w:val="00C416A3"/>
    <w:rPr>
      <w:rFonts w:ascii="Calibri" w:hAnsi="Calibri" w:cs="Arial"/>
    </w:rPr>
  </w:style>
  <w:style w:type="character" w:styleId="FootnoteReference">
    <w:name w:val="footnote reference"/>
    <w:basedOn w:val="DefaultParagraphFont"/>
    <w:unhideWhenUsed/>
    <w:rsid w:val="00C416A3"/>
    <w:rPr>
      <w:vertAlign w:val="superscript"/>
    </w:rPr>
  </w:style>
  <w:style w:type="table" w:customStyle="1" w:styleId="MSDAustralia">
    <w:name w:val="MSD Australia"/>
    <w:basedOn w:val="TableGrid"/>
    <w:uiPriority w:val="99"/>
    <w:rsid w:val="00C416A3"/>
    <w:pPr>
      <w:ind w:left="57" w:right="57"/>
    </w:pPr>
    <w:rPr>
      <w:rFonts w:ascii="Arial" w:eastAsiaTheme="minorHAnsi" w:hAnsi="Arial" w:cstheme="minorBidi"/>
      <w:lang w:eastAsia="en-US"/>
    </w:rPr>
    <w:tblPr>
      <w:tblBorders>
        <w:top w:val="single" w:sz="12" w:space="0" w:color="4BACC6" w:themeColor="accent5"/>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Pr>
    <w:tblStylePr w:type="firstRow">
      <w:pPr>
        <w:wordWrap/>
        <w:spacing w:line="276" w:lineRule="auto"/>
      </w:pPr>
      <w:rPr>
        <w:b/>
      </w:rPr>
      <w:tblPr/>
      <w:trPr>
        <w:cantSplit/>
        <w:tblHeader/>
      </w:tr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lastRow">
      <w:rPr>
        <w:b/>
      </w:rPr>
      <w:tbl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firstCol">
      <w:rPr>
        <w:b/>
      </w:rPr>
    </w:tblStylePr>
    <w:tblStylePr w:type="lastCol">
      <w:rPr>
        <w:b/>
      </w:rPr>
    </w:tblStylePr>
  </w:style>
  <w:style w:type="table" w:customStyle="1" w:styleId="MSDTableGrid2">
    <w:name w:val="MSD Table Grid2"/>
    <w:basedOn w:val="TableNormal"/>
    <w:next w:val="TableGrid"/>
    <w:uiPriority w:val="59"/>
    <w:rsid w:val="006D4089"/>
    <w:pPr>
      <w:spacing w:after="120" w:line="360" w:lineRule="auto"/>
      <w:ind w:right="57"/>
    </w:pPr>
    <w:rPr>
      <w:rFonts w:ascii="Arial" w:eastAsiaTheme="minorHAnsi" w:hAnsi="Arial" w:cstheme="minorBidi"/>
      <w:lang w:eastAsia="en-US"/>
    </w:rPr>
    <w:tblPr>
      <w:tblBorders>
        <w:bottom w:val="single" w:sz="12" w:space="0" w:color="004540"/>
        <w:insideH w:val="single" w:sz="4" w:space="0" w:color="004540"/>
      </w:tblBorders>
      <w:tblCellMar>
        <w:left w:w="57" w:type="dxa"/>
        <w:right w:w="57" w:type="dxa"/>
      </w:tblCellMar>
    </w:tblPr>
    <w:tblStylePr w:type="firstRow">
      <w:pPr>
        <w:wordWrap/>
        <w:spacing w:line="276" w:lineRule="auto"/>
      </w:pPr>
      <w:rPr>
        <w:b/>
      </w:rPr>
      <w:tblPr/>
      <w:tcPr>
        <w:tcBorders>
          <w:top w:val="single" w:sz="12" w:space="0" w:color="004540"/>
          <w:left w:val="nil"/>
          <w:bottom w:val="single" w:sz="12" w:space="0" w:color="004540"/>
          <w:right w:val="nil"/>
          <w:insideH w:val="nil"/>
          <w:insideV w:val="nil"/>
          <w:tl2br w:val="nil"/>
          <w:tr2bl w:val="nil"/>
        </w:tcBorders>
      </w:tcPr>
    </w:tblStylePr>
    <w:tblStylePr w:type="lastRow">
      <w:tblPr/>
      <w:tcPr>
        <w:tcBorders>
          <w:top w:val="nil"/>
          <w:left w:val="nil"/>
          <w:bottom w:val="single" w:sz="12" w:space="0" w:color="004540"/>
          <w:right w:val="nil"/>
          <w:insideH w:val="nil"/>
          <w:insideV w:val="nil"/>
          <w:tl2br w:val="nil"/>
          <w:tr2bl w:val="nil"/>
        </w:tcBorders>
      </w:tcPr>
    </w:tblStylePr>
    <w:tblStylePr w:type="firstCol">
      <w:rPr>
        <w:b/>
      </w:rPr>
    </w:tblStylePr>
  </w:style>
  <w:style w:type="table" w:styleId="TableGridLight">
    <w:name w:val="Grid Table Light"/>
    <w:basedOn w:val="TableNormal"/>
    <w:uiPriority w:val="40"/>
    <w:rsid w:val="00CA68E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CA68E1"/>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CA68E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CA68E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ource">
    <w:name w:val="Source"/>
    <w:basedOn w:val="Normal"/>
    <w:uiPriority w:val="35"/>
    <w:qFormat/>
    <w:rsid w:val="00CA68E1"/>
    <w:pPr>
      <w:tabs>
        <w:tab w:val="left" w:pos="284"/>
      </w:tabs>
      <w:spacing w:before="60" w:after="240" w:line="360" w:lineRule="auto"/>
      <w:contextualSpacing/>
      <w:jc w:val="left"/>
    </w:pPr>
    <w:rPr>
      <w:rFonts w:ascii="Arial" w:eastAsiaTheme="minorHAnsi" w:hAnsi="Arial" w:cstheme="minorBidi"/>
      <w:sz w:val="18"/>
      <w:szCs w:val="20"/>
      <w:lang w:eastAsia="en-US"/>
    </w:rPr>
  </w:style>
  <w:style w:type="character" w:styleId="UnresolvedMention">
    <w:name w:val="Unresolved Mention"/>
    <w:basedOn w:val="DefaultParagraphFont"/>
    <w:uiPriority w:val="99"/>
    <w:semiHidden/>
    <w:unhideWhenUsed/>
    <w:rsid w:val="003F53AE"/>
    <w:rPr>
      <w:color w:val="605E5C"/>
      <w:shd w:val="clear" w:color="auto" w:fill="E1DFDD"/>
    </w:rPr>
  </w:style>
  <w:style w:type="table" w:customStyle="1" w:styleId="MSDShaded1">
    <w:name w:val="MSD Shaded1"/>
    <w:basedOn w:val="TableGrid"/>
    <w:uiPriority w:val="99"/>
    <w:rsid w:val="004905C1"/>
    <w:pPr>
      <w:spacing w:after="120" w:line="360" w:lineRule="auto"/>
      <w:ind w:left="57" w:right="57"/>
    </w:pPr>
    <w:rPr>
      <w:rFonts w:ascii="Arial" w:eastAsiaTheme="minorHAnsi" w:hAnsi="Arial" w:cstheme="minorBidi"/>
      <w:lang w:eastAsia="en-US"/>
    </w:rPr>
    <w:tblPr>
      <w:tblStyleRowBandSize w:val="1"/>
      <w:tblBorders>
        <w:top w:val="single" w:sz="12" w:space="0" w:color="4BACC6" w:themeColor="accent5"/>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Pr>
    <w:tblStylePr w:type="firstRow">
      <w:pPr>
        <w:wordWrap/>
        <w:spacing w:line="276" w:lineRule="auto"/>
      </w:pPr>
      <w:rPr>
        <w:b/>
      </w:rPr>
      <w:tblPr/>
      <w:trPr>
        <w:cantSplit/>
        <w:tblHeader/>
      </w:tr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lastRow">
      <w:rPr>
        <w:b/>
      </w:rPr>
      <w:tbl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firstCol">
      <w:rPr>
        <w:b/>
      </w:rPr>
    </w:tblStylePr>
    <w:tblStylePr w:type="lastCol">
      <w:rPr>
        <w:b/>
      </w:rPr>
    </w:tblStylePr>
    <w:tblStylePr w:type="band2Horz">
      <w:tblPr/>
      <w:tcPr>
        <w:shd w:val="clear" w:color="auto" w:fill="F2DBDB" w:themeFill="accent2" w:themeFillTint="33"/>
      </w:tcPr>
    </w:tblStylePr>
  </w:style>
  <w:style w:type="table" w:customStyle="1" w:styleId="ExecSummTable13">
    <w:name w:val="Exec Summ Table13"/>
    <w:basedOn w:val="TableNormal"/>
    <w:uiPriority w:val="99"/>
    <w:rsid w:val="004905C1"/>
    <w:pPr>
      <w:spacing w:after="80" w:line="360" w:lineRule="auto"/>
      <w:ind w:left="57" w:right="57"/>
    </w:pPr>
    <w:rPr>
      <w:rFonts w:ascii="Arial" w:eastAsiaTheme="minorHAnsi" w:hAnsi="Arial" w:cstheme="minorBidi"/>
      <w:sz w:val="18"/>
      <w:lang w:val="en-US" w:bidi="th-TH"/>
    </w:rPr>
    <w:tblPr>
      <w:tblStyleRowBandSize w:val="1"/>
      <w:tblBorders>
        <w:top w:val="single" w:sz="12" w:space="0" w:color="4BACC6" w:themeColor="accent5"/>
      </w:tblBorders>
      <w:tblCellMar>
        <w:left w:w="57" w:type="dxa"/>
        <w:right w:w="57" w:type="dxa"/>
      </w:tblCellMar>
    </w:tblPr>
    <w:tblStylePr w:type="firstRow">
      <w:pPr>
        <w:wordWrap/>
        <w:spacing w:line="276" w:lineRule="auto"/>
      </w:pPr>
      <w:rPr>
        <w:b/>
      </w:rPr>
      <w:tblPr/>
      <w:trPr>
        <w:cantSplit/>
        <w:tblHeader/>
      </w:tr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lastRow">
      <w:rPr>
        <w:b/>
      </w:rPr>
      <w:tbl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firstCol">
      <w:rPr>
        <w:b/>
      </w:rPr>
    </w:tblStylePr>
    <w:tblStylePr w:type="lastCol">
      <w:rPr>
        <w:b/>
      </w:rPr>
    </w:tblStylePr>
    <w:tblStylePr w:type="band2Horz">
      <w:tblPr/>
      <w:tcPr>
        <w:shd w:val="clear" w:color="auto" w:fill="F2DBDB" w:themeFill="accent2" w:themeFillTint="33"/>
      </w:tcPr>
    </w:tblStylePr>
  </w:style>
  <w:style w:type="table" w:customStyle="1" w:styleId="ASDTable4">
    <w:name w:val="ASD Table4"/>
    <w:basedOn w:val="TableNormal"/>
    <w:next w:val="TableGrid"/>
    <w:uiPriority w:val="59"/>
    <w:rsid w:val="008A6C67"/>
    <w:pPr>
      <w:spacing w:after="120" w:line="360" w:lineRule="auto"/>
      <w:ind w:right="57"/>
    </w:pPr>
    <w:rPr>
      <w:rFonts w:ascii="Arial" w:eastAsiaTheme="minorHAnsi" w:hAnsi="Arial" w:cstheme="minorBidi"/>
      <w:lang w:eastAsia="en-US"/>
    </w:rPr>
    <w:tblPr>
      <w:tblBorders>
        <w:bottom w:val="single" w:sz="12" w:space="0" w:color="4BACC6" w:themeColor="accent5"/>
        <w:insideH w:val="single" w:sz="4" w:space="0" w:color="4BACC6" w:themeColor="accent5"/>
      </w:tblBorders>
      <w:tblCellMar>
        <w:left w:w="57" w:type="dxa"/>
        <w:right w:w="57" w:type="dxa"/>
      </w:tblCellMar>
    </w:tblPr>
    <w:tblStylePr w:type="firstRow">
      <w:pPr>
        <w:wordWrap/>
        <w:spacing w:line="276" w:lineRule="auto"/>
      </w:pPr>
      <w:rPr>
        <w:b/>
      </w:rPr>
      <w:tbl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lastRow">
      <w:tblPr/>
      <w:tcPr>
        <w:tcBorders>
          <w:top w:val="nil"/>
          <w:left w:val="nil"/>
          <w:bottom w:val="single" w:sz="12" w:space="0" w:color="4BACC6" w:themeColor="accent5"/>
          <w:right w:val="nil"/>
          <w:insideH w:val="nil"/>
          <w:insideV w:val="nil"/>
          <w:tl2br w:val="nil"/>
          <w:tr2bl w:val="nil"/>
        </w:tcBorders>
      </w:tcPr>
    </w:tblStylePr>
    <w:tblStylePr w:type="firstCol">
      <w:rPr>
        <w:b/>
      </w:rPr>
    </w:tblStylePr>
  </w:style>
  <w:style w:type="table" w:customStyle="1" w:styleId="ExecSummTable36">
    <w:name w:val="Exec Summ Table36"/>
    <w:basedOn w:val="TableNormal"/>
    <w:uiPriority w:val="99"/>
    <w:rsid w:val="00814B8C"/>
    <w:pPr>
      <w:spacing w:after="80" w:line="360" w:lineRule="auto"/>
      <w:ind w:left="57" w:right="57"/>
    </w:pPr>
    <w:rPr>
      <w:rFonts w:ascii="Arial" w:eastAsiaTheme="minorHAnsi" w:hAnsi="Arial" w:cstheme="minorBidi"/>
      <w:sz w:val="18"/>
      <w:lang w:val="en-US" w:bidi="th-TH"/>
    </w:rPr>
    <w:tblPr>
      <w:tblStyleRowBandSize w:val="1"/>
      <w:tblBorders>
        <w:top w:val="single" w:sz="12" w:space="0" w:color="4BACC6" w:themeColor="accent5"/>
      </w:tblBorders>
      <w:tblCellMar>
        <w:left w:w="57" w:type="dxa"/>
        <w:right w:w="57" w:type="dxa"/>
      </w:tblCellMar>
    </w:tblPr>
    <w:tblStylePr w:type="firstRow">
      <w:pPr>
        <w:wordWrap/>
        <w:spacing w:line="276" w:lineRule="auto"/>
      </w:pPr>
      <w:rPr>
        <w:b/>
      </w:rPr>
      <w:tblPr/>
      <w:trPr>
        <w:cantSplit/>
        <w:tblHeader/>
      </w:tr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lastRow">
      <w:rPr>
        <w:b/>
      </w:rPr>
      <w:tbl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firstCol">
      <w:rPr>
        <w:b/>
      </w:rPr>
    </w:tblStylePr>
    <w:tblStylePr w:type="lastCol">
      <w:rPr>
        <w:b/>
      </w:rPr>
    </w:tblStylePr>
    <w:tblStylePr w:type="band2Horz">
      <w:tblPr/>
      <w:tcPr>
        <w:shd w:val="clear" w:color="auto" w:fill="F2DBDB" w:themeFill="accent2" w:themeFillTint="33"/>
      </w:tcPr>
    </w:tblStylePr>
  </w:style>
  <w:style w:type="paragraph" w:customStyle="1" w:styleId="Numbered">
    <w:name w:val="Numbered"/>
    <w:basedOn w:val="ListParagraph"/>
    <w:link w:val="NumberedChar"/>
    <w:qFormat/>
    <w:rsid w:val="0010329C"/>
    <w:pPr>
      <w:numPr>
        <w:numId w:val="13"/>
      </w:numPr>
      <w:spacing w:after="160" w:line="259" w:lineRule="auto"/>
      <w:contextualSpacing/>
      <w:jc w:val="left"/>
    </w:pPr>
    <w:rPr>
      <w:rFonts w:eastAsiaTheme="minorHAnsi" w:cstheme="minorHAnsi"/>
      <w:lang w:eastAsia="en-US"/>
    </w:rPr>
  </w:style>
  <w:style w:type="character" w:customStyle="1" w:styleId="NumberedChar">
    <w:name w:val="Numbered Char"/>
    <w:basedOn w:val="ListParagraphChar"/>
    <w:link w:val="Numbered"/>
    <w:rsid w:val="0010329C"/>
    <w:rPr>
      <w:rFonts w:asciiTheme="minorHAnsi" w:eastAsiaTheme="minorHAnsi" w:hAnsiTheme="minorHAnsi" w:cstheme="minorHAnsi"/>
      <w:snapToGrid w:val="0"/>
      <w:sz w:val="24"/>
      <w:szCs w:val="24"/>
      <w:lang w:eastAsia="en-US"/>
    </w:rPr>
  </w:style>
  <w:style w:type="paragraph" w:customStyle="1" w:styleId="3-SubsectionHeading">
    <w:name w:val="3-Subsection Heading"/>
    <w:basedOn w:val="Heading2"/>
    <w:next w:val="Normal"/>
    <w:link w:val="3-SubsectionHeadingChar"/>
    <w:qFormat/>
    <w:rsid w:val="00F756C7"/>
    <w:pPr>
      <w:keepNext/>
      <w:spacing w:before="120" w:after="120"/>
      <w:outlineLvl w:val="9"/>
    </w:pPr>
    <w:rPr>
      <w:rFonts w:asciiTheme="minorHAnsi" w:eastAsiaTheme="majorEastAsia" w:hAnsiTheme="minorHAnsi" w:cstheme="majorBidi"/>
      <w:color w:val="365F91" w:themeColor="accent1" w:themeShade="BF"/>
      <w:spacing w:val="5"/>
      <w:kern w:val="28"/>
      <w:szCs w:val="36"/>
      <w:lang w:eastAsia="en-US"/>
    </w:rPr>
  </w:style>
  <w:style w:type="character" w:customStyle="1" w:styleId="3-SubsectionHeadingChar">
    <w:name w:val="3-Subsection Heading Char"/>
    <w:basedOn w:val="Heading2Char"/>
    <w:link w:val="3-SubsectionHeading"/>
    <w:rsid w:val="00F756C7"/>
    <w:rPr>
      <w:rFonts w:asciiTheme="minorHAnsi" w:eastAsiaTheme="majorEastAsia" w:hAnsiTheme="minorHAnsi" w:cstheme="majorBidi"/>
      <w:b/>
      <w:i/>
      <w:snapToGrid/>
      <w:color w:val="365F91" w:themeColor="accent1" w:themeShade="BF"/>
      <w:spacing w:val="5"/>
      <w:kern w:val="28"/>
      <w:sz w:val="28"/>
      <w:szCs w:val="36"/>
      <w:lang w:eastAsia="en-US"/>
    </w:rPr>
  </w:style>
  <w:style w:type="character" w:customStyle="1" w:styleId="ui-provider">
    <w:name w:val="ui-provider"/>
    <w:basedOn w:val="DefaultParagraphFont"/>
    <w:rsid w:val="00352E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44260">
      <w:bodyDiv w:val="1"/>
      <w:marLeft w:val="0"/>
      <w:marRight w:val="0"/>
      <w:marTop w:val="0"/>
      <w:marBottom w:val="0"/>
      <w:divBdr>
        <w:top w:val="none" w:sz="0" w:space="0" w:color="auto"/>
        <w:left w:val="none" w:sz="0" w:space="0" w:color="auto"/>
        <w:bottom w:val="none" w:sz="0" w:space="0" w:color="auto"/>
        <w:right w:val="none" w:sz="0" w:space="0" w:color="auto"/>
      </w:divBdr>
    </w:div>
    <w:div w:id="45447479">
      <w:bodyDiv w:val="1"/>
      <w:marLeft w:val="0"/>
      <w:marRight w:val="0"/>
      <w:marTop w:val="0"/>
      <w:marBottom w:val="0"/>
      <w:divBdr>
        <w:top w:val="none" w:sz="0" w:space="0" w:color="auto"/>
        <w:left w:val="none" w:sz="0" w:space="0" w:color="auto"/>
        <w:bottom w:val="none" w:sz="0" w:space="0" w:color="auto"/>
        <w:right w:val="none" w:sz="0" w:space="0" w:color="auto"/>
      </w:divBdr>
    </w:div>
    <w:div w:id="69155541">
      <w:bodyDiv w:val="1"/>
      <w:marLeft w:val="0"/>
      <w:marRight w:val="0"/>
      <w:marTop w:val="0"/>
      <w:marBottom w:val="0"/>
      <w:divBdr>
        <w:top w:val="none" w:sz="0" w:space="0" w:color="auto"/>
        <w:left w:val="none" w:sz="0" w:space="0" w:color="auto"/>
        <w:bottom w:val="none" w:sz="0" w:space="0" w:color="auto"/>
        <w:right w:val="none" w:sz="0" w:space="0" w:color="auto"/>
      </w:divBdr>
    </w:div>
    <w:div w:id="85267317">
      <w:bodyDiv w:val="1"/>
      <w:marLeft w:val="0"/>
      <w:marRight w:val="0"/>
      <w:marTop w:val="0"/>
      <w:marBottom w:val="0"/>
      <w:divBdr>
        <w:top w:val="none" w:sz="0" w:space="0" w:color="auto"/>
        <w:left w:val="none" w:sz="0" w:space="0" w:color="auto"/>
        <w:bottom w:val="none" w:sz="0" w:space="0" w:color="auto"/>
        <w:right w:val="none" w:sz="0" w:space="0" w:color="auto"/>
      </w:divBdr>
      <w:divsChild>
        <w:div w:id="202793834">
          <w:marLeft w:val="0"/>
          <w:marRight w:val="0"/>
          <w:marTop w:val="120"/>
          <w:marBottom w:val="0"/>
          <w:divBdr>
            <w:top w:val="none" w:sz="0" w:space="0" w:color="auto"/>
            <w:left w:val="none" w:sz="0" w:space="0" w:color="auto"/>
            <w:bottom w:val="none" w:sz="0" w:space="0" w:color="auto"/>
            <w:right w:val="none" w:sz="0" w:space="0" w:color="auto"/>
          </w:divBdr>
        </w:div>
      </w:divsChild>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13405975">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79508468">
      <w:bodyDiv w:val="1"/>
      <w:marLeft w:val="0"/>
      <w:marRight w:val="0"/>
      <w:marTop w:val="0"/>
      <w:marBottom w:val="0"/>
      <w:divBdr>
        <w:top w:val="none" w:sz="0" w:space="0" w:color="auto"/>
        <w:left w:val="none" w:sz="0" w:space="0" w:color="auto"/>
        <w:bottom w:val="none" w:sz="0" w:space="0" w:color="auto"/>
        <w:right w:val="none" w:sz="0" w:space="0" w:color="auto"/>
      </w:divBdr>
    </w:div>
    <w:div w:id="205023984">
      <w:bodyDiv w:val="1"/>
      <w:marLeft w:val="0"/>
      <w:marRight w:val="0"/>
      <w:marTop w:val="0"/>
      <w:marBottom w:val="0"/>
      <w:divBdr>
        <w:top w:val="none" w:sz="0" w:space="0" w:color="auto"/>
        <w:left w:val="none" w:sz="0" w:space="0" w:color="auto"/>
        <w:bottom w:val="none" w:sz="0" w:space="0" w:color="auto"/>
        <w:right w:val="none" w:sz="0" w:space="0" w:color="auto"/>
      </w:divBdr>
      <w:divsChild>
        <w:div w:id="937904040">
          <w:marLeft w:val="0"/>
          <w:marRight w:val="0"/>
          <w:marTop w:val="120"/>
          <w:marBottom w:val="0"/>
          <w:divBdr>
            <w:top w:val="none" w:sz="0" w:space="0" w:color="auto"/>
            <w:left w:val="none" w:sz="0" w:space="0" w:color="auto"/>
            <w:bottom w:val="none" w:sz="0" w:space="0" w:color="auto"/>
            <w:right w:val="none" w:sz="0" w:space="0" w:color="auto"/>
          </w:divBdr>
        </w:div>
      </w:divsChild>
    </w:div>
    <w:div w:id="205259247">
      <w:bodyDiv w:val="1"/>
      <w:marLeft w:val="0"/>
      <w:marRight w:val="0"/>
      <w:marTop w:val="0"/>
      <w:marBottom w:val="0"/>
      <w:divBdr>
        <w:top w:val="none" w:sz="0" w:space="0" w:color="auto"/>
        <w:left w:val="none" w:sz="0" w:space="0" w:color="auto"/>
        <w:bottom w:val="none" w:sz="0" w:space="0" w:color="auto"/>
        <w:right w:val="none" w:sz="0" w:space="0" w:color="auto"/>
      </w:divBdr>
    </w:div>
    <w:div w:id="238292595">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66872507">
      <w:bodyDiv w:val="1"/>
      <w:marLeft w:val="0"/>
      <w:marRight w:val="0"/>
      <w:marTop w:val="0"/>
      <w:marBottom w:val="0"/>
      <w:divBdr>
        <w:top w:val="none" w:sz="0" w:space="0" w:color="auto"/>
        <w:left w:val="none" w:sz="0" w:space="0" w:color="auto"/>
        <w:bottom w:val="none" w:sz="0" w:space="0" w:color="auto"/>
        <w:right w:val="none" w:sz="0" w:space="0" w:color="auto"/>
      </w:divBdr>
    </w:div>
    <w:div w:id="428697379">
      <w:bodyDiv w:val="1"/>
      <w:marLeft w:val="0"/>
      <w:marRight w:val="0"/>
      <w:marTop w:val="0"/>
      <w:marBottom w:val="0"/>
      <w:divBdr>
        <w:top w:val="none" w:sz="0" w:space="0" w:color="auto"/>
        <w:left w:val="none" w:sz="0" w:space="0" w:color="auto"/>
        <w:bottom w:val="none" w:sz="0" w:space="0" w:color="auto"/>
        <w:right w:val="none" w:sz="0" w:space="0" w:color="auto"/>
      </w:divBdr>
    </w:div>
    <w:div w:id="461390383">
      <w:bodyDiv w:val="1"/>
      <w:marLeft w:val="0"/>
      <w:marRight w:val="0"/>
      <w:marTop w:val="0"/>
      <w:marBottom w:val="0"/>
      <w:divBdr>
        <w:top w:val="none" w:sz="0" w:space="0" w:color="auto"/>
        <w:left w:val="none" w:sz="0" w:space="0" w:color="auto"/>
        <w:bottom w:val="none" w:sz="0" w:space="0" w:color="auto"/>
        <w:right w:val="none" w:sz="0" w:space="0" w:color="auto"/>
      </w:divBdr>
    </w:div>
    <w:div w:id="476265180">
      <w:bodyDiv w:val="1"/>
      <w:marLeft w:val="0"/>
      <w:marRight w:val="0"/>
      <w:marTop w:val="0"/>
      <w:marBottom w:val="0"/>
      <w:divBdr>
        <w:top w:val="none" w:sz="0" w:space="0" w:color="auto"/>
        <w:left w:val="none" w:sz="0" w:space="0" w:color="auto"/>
        <w:bottom w:val="none" w:sz="0" w:space="0" w:color="auto"/>
        <w:right w:val="none" w:sz="0" w:space="0" w:color="auto"/>
      </w:divBdr>
    </w:div>
    <w:div w:id="513498773">
      <w:bodyDiv w:val="1"/>
      <w:marLeft w:val="0"/>
      <w:marRight w:val="0"/>
      <w:marTop w:val="0"/>
      <w:marBottom w:val="0"/>
      <w:divBdr>
        <w:top w:val="none" w:sz="0" w:space="0" w:color="auto"/>
        <w:left w:val="none" w:sz="0" w:space="0" w:color="auto"/>
        <w:bottom w:val="none" w:sz="0" w:space="0" w:color="auto"/>
        <w:right w:val="none" w:sz="0" w:space="0" w:color="auto"/>
      </w:divBdr>
    </w:div>
    <w:div w:id="514925221">
      <w:bodyDiv w:val="1"/>
      <w:marLeft w:val="0"/>
      <w:marRight w:val="0"/>
      <w:marTop w:val="0"/>
      <w:marBottom w:val="0"/>
      <w:divBdr>
        <w:top w:val="none" w:sz="0" w:space="0" w:color="auto"/>
        <w:left w:val="none" w:sz="0" w:space="0" w:color="auto"/>
        <w:bottom w:val="none" w:sz="0" w:space="0" w:color="auto"/>
        <w:right w:val="none" w:sz="0" w:space="0" w:color="auto"/>
      </w:divBdr>
    </w:div>
    <w:div w:id="667252973">
      <w:bodyDiv w:val="1"/>
      <w:marLeft w:val="0"/>
      <w:marRight w:val="0"/>
      <w:marTop w:val="0"/>
      <w:marBottom w:val="0"/>
      <w:divBdr>
        <w:top w:val="none" w:sz="0" w:space="0" w:color="auto"/>
        <w:left w:val="none" w:sz="0" w:space="0" w:color="auto"/>
        <w:bottom w:val="none" w:sz="0" w:space="0" w:color="auto"/>
        <w:right w:val="none" w:sz="0" w:space="0" w:color="auto"/>
      </w:divBdr>
    </w:div>
    <w:div w:id="689062105">
      <w:bodyDiv w:val="1"/>
      <w:marLeft w:val="0"/>
      <w:marRight w:val="0"/>
      <w:marTop w:val="0"/>
      <w:marBottom w:val="0"/>
      <w:divBdr>
        <w:top w:val="none" w:sz="0" w:space="0" w:color="auto"/>
        <w:left w:val="none" w:sz="0" w:space="0" w:color="auto"/>
        <w:bottom w:val="none" w:sz="0" w:space="0" w:color="auto"/>
        <w:right w:val="none" w:sz="0" w:space="0" w:color="auto"/>
      </w:divBdr>
    </w:div>
    <w:div w:id="753934777">
      <w:bodyDiv w:val="1"/>
      <w:marLeft w:val="0"/>
      <w:marRight w:val="0"/>
      <w:marTop w:val="0"/>
      <w:marBottom w:val="0"/>
      <w:divBdr>
        <w:top w:val="none" w:sz="0" w:space="0" w:color="auto"/>
        <w:left w:val="none" w:sz="0" w:space="0" w:color="auto"/>
        <w:bottom w:val="none" w:sz="0" w:space="0" w:color="auto"/>
        <w:right w:val="none" w:sz="0" w:space="0" w:color="auto"/>
      </w:divBdr>
    </w:div>
    <w:div w:id="755714401">
      <w:bodyDiv w:val="1"/>
      <w:marLeft w:val="0"/>
      <w:marRight w:val="0"/>
      <w:marTop w:val="0"/>
      <w:marBottom w:val="0"/>
      <w:divBdr>
        <w:top w:val="none" w:sz="0" w:space="0" w:color="auto"/>
        <w:left w:val="none" w:sz="0" w:space="0" w:color="auto"/>
        <w:bottom w:val="none" w:sz="0" w:space="0" w:color="auto"/>
        <w:right w:val="none" w:sz="0" w:space="0" w:color="auto"/>
      </w:divBdr>
    </w:div>
    <w:div w:id="767508560">
      <w:bodyDiv w:val="1"/>
      <w:marLeft w:val="0"/>
      <w:marRight w:val="0"/>
      <w:marTop w:val="0"/>
      <w:marBottom w:val="0"/>
      <w:divBdr>
        <w:top w:val="none" w:sz="0" w:space="0" w:color="auto"/>
        <w:left w:val="none" w:sz="0" w:space="0" w:color="auto"/>
        <w:bottom w:val="none" w:sz="0" w:space="0" w:color="auto"/>
        <w:right w:val="none" w:sz="0" w:space="0" w:color="auto"/>
      </w:divBdr>
    </w:div>
    <w:div w:id="791285889">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843056807">
      <w:bodyDiv w:val="1"/>
      <w:marLeft w:val="0"/>
      <w:marRight w:val="0"/>
      <w:marTop w:val="0"/>
      <w:marBottom w:val="0"/>
      <w:divBdr>
        <w:top w:val="none" w:sz="0" w:space="0" w:color="auto"/>
        <w:left w:val="none" w:sz="0" w:space="0" w:color="auto"/>
        <w:bottom w:val="none" w:sz="0" w:space="0" w:color="auto"/>
        <w:right w:val="none" w:sz="0" w:space="0" w:color="auto"/>
      </w:divBdr>
    </w:div>
    <w:div w:id="844049146">
      <w:bodyDiv w:val="1"/>
      <w:marLeft w:val="0"/>
      <w:marRight w:val="0"/>
      <w:marTop w:val="0"/>
      <w:marBottom w:val="0"/>
      <w:divBdr>
        <w:top w:val="none" w:sz="0" w:space="0" w:color="auto"/>
        <w:left w:val="none" w:sz="0" w:space="0" w:color="auto"/>
        <w:bottom w:val="none" w:sz="0" w:space="0" w:color="auto"/>
        <w:right w:val="none" w:sz="0" w:space="0" w:color="auto"/>
      </w:divBdr>
    </w:div>
    <w:div w:id="871069768">
      <w:bodyDiv w:val="1"/>
      <w:marLeft w:val="0"/>
      <w:marRight w:val="0"/>
      <w:marTop w:val="0"/>
      <w:marBottom w:val="0"/>
      <w:divBdr>
        <w:top w:val="none" w:sz="0" w:space="0" w:color="auto"/>
        <w:left w:val="none" w:sz="0" w:space="0" w:color="auto"/>
        <w:bottom w:val="none" w:sz="0" w:space="0" w:color="auto"/>
        <w:right w:val="none" w:sz="0" w:space="0" w:color="auto"/>
      </w:divBdr>
    </w:div>
    <w:div w:id="888416790">
      <w:bodyDiv w:val="1"/>
      <w:marLeft w:val="0"/>
      <w:marRight w:val="0"/>
      <w:marTop w:val="0"/>
      <w:marBottom w:val="0"/>
      <w:divBdr>
        <w:top w:val="none" w:sz="0" w:space="0" w:color="auto"/>
        <w:left w:val="none" w:sz="0" w:space="0" w:color="auto"/>
        <w:bottom w:val="none" w:sz="0" w:space="0" w:color="auto"/>
        <w:right w:val="none" w:sz="0" w:space="0" w:color="auto"/>
      </w:divBdr>
    </w:div>
    <w:div w:id="952174437">
      <w:bodyDiv w:val="1"/>
      <w:marLeft w:val="0"/>
      <w:marRight w:val="0"/>
      <w:marTop w:val="0"/>
      <w:marBottom w:val="0"/>
      <w:divBdr>
        <w:top w:val="none" w:sz="0" w:space="0" w:color="auto"/>
        <w:left w:val="none" w:sz="0" w:space="0" w:color="auto"/>
        <w:bottom w:val="none" w:sz="0" w:space="0" w:color="auto"/>
        <w:right w:val="none" w:sz="0" w:space="0" w:color="auto"/>
      </w:divBdr>
    </w:div>
    <w:div w:id="991375894">
      <w:bodyDiv w:val="1"/>
      <w:marLeft w:val="0"/>
      <w:marRight w:val="0"/>
      <w:marTop w:val="0"/>
      <w:marBottom w:val="0"/>
      <w:divBdr>
        <w:top w:val="none" w:sz="0" w:space="0" w:color="auto"/>
        <w:left w:val="none" w:sz="0" w:space="0" w:color="auto"/>
        <w:bottom w:val="none" w:sz="0" w:space="0" w:color="auto"/>
        <w:right w:val="none" w:sz="0" w:space="0" w:color="auto"/>
      </w:divBdr>
    </w:div>
    <w:div w:id="1152067682">
      <w:bodyDiv w:val="1"/>
      <w:marLeft w:val="0"/>
      <w:marRight w:val="0"/>
      <w:marTop w:val="0"/>
      <w:marBottom w:val="0"/>
      <w:divBdr>
        <w:top w:val="none" w:sz="0" w:space="0" w:color="auto"/>
        <w:left w:val="none" w:sz="0" w:space="0" w:color="auto"/>
        <w:bottom w:val="none" w:sz="0" w:space="0" w:color="auto"/>
        <w:right w:val="none" w:sz="0" w:space="0" w:color="auto"/>
      </w:divBdr>
    </w:div>
    <w:div w:id="1153333789">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195343380">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278952182">
      <w:bodyDiv w:val="1"/>
      <w:marLeft w:val="0"/>
      <w:marRight w:val="0"/>
      <w:marTop w:val="0"/>
      <w:marBottom w:val="0"/>
      <w:divBdr>
        <w:top w:val="none" w:sz="0" w:space="0" w:color="auto"/>
        <w:left w:val="none" w:sz="0" w:space="0" w:color="auto"/>
        <w:bottom w:val="none" w:sz="0" w:space="0" w:color="auto"/>
        <w:right w:val="none" w:sz="0" w:space="0" w:color="auto"/>
      </w:divBdr>
    </w:div>
    <w:div w:id="1334455629">
      <w:bodyDiv w:val="1"/>
      <w:marLeft w:val="0"/>
      <w:marRight w:val="0"/>
      <w:marTop w:val="0"/>
      <w:marBottom w:val="0"/>
      <w:divBdr>
        <w:top w:val="none" w:sz="0" w:space="0" w:color="auto"/>
        <w:left w:val="none" w:sz="0" w:space="0" w:color="auto"/>
        <w:bottom w:val="none" w:sz="0" w:space="0" w:color="auto"/>
        <w:right w:val="none" w:sz="0" w:space="0" w:color="auto"/>
      </w:divBdr>
    </w:div>
    <w:div w:id="1391080606">
      <w:bodyDiv w:val="1"/>
      <w:marLeft w:val="0"/>
      <w:marRight w:val="0"/>
      <w:marTop w:val="0"/>
      <w:marBottom w:val="0"/>
      <w:divBdr>
        <w:top w:val="none" w:sz="0" w:space="0" w:color="auto"/>
        <w:left w:val="none" w:sz="0" w:space="0" w:color="auto"/>
        <w:bottom w:val="none" w:sz="0" w:space="0" w:color="auto"/>
        <w:right w:val="none" w:sz="0" w:space="0" w:color="auto"/>
      </w:divBdr>
    </w:div>
    <w:div w:id="1393776959">
      <w:bodyDiv w:val="1"/>
      <w:marLeft w:val="0"/>
      <w:marRight w:val="0"/>
      <w:marTop w:val="0"/>
      <w:marBottom w:val="0"/>
      <w:divBdr>
        <w:top w:val="none" w:sz="0" w:space="0" w:color="auto"/>
        <w:left w:val="none" w:sz="0" w:space="0" w:color="auto"/>
        <w:bottom w:val="none" w:sz="0" w:space="0" w:color="auto"/>
        <w:right w:val="none" w:sz="0" w:space="0" w:color="auto"/>
      </w:divBdr>
    </w:div>
    <w:div w:id="1421220779">
      <w:bodyDiv w:val="1"/>
      <w:marLeft w:val="0"/>
      <w:marRight w:val="0"/>
      <w:marTop w:val="0"/>
      <w:marBottom w:val="0"/>
      <w:divBdr>
        <w:top w:val="none" w:sz="0" w:space="0" w:color="auto"/>
        <w:left w:val="none" w:sz="0" w:space="0" w:color="auto"/>
        <w:bottom w:val="none" w:sz="0" w:space="0" w:color="auto"/>
        <w:right w:val="none" w:sz="0" w:space="0" w:color="auto"/>
      </w:divBdr>
    </w:div>
    <w:div w:id="1462378417">
      <w:bodyDiv w:val="1"/>
      <w:marLeft w:val="0"/>
      <w:marRight w:val="0"/>
      <w:marTop w:val="0"/>
      <w:marBottom w:val="0"/>
      <w:divBdr>
        <w:top w:val="none" w:sz="0" w:space="0" w:color="auto"/>
        <w:left w:val="none" w:sz="0" w:space="0" w:color="auto"/>
        <w:bottom w:val="none" w:sz="0" w:space="0" w:color="auto"/>
        <w:right w:val="none" w:sz="0" w:space="0" w:color="auto"/>
      </w:divBdr>
    </w:div>
    <w:div w:id="1464884228">
      <w:bodyDiv w:val="1"/>
      <w:marLeft w:val="0"/>
      <w:marRight w:val="0"/>
      <w:marTop w:val="0"/>
      <w:marBottom w:val="0"/>
      <w:divBdr>
        <w:top w:val="none" w:sz="0" w:space="0" w:color="auto"/>
        <w:left w:val="none" w:sz="0" w:space="0" w:color="auto"/>
        <w:bottom w:val="none" w:sz="0" w:space="0" w:color="auto"/>
        <w:right w:val="none" w:sz="0" w:space="0" w:color="auto"/>
      </w:divBdr>
    </w:div>
    <w:div w:id="1483235667">
      <w:bodyDiv w:val="1"/>
      <w:marLeft w:val="0"/>
      <w:marRight w:val="0"/>
      <w:marTop w:val="0"/>
      <w:marBottom w:val="0"/>
      <w:divBdr>
        <w:top w:val="none" w:sz="0" w:space="0" w:color="auto"/>
        <w:left w:val="none" w:sz="0" w:space="0" w:color="auto"/>
        <w:bottom w:val="none" w:sz="0" w:space="0" w:color="auto"/>
        <w:right w:val="none" w:sz="0" w:space="0" w:color="auto"/>
      </w:divBdr>
    </w:div>
    <w:div w:id="1509903215">
      <w:bodyDiv w:val="1"/>
      <w:marLeft w:val="0"/>
      <w:marRight w:val="0"/>
      <w:marTop w:val="0"/>
      <w:marBottom w:val="0"/>
      <w:divBdr>
        <w:top w:val="none" w:sz="0" w:space="0" w:color="auto"/>
        <w:left w:val="none" w:sz="0" w:space="0" w:color="auto"/>
        <w:bottom w:val="none" w:sz="0" w:space="0" w:color="auto"/>
        <w:right w:val="none" w:sz="0" w:space="0" w:color="auto"/>
      </w:divBdr>
    </w:div>
    <w:div w:id="1525512435">
      <w:bodyDiv w:val="1"/>
      <w:marLeft w:val="0"/>
      <w:marRight w:val="0"/>
      <w:marTop w:val="0"/>
      <w:marBottom w:val="0"/>
      <w:divBdr>
        <w:top w:val="none" w:sz="0" w:space="0" w:color="auto"/>
        <w:left w:val="none" w:sz="0" w:space="0" w:color="auto"/>
        <w:bottom w:val="none" w:sz="0" w:space="0" w:color="auto"/>
        <w:right w:val="none" w:sz="0" w:space="0" w:color="auto"/>
      </w:divBdr>
    </w:div>
    <w:div w:id="1677877330">
      <w:bodyDiv w:val="1"/>
      <w:marLeft w:val="0"/>
      <w:marRight w:val="0"/>
      <w:marTop w:val="0"/>
      <w:marBottom w:val="0"/>
      <w:divBdr>
        <w:top w:val="none" w:sz="0" w:space="0" w:color="auto"/>
        <w:left w:val="none" w:sz="0" w:space="0" w:color="auto"/>
        <w:bottom w:val="none" w:sz="0" w:space="0" w:color="auto"/>
        <w:right w:val="none" w:sz="0" w:space="0" w:color="auto"/>
      </w:divBdr>
    </w:div>
    <w:div w:id="1685397846">
      <w:bodyDiv w:val="1"/>
      <w:marLeft w:val="0"/>
      <w:marRight w:val="0"/>
      <w:marTop w:val="0"/>
      <w:marBottom w:val="0"/>
      <w:divBdr>
        <w:top w:val="none" w:sz="0" w:space="0" w:color="auto"/>
        <w:left w:val="none" w:sz="0" w:space="0" w:color="auto"/>
        <w:bottom w:val="none" w:sz="0" w:space="0" w:color="auto"/>
        <w:right w:val="none" w:sz="0" w:space="0" w:color="auto"/>
      </w:divBdr>
    </w:div>
    <w:div w:id="1687245237">
      <w:bodyDiv w:val="1"/>
      <w:marLeft w:val="0"/>
      <w:marRight w:val="0"/>
      <w:marTop w:val="0"/>
      <w:marBottom w:val="0"/>
      <w:divBdr>
        <w:top w:val="none" w:sz="0" w:space="0" w:color="auto"/>
        <w:left w:val="none" w:sz="0" w:space="0" w:color="auto"/>
        <w:bottom w:val="none" w:sz="0" w:space="0" w:color="auto"/>
        <w:right w:val="none" w:sz="0" w:space="0" w:color="auto"/>
      </w:divBdr>
    </w:div>
    <w:div w:id="1827742012">
      <w:bodyDiv w:val="1"/>
      <w:marLeft w:val="0"/>
      <w:marRight w:val="0"/>
      <w:marTop w:val="0"/>
      <w:marBottom w:val="0"/>
      <w:divBdr>
        <w:top w:val="none" w:sz="0" w:space="0" w:color="auto"/>
        <w:left w:val="none" w:sz="0" w:space="0" w:color="auto"/>
        <w:bottom w:val="none" w:sz="0" w:space="0" w:color="auto"/>
        <w:right w:val="none" w:sz="0" w:space="0" w:color="auto"/>
      </w:divBdr>
    </w:div>
    <w:div w:id="1871797696">
      <w:bodyDiv w:val="1"/>
      <w:marLeft w:val="0"/>
      <w:marRight w:val="0"/>
      <w:marTop w:val="0"/>
      <w:marBottom w:val="0"/>
      <w:divBdr>
        <w:top w:val="none" w:sz="0" w:space="0" w:color="auto"/>
        <w:left w:val="none" w:sz="0" w:space="0" w:color="auto"/>
        <w:bottom w:val="none" w:sz="0" w:space="0" w:color="auto"/>
        <w:right w:val="none" w:sz="0" w:space="0" w:color="auto"/>
      </w:divBdr>
    </w:div>
    <w:div w:id="1917474780">
      <w:bodyDiv w:val="1"/>
      <w:marLeft w:val="0"/>
      <w:marRight w:val="0"/>
      <w:marTop w:val="0"/>
      <w:marBottom w:val="0"/>
      <w:divBdr>
        <w:top w:val="none" w:sz="0" w:space="0" w:color="auto"/>
        <w:left w:val="none" w:sz="0" w:space="0" w:color="auto"/>
        <w:bottom w:val="none" w:sz="0" w:space="0" w:color="auto"/>
        <w:right w:val="none" w:sz="0" w:space="0" w:color="auto"/>
      </w:divBdr>
    </w:div>
    <w:div w:id="1929384896">
      <w:bodyDiv w:val="1"/>
      <w:marLeft w:val="0"/>
      <w:marRight w:val="0"/>
      <w:marTop w:val="0"/>
      <w:marBottom w:val="0"/>
      <w:divBdr>
        <w:top w:val="none" w:sz="0" w:space="0" w:color="auto"/>
        <w:left w:val="none" w:sz="0" w:space="0" w:color="auto"/>
        <w:bottom w:val="none" w:sz="0" w:space="0" w:color="auto"/>
        <w:right w:val="none" w:sz="0" w:space="0" w:color="auto"/>
      </w:divBdr>
    </w:div>
    <w:div w:id="1934975484">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53896083">
      <w:bodyDiv w:val="1"/>
      <w:marLeft w:val="0"/>
      <w:marRight w:val="0"/>
      <w:marTop w:val="0"/>
      <w:marBottom w:val="0"/>
      <w:divBdr>
        <w:top w:val="none" w:sz="0" w:space="0" w:color="auto"/>
        <w:left w:val="none" w:sz="0" w:space="0" w:color="auto"/>
        <w:bottom w:val="none" w:sz="0" w:space="0" w:color="auto"/>
        <w:right w:val="none" w:sz="0" w:space="0" w:color="auto"/>
      </w:divBdr>
    </w:div>
    <w:div w:id="1962639235">
      <w:bodyDiv w:val="1"/>
      <w:marLeft w:val="0"/>
      <w:marRight w:val="0"/>
      <w:marTop w:val="0"/>
      <w:marBottom w:val="0"/>
      <w:divBdr>
        <w:top w:val="none" w:sz="0" w:space="0" w:color="auto"/>
        <w:left w:val="none" w:sz="0" w:space="0" w:color="auto"/>
        <w:bottom w:val="none" w:sz="0" w:space="0" w:color="auto"/>
        <w:right w:val="none" w:sz="0" w:space="0" w:color="auto"/>
      </w:divBdr>
    </w:div>
    <w:div w:id="1976836629">
      <w:bodyDiv w:val="1"/>
      <w:marLeft w:val="0"/>
      <w:marRight w:val="0"/>
      <w:marTop w:val="0"/>
      <w:marBottom w:val="0"/>
      <w:divBdr>
        <w:top w:val="none" w:sz="0" w:space="0" w:color="auto"/>
        <w:left w:val="none" w:sz="0" w:space="0" w:color="auto"/>
        <w:bottom w:val="none" w:sz="0" w:space="0" w:color="auto"/>
        <w:right w:val="none" w:sz="0" w:space="0" w:color="auto"/>
      </w:divBdr>
    </w:div>
    <w:div w:id="1982029241">
      <w:bodyDiv w:val="1"/>
      <w:marLeft w:val="0"/>
      <w:marRight w:val="0"/>
      <w:marTop w:val="0"/>
      <w:marBottom w:val="0"/>
      <w:divBdr>
        <w:top w:val="none" w:sz="0" w:space="0" w:color="auto"/>
        <w:left w:val="none" w:sz="0" w:space="0" w:color="auto"/>
        <w:bottom w:val="none" w:sz="0" w:space="0" w:color="auto"/>
        <w:right w:val="none" w:sz="0" w:space="0" w:color="auto"/>
      </w:divBdr>
    </w:div>
    <w:div w:id="2025666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5C98D5-A85D-4E9F-B379-FA30E71E208A}">
  <ds:schemaRefs>
    <ds:schemaRef ds:uri="http://schemas.openxmlformats.org/officeDocument/2006/bibliography"/>
  </ds:schemaRefs>
</ds:datastoreItem>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40</Pages>
  <Words>14547</Words>
  <Characters>80073</Characters>
  <Application>Microsoft Office Word</Application>
  <DocSecurity>0</DocSecurity>
  <Lines>667</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2023-07-05T01:42:00Z</dcterms:created>
  <dcterms:modified xsi:type="dcterms:W3CDTF">2023-07-05T01:42:00Z</dcterms:modified>
</cp:coreProperties>
</file>