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4C5" w14:textId="202B72BB" w:rsidR="00433044" w:rsidRPr="00DB0BF0" w:rsidRDefault="00DC3432" w:rsidP="00DB0BF0">
      <w:pPr>
        <w:pStyle w:val="1-MainHeading"/>
        <w:tabs>
          <w:tab w:val="left" w:pos="720"/>
          <w:tab w:val="left" w:pos="1440"/>
          <w:tab w:val="left" w:pos="2160"/>
          <w:tab w:val="left" w:pos="2880"/>
          <w:tab w:val="left" w:pos="5730"/>
        </w:tabs>
      </w:pPr>
      <w:bookmarkStart w:id="0" w:name="_Toc124928087"/>
      <w:r>
        <w:t>5</w:t>
      </w:r>
      <w:r w:rsidR="00433044" w:rsidRPr="00C12C14">
        <w:t>.</w:t>
      </w:r>
      <w:r>
        <w:t>02</w:t>
      </w:r>
      <w:r w:rsidR="00163F66">
        <w:tab/>
      </w:r>
      <w:r w:rsidR="00E06906">
        <w:t>OSILODROSTAT</w:t>
      </w:r>
      <w:r w:rsidR="00163F66">
        <w:t>,</w:t>
      </w:r>
      <w:r w:rsidR="00163F66">
        <w:br/>
      </w:r>
      <w:r>
        <w:t>T</w:t>
      </w:r>
      <w:r w:rsidR="00E06906">
        <w:t xml:space="preserve">ablet 1 mg, </w:t>
      </w:r>
      <w:r w:rsidR="00D413B8">
        <w:br/>
      </w:r>
      <w:r>
        <w:t>T</w:t>
      </w:r>
      <w:r w:rsidR="00E06906">
        <w:t xml:space="preserve">ablet 5 mg, </w:t>
      </w:r>
      <w:r w:rsidR="00D413B8">
        <w:br/>
      </w:r>
      <w:r>
        <w:t>T</w:t>
      </w:r>
      <w:r w:rsidR="00E06906">
        <w:t>ablet 10 mg</w:t>
      </w:r>
      <w:r w:rsidR="00163F66">
        <w:t>,</w:t>
      </w:r>
      <w:r w:rsidR="00163F66">
        <w:br/>
      </w:r>
      <w:r w:rsidR="00E06906">
        <w:t>Isturisa</w:t>
      </w:r>
      <w:r w:rsidR="00B60939" w:rsidRPr="004A6040">
        <w:rPr>
          <w:vertAlign w:val="superscript"/>
        </w:rPr>
        <w:t>®</w:t>
      </w:r>
      <w:r w:rsidR="004A6040" w:rsidRPr="004A6040">
        <w:t>,</w:t>
      </w:r>
      <w:r w:rsidR="004A6040" w:rsidRPr="004A6040">
        <w:br/>
      </w:r>
      <w:r w:rsidR="00E06906">
        <w:t>Recordati Rare Diseases Australia Pty Ltd</w:t>
      </w:r>
      <w:r w:rsidR="00B60939" w:rsidRPr="004A6040">
        <w:t>.</w:t>
      </w:r>
      <w:bookmarkEnd w:id="0"/>
      <w:r w:rsidR="00F73E08">
        <w:t xml:space="preserve"> </w:t>
      </w:r>
    </w:p>
    <w:p w14:paraId="11C00795" w14:textId="3DFB6D23" w:rsidR="00B50DB8" w:rsidRPr="00407F2D" w:rsidRDefault="00B50DB8" w:rsidP="004A6040">
      <w:pPr>
        <w:pStyle w:val="2-SectionHeading"/>
      </w:pPr>
      <w:bookmarkStart w:id="1" w:name="_Toc124928089"/>
      <w:r w:rsidRPr="00407F2D">
        <w:t xml:space="preserve">Purpose of </w:t>
      </w:r>
      <w:r w:rsidR="00CD7193">
        <w:t>s</w:t>
      </w:r>
      <w:r w:rsidR="00BB3A45">
        <w:t>ubmission</w:t>
      </w:r>
      <w:bookmarkEnd w:id="1"/>
    </w:p>
    <w:p w14:paraId="19414AA1" w14:textId="79B607E8" w:rsidR="002C2775" w:rsidRPr="008B1757" w:rsidRDefault="007170DA" w:rsidP="004E18E9">
      <w:pPr>
        <w:pStyle w:val="3-BodyText"/>
      </w:pPr>
      <w:r>
        <w:t xml:space="preserve">The </w:t>
      </w:r>
      <w:r w:rsidR="00F73E08">
        <w:t xml:space="preserve">Category </w:t>
      </w:r>
      <w:r w:rsidR="00AC5B8A">
        <w:t>1</w:t>
      </w:r>
      <w:r w:rsidR="00F73E08">
        <w:t xml:space="preserve"> </w:t>
      </w:r>
      <w:r>
        <w:t xml:space="preserve">submission </w:t>
      </w:r>
      <w:r w:rsidRPr="004E18E9">
        <w:t xml:space="preserve">requested </w:t>
      </w:r>
      <w:r w:rsidR="008B1757" w:rsidRPr="004E18E9">
        <w:t>Authority Required</w:t>
      </w:r>
      <w:r w:rsidR="00AC5B8A">
        <w:t xml:space="preserve"> (telephone/online) </w:t>
      </w:r>
      <w:r w:rsidR="008B1757" w:rsidRPr="004E18E9">
        <w:t xml:space="preserve">listing for </w:t>
      </w:r>
      <w:r w:rsidR="00AC5B8A">
        <w:t>osilodrostat</w:t>
      </w:r>
      <w:r w:rsidR="008B1757" w:rsidRPr="004E18E9">
        <w:t xml:space="preserve"> for </w:t>
      </w:r>
      <w:r w:rsidR="0050174E" w:rsidRPr="004E18E9">
        <w:t xml:space="preserve">the </w:t>
      </w:r>
      <w:r w:rsidR="008B1757" w:rsidRPr="004E18E9">
        <w:t xml:space="preserve">treatment of </w:t>
      </w:r>
      <w:r w:rsidR="00AC5B8A">
        <w:t>adult patients with endogenous Cushing</w:t>
      </w:r>
      <w:r w:rsidR="003B2F4F">
        <w:t>’s</w:t>
      </w:r>
      <w:r w:rsidR="00AC5B8A">
        <w:t xml:space="preserve"> syndrome</w:t>
      </w:r>
      <w:r w:rsidR="00755D63">
        <w:t xml:space="preserve"> (CS)</w:t>
      </w:r>
      <w:r w:rsidR="00AC5B8A">
        <w:t xml:space="preserve"> who are not candidates for surgery or for whom surgery was not curative</w:t>
      </w:r>
      <w:r w:rsidR="008B1757" w:rsidRPr="00C527C7">
        <w:t>.</w:t>
      </w:r>
      <w:r w:rsidR="008B1757" w:rsidRPr="00C527C7">
        <w:rPr>
          <w:color w:val="0066FF"/>
        </w:rPr>
        <w:t xml:space="preserve"> </w:t>
      </w:r>
    </w:p>
    <w:p w14:paraId="4E9FBCB5" w14:textId="7AE3A83F" w:rsidR="00C2778B" w:rsidRDefault="005750C5" w:rsidP="004E18E9">
      <w:pPr>
        <w:pStyle w:val="3-BodyText"/>
      </w:pPr>
      <w:r w:rsidRPr="005750C5">
        <w:t xml:space="preserve">Listing was requested on the basis of a </w:t>
      </w:r>
      <w:r>
        <w:t>cost-effectiveness</w:t>
      </w:r>
      <w:r w:rsidRPr="005750C5">
        <w:t xml:space="preserve"> analysis</w:t>
      </w:r>
      <w:r w:rsidR="00D34C78">
        <w:t xml:space="preserve"> (trial-based evaluation)</w:t>
      </w:r>
      <w:r w:rsidRPr="005750C5">
        <w:t xml:space="preserve"> versus</w:t>
      </w:r>
      <w:r>
        <w:t xml:space="preserve"> </w:t>
      </w:r>
      <w:r w:rsidR="00D34C78">
        <w:t>three comparators – placebo, metyrapone and ketoconazole</w:t>
      </w:r>
      <w:r>
        <w:t>.</w:t>
      </w:r>
      <w:r w:rsidR="004B485D">
        <w:rPr>
          <w:color w:val="0066FF"/>
        </w:rPr>
        <w:t xml:space="preserve"> </w:t>
      </w:r>
    </w:p>
    <w:p w14:paraId="3718DE61" w14:textId="705B5389" w:rsidR="008B1757" w:rsidRPr="004A6040" w:rsidRDefault="00696EF9" w:rsidP="004A6040">
      <w:pPr>
        <w:pStyle w:val="TableFigureHeading"/>
        <w:rPr>
          <w:rStyle w:val="CommentReference"/>
          <w:b/>
          <w:szCs w:val="24"/>
        </w:rPr>
      </w:pPr>
      <w:r>
        <w:t xml:space="preserve">Table </w:t>
      </w:r>
      <w:fldSimple w:instr=" SEQ Table \* ARABIC ">
        <w:r w:rsidR="00A9220E">
          <w:rPr>
            <w:noProof/>
          </w:rPr>
          <w:t>1</w:t>
        </w:r>
      </w:fldSimple>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2A2ADE">
        <w:trPr>
          <w:cantSplit/>
          <w:tblHeader/>
        </w:trPr>
        <w:tc>
          <w:tcPr>
            <w:tcW w:w="924" w:type="pct"/>
            <w:shd w:val="clear" w:color="auto" w:fill="auto"/>
          </w:tcPr>
          <w:p w14:paraId="501803FB" w14:textId="77777777" w:rsidR="008B1757" w:rsidRPr="008B1757" w:rsidRDefault="008B1757" w:rsidP="004A6040">
            <w:pPr>
              <w:pStyle w:val="In-tableHeading"/>
              <w:rPr>
                <w:szCs w:val="20"/>
              </w:rPr>
            </w:pPr>
            <w:r w:rsidRPr="008B1757">
              <w:t>Component</w:t>
            </w:r>
          </w:p>
        </w:tc>
        <w:tc>
          <w:tcPr>
            <w:tcW w:w="4076" w:type="pct"/>
            <w:shd w:val="clear" w:color="auto" w:fill="auto"/>
          </w:tcPr>
          <w:p w14:paraId="445D9EBB" w14:textId="77777777" w:rsidR="008B1757" w:rsidRPr="008B1757" w:rsidRDefault="008B1757" w:rsidP="00DE646D">
            <w:pPr>
              <w:pStyle w:val="In-tableHeading"/>
              <w:jc w:val="center"/>
            </w:pPr>
            <w:r w:rsidRPr="008B1757">
              <w:t>Description</w:t>
            </w:r>
          </w:p>
        </w:tc>
      </w:tr>
      <w:tr w:rsidR="00D34C78" w:rsidRPr="00691913" w14:paraId="2EB546E2" w14:textId="77777777" w:rsidTr="001F545B">
        <w:trPr>
          <w:cantSplit/>
        </w:trPr>
        <w:tc>
          <w:tcPr>
            <w:tcW w:w="924" w:type="pct"/>
            <w:shd w:val="clear" w:color="auto" w:fill="auto"/>
          </w:tcPr>
          <w:p w14:paraId="38F3BB34" w14:textId="77777777" w:rsidR="00D34C78" w:rsidRPr="00691913" w:rsidRDefault="00D34C78" w:rsidP="00D34C78">
            <w:pPr>
              <w:pStyle w:val="TableText0"/>
            </w:pPr>
            <w:r w:rsidRPr="00691913">
              <w:t>Population</w:t>
            </w:r>
          </w:p>
        </w:tc>
        <w:tc>
          <w:tcPr>
            <w:tcW w:w="4076" w:type="pct"/>
            <w:shd w:val="clear" w:color="auto" w:fill="auto"/>
            <w:vAlign w:val="center"/>
          </w:tcPr>
          <w:p w14:paraId="79618EEE" w14:textId="0B0969A6" w:rsidR="00D34C78" w:rsidRPr="00D34C78" w:rsidRDefault="00D34C78" w:rsidP="00D34C78">
            <w:pPr>
              <w:pStyle w:val="TableText0"/>
              <w:rPr>
                <w:szCs w:val="20"/>
              </w:rPr>
            </w:pPr>
            <w:r>
              <w:t>Adult patients with endogenous Cushing’s syndrome who are not candidates for surgery or for whom surgery was not curative.</w:t>
            </w:r>
          </w:p>
        </w:tc>
      </w:tr>
      <w:tr w:rsidR="00D34C78" w:rsidRPr="00691913" w14:paraId="0CA523AF" w14:textId="77777777" w:rsidTr="001F545B">
        <w:trPr>
          <w:cantSplit/>
        </w:trPr>
        <w:tc>
          <w:tcPr>
            <w:tcW w:w="924" w:type="pct"/>
            <w:shd w:val="clear" w:color="auto" w:fill="auto"/>
          </w:tcPr>
          <w:p w14:paraId="7B6D20D8" w14:textId="77777777" w:rsidR="00D34C78" w:rsidRPr="00691913" w:rsidRDefault="00D34C78" w:rsidP="00D34C78">
            <w:pPr>
              <w:pStyle w:val="TableText0"/>
            </w:pPr>
            <w:r w:rsidRPr="00691913">
              <w:t>Intervention</w:t>
            </w:r>
          </w:p>
        </w:tc>
        <w:tc>
          <w:tcPr>
            <w:tcW w:w="4076" w:type="pct"/>
            <w:shd w:val="clear" w:color="auto" w:fill="auto"/>
            <w:vAlign w:val="center"/>
          </w:tcPr>
          <w:p w14:paraId="2491E905" w14:textId="395A4EFA" w:rsidR="00D34C78" w:rsidRPr="00D34C78" w:rsidRDefault="00D34C78" w:rsidP="00D34C78">
            <w:pPr>
              <w:pStyle w:val="TableText0"/>
            </w:pPr>
            <w:r>
              <w:t xml:space="preserve">Osilodrostat </w:t>
            </w:r>
            <w:r w:rsidR="00944732">
              <w:t xml:space="preserve">1 – </w:t>
            </w:r>
            <w:r>
              <w:t>2 mg bid with dose titration permitted up to 30 mg bid.</w:t>
            </w:r>
            <w:r w:rsidR="00944732">
              <w:t xml:space="preserve"> Usual maintenance dose in clinical studies varied between 2 and 7 mg bid.</w:t>
            </w:r>
          </w:p>
        </w:tc>
      </w:tr>
      <w:tr w:rsidR="00D34C78" w:rsidRPr="00691913" w14:paraId="0F81EBE4" w14:textId="77777777" w:rsidTr="001F545B">
        <w:trPr>
          <w:cantSplit/>
        </w:trPr>
        <w:tc>
          <w:tcPr>
            <w:tcW w:w="924" w:type="pct"/>
            <w:shd w:val="clear" w:color="auto" w:fill="auto"/>
          </w:tcPr>
          <w:p w14:paraId="3656B343" w14:textId="77777777" w:rsidR="00D34C78" w:rsidRPr="00691913" w:rsidRDefault="00D34C78" w:rsidP="00D34C78">
            <w:pPr>
              <w:pStyle w:val="TableText0"/>
            </w:pPr>
            <w:r w:rsidRPr="00691913">
              <w:t>Comparator</w:t>
            </w:r>
          </w:p>
        </w:tc>
        <w:tc>
          <w:tcPr>
            <w:tcW w:w="4076" w:type="pct"/>
            <w:shd w:val="clear" w:color="auto" w:fill="auto"/>
            <w:vAlign w:val="center"/>
          </w:tcPr>
          <w:p w14:paraId="3727DE24" w14:textId="773F6812" w:rsidR="00D34C78" w:rsidRPr="00D34C78" w:rsidRDefault="00D34C78" w:rsidP="00D34C78">
            <w:pPr>
              <w:pStyle w:val="TableText0"/>
            </w:pPr>
            <w:r>
              <w:t xml:space="preserve">Placebo; metyrapone 500 – 3,000 mg/day; ketoconazole 400 – 2400 mg/day. </w:t>
            </w:r>
          </w:p>
        </w:tc>
      </w:tr>
      <w:tr w:rsidR="00D34C78" w:rsidRPr="00691913" w14:paraId="02F86F0D" w14:textId="77777777" w:rsidTr="001F545B">
        <w:trPr>
          <w:cantSplit/>
        </w:trPr>
        <w:tc>
          <w:tcPr>
            <w:tcW w:w="924" w:type="pct"/>
            <w:shd w:val="clear" w:color="auto" w:fill="auto"/>
          </w:tcPr>
          <w:p w14:paraId="06433105" w14:textId="77777777" w:rsidR="00D34C78" w:rsidRPr="00691913" w:rsidRDefault="00D34C78" w:rsidP="00D34C78">
            <w:pPr>
              <w:pStyle w:val="TableText0"/>
            </w:pPr>
            <w:r w:rsidRPr="00691913">
              <w:t>Outcomes</w:t>
            </w:r>
          </w:p>
        </w:tc>
        <w:tc>
          <w:tcPr>
            <w:tcW w:w="4076" w:type="pct"/>
            <w:shd w:val="clear" w:color="auto" w:fill="auto"/>
            <w:vAlign w:val="center"/>
          </w:tcPr>
          <w:p w14:paraId="5ABC4037" w14:textId="494D45A3" w:rsidR="00D34C78" w:rsidRPr="00D34C78" w:rsidRDefault="00D34C78" w:rsidP="00D34C78">
            <w:pPr>
              <w:pStyle w:val="TableText0"/>
              <w:rPr>
                <w:rFonts w:eastAsia="Times New Roman" w:cs="Arial"/>
                <w:bCs w:val="0"/>
                <w:snapToGrid w:val="0"/>
                <w:szCs w:val="20"/>
              </w:rPr>
            </w:pPr>
            <w:r>
              <w:t>Complete response rate, defined as the proportion of patients achieving normalisation of mean urinary free cortisol.</w:t>
            </w:r>
          </w:p>
        </w:tc>
      </w:tr>
      <w:tr w:rsidR="00D34C78" w:rsidRPr="00691913" w14:paraId="22223890" w14:textId="77777777" w:rsidTr="001F545B">
        <w:trPr>
          <w:cantSplit/>
        </w:trPr>
        <w:tc>
          <w:tcPr>
            <w:tcW w:w="924" w:type="pct"/>
            <w:shd w:val="clear" w:color="auto" w:fill="auto"/>
          </w:tcPr>
          <w:p w14:paraId="0FC8FCE0" w14:textId="77777777" w:rsidR="00D34C78" w:rsidRPr="00691913" w:rsidRDefault="00D34C78" w:rsidP="00D34C78">
            <w:pPr>
              <w:pStyle w:val="TableText0"/>
            </w:pPr>
            <w:r w:rsidRPr="00691913">
              <w:t>Clinical claim</w:t>
            </w:r>
          </w:p>
        </w:tc>
        <w:tc>
          <w:tcPr>
            <w:tcW w:w="4076" w:type="pct"/>
            <w:shd w:val="clear" w:color="auto" w:fill="auto"/>
            <w:vAlign w:val="center"/>
          </w:tcPr>
          <w:p w14:paraId="2C99C4DE" w14:textId="15697B21" w:rsidR="00D34C78" w:rsidRPr="00D34C78" w:rsidRDefault="00D34C78" w:rsidP="00D34C78">
            <w:pPr>
              <w:pStyle w:val="TableText0"/>
              <w:rPr>
                <w:rFonts w:eastAsia="Times New Roman" w:cs="Arial"/>
                <w:bCs w:val="0"/>
                <w:snapToGrid w:val="0"/>
                <w:szCs w:val="20"/>
              </w:rPr>
            </w:pPr>
            <w:r>
              <w:rPr>
                <w:szCs w:val="20"/>
              </w:rPr>
              <w:t>Osilodrostat is superior to placebo with respect to efficacy and non-inferior with respect to safety; osilodrostat is superior to metyrapone with respect to efficacy and safety; osilodrostat is superior to ketoconazole with respect to efficacy and safety.</w:t>
            </w:r>
          </w:p>
        </w:tc>
      </w:tr>
    </w:tbl>
    <w:p w14:paraId="31BE2D72" w14:textId="77777777" w:rsidR="00D34C78" w:rsidRDefault="008B1757" w:rsidP="00D34C78">
      <w:pPr>
        <w:pStyle w:val="FooterTableFigure"/>
      </w:pPr>
      <w:r>
        <w:t>Source</w:t>
      </w:r>
      <w:r w:rsidRPr="00AB08F8">
        <w:t xml:space="preserve">: </w:t>
      </w:r>
      <w:r w:rsidR="00D34C78" w:rsidRPr="00AB08F8">
        <w:t>Table 1.1-1, p6 of the submission.</w:t>
      </w:r>
    </w:p>
    <w:p w14:paraId="527CA7F0" w14:textId="6F599304" w:rsidR="004E43B2" w:rsidRPr="004A6040" w:rsidRDefault="00D34C78" w:rsidP="00D34C78">
      <w:pPr>
        <w:pStyle w:val="FooterTableFigure"/>
        <w:rPr>
          <w:sz w:val="20"/>
        </w:rPr>
      </w:pPr>
      <w:r>
        <w:t>bid = twice daily</w:t>
      </w:r>
    </w:p>
    <w:p w14:paraId="6B4AB6C2" w14:textId="7F01D731" w:rsidR="005C25FF" w:rsidRPr="00407F2D" w:rsidRDefault="005C25FF" w:rsidP="004A6040">
      <w:pPr>
        <w:pStyle w:val="2-SectionHeading"/>
      </w:pPr>
      <w:bookmarkStart w:id="2" w:name="_Toc124928090"/>
      <w:r w:rsidRPr="00407F2D">
        <w:t>Background</w:t>
      </w:r>
      <w:bookmarkEnd w:id="2"/>
    </w:p>
    <w:p w14:paraId="2C521D6D" w14:textId="78CF03EE" w:rsidR="005C25FF" w:rsidRPr="008C713C" w:rsidRDefault="005C25FF" w:rsidP="004A6040">
      <w:pPr>
        <w:pStyle w:val="4-SubsectionHeading"/>
        <w:rPr>
          <w:bCs/>
          <w:i w:val="0"/>
          <w:iCs/>
        </w:rPr>
      </w:pPr>
      <w:bookmarkStart w:id="3" w:name="_Toc22897638"/>
      <w:bookmarkStart w:id="4" w:name="_Toc124928091"/>
      <w:r w:rsidRPr="008C713C">
        <w:rPr>
          <w:bCs/>
          <w:i w:val="0"/>
          <w:iCs/>
        </w:rPr>
        <w:t>Registration status</w:t>
      </w:r>
      <w:bookmarkEnd w:id="3"/>
      <w:bookmarkEnd w:id="4"/>
    </w:p>
    <w:p w14:paraId="5687ECCD" w14:textId="37101683" w:rsidR="00CF3A1B" w:rsidRDefault="001431DA" w:rsidP="004E18E9">
      <w:pPr>
        <w:pStyle w:val="3-BodyText"/>
      </w:pPr>
      <w:r w:rsidRPr="001431DA">
        <w:t xml:space="preserve">TGA status at time of PBAC consideration: </w:t>
      </w:r>
      <w:r>
        <w:t>o</w:t>
      </w:r>
      <w:r w:rsidR="00D34C78">
        <w:t xml:space="preserve">silodrostat was registered by the TGA on </w:t>
      </w:r>
      <w:r w:rsidR="001E6B46">
        <w:t>12 </w:t>
      </w:r>
      <w:r w:rsidR="00D34C78">
        <w:t>May</w:t>
      </w:r>
      <w:r w:rsidR="001E6B46">
        <w:t> </w:t>
      </w:r>
      <w:r w:rsidR="00D34C78">
        <w:t xml:space="preserve">2022 </w:t>
      </w:r>
      <w:r w:rsidR="0034334F">
        <w:t>for</w:t>
      </w:r>
      <w:r w:rsidR="00D34C78">
        <w:t xml:space="preserve"> the treatment of endogenous Cushing’s syndrome in adults.</w:t>
      </w:r>
    </w:p>
    <w:p w14:paraId="5374AD55" w14:textId="793B3DCD" w:rsidR="005C25FF" w:rsidRDefault="00D34C78" w:rsidP="00EA69E2">
      <w:pPr>
        <w:pStyle w:val="3-BodyText"/>
      </w:pPr>
      <w:r>
        <w:t>Market authorisation ha</w:t>
      </w:r>
      <w:r w:rsidR="00C96FB6">
        <w:t>d</w:t>
      </w:r>
      <w:r>
        <w:t xml:space="preserve"> also been granted by the FDA (6</w:t>
      </w:r>
      <w:r w:rsidR="001E6B46">
        <w:t> </w:t>
      </w:r>
      <w:r>
        <w:t>March</w:t>
      </w:r>
      <w:r w:rsidR="001E6B46">
        <w:t> </w:t>
      </w:r>
      <w:r>
        <w:t>2020), the EMA (</w:t>
      </w:r>
      <w:r w:rsidR="001E6B46">
        <w:t>9 January </w:t>
      </w:r>
      <w:r>
        <w:t>2020), in Japan (</w:t>
      </w:r>
      <w:r w:rsidR="001E6B46">
        <w:t>23 </w:t>
      </w:r>
      <w:r>
        <w:t>March</w:t>
      </w:r>
      <w:r w:rsidR="001E6B46">
        <w:t> </w:t>
      </w:r>
      <w:r>
        <w:t>2021) and in Switzerland (</w:t>
      </w:r>
      <w:r w:rsidR="001E6B46">
        <w:t>12 October </w:t>
      </w:r>
      <w:r>
        <w:t>2020).</w:t>
      </w:r>
      <w:r w:rsidR="00D43D83">
        <w:t xml:space="preserve"> </w:t>
      </w:r>
    </w:p>
    <w:p w14:paraId="76E4EF3C" w14:textId="56140C8D" w:rsidR="00B60939" w:rsidRDefault="00B50DB8" w:rsidP="004E18E9">
      <w:pPr>
        <w:pStyle w:val="2-SectionHeading"/>
      </w:pPr>
      <w:bookmarkStart w:id="5" w:name="_Toc107902078"/>
      <w:bookmarkStart w:id="6" w:name="_Toc124928092"/>
      <w:bookmarkEnd w:id="5"/>
      <w:r w:rsidRPr="00407F2D">
        <w:lastRenderedPageBreak/>
        <w:t>Requested listing</w:t>
      </w:r>
      <w:bookmarkEnd w:id="6"/>
    </w:p>
    <w:p w14:paraId="210B3796" w14:textId="50F95DA4" w:rsidR="00046D64" w:rsidRDefault="00A277CA" w:rsidP="00A277CA">
      <w:pPr>
        <w:pStyle w:val="3-BodyText"/>
      </w:pPr>
      <w:r w:rsidRPr="00A277CA">
        <w:t>Suggestions and additions proposed by the Secretariat are added in italics and suggested deletions are crossed out with strikethrough.</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40"/>
        <w:gridCol w:w="2203"/>
        <w:gridCol w:w="832"/>
        <w:gridCol w:w="831"/>
        <w:gridCol w:w="832"/>
        <w:gridCol w:w="1333"/>
      </w:tblGrid>
      <w:tr w:rsidR="00A277CA" w:rsidRPr="001428E9" w14:paraId="41D4BF0A" w14:textId="77777777" w:rsidTr="00FA4D4F">
        <w:trPr>
          <w:cantSplit/>
          <w:trHeight w:val="20"/>
        </w:trPr>
        <w:tc>
          <w:tcPr>
            <w:tcW w:w="3040" w:type="dxa"/>
            <w:vAlign w:val="center"/>
          </w:tcPr>
          <w:p w14:paraId="65024B6E" w14:textId="77777777" w:rsidR="00A277CA" w:rsidRPr="001428E9" w:rsidRDefault="00A277CA" w:rsidP="00FA4D4F">
            <w:pPr>
              <w:keepNext/>
              <w:keepLines/>
              <w:rPr>
                <w:rFonts w:ascii="Arial Narrow" w:hAnsi="Arial Narrow"/>
                <w:b/>
                <w:bCs/>
                <w:sz w:val="20"/>
                <w:szCs w:val="20"/>
              </w:rPr>
            </w:pPr>
            <w:r w:rsidRPr="001428E9">
              <w:rPr>
                <w:rFonts w:ascii="Arial Narrow" w:hAnsi="Arial Narrow"/>
                <w:b/>
                <w:bCs/>
                <w:sz w:val="20"/>
                <w:szCs w:val="20"/>
              </w:rPr>
              <w:t>MEDICINAL PRODUCT</w:t>
            </w:r>
          </w:p>
          <w:p w14:paraId="2414AD61" w14:textId="77777777" w:rsidR="00A277CA" w:rsidRPr="001428E9" w:rsidRDefault="00A277CA" w:rsidP="00FA4D4F">
            <w:pPr>
              <w:keepNext/>
              <w:keepLines/>
              <w:rPr>
                <w:rFonts w:ascii="Arial Narrow" w:hAnsi="Arial Narrow"/>
                <w:b/>
                <w:sz w:val="20"/>
                <w:szCs w:val="20"/>
              </w:rPr>
            </w:pPr>
            <w:r w:rsidRPr="001428E9">
              <w:rPr>
                <w:rFonts w:ascii="Arial Narrow" w:hAnsi="Arial Narrow"/>
                <w:b/>
                <w:bCs/>
                <w:sz w:val="20"/>
                <w:szCs w:val="20"/>
              </w:rPr>
              <w:t>medicinal product pack</w:t>
            </w:r>
          </w:p>
        </w:tc>
        <w:tc>
          <w:tcPr>
            <w:tcW w:w="2203" w:type="dxa"/>
            <w:vAlign w:val="center"/>
          </w:tcPr>
          <w:p w14:paraId="484C23BA" w14:textId="77777777" w:rsidR="00A277CA" w:rsidRDefault="00A277CA" w:rsidP="00FA4D4F">
            <w:pPr>
              <w:pStyle w:val="TableText0"/>
              <w:keepLines/>
              <w:jc w:val="center"/>
              <w:rPr>
                <w:b/>
                <w:bCs w:val="0"/>
                <w:snapToGrid w:val="0"/>
              </w:rPr>
            </w:pPr>
            <w:r w:rsidRPr="00C61A59">
              <w:rPr>
                <w:b/>
                <w:bCs w:val="0"/>
                <w:snapToGrid w:val="0"/>
              </w:rPr>
              <w:t xml:space="preserve">Dispensed Price for </w:t>
            </w:r>
          </w:p>
          <w:p w14:paraId="2C0366F8" w14:textId="77777777" w:rsidR="00A277CA" w:rsidRPr="00C61A59" w:rsidRDefault="00A277CA" w:rsidP="00FA4D4F">
            <w:pPr>
              <w:pStyle w:val="TableText0"/>
              <w:keepLines/>
              <w:jc w:val="center"/>
              <w:rPr>
                <w:b/>
                <w:bCs w:val="0"/>
                <w:szCs w:val="20"/>
              </w:rPr>
            </w:pPr>
            <w:r w:rsidRPr="00C61A59">
              <w:rPr>
                <w:b/>
                <w:bCs w:val="0"/>
                <w:snapToGrid w:val="0"/>
              </w:rPr>
              <w:t>Max. Qty</w:t>
            </w:r>
          </w:p>
        </w:tc>
        <w:tc>
          <w:tcPr>
            <w:tcW w:w="832" w:type="dxa"/>
            <w:vAlign w:val="center"/>
          </w:tcPr>
          <w:p w14:paraId="19920E1D" w14:textId="77777777" w:rsidR="00A277CA" w:rsidRPr="001428E9" w:rsidRDefault="00A277CA" w:rsidP="00FA4D4F">
            <w:pPr>
              <w:keepNext/>
              <w:keepLines/>
              <w:jc w:val="center"/>
              <w:rPr>
                <w:rFonts w:ascii="Arial Narrow" w:hAnsi="Arial Narrow"/>
                <w:b/>
                <w:sz w:val="20"/>
                <w:szCs w:val="20"/>
              </w:rPr>
            </w:pPr>
            <w:r w:rsidRPr="001428E9">
              <w:rPr>
                <w:rFonts w:ascii="Arial Narrow" w:hAnsi="Arial Narrow"/>
                <w:b/>
                <w:sz w:val="20"/>
                <w:szCs w:val="20"/>
              </w:rPr>
              <w:t>Max. qty packs</w:t>
            </w:r>
          </w:p>
        </w:tc>
        <w:tc>
          <w:tcPr>
            <w:tcW w:w="831" w:type="dxa"/>
            <w:vAlign w:val="center"/>
          </w:tcPr>
          <w:p w14:paraId="13343618" w14:textId="77777777" w:rsidR="00A277CA" w:rsidRPr="001428E9" w:rsidRDefault="00A277CA" w:rsidP="00FA4D4F">
            <w:pPr>
              <w:keepNext/>
              <w:keepLines/>
              <w:jc w:val="center"/>
              <w:rPr>
                <w:rFonts w:ascii="Arial Narrow" w:hAnsi="Arial Narrow"/>
                <w:b/>
                <w:sz w:val="20"/>
                <w:szCs w:val="20"/>
              </w:rPr>
            </w:pPr>
            <w:r w:rsidRPr="001428E9">
              <w:rPr>
                <w:rFonts w:ascii="Arial Narrow" w:hAnsi="Arial Narrow"/>
                <w:b/>
                <w:sz w:val="20"/>
                <w:szCs w:val="20"/>
              </w:rPr>
              <w:t>Max. qty units</w:t>
            </w:r>
          </w:p>
        </w:tc>
        <w:tc>
          <w:tcPr>
            <w:tcW w:w="832" w:type="dxa"/>
            <w:vAlign w:val="center"/>
          </w:tcPr>
          <w:p w14:paraId="550BFC1A" w14:textId="77777777" w:rsidR="00A277CA" w:rsidRPr="001428E9" w:rsidRDefault="00A277CA" w:rsidP="00FA4D4F">
            <w:pPr>
              <w:keepNext/>
              <w:keepLines/>
              <w:jc w:val="center"/>
              <w:rPr>
                <w:rFonts w:ascii="Arial Narrow" w:hAnsi="Arial Narrow"/>
                <w:b/>
                <w:sz w:val="20"/>
                <w:szCs w:val="20"/>
              </w:rPr>
            </w:pPr>
            <w:r w:rsidRPr="001428E9">
              <w:rPr>
                <w:rFonts w:ascii="Arial Narrow" w:hAnsi="Arial Narrow"/>
                <w:b/>
                <w:sz w:val="20"/>
                <w:szCs w:val="20"/>
              </w:rPr>
              <w:t>№.of</w:t>
            </w:r>
          </w:p>
          <w:p w14:paraId="47D352ED" w14:textId="77777777" w:rsidR="00A277CA" w:rsidRPr="001428E9" w:rsidRDefault="00A277CA" w:rsidP="00FA4D4F">
            <w:pPr>
              <w:keepNext/>
              <w:keepLines/>
              <w:jc w:val="center"/>
              <w:rPr>
                <w:rFonts w:ascii="Arial Narrow" w:hAnsi="Arial Narrow"/>
                <w:b/>
                <w:sz w:val="20"/>
                <w:szCs w:val="20"/>
              </w:rPr>
            </w:pPr>
            <w:r w:rsidRPr="001428E9">
              <w:rPr>
                <w:rFonts w:ascii="Arial Narrow" w:hAnsi="Arial Narrow"/>
                <w:b/>
                <w:sz w:val="20"/>
                <w:szCs w:val="20"/>
              </w:rPr>
              <w:t>Rpts</w:t>
            </w:r>
          </w:p>
        </w:tc>
        <w:tc>
          <w:tcPr>
            <w:tcW w:w="1333" w:type="dxa"/>
            <w:vAlign w:val="center"/>
          </w:tcPr>
          <w:p w14:paraId="11213401" w14:textId="77777777" w:rsidR="00A277CA" w:rsidRPr="001428E9" w:rsidRDefault="00A277CA" w:rsidP="00FA4D4F">
            <w:pPr>
              <w:keepNext/>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A277CA" w:rsidRPr="001428E9" w14:paraId="50D4F3EF" w14:textId="77777777" w:rsidTr="00FA4D4F">
        <w:trPr>
          <w:cantSplit/>
          <w:trHeight w:val="20"/>
        </w:trPr>
        <w:tc>
          <w:tcPr>
            <w:tcW w:w="9071" w:type="dxa"/>
            <w:gridSpan w:val="6"/>
            <w:vAlign w:val="center"/>
          </w:tcPr>
          <w:p w14:paraId="19B1B0B6" w14:textId="77777777" w:rsidR="00A277CA" w:rsidRPr="001428E9" w:rsidRDefault="00A277CA" w:rsidP="00FA4D4F">
            <w:pPr>
              <w:pStyle w:val="TableText0"/>
              <w:keepLines/>
              <w:rPr>
                <w:rFonts w:cs="Arial"/>
                <w:szCs w:val="20"/>
              </w:rPr>
            </w:pPr>
            <w:r>
              <w:rPr>
                <w:smallCaps/>
              </w:rPr>
              <w:t>OSILODROSTAT</w:t>
            </w:r>
          </w:p>
        </w:tc>
      </w:tr>
      <w:tr w:rsidR="00A277CA" w:rsidRPr="003A4C14" w14:paraId="28F8ACFE" w14:textId="77777777" w:rsidTr="00FA4D4F">
        <w:trPr>
          <w:cantSplit/>
          <w:trHeight w:val="20"/>
        </w:trPr>
        <w:tc>
          <w:tcPr>
            <w:tcW w:w="3040" w:type="dxa"/>
            <w:vAlign w:val="center"/>
          </w:tcPr>
          <w:p w14:paraId="149EEC0C" w14:textId="77777777" w:rsidR="00A277CA" w:rsidRPr="00F70F9F" w:rsidRDefault="00A277CA" w:rsidP="00FA4D4F">
            <w:pPr>
              <w:pStyle w:val="TableText0"/>
              <w:keepLines/>
            </w:pPr>
            <w:r>
              <w:t>osilodrostat 1 mg tablet, 60 - initial</w:t>
            </w:r>
          </w:p>
        </w:tc>
        <w:tc>
          <w:tcPr>
            <w:tcW w:w="2203" w:type="dxa"/>
            <w:vAlign w:val="center"/>
          </w:tcPr>
          <w:p w14:paraId="2FD24221" w14:textId="77777777" w:rsidR="00A277CA" w:rsidRPr="00565C79" w:rsidRDefault="00A277CA" w:rsidP="00FA4D4F">
            <w:pPr>
              <w:pStyle w:val="TableText0"/>
              <w:keepLines/>
              <w:jc w:val="center"/>
            </w:pPr>
            <w:r w:rsidRPr="00565C79">
              <w:t>$</w:t>
            </w:r>
            <w:r>
              <w:t>2,561.28</w:t>
            </w:r>
            <w:r w:rsidRPr="00565C79">
              <w:t xml:space="preserve"> published price</w:t>
            </w:r>
          </w:p>
          <w:p w14:paraId="303FC78D" w14:textId="2385CBDF" w:rsidR="00A277CA" w:rsidRPr="001428E9" w:rsidRDefault="00A277CA" w:rsidP="00FA4D4F">
            <w:pPr>
              <w:pStyle w:val="TableText0"/>
              <w:keepLines/>
              <w:jc w:val="center"/>
              <w:rPr>
                <w:szCs w:val="20"/>
              </w:rPr>
            </w:pPr>
            <w:r w:rsidRPr="00565C79">
              <w:t>$</w:t>
            </w:r>
            <w:r w:rsidR="00E228B8" w:rsidRPr="00E228B8">
              <w:rPr>
                <w:color w:val="000000"/>
                <w:spacing w:val="121"/>
                <w:shd w:val="solid" w:color="000000" w:fill="000000"/>
                <w:fitText w:val="207" w:id="-1234458368"/>
                <w14:textFill>
                  <w14:solidFill>
                    <w14:srgbClr w14:val="000000">
                      <w14:alpha w14:val="100000"/>
                    </w14:srgbClr>
                  </w14:solidFill>
                </w14:textFill>
              </w:rPr>
              <w:t>|</w:t>
            </w:r>
            <w:r w:rsidR="00E228B8" w:rsidRPr="00E228B8">
              <w:rPr>
                <w:color w:val="000000"/>
                <w:spacing w:val="1"/>
                <w:shd w:val="solid" w:color="000000" w:fill="000000"/>
                <w:fitText w:val="207" w:id="-1234458368"/>
                <w14:textFill>
                  <w14:solidFill>
                    <w14:srgbClr w14:val="000000">
                      <w14:alpha w14:val="100000"/>
                    </w14:srgbClr>
                  </w14:solidFill>
                </w14:textFill>
              </w:rPr>
              <w:t>|</w:t>
            </w:r>
            <w:r w:rsidRPr="00565C79">
              <w:t xml:space="preserve"> effective price</w:t>
            </w:r>
          </w:p>
        </w:tc>
        <w:tc>
          <w:tcPr>
            <w:tcW w:w="832" w:type="dxa"/>
            <w:vAlign w:val="center"/>
          </w:tcPr>
          <w:p w14:paraId="19D744B7"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1</w:t>
            </w:r>
          </w:p>
        </w:tc>
        <w:tc>
          <w:tcPr>
            <w:tcW w:w="831" w:type="dxa"/>
            <w:vAlign w:val="center"/>
          </w:tcPr>
          <w:p w14:paraId="7273E7CF"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60</w:t>
            </w:r>
          </w:p>
        </w:tc>
        <w:tc>
          <w:tcPr>
            <w:tcW w:w="832" w:type="dxa"/>
            <w:vAlign w:val="center"/>
          </w:tcPr>
          <w:p w14:paraId="6390ED67"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2</w:t>
            </w:r>
          </w:p>
        </w:tc>
        <w:tc>
          <w:tcPr>
            <w:tcW w:w="1333" w:type="dxa"/>
            <w:vAlign w:val="center"/>
          </w:tcPr>
          <w:p w14:paraId="49F07656" w14:textId="77777777" w:rsidR="00A277CA" w:rsidRPr="003A4C14" w:rsidRDefault="00A277CA" w:rsidP="00FA4D4F">
            <w:pPr>
              <w:keepNext/>
              <w:keepLines/>
              <w:jc w:val="center"/>
              <w:rPr>
                <w:rFonts w:ascii="Arial Narrow" w:hAnsi="Arial Narrow"/>
                <w:color w:val="0066FF"/>
                <w:sz w:val="20"/>
                <w:szCs w:val="20"/>
              </w:rPr>
            </w:pPr>
            <w:r>
              <w:rPr>
                <w:rFonts w:ascii="Arial Narrow" w:hAnsi="Arial Narrow"/>
                <w:sz w:val="20"/>
                <w:szCs w:val="20"/>
              </w:rPr>
              <w:t>Isturisa</w:t>
            </w:r>
          </w:p>
        </w:tc>
      </w:tr>
      <w:tr w:rsidR="00A277CA" w:rsidRPr="003A4C14" w14:paraId="29458E50" w14:textId="77777777" w:rsidTr="00FA4D4F">
        <w:trPr>
          <w:cantSplit/>
          <w:trHeight w:val="20"/>
        </w:trPr>
        <w:tc>
          <w:tcPr>
            <w:tcW w:w="3040" w:type="dxa"/>
            <w:vAlign w:val="center"/>
          </w:tcPr>
          <w:p w14:paraId="67114764" w14:textId="77777777" w:rsidR="00A277CA" w:rsidRPr="00F70F9F" w:rsidRDefault="00A277CA" w:rsidP="00FA4D4F">
            <w:pPr>
              <w:keepNext/>
              <w:keepLines/>
              <w:rPr>
                <w:rFonts w:ascii="Arial Narrow" w:hAnsi="Arial Narrow"/>
                <w:sz w:val="20"/>
                <w:szCs w:val="20"/>
              </w:rPr>
            </w:pPr>
            <w:r w:rsidRPr="00F70F9F">
              <w:rPr>
                <w:rFonts w:ascii="Arial Narrow" w:hAnsi="Arial Narrow"/>
                <w:sz w:val="20"/>
                <w:szCs w:val="20"/>
              </w:rPr>
              <w:t xml:space="preserve">osilodrostat </w:t>
            </w:r>
            <w:r>
              <w:rPr>
                <w:rFonts w:ascii="Arial Narrow" w:hAnsi="Arial Narrow"/>
                <w:sz w:val="20"/>
                <w:szCs w:val="20"/>
              </w:rPr>
              <w:t>5</w:t>
            </w:r>
            <w:r w:rsidRPr="00F70F9F">
              <w:rPr>
                <w:rFonts w:ascii="Arial Narrow" w:hAnsi="Arial Narrow"/>
                <w:sz w:val="20"/>
                <w:szCs w:val="20"/>
              </w:rPr>
              <w:t xml:space="preserve"> mg tablet, 60</w:t>
            </w:r>
            <w:r>
              <w:rPr>
                <w:rFonts w:ascii="Arial Narrow" w:hAnsi="Arial Narrow"/>
                <w:sz w:val="20"/>
                <w:szCs w:val="20"/>
              </w:rPr>
              <w:t xml:space="preserve"> - initial</w:t>
            </w:r>
          </w:p>
        </w:tc>
        <w:tc>
          <w:tcPr>
            <w:tcW w:w="2203" w:type="dxa"/>
            <w:vAlign w:val="center"/>
          </w:tcPr>
          <w:p w14:paraId="1CECAD3C" w14:textId="77777777" w:rsidR="00A277CA" w:rsidRPr="00565C79" w:rsidRDefault="00A277CA" w:rsidP="00FA4D4F">
            <w:pPr>
              <w:pStyle w:val="TableText0"/>
              <w:keepLines/>
              <w:jc w:val="center"/>
            </w:pPr>
            <w:r w:rsidRPr="00565C79">
              <w:t>$</w:t>
            </w:r>
            <w:r>
              <w:t>9,821.28</w:t>
            </w:r>
            <w:r w:rsidRPr="00565C79">
              <w:t xml:space="preserve"> published price</w:t>
            </w:r>
          </w:p>
          <w:p w14:paraId="3EBE8B79" w14:textId="37028AD2" w:rsidR="00A277CA" w:rsidRPr="001428E9" w:rsidRDefault="00A277CA" w:rsidP="00FA4D4F">
            <w:pPr>
              <w:pStyle w:val="TableText0"/>
              <w:keepLines/>
              <w:jc w:val="center"/>
              <w:rPr>
                <w:szCs w:val="20"/>
              </w:rPr>
            </w:pPr>
            <w:r w:rsidRPr="00565C79">
              <w:t>$</w:t>
            </w:r>
            <w:r w:rsidR="00E228B8" w:rsidRPr="00E228B8">
              <w:rPr>
                <w:color w:val="000000"/>
                <w:spacing w:val="121"/>
                <w:shd w:val="solid" w:color="000000" w:fill="000000"/>
                <w:fitText w:val="207" w:id="-1234458367"/>
                <w14:textFill>
                  <w14:solidFill>
                    <w14:srgbClr w14:val="000000">
                      <w14:alpha w14:val="100000"/>
                    </w14:srgbClr>
                  </w14:solidFill>
                </w14:textFill>
              </w:rPr>
              <w:t>|</w:t>
            </w:r>
            <w:r w:rsidR="00E228B8" w:rsidRPr="00E228B8">
              <w:rPr>
                <w:color w:val="000000"/>
                <w:spacing w:val="1"/>
                <w:shd w:val="solid" w:color="000000" w:fill="000000"/>
                <w:fitText w:val="207" w:id="-1234458367"/>
                <w14:textFill>
                  <w14:solidFill>
                    <w14:srgbClr w14:val="000000">
                      <w14:alpha w14:val="100000"/>
                    </w14:srgbClr>
                  </w14:solidFill>
                </w14:textFill>
              </w:rPr>
              <w:t>|</w:t>
            </w:r>
            <w:r w:rsidRPr="00565C79">
              <w:t xml:space="preserve"> effective price</w:t>
            </w:r>
          </w:p>
        </w:tc>
        <w:tc>
          <w:tcPr>
            <w:tcW w:w="832" w:type="dxa"/>
            <w:vAlign w:val="center"/>
          </w:tcPr>
          <w:p w14:paraId="2EF96F09"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1</w:t>
            </w:r>
          </w:p>
        </w:tc>
        <w:tc>
          <w:tcPr>
            <w:tcW w:w="831" w:type="dxa"/>
            <w:vAlign w:val="center"/>
          </w:tcPr>
          <w:p w14:paraId="32256A16"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60</w:t>
            </w:r>
          </w:p>
        </w:tc>
        <w:tc>
          <w:tcPr>
            <w:tcW w:w="832" w:type="dxa"/>
            <w:vAlign w:val="center"/>
          </w:tcPr>
          <w:p w14:paraId="6063A236" w14:textId="77777777" w:rsidR="00A277CA" w:rsidRPr="001428E9" w:rsidRDefault="00A277CA" w:rsidP="00FA4D4F">
            <w:pPr>
              <w:keepNext/>
              <w:keepLines/>
              <w:jc w:val="center"/>
              <w:rPr>
                <w:rFonts w:ascii="Arial Narrow" w:hAnsi="Arial Narrow"/>
                <w:sz w:val="20"/>
                <w:szCs w:val="20"/>
              </w:rPr>
            </w:pPr>
            <w:r>
              <w:rPr>
                <w:rFonts w:ascii="Arial Narrow" w:hAnsi="Arial Narrow"/>
                <w:sz w:val="20"/>
              </w:rPr>
              <w:t>2</w:t>
            </w:r>
          </w:p>
        </w:tc>
        <w:tc>
          <w:tcPr>
            <w:tcW w:w="1333" w:type="dxa"/>
            <w:vAlign w:val="center"/>
          </w:tcPr>
          <w:p w14:paraId="6952D1BF" w14:textId="77777777" w:rsidR="00A277CA" w:rsidRPr="003A4C14" w:rsidRDefault="00A277CA" w:rsidP="00FA4D4F">
            <w:pPr>
              <w:keepNext/>
              <w:keepLines/>
              <w:jc w:val="center"/>
              <w:rPr>
                <w:rFonts w:ascii="Arial Narrow" w:hAnsi="Arial Narrow"/>
                <w:color w:val="0066FF"/>
                <w:sz w:val="20"/>
                <w:szCs w:val="20"/>
              </w:rPr>
            </w:pPr>
            <w:r>
              <w:rPr>
                <w:rFonts w:ascii="Arial Narrow" w:hAnsi="Arial Narrow"/>
                <w:sz w:val="20"/>
                <w:szCs w:val="20"/>
              </w:rPr>
              <w:t>Isturisa</w:t>
            </w:r>
          </w:p>
        </w:tc>
      </w:tr>
      <w:tr w:rsidR="00A277CA" w:rsidRPr="003A4C14" w14:paraId="5985A6A1" w14:textId="77777777" w:rsidTr="00FA4D4F">
        <w:trPr>
          <w:cantSplit/>
          <w:trHeight w:val="20"/>
        </w:trPr>
        <w:tc>
          <w:tcPr>
            <w:tcW w:w="3040" w:type="dxa"/>
            <w:vAlign w:val="center"/>
          </w:tcPr>
          <w:p w14:paraId="6C716B8D" w14:textId="77777777" w:rsidR="00A277CA" w:rsidRPr="00F70F9F" w:rsidRDefault="00A277CA" w:rsidP="00FA4D4F">
            <w:pPr>
              <w:keepNext/>
              <w:keepLines/>
              <w:rPr>
                <w:rFonts w:ascii="Arial Narrow" w:hAnsi="Arial Narrow"/>
                <w:sz w:val="20"/>
                <w:szCs w:val="20"/>
              </w:rPr>
            </w:pPr>
            <w:r w:rsidRPr="00F70F9F">
              <w:rPr>
                <w:rFonts w:ascii="Arial Narrow" w:hAnsi="Arial Narrow"/>
                <w:sz w:val="20"/>
                <w:szCs w:val="20"/>
              </w:rPr>
              <w:t xml:space="preserve">osilodrostat </w:t>
            </w:r>
            <w:r>
              <w:rPr>
                <w:rFonts w:ascii="Arial Narrow" w:hAnsi="Arial Narrow"/>
                <w:sz w:val="20"/>
                <w:szCs w:val="20"/>
              </w:rPr>
              <w:t>10</w:t>
            </w:r>
            <w:r w:rsidRPr="00F70F9F">
              <w:rPr>
                <w:rFonts w:ascii="Arial Narrow" w:hAnsi="Arial Narrow"/>
                <w:sz w:val="20"/>
                <w:szCs w:val="20"/>
              </w:rPr>
              <w:t xml:space="preserve"> mg tablet, 60</w:t>
            </w:r>
            <w:r>
              <w:rPr>
                <w:rFonts w:ascii="Arial Narrow" w:hAnsi="Arial Narrow"/>
                <w:sz w:val="20"/>
                <w:szCs w:val="20"/>
              </w:rPr>
              <w:t xml:space="preserve"> - initial</w:t>
            </w:r>
          </w:p>
        </w:tc>
        <w:tc>
          <w:tcPr>
            <w:tcW w:w="2203" w:type="dxa"/>
            <w:vAlign w:val="center"/>
          </w:tcPr>
          <w:p w14:paraId="5637EDEB" w14:textId="77777777" w:rsidR="00A277CA" w:rsidRPr="00565C79" w:rsidRDefault="00A277CA" w:rsidP="00FA4D4F">
            <w:pPr>
              <w:pStyle w:val="TableText0"/>
              <w:keepLines/>
              <w:jc w:val="center"/>
            </w:pPr>
            <w:r w:rsidRPr="00565C79">
              <w:t>$</w:t>
            </w:r>
            <w:r>
              <w:t>10,261.28</w:t>
            </w:r>
            <w:r w:rsidRPr="00565C79">
              <w:t xml:space="preserve"> published price</w:t>
            </w:r>
          </w:p>
          <w:p w14:paraId="3AAF2737" w14:textId="6D5E0C4D" w:rsidR="00A277CA" w:rsidRPr="00565C79" w:rsidRDefault="00A277CA" w:rsidP="00FA4D4F">
            <w:pPr>
              <w:pStyle w:val="TableText0"/>
              <w:keepLines/>
              <w:jc w:val="center"/>
            </w:pPr>
            <w:r w:rsidRPr="00565C79">
              <w:t>$</w:t>
            </w:r>
            <w:r w:rsidR="00E228B8" w:rsidRPr="00E228B8">
              <w:rPr>
                <w:color w:val="000000"/>
                <w:spacing w:val="121"/>
                <w:shd w:val="solid" w:color="000000" w:fill="000000"/>
                <w:fitText w:val="207" w:id="-1234458366"/>
                <w14:textFill>
                  <w14:solidFill>
                    <w14:srgbClr w14:val="000000">
                      <w14:alpha w14:val="100000"/>
                    </w14:srgbClr>
                  </w14:solidFill>
                </w14:textFill>
              </w:rPr>
              <w:t>|</w:t>
            </w:r>
            <w:r w:rsidR="00E228B8" w:rsidRPr="00E228B8">
              <w:rPr>
                <w:color w:val="000000"/>
                <w:spacing w:val="1"/>
                <w:shd w:val="solid" w:color="000000" w:fill="000000"/>
                <w:fitText w:val="207" w:id="-1234458366"/>
                <w14:textFill>
                  <w14:solidFill>
                    <w14:srgbClr w14:val="000000">
                      <w14:alpha w14:val="100000"/>
                    </w14:srgbClr>
                  </w14:solidFill>
                </w14:textFill>
              </w:rPr>
              <w:t>|</w:t>
            </w:r>
            <w:r w:rsidRPr="00565C79">
              <w:t xml:space="preserve"> effective price</w:t>
            </w:r>
          </w:p>
        </w:tc>
        <w:tc>
          <w:tcPr>
            <w:tcW w:w="832" w:type="dxa"/>
            <w:vAlign w:val="center"/>
          </w:tcPr>
          <w:p w14:paraId="6C803076" w14:textId="77777777" w:rsidR="00A277CA" w:rsidRPr="00AD4FDC" w:rsidRDefault="00A277CA" w:rsidP="00FA4D4F">
            <w:pPr>
              <w:keepNext/>
              <w:keepLines/>
              <w:jc w:val="center"/>
              <w:rPr>
                <w:rFonts w:ascii="Arial Narrow" w:hAnsi="Arial Narrow"/>
                <w:sz w:val="20"/>
              </w:rPr>
            </w:pPr>
            <w:r>
              <w:rPr>
                <w:rFonts w:ascii="Arial Narrow" w:hAnsi="Arial Narrow"/>
                <w:sz w:val="20"/>
              </w:rPr>
              <w:t>1</w:t>
            </w:r>
          </w:p>
        </w:tc>
        <w:tc>
          <w:tcPr>
            <w:tcW w:w="831" w:type="dxa"/>
            <w:vAlign w:val="center"/>
          </w:tcPr>
          <w:p w14:paraId="0CD003A6" w14:textId="77777777" w:rsidR="00A277CA" w:rsidRPr="00AD4FDC" w:rsidRDefault="00A277CA" w:rsidP="00FA4D4F">
            <w:pPr>
              <w:keepNext/>
              <w:keepLines/>
              <w:jc w:val="center"/>
              <w:rPr>
                <w:rFonts w:ascii="Arial Narrow" w:hAnsi="Arial Narrow"/>
                <w:sz w:val="20"/>
              </w:rPr>
            </w:pPr>
            <w:r>
              <w:rPr>
                <w:rFonts w:ascii="Arial Narrow" w:hAnsi="Arial Narrow"/>
                <w:sz w:val="20"/>
              </w:rPr>
              <w:t>60</w:t>
            </w:r>
          </w:p>
        </w:tc>
        <w:tc>
          <w:tcPr>
            <w:tcW w:w="832" w:type="dxa"/>
            <w:vAlign w:val="center"/>
          </w:tcPr>
          <w:p w14:paraId="2328B69F" w14:textId="77777777" w:rsidR="00A277CA" w:rsidRPr="00AD4FDC" w:rsidRDefault="00A277CA" w:rsidP="00FA4D4F">
            <w:pPr>
              <w:keepNext/>
              <w:keepLines/>
              <w:jc w:val="center"/>
              <w:rPr>
                <w:rFonts w:ascii="Arial Narrow" w:hAnsi="Arial Narrow"/>
                <w:sz w:val="20"/>
              </w:rPr>
            </w:pPr>
            <w:r>
              <w:rPr>
                <w:rFonts w:ascii="Arial Narrow" w:hAnsi="Arial Narrow"/>
                <w:sz w:val="20"/>
              </w:rPr>
              <w:t>2</w:t>
            </w:r>
          </w:p>
        </w:tc>
        <w:tc>
          <w:tcPr>
            <w:tcW w:w="1333" w:type="dxa"/>
            <w:vAlign w:val="center"/>
          </w:tcPr>
          <w:p w14:paraId="6BF2B7E4" w14:textId="77777777" w:rsidR="00A277CA" w:rsidRPr="003A4C14" w:rsidRDefault="00A277CA" w:rsidP="00FA4D4F">
            <w:pPr>
              <w:keepNext/>
              <w:keepLines/>
              <w:jc w:val="center"/>
              <w:rPr>
                <w:rFonts w:ascii="Arial Narrow" w:hAnsi="Arial Narrow"/>
                <w:sz w:val="20"/>
                <w:szCs w:val="20"/>
              </w:rPr>
            </w:pPr>
            <w:r>
              <w:rPr>
                <w:rFonts w:ascii="Arial Narrow" w:hAnsi="Arial Narrow"/>
                <w:sz w:val="20"/>
                <w:szCs w:val="20"/>
              </w:rPr>
              <w:t>Isturisa</w:t>
            </w:r>
          </w:p>
        </w:tc>
      </w:tr>
      <w:tr w:rsidR="00A277CA" w14:paraId="4EBA5093" w14:textId="77777777" w:rsidTr="00FA4D4F">
        <w:trPr>
          <w:cantSplit/>
          <w:trHeight w:val="20"/>
        </w:trPr>
        <w:tc>
          <w:tcPr>
            <w:tcW w:w="3040" w:type="dxa"/>
            <w:vAlign w:val="center"/>
          </w:tcPr>
          <w:p w14:paraId="7756519E" w14:textId="77777777" w:rsidR="00A277CA" w:rsidRPr="00F70F9F" w:rsidRDefault="00A277CA" w:rsidP="00FA4D4F">
            <w:pPr>
              <w:keepNext/>
              <w:keepLines/>
              <w:rPr>
                <w:rFonts w:ascii="Arial Narrow" w:hAnsi="Arial Narrow"/>
                <w:sz w:val="20"/>
                <w:szCs w:val="20"/>
              </w:rPr>
            </w:pPr>
            <w:r w:rsidRPr="00F70F9F">
              <w:rPr>
                <w:rFonts w:ascii="Arial Narrow" w:hAnsi="Arial Narrow"/>
                <w:sz w:val="20"/>
                <w:szCs w:val="20"/>
              </w:rPr>
              <w:t xml:space="preserve">osilodrostat 1 mg tablet, 60 - </w:t>
            </w:r>
            <w:r>
              <w:rPr>
                <w:rFonts w:ascii="Arial Narrow" w:hAnsi="Arial Narrow"/>
                <w:sz w:val="20"/>
                <w:szCs w:val="20"/>
              </w:rPr>
              <w:t>continuing</w:t>
            </w:r>
          </w:p>
        </w:tc>
        <w:tc>
          <w:tcPr>
            <w:tcW w:w="2203" w:type="dxa"/>
            <w:vAlign w:val="center"/>
          </w:tcPr>
          <w:p w14:paraId="45860027" w14:textId="77777777" w:rsidR="00A277CA" w:rsidRPr="00565C79" w:rsidRDefault="00A277CA" w:rsidP="00FA4D4F">
            <w:pPr>
              <w:pStyle w:val="TableText0"/>
              <w:keepLines/>
              <w:jc w:val="center"/>
            </w:pPr>
            <w:r w:rsidRPr="00565C79">
              <w:t>$</w:t>
            </w:r>
            <w:r>
              <w:t>2,561.28</w:t>
            </w:r>
            <w:r w:rsidRPr="00565C79">
              <w:t xml:space="preserve"> published price</w:t>
            </w:r>
          </w:p>
          <w:p w14:paraId="40C0A56B" w14:textId="1C72CDDC" w:rsidR="00A277CA" w:rsidRPr="00565C79" w:rsidRDefault="00A277CA" w:rsidP="00FA4D4F">
            <w:pPr>
              <w:pStyle w:val="TableText0"/>
              <w:keepLines/>
              <w:jc w:val="center"/>
            </w:pPr>
            <w:r w:rsidRPr="00565C79">
              <w:t>$</w:t>
            </w:r>
            <w:r w:rsidR="00E228B8" w:rsidRPr="00E228B8">
              <w:rPr>
                <w:color w:val="000000"/>
                <w:spacing w:val="121"/>
                <w:shd w:val="solid" w:color="000000" w:fill="000000"/>
                <w:fitText w:val="207" w:id="-1234458365"/>
                <w14:textFill>
                  <w14:solidFill>
                    <w14:srgbClr w14:val="000000">
                      <w14:alpha w14:val="100000"/>
                    </w14:srgbClr>
                  </w14:solidFill>
                </w14:textFill>
              </w:rPr>
              <w:t>|</w:t>
            </w:r>
            <w:r w:rsidR="00E228B8" w:rsidRPr="00E228B8">
              <w:rPr>
                <w:color w:val="000000"/>
                <w:spacing w:val="1"/>
                <w:shd w:val="solid" w:color="000000" w:fill="000000"/>
                <w:fitText w:val="207" w:id="-1234458365"/>
                <w14:textFill>
                  <w14:solidFill>
                    <w14:srgbClr w14:val="000000">
                      <w14:alpha w14:val="100000"/>
                    </w14:srgbClr>
                  </w14:solidFill>
                </w14:textFill>
              </w:rPr>
              <w:t>|</w:t>
            </w:r>
            <w:r w:rsidRPr="00565C79">
              <w:t xml:space="preserve"> effective price</w:t>
            </w:r>
          </w:p>
        </w:tc>
        <w:tc>
          <w:tcPr>
            <w:tcW w:w="832" w:type="dxa"/>
            <w:vAlign w:val="center"/>
          </w:tcPr>
          <w:p w14:paraId="3996DE20" w14:textId="77777777" w:rsidR="00A277CA" w:rsidRPr="00AD4FDC" w:rsidRDefault="00A277CA" w:rsidP="00FA4D4F">
            <w:pPr>
              <w:keepNext/>
              <w:keepLines/>
              <w:jc w:val="center"/>
              <w:rPr>
                <w:rFonts w:ascii="Arial Narrow" w:hAnsi="Arial Narrow"/>
                <w:sz w:val="20"/>
              </w:rPr>
            </w:pPr>
            <w:r>
              <w:rPr>
                <w:rFonts w:ascii="Arial Narrow" w:hAnsi="Arial Narrow"/>
                <w:sz w:val="20"/>
              </w:rPr>
              <w:t>1</w:t>
            </w:r>
          </w:p>
        </w:tc>
        <w:tc>
          <w:tcPr>
            <w:tcW w:w="831" w:type="dxa"/>
            <w:vAlign w:val="center"/>
          </w:tcPr>
          <w:p w14:paraId="6BD44CCF" w14:textId="77777777" w:rsidR="00A277CA" w:rsidRPr="00AD4FDC" w:rsidRDefault="00A277CA" w:rsidP="00FA4D4F">
            <w:pPr>
              <w:keepNext/>
              <w:keepLines/>
              <w:jc w:val="center"/>
              <w:rPr>
                <w:rFonts w:ascii="Arial Narrow" w:hAnsi="Arial Narrow"/>
                <w:sz w:val="20"/>
              </w:rPr>
            </w:pPr>
            <w:r>
              <w:rPr>
                <w:rFonts w:ascii="Arial Narrow" w:hAnsi="Arial Narrow"/>
                <w:sz w:val="20"/>
              </w:rPr>
              <w:t>60</w:t>
            </w:r>
          </w:p>
        </w:tc>
        <w:tc>
          <w:tcPr>
            <w:tcW w:w="832" w:type="dxa"/>
            <w:vAlign w:val="center"/>
          </w:tcPr>
          <w:p w14:paraId="4A93A393" w14:textId="77777777" w:rsidR="00A277CA" w:rsidRPr="00AD4FDC" w:rsidRDefault="00A277CA" w:rsidP="00FA4D4F">
            <w:pPr>
              <w:keepNext/>
              <w:keepLines/>
              <w:jc w:val="center"/>
              <w:rPr>
                <w:rFonts w:ascii="Arial Narrow" w:hAnsi="Arial Narrow"/>
                <w:sz w:val="20"/>
              </w:rPr>
            </w:pPr>
            <w:r>
              <w:rPr>
                <w:rFonts w:ascii="Arial Narrow" w:hAnsi="Arial Narrow"/>
                <w:sz w:val="20"/>
              </w:rPr>
              <w:t>5</w:t>
            </w:r>
          </w:p>
        </w:tc>
        <w:tc>
          <w:tcPr>
            <w:tcW w:w="1333" w:type="dxa"/>
            <w:vAlign w:val="center"/>
          </w:tcPr>
          <w:p w14:paraId="1CF71A58" w14:textId="77777777" w:rsidR="00A277CA" w:rsidRDefault="00A277CA" w:rsidP="00FA4D4F">
            <w:pPr>
              <w:keepNext/>
              <w:keepLines/>
              <w:jc w:val="center"/>
              <w:rPr>
                <w:rFonts w:ascii="Arial Narrow" w:hAnsi="Arial Narrow"/>
                <w:sz w:val="20"/>
                <w:szCs w:val="20"/>
              </w:rPr>
            </w:pPr>
            <w:r>
              <w:rPr>
                <w:rFonts w:ascii="Arial Narrow" w:hAnsi="Arial Narrow"/>
                <w:sz w:val="20"/>
                <w:szCs w:val="20"/>
              </w:rPr>
              <w:t>Isturisa</w:t>
            </w:r>
          </w:p>
        </w:tc>
      </w:tr>
      <w:tr w:rsidR="00A277CA" w14:paraId="7C5E5842" w14:textId="77777777" w:rsidTr="00FA4D4F">
        <w:trPr>
          <w:cantSplit/>
          <w:trHeight w:val="20"/>
        </w:trPr>
        <w:tc>
          <w:tcPr>
            <w:tcW w:w="3040" w:type="dxa"/>
            <w:vAlign w:val="center"/>
          </w:tcPr>
          <w:p w14:paraId="5CB1F07E" w14:textId="77777777" w:rsidR="00A277CA" w:rsidRPr="00F70F9F" w:rsidRDefault="00A277CA" w:rsidP="00FA4D4F">
            <w:pPr>
              <w:keepNext/>
              <w:keepLines/>
              <w:rPr>
                <w:rFonts w:ascii="Arial Narrow" w:hAnsi="Arial Narrow"/>
                <w:sz w:val="20"/>
                <w:szCs w:val="20"/>
              </w:rPr>
            </w:pPr>
            <w:r w:rsidRPr="00F70F9F">
              <w:rPr>
                <w:rFonts w:ascii="Arial Narrow" w:hAnsi="Arial Narrow"/>
                <w:sz w:val="20"/>
                <w:szCs w:val="20"/>
              </w:rPr>
              <w:t xml:space="preserve">osilodrostat </w:t>
            </w:r>
            <w:r>
              <w:rPr>
                <w:rFonts w:ascii="Arial Narrow" w:hAnsi="Arial Narrow"/>
                <w:sz w:val="20"/>
                <w:szCs w:val="20"/>
              </w:rPr>
              <w:t>5</w:t>
            </w:r>
            <w:r w:rsidRPr="00F70F9F">
              <w:rPr>
                <w:rFonts w:ascii="Arial Narrow" w:hAnsi="Arial Narrow"/>
                <w:sz w:val="20"/>
                <w:szCs w:val="20"/>
              </w:rPr>
              <w:t xml:space="preserve"> mg tablet, 60</w:t>
            </w:r>
            <w:r>
              <w:rPr>
                <w:rFonts w:ascii="Arial Narrow" w:hAnsi="Arial Narrow"/>
                <w:sz w:val="20"/>
                <w:szCs w:val="20"/>
              </w:rPr>
              <w:t xml:space="preserve"> - continuing</w:t>
            </w:r>
          </w:p>
        </w:tc>
        <w:tc>
          <w:tcPr>
            <w:tcW w:w="2203" w:type="dxa"/>
            <w:vAlign w:val="center"/>
          </w:tcPr>
          <w:p w14:paraId="3163EA7D" w14:textId="77777777" w:rsidR="00A277CA" w:rsidRPr="00565C79" w:rsidRDefault="00A277CA" w:rsidP="00FA4D4F">
            <w:pPr>
              <w:pStyle w:val="TableText0"/>
              <w:keepLines/>
              <w:jc w:val="center"/>
            </w:pPr>
            <w:r w:rsidRPr="00565C79">
              <w:t>$</w:t>
            </w:r>
            <w:r>
              <w:t>9,821.28</w:t>
            </w:r>
            <w:r w:rsidRPr="00565C79">
              <w:t xml:space="preserve"> published price</w:t>
            </w:r>
          </w:p>
          <w:p w14:paraId="612799A5" w14:textId="22A99C80" w:rsidR="00A277CA" w:rsidRPr="00565C79" w:rsidRDefault="00A277CA" w:rsidP="00FA4D4F">
            <w:pPr>
              <w:pStyle w:val="TableText0"/>
              <w:keepLines/>
              <w:jc w:val="center"/>
            </w:pPr>
            <w:r w:rsidRPr="00565C79">
              <w:t>$</w:t>
            </w:r>
            <w:r w:rsidR="00E228B8" w:rsidRPr="00E228B8">
              <w:rPr>
                <w:color w:val="000000"/>
                <w:spacing w:val="121"/>
                <w:shd w:val="solid" w:color="000000" w:fill="000000"/>
                <w:fitText w:val="207" w:id="-1234458364"/>
                <w14:textFill>
                  <w14:solidFill>
                    <w14:srgbClr w14:val="000000">
                      <w14:alpha w14:val="100000"/>
                    </w14:srgbClr>
                  </w14:solidFill>
                </w14:textFill>
              </w:rPr>
              <w:t>|</w:t>
            </w:r>
            <w:r w:rsidR="00E228B8" w:rsidRPr="00E228B8">
              <w:rPr>
                <w:color w:val="000000"/>
                <w:spacing w:val="1"/>
                <w:shd w:val="solid" w:color="000000" w:fill="000000"/>
                <w:fitText w:val="207" w:id="-1234458364"/>
                <w14:textFill>
                  <w14:solidFill>
                    <w14:srgbClr w14:val="000000">
                      <w14:alpha w14:val="100000"/>
                    </w14:srgbClr>
                  </w14:solidFill>
                </w14:textFill>
              </w:rPr>
              <w:t>|</w:t>
            </w:r>
            <w:r w:rsidRPr="00565C79">
              <w:t xml:space="preserve"> effective price</w:t>
            </w:r>
          </w:p>
        </w:tc>
        <w:tc>
          <w:tcPr>
            <w:tcW w:w="832" w:type="dxa"/>
            <w:vAlign w:val="center"/>
          </w:tcPr>
          <w:p w14:paraId="473E3FC9" w14:textId="77777777" w:rsidR="00A277CA" w:rsidRPr="00AD4FDC" w:rsidRDefault="00A277CA" w:rsidP="00FA4D4F">
            <w:pPr>
              <w:keepNext/>
              <w:keepLines/>
              <w:jc w:val="center"/>
              <w:rPr>
                <w:rFonts w:ascii="Arial Narrow" w:hAnsi="Arial Narrow"/>
                <w:sz w:val="20"/>
              </w:rPr>
            </w:pPr>
            <w:r>
              <w:rPr>
                <w:rFonts w:ascii="Arial Narrow" w:hAnsi="Arial Narrow"/>
                <w:sz w:val="20"/>
              </w:rPr>
              <w:t>1</w:t>
            </w:r>
          </w:p>
        </w:tc>
        <w:tc>
          <w:tcPr>
            <w:tcW w:w="831" w:type="dxa"/>
            <w:vAlign w:val="center"/>
          </w:tcPr>
          <w:p w14:paraId="3A21CAA0" w14:textId="77777777" w:rsidR="00A277CA" w:rsidRPr="00AD4FDC" w:rsidRDefault="00A277CA" w:rsidP="00FA4D4F">
            <w:pPr>
              <w:keepNext/>
              <w:keepLines/>
              <w:jc w:val="center"/>
              <w:rPr>
                <w:rFonts w:ascii="Arial Narrow" w:hAnsi="Arial Narrow"/>
                <w:sz w:val="20"/>
              </w:rPr>
            </w:pPr>
            <w:r>
              <w:rPr>
                <w:rFonts w:ascii="Arial Narrow" w:hAnsi="Arial Narrow"/>
                <w:sz w:val="20"/>
              </w:rPr>
              <w:t>60</w:t>
            </w:r>
          </w:p>
        </w:tc>
        <w:tc>
          <w:tcPr>
            <w:tcW w:w="832" w:type="dxa"/>
            <w:vAlign w:val="center"/>
          </w:tcPr>
          <w:p w14:paraId="3D673657" w14:textId="77777777" w:rsidR="00A277CA" w:rsidRPr="00AD4FDC" w:rsidRDefault="00A277CA" w:rsidP="00FA4D4F">
            <w:pPr>
              <w:keepNext/>
              <w:keepLines/>
              <w:jc w:val="center"/>
              <w:rPr>
                <w:rFonts w:ascii="Arial Narrow" w:hAnsi="Arial Narrow"/>
                <w:sz w:val="20"/>
              </w:rPr>
            </w:pPr>
            <w:r>
              <w:rPr>
                <w:rFonts w:ascii="Arial Narrow" w:hAnsi="Arial Narrow"/>
                <w:sz w:val="20"/>
              </w:rPr>
              <w:t>5</w:t>
            </w:r>
          </w:p>
        </w:tc>
        <w:tc>
          <w:tcPr>
            <w:tcW w:w="1333" w:type="dxa"/>
            <w:vAlign w:val="center"/>
          </w:tcPr>
          <w:p w14:paraId="3B9C75C2" w14:textId="77777777" w:rsidR="00A277CA" w:rsidRDefault="00A277CA" w:rsidP="00FA4D4F">
            <w:pPr>
              <w:keepNext/>
              <w:keepLines/>
              <w:jc w:val="center"/>
              <w:rPr>
                <w:rFonts w:ascii="Arial Narrow" w:hAnsi="Arial Narrow"/>
                <w:sz w:val="20"/>
                <w:szCs w:val="20"/>
              </w:rPr>
            </w:pPr>
            <w:r>
              <w:rPr>
                <w:rFonts w:ascii="Arial Narrow" w:hAnsi="Arial Narrow"/>
                <w:sz w:val="20"/>
                <w:szCs w:val="20"/>
              </w:rPr>
              <w:t>Isturisa</w:t>
            </w:r>
          </w:p>
        </w:tc>
      </w:tr>
      <w:tr w:rsidR="00A277CA" w14:paraId="5EEF5F54" w14:textId="77777777" w:rsidTr="00FA4D4F">
        <w:trPr>
          <w:cantSplit/>
          <w:trHeight w:val="20"/>
        </w:trPr>
        <w:tc>
          <w:tcPr>
            <w:tcW w:w="3040" w:type="dxa"/>
            <w:vAlign w:val="center"/>
          </w:tcPr>
          <w:p w14:paraId="4A6CD270" w14:textId="77777777" w:rsidR="00A277CA" w:rsidRPr="00F70F9F" w:rsidRDefault="00A277CA" w:rsidP="00FA4D4F">
            <w:pPr>
              <w:keepNext/>
              <w:keepLines/>
              <w:rPr>
                <w:rFonts w:ascii="Arial Narrow" w:hAnsi="Arial Narrow"/>
                <w:sz w:val="20"/>
                <w:szCs w:val="20"/>
              </w:rPr>
            </w:pPr>
            <w:r w:rsidRPr="00F70F9F">
              <w:rPr>
                <w:rFonts w:ascii="Arial Narrow" w:hAnsi="Arial Narrow"/>
                <w:sz w:val="20"/>
                <w:szCs w:val="20"/>
              </w:rPr>
              <w:t xml:space="preserve">osilodrostat </w:t>
            </w:r>
            <w:r>
              <w:rPr>
                <w:rFonts w:ascii="Arial Narrow" w:hAnsi="Arial Narrow"/>
                <w:sz w:val="20"/>
                <w:szCs w:val="20"/>
              </w:rPr>
              <w:t>10</w:t>
            </w:r>
            <w:r w:rsidRPr="00F70F9F">
              <w:rPr>
                <w:rFonts w:ascii="Arial Narrow" w:hAnsi="Arial Narrow"/>
                <w:sz w:val="20"/>
                <w:szCs w:val="20"/>
              </w:rPr>
              <w:t xml:space="preserve"> mg tablet, 60</w:t>
            </w:r>
            <w:r>
              <w:rPr>
                <w:rFonts w:ascii="Arial Narrow" w:hAnsi="Arial Narrow"/>
                <w:sz w:val="20"/>
                <w:szCs w:val="20"/>
              </w:rPr>
              <w:t xml:space="preserve"> - continuing</w:t>
            </w:r>
          </w:p>
        </w:tc>
        <w:tc>
          <w:tcPr>
            <w:tcW w:w="2203" w:type="dxa"/>
            <w:vAlign w:val="center"/>
          </w:tcPr>
          <w:p w14:paraId="4BD1F345" w14:textId="77777777" w:rsidR="00A277CA" w:rsidRPr="00565C79" w:rsidRDefault="00A277CA" w:rsidP="00FA4D4F">
            <w:pPr>
              <w:pStyle w:val="TableText0"/>
              <w:keepLines/>
              <w:jc w:val="center"/>
            </w:pPr>
            <w:r w:rsidRPr="00565C79">
              <w:t>$</w:t>
            </w:r>
            <w:r>
              <w:t>10,261.28</w:t>
            </w:r>
            <w:r w:rsidRPr="00565C79">
              <w:t xml:space="preserve"> published price</w:t>
            </w:r>
          </w:p>
          <w:p w14:paraId="506E7D13" w14:textId="6891772B" w:rsidR="00A277CA" w:rsidRPr="00565C79" w:rsidRDefault="00A277CA" w:rsidP="00FA4D4F">
            <w:pPr>
              <w:pStyle w:val="TableText0"/>
              <w:keepLines/>
              <w:jc w:val="center"/>
            </w:pPr>
            <w:r w:rsidRPr="00565C79">
              <w:t>$</w:t>
            </w:r>
            <w:r w:rsidR="00E228B8" w:rsidRPr="00E228B8">
              <w:rPr>
                <w:color w:val="000000"/>
                <w:spacing w:val="121"/>
                <w:shd w:val="solid" w:color="000000" w:fill="000000"/>
                <w:fitText w:val="207" w:id="-1234458363"/>
                <w14:textFill>
                  <w14:solidFill>
                    <w14:srgbClr w14:val="000000">
                      <w14:alpha w14:val="100000"/>
                    </w14:srgbClr>
                  </w14:solidFill>
                </w14:textFill>
              </w:rPr>
              <w:t>|</w:t>
            </w:r>
            <w:r w:rsidR="00E228B8" w:rsidRPr="00E228B8">
              <w:rPr>
                <w:color w:val="000000"/>
                <w:spacing w:val="1"/>
                <w:shd w:val="solid" w:color="000000" w:fill="000000"/>
                <w:fitText w:val="207" w:id="-1234458363"/>
                <w14:textFill>
                  <w14:solidFill>
                    <w14:srgbClr w14:val="000000">
                      <w14:alpha w14:val="100000"/>
                    </w14:srgbClr>
                  </w14:solidFill>
                </w14:textFill>
              </w:rPr>
              <w:t>|</w:t>
            </w:r>
            <w:r w:rsidRPr="00565C79">
              <w:t xml:space="preserve"> effective price</w:t>
            </w:r>
          </w:p>
        </w:tc>
        <w:tc>
          <w:tcPr>
            <w:tcW w:w="832" w:type="dxa"/>
            <w:vAlign w:val="center"/>
          </w:tcPr>
          <w:p w14:paraId="39C12808" w14:textId="77777777" w:rsidR="00A277CA" w:rsidRPr="00AD4FDC" w:rsidRDefault="00A277CA" w:rsidP="00FA4D4F">
            <w:pPr>
              <w:keepNext/>
              <w:keepLines/>
              <w:jc w:val="center"/>
              <w:rPr>
                <w:rFonts w:ascii="Arial Narrow" w:hAnsi="Arial Narrow"/>
                <w:sz w:val="20"/>
              </w:rPr>
            </w:pPr>
            <w:r>
              <w:rPr>
                <w:rFonts w:ascii="Arial Narrow" w:hAnsi="Arial Narrow"/>
                <w:sz w:val="20"/>
              </w:rPr>
              <w:t>1</w:t>
            </w:r>
          </w:p>
        </w:tc>
        <w:tc>
          <w:tcPr>
            <w:tcW w:w="831" w:type="dxa"/>
            <w:vAlign w:val="center"/>
          </w:tcPr>
          <w:p w14:paraId="4229847C" w14:textId="77777777" w:rsidR="00A277CA" w:rsidRPr="00AD4FDC" w:rsidRDefault="00A277CA" w:rsidP="00FA4D4F">
            <w:pPr>
              <w:keepNext/>
              <w:keepLines/>
              <w:jc w:val="center"/>
              <w:rPr>
                <w:rFonts w:ascii="Arial Narrow" w:hAnsi="Arial Narrow"/>
                <w:sz w:val="20"/>
              </w:rPr>
            </w:pPr>
            <w:r>
              <w:rPr>
                <w:rFonts w:ascii="Arial Narrow" w:hAnsi="Arial Narrow"/>
                <w:sz w:val="20"/>
              </w:rPr>
              <w:t>60</w:t>
            </w:r>
          </w:p>
        </w:tc>
        <w:tc>
          <w:tcPr>
            <w:tcW w:w="832" w:type="dxa"/>
            <w:vAlign w:val="center"/>
          </w:tcPr>
          <w:p w14:paraId="4DCC711F" w14:textId="77777777" w:rsidR="00A277CA" w:rsidRPr="00AD4FDC" w:rsidRDefault="00A277CA" w:rsidP="00FA4D4F">
            <w:pPr>
              <w:keepNext/>
              <w:keepLines/>
              <w:jc w:val="center"/>
              <w:rPr>
                <w:rFonts w:ascii="Arial Narrow" w:hAnsi="Arial Narrow"/>
                <w:sz w:val="20"/>
              </w:rPr>
            </w:pPr>
            <w:r>
              <w:rPr>
                <w:rFonts w:ascii="Arial Narrow" w:hAnsi="Arial Narrow"/>
                <w:sz w:val="20"/>
              </w:rPr>
              <w:t>5</w:t>
            </w:r>
          </w:p>
        </w:tc>
        <w:tc>
          <w:tcPr>
            <w:tcW w:w="1333" w:type="dxa"/>
            <w:vAlign w:val="center"/>
          </w:tcPr>
          <w:p w14:paraId="371C9791" w14:textId="77777777" w:rsidR="00A277CA" w:rsidRDefault="00A277CA" w:rsidP="00FA4D4F">
            <w:pPr>
              <w:keepNext/>
              <w:keepLines/>
              <w:jc w:val="center"/>
              <w:rPr>
                <w:rFonts w:ascii="Arial Narrow" w:hAnsi="Arial Narrow"/>
                <w:sz w:val="20"/>
                <w:szCs w:val="20"/>
              </w:rPr>
            </w:pPr>
            <w:r>
              <w:rPr>
                <w:rFonts w:ascii="Arial Narrow" w:hAnsi="Arial Narrow"/>
                <w:sz w:val="20"/>
                <w:szCs w:val="20"/>
              </w:rPr>
              <w:t>Isturisa</w:t>
            </w:r>
          </w:p>
        </w:tc>
      </w:tr>
    </w:tbl>
    <w:p w14:paraId="098A451B" w14:textId="15287F72" w:rsidR="00A277CA" w:rsidRDefault="00A277CA" w:rsidP="001E6B46">
      <w:pPr>
        <w:pStyle w:val="3-BodyText"/>
        <w:numPr>
          <w:ilvl w:val="0"/>
          <w:numId w:val="0"/>
        </w:numPr>
        <w:spacing w:after="0"/>
      </w:pPr>
    </w:p>
    <w:p w14:paraId="248FD7E1" w14:textId="77777777" w:rsidR="00A277CA" w:rsidRPr="00A277CA" w:rsidRDefault="00A277CA" w:rsidP="001E6B46">
      <w:pPr>
        <w:keepNext/>
        <w:rPr>
          <w:rFonts w:eastAsia="Calibri"/>
          <w:b/>
          <w:bCs/>
          <w:sz w:val="22"/>
          <w:szCs w:val="18"/>
        </w:rPr>
      </w:pPr>
      <w:r w:rsidRPr="00A277CA">
        <w:rPr>
          <w:rFonts w:eastAsia="Calibri"/>
          <w:b/>
          <w:bCs/>
          <w:sz w:val="22"/>
          <w:szCs w:val="18"/>
        </w:rPr>
        <w:t>Proposed listing of medicine –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
        <w:gridCol w:w="574"/>
        <w:gridCol w:w="2274"/>
        <w:gridCol w:w="1347"/>
        <w:gridCol w:w="941"/>
        <w:gridCol w:w="943"/>
        <w:gridCol w:w="943"/>
        <w:gridCol w:w="1612"/>
      </w:tblGrid>
      <w:tr w:rsidR="00A277CA" w:rsidRPr="00A277CA" w14:paraId="24E03387" w14:textId="77777777" w:rsidTr="00FA4D4F">
        <w:tc>
          <w:tcPr>
            <w:tcW w:w="1791" w:type="pct"/>
            <w:gridSpan w:val="3"/>
            <w:tcBorders>
              <w:top w:val="single" w:sz="4" w:space="0" w:color="auto"/>
              <w:left w:val="single" w:sz="4" w:space="0" w:color="auto"/>
              <w:right w:val="single" w:sz="4" w:space="0" w:color="auto"/>
            </w:tcBorders>
            <w:vAlign w:val="center"/>
          </w:tcPr>
          <w:p w14:paraId="3D59ABD4" w14:textId="77777777" w:rsidR="00A277CA" w:rsidRPr="00A277CA" w:rsidRDefault="00A277CA" w:rsidP="00FA4D4F">
            <w:pPr>
              <w:keepLines/>
              <w:rPr>
                <w:rFonts w:ascii="Arial Narrow" w:hAnsi="Arial Narrow"/>
                <w:b/>
                <w:bCs/>
                <w:sz w:val="20"/>
                <w:szCs w:val="20"/>
              </w:rPr>
            </w:pPr>
            <w:r w:rsidRPr="00A277CA">
              <w:rPr>
                <w:rFonts w:ascii="Arial Narrow" w:hAnsi="Arial Narrow"/>
                <w:b/>
                <w:bCs/>
                <w:sz w:val="20"/>
                <w:szCs w:val="20"/>
              </w:rPr>
              <w:t>MEDICINAL PRODUCT</w:t>
            </w:r>
          </w:p>
          <w:p w14:paraId="3421BCBB" w14:textId="77777777" w:rsidR="00A277CA" w:rsidRPr="00A277CA" w:rsidRDefault="00A277CA" w:rsidP="00FA4D4F">
            <w:pPr>
              <w:keepNext/>
              <w:rPr>
                <w:rFonts w:ascii="Arial Narrow" w:eastAsia="Calibri" w:hAnsi="Arial Narrow"/>
                <w:b/>
                <w:sz w:val="20"/>
                <w:szCs w:val="20"/>
              </w:rPr>
            </w:pPr>
            <w:r w:rsidRPr="00A277CA">
              <w:rPr>
                <w:rFonts w:ascii="Arial Narrow" w:hAnsi="Arial Narrow"/>
                <w:b/>
                <w:bCs/>
                <w:sz w:val="20"/>
                <w:szCs w:val="20"/>
              </w:rPr>
              <w:t>medicinal product pack</w:t>
            </w:r>
          </w:p>
        </w:tc>
        <w:tc>
          <w:tcPr>
            <w:tcW w:w="747" w:type="pct"/>
            <w:tcBorders>
              <w:top w:val="single" w:sz="4" w:space="0" w:color="auto"/>
              <w:left w:val="single" w:sz="4" w:space="0" w:color="auto"/>
              <w:right w:val="single" w:sz="4" w:space="0" w:color="auto"/>
            </w:tcBorders>
            <w:vAlign w:val="center"/>
          </w:tcPr>
          <w:p w14:paraId="0D522E2C" w14:textId="77777777" w:rsidR="00A277CA" w:rsidRPr="00A277CA" w:rsidRDefault="00A277CA" w:rsidP="00FA4D4F">
            <w:pPr>
              <w:keepNext/>
              <w:jc w:val="center"/>
              <w:rPr>
                <w:rFonts w:ascii="Arial Narrow" w:eastAsia="Calibri" w:hAnsi="Arial Narrow"/>
                <w:b/>
                <w:sz w:val="20"/>
                <w:szCs w:val="20"/>
              </w:rPr>
            </w:pPr>
            <w:r w:rsidRPr="00A277CA">
              <w:rPr>
                <w:rFonts w:ascii="Arial Narrow" w:hAnsi="Arial Narrow"/>
                <w:b/>
                <w:sz w:val="20"/>
                <w:szCs w:val="20"/>
              </w:rPr>
              <w:t>PBS item code</w:t>
            </w:r>
          </w:p>
        </w:tc>
        <w:tc>
          <w:tcPr>
            <w:tcW w:w="522" w:type="pct"/>
            <w:tcBorders>
              <w:top w:val="single" w:sz="4" w:space="0" w:color="auto"/>
              <w:left w:val="single" w:sz="4" w:space="0" w:color="auto"/>
              <w:right w:val="single" w:sz="4" w:space="0" w:color="auto"/>
            </w:tcBorders>
            <w:vAlign w:val="center"/>
          </w:tcPr>
          <w:p w14:paraId="24C21877" w14:textId="77777777" w:rsidR="00A277CA" w:rsidRPr="00A277CA" w:rsidRDefault="00A277CA" w:rsidP="00FA4D4F">
            <w:pPr>
              <w:keepNext/>
              <w:jc w:val="center"/>
              <w:rPr>
                <w:rFonts w:ascii="Arial Narrow" w:eastAsia="Calibri" w:hAnsi="Arial Narrow"/>
                <w:b/>
                <w:sz w:val="20"/>
                <w:szCs w:val="20"/>
              </w:rPr>
            </w:pPr>
            <w:r w:rsidRPr="00A277CA">
              <w:rPr>
                <w:rFonts w:ascii="Arial Narrow" w:hAnsi="Arial Narrow"/>
                <w:b/>
                <w:sz w:val="20"/>
                <w:szCs w:val="20"/>
              </w:rPr>
              <w:t>Max. qty packs</w:t>
            </w:r>
          </w:p>
        </w:tc>
        <w:tc>
          <w:tcPr>
            <w:tcW w:w="523" w:type="pct"/>
            <w:tcBorders>
              <w:top w:val="single" w:sz="4" w:space="0" w:color="auto"/>
              <w:left w:val="single" w:sz="4" w:space="0" w:color="auto"/>
              <w:right w:val="single" w:sz="4" w:space="0" w:color="auto"/>
            </w:tcBorders>
            <w:vAlign w:val="center"/>
          </w:tcPr>
          <w:p w14:paraId="453155D6" w14:textId="77777777" w:rsidR="00A277CA" w:rsidRPr="00A277CA" w:rsidRDefault="00A277CA" w:rsidP="00FA4D4F">
            <w:pPr>
              <w:keepNext/>
              <w:jc w:val="center"/>
              <w:rPr>
                <w:rFonts w:ascii="Arial Narrow" w:eastAsia="Calibri" w:hAnsi="Arial Narrow"/>
                <w:b/>
                <w:sz w:val="20"/>
                <w:szCs w:val="20"/>
              </w:rPr>
            </w:pPr>
            <w:r w:rsidRPr="00A277CA">
              <w:rPr>
                <w:rFonts w:ascii="Arial Narrow" w:hAnsi="Arial Narrow"/>
                <w:b/>
                <w:sz w:val="20"/>
                <w:szCs w:val="20"/>
              </w:rPr>
              <w:t>Max. qty units</w:t>
            </w:r>
          </w:p>
        </w:tc>
        <w:tc>
          <w:tcPr>
            <w:tcW w:w="523" w:type="pct"/>
            <w:tcBorders>
              <w:top w:val="single" w:sz="4" w:space="0" w:color="auto"/>
              <w:left w:val="single" w:sz="4" w:space="0" w:color="auto"/>
              <w:right w:val="single" w:sz="4" w:space="0" w:color="auto"/>
            </w:tcBorders>
            <w:vAlign w:val="center"/>
          </w:tcPr>
          <w:p w14:paraId="10B6CCF6" w14:textId="77777777" w:rsidR="00A277CA" w:rsidRPr="00A277CA" w:rsidRDefault="00A277CA" w:rsidP="00FA4D4F">
            <w:pPr>
              <w:keepLines/>
              <w:jc w:val="center"/>
              <w:rPr>
                <w:rFonts w:ascii="Arial Narrow" w:hAnsi="Arial Narrow"/>
                <w:b/>
                <w:sz w:val="20"/>
                <w:szCs w:val="20"/>
              </w:rPr>
            </w:pPr>
            <w:r w:rsidRPr="00A277CA">
              <w:rPr>
                <w:rFonts w:ascii="Arial Narrow" w:hAnsi="Arial Narrow"/>
                <w:b/>
                <w:sz w:val="20"/>
                <w:szCs w:val="20"/>
              </w:rPr>
              <w:t>№. of</w:t>
            </w:r>
          </w:p>
          <w:p w14:paraId="4FE1A127" w14:textId="77777777" w:rsidR="00A277CA" w:rsidRPr="00A277CA" w:rsidRDefault="00A277CA" w:rsidP="00FA4D4F">
            <w:pPr>
              <w:keepNext/>
              <w:jc w:val="center"/>
              <w:rPr>
                <w:rFonts w:ascii="Arial Narrow" w:eastAsia="Calibri" w:hAnsi="Arial Narrow"/>
                <w:b/>
                <w:sz w:val="20"/>
                <w:szCs w:val="20"/>
              </w:rPr>
            </w:pPr>
            <w:r w:rsidRPr="00A277CA">
              <w:rPr>
                <w:rFonts w:ascii="Arial Narrow" w:hAnsi="Arial Narrow"/>
                <w:b/>
                <w:sz w:val="20"/>
                <w:szCs w:val="20"/>
              </w:rPr>
              <w:t>Rpts</w:t>
            </w:r>
          </w:p>
        </w:tc>
        <w:tc>
          <w:tcPr>
            <w:tcW w:w="894" w:type="pct"/>
            <w:tcBorders>
              <w:top w:val="single" w:sz="4" w:space="0" w:color="auto"/>
              <w:left w:val="single" w:sz="4" w:space="0" w:color="auto"/>
              <w:right w:val="single" w:sz="4" w:space="0" w:color="auto"/>
            </w:tcBorders>
            <w:vAlign w:val="center"/>
          </w:tcPr>
          <w:p w14:paraId="1DF04051" w14:textId="77777777" w:rsidR="00A277CA" w:rsidRPr="00A277CA" w:rsidRDefault="00A277CA" w:rsidP="00FA4D4F">
            <w:pPr>
              <w:keepNext/>
              <w:jc w:val="center"/>
              <w:rPr>
                <w:rFonts w:ascii="Arial Narrow" w:eastAsia="Calibri" w:hAnsi="Arial Narrow"/>
                <w:b/>
                <w:sz w:val="20"/>
                <w:szCs w:val="20"/>
              </w:rPr>
            </w:pPr>
            <w:r w:rsidRPr="00A277CA">
              <w:rPr>
                <w:rFonts w:ascii="Arial Narrow" w:hAnsi="Arial Narrow"/>
                <w:b/>
                <w:sz w:val="20"/>
                <w:szCs w:val="20"/>
              </w:rPr>
              <w:t>Available brands</w:t>
            </w:r>
          </w:p>
        </w:tc>
      </w:tr>
      <w:tr w:rsidR="00A277CA" w:rsidRPr="00A277CA" w14:paraId="611A157A" w14:textId="77777777" w:rsidTr="00FA4D4F">
        <w:tc>
          <w:tcPr>
            <w:tcW w:w="5000" w:type="pct"/>
            <w:gridSpan w:val="8"/>
            <w:tcBorders>
              <w:top w:val="single" w:sz="4" w:space="0" w:color="auto"/>
              <w:left w:val="single" w:sz="4" w:space="0" w:color="auto"/>
              <w:right w:val="single" w:sz="4" w:space="0" w:color="auto"/>
            </w:tcBorders>
          </w:tcPr>
          <w:p w14:paraId="48257C30" w14:textId="77777777" w:rsidR="00A277CA" w:rsidRPr="00A277CA" w:rsidRDefault="00A277CA" w:rsidP="00FA4D4F">
            <w:pPr>
              <w:keepNext/>
              <w:rPr>
                <w:rFonts w:ascii="Arial Narrow" w:eastAsia="Calibri" w:hAnsi="Arial Narrow"/>
                <w:b/>
                <w:sz w:val="20"/>
                <w:szCs w:val="20"/>
              </w:rPr>
            </w:pPr>
            <w:r w:rsidRPr="00A277CA">
              <w:rPr>
                <w:rFonts w:ascii="Arial Narrow" w:hAnsi="Arial Narrow"/>
                <w:sz w:val="20"/>
                <w:szCs w:val="20"/>
              </w:rPr>
              <w:t>OSILODROSTAT</w:t>
            </w:r>
          </w:p>
        </w:tc>
      </w:tr>
      <w:tr w:rsidR="00A277CA" w:rsidRPr="00A277CA" w14:paraId="575088E4" w14:textId="77777777" w:rsidTr="00FA4D4F">
        <w:tc>
          <w:tcPr>
            <w:tcW w:w="1791" w:type="pct"/>
            <w:gridSpan w:val="3"/>
            <w:tcBorders>
              <w:top w:val="single" w:sz="4" w:space="0" w:color="auto"/>
              <w:left w:val="single" w:sz="4" w:space="0" w:color="auto"/>
              <w:right w:val="single" w:sz="4" w:space="0" w:color="auto"/>
            </w:tcBorders>
          </w:tcPr>
          <w:p w14:paraId="40B6D392" w14:textId="77777777" w:rsidR="00A277CA" w:rsidRPr="00A277CA" w:rsidRDefault="00A277CA" w:rsidP="00FA4D4F">
            <w:pPr>
              <w:keepNext/>
              <w:rPr>
                <w:rFonts w:ascii="Arial Narrow" w:eastAsia="Calibri" w:hAnsi="Arial Narrow"/>
                <w:bCs/>
                <w:sz w:val="20"/>
                <w:szCs w:val="20"/>
              </w:rPr>
            </w:pPr>
            <w:r w:rsidRPr="00A277CA">
              <w:rPr>
                <w:rFonts w:ascii="Arial Narrow" w:eastAsia="Calibri" w:hAnsi="Arial Narrow"/>
                <w:bCs/>
                <w:sz w:val="20"/>
                <w:szCs w:val="20"/>
              </w:rPr>
              <w:t>Osilodrostat, 1 mg oral tablet</w:t>
            </w:r>
          </w:p>
        </w:tc>
        <w:tc>
          <w:tcPr>
            <w:tcW w:w="747" w:type="pct"/>
            <w:tcBorders>
              <w:top w:val="single" w:sz="4" w:space="0" w:color="auto"/>
              <w:left w:val="single" w:sz="4" w:space="0" w:color="auto"/>
              <w:right w:val="single" w:sz="4" w:space="0" w:color="auto"/>
            </w:tcBorders>
          </w:tcPr>
          <w:p w14:paraId="40DF513F"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New</w:t>
            </w:r>
          </w:p>
        </w:tc>
        <w:tc>
          <w:tcPr>
            <w:tcW w:w="522" w:type="pct"/>
            <w:tcBorders>
              <w:top w:val="single" w:sz="4" w:space="0" w:color="auto"/>
              <w:left w:val="single" w:sz="4" w:space="0" w:color="auto"/>
              <w:right w:val="single" w:sz="4" w:space="0" w:color="auto"/>
            </w:tcBorders>
          </w:tcPr>
          <w:p w14:paraId="523CA31F"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1</w:t>
            </w:r>
          </w:p>
        </w:tc>
        <w:tc>
          <w:tcPr>
            <w:tcW w:w="523" w:type="pct"/>
            <w:tcBorders>
              <w:top w:val="single" w:sz="4" w:space="0" w:color="auto"/>
              <w:left w:val="single" w:sz="4" w:space="0" w:color="auto"/>
              <w:right w:val="single" w:sz="4" w:space="0" w:color="auto"/>
            </w:tcBorders>
          </w:tcPr>
          <w:p w14:paraId="7B4AAFCE"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60</w:t>
            </w:r>
          </w:p>
        </w:tc>
        <w:tc>
          <w:tcPr>
            <w:tcW w:w="523" w:type="pct"/>
            <w:tcBorders>
              <w:top w:val="single" w:sz="4" w:space="0" w:color="auto"/>
              <w:left w:val="single" w:sz="4" w:space="0" w:color="auto"/>
              <w:right w:val="single" w:sz="4" w:space="0" w:color="auto"/>
            </w:tcBorders>
          </w:tcPr>
          <w:p w14:paraId="7B475FFA"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2</w:t>
            </w:r>
          </w:p>
        </w:tc>
        <w:tc>
          <w:tcPr>
            <w:tcW w:w="894" w:type="pct"/>
            <w:tcBorders>
              <w:top w:val="single" w:sz="4" w:space="0" w:color="auto"/>
              <w:left w:val="single" w:sz="4" w:space="0" w:color="auto"/>
              <w:right w:val="single" w:sz="4" w:space="0" w:color="auto"/>
            </w:tcBorders>
          </w:tcPr>
          <w:p w14:paraId="7C39FA9E"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ISTURISA</w:t>
            </w:r>
          </w:p>
        </w:tc>
      </w:tr>
      <w:tr w:rsidR="00A277CA" w:rsidRPr="00A277CA" w14:paraId="2BE3FDDD" w14:textId="77777777" w:rsidTr="00FA4D4F">
        <w:trPr>
          <w:trHeight w:val="94"/>
        </w:trPr>
        <w:tc>
          <w:tcPr>
            <w:tcW w:w="1791" w:type="pct"/>
            <w:gridSpan w:val="3"/>
            <w:tcBorders>
              <w:top w:val="single" w:sz="4" w:space="0" w:color="auto"/>
              <w:left w:val="single" w:sz="4" w:space="0" w:color="auto"/>
              <w:right w:val="single" w:sz="4" w:space="0" w:color="auto"/>
            </w:tcBorders>
          </w:tcPr>
          <w:p w14:paraId="47A078A8" w14:textId="77777777" w:rsidR="00A277CA" w:rsidRPr="00A277CA" w:rsidRDefault="00A277CA" w:rsidP="00FA4D4F">
            <w:pPr>
              <w:keepNext/>
              <w:rPr>
                <w:rFonts w:ascii="Arial Narrow" w:eastAsia="Calibri" w:hAnsi="Arial Narrow"/>
                <w:bCs/>
                <w:sz w:val="20"/>
                <w:szCs w:val="20"/>
              </w:rPr>
            </w:pPr>
            <w:r w:rsidRPr="00A277CA">
              <w:rPr>
                <w:rFonts w:ascii="Arial Narrow" w:eastAsia="Calibri" w:hAnsi="Arial Narrow"/>
                <w:bCs/>
                <w:sz w:val="20"/>
                <w:szCs w:val="20"/>
              </w:rPr>
              <w:t>Osilodrostat, 5 mg oral tablet</w:t>
            </w:r>
          </w:p>
        </w:tc>
        <w:tc>
          <w:tcPr>
            <w:tcW w:w="747" w:type="pct"/>
            <w:tcBorders>
              <w:top w:val="single" w:sz="4" w:space="0" w:color="auto"/>
              <w:left w:val="single" w:sz="4" w:space="0" w:color="auto"/>
              <w:right w:val="single" w:sz="4" w:space="0" w:color="auto"/>
            </w:tcBorders>
          </w:tcPr>
          <w:p w14:paraId="72419919"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New</w:t>
            </w:r>
          </w:p>
        </w:tc>
        <w:tc>
          <w:tcPr>
            <w:tcW w:w="522" w:type="pct"/>
            <w:tcBorders>
              <w:top w:val="single" w:sz="4" w:space="0" w:color="auto"/>
              <w:left w:val="single" w:sz="4" w:space="0" w:color="auto"/>
              <w:right w:val="single" w:sz="4" w:space="0" w:color="auto"/>
            </w:tcBorders>
          </w:tcPr>
          <w:p w14:paraId="599B4CA4"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1</w:t>
            </w:r>
          </w:p>
        </w:tc>
        <w:tc>
          <w:tcPr>
            <w:tcW w:w="523" w:type="pct"/>
            <w:tcBorders>
              <w:top w:val="single" w:sz="4" w:space="0" w:color="auto"/>
              <w:left w:val="single" w:sz="4" w:space="0" w:color="auto"/>
              <w:right w:val="single" w:sz="4" w:space="0" w:color="auto"/>
            </w:tcBorders>
          </w:tcPr>
          <w:p w14:paraId="35D81375"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60</w:t>
            </w:r>
          </w:p>
        </w:tc>
        <w:tc>
          <w:tcPr>
            <w:tcW w:w="523" w:type="pct"/>
            <w:tcBorders>
              <w:top w:val="single" w:sz="4" w:space="0" w:color="auto"/>
              <w:left w:val="single" w:sz="4" w:space="0" w:color="auto"/>
              <w:right w:val="single" w:sz="4" w:space="0" w:color="auto"/>
            </w:tcBorders>
          </w:tcPr>
          <w:p w14:paraId="3D6F4E37"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2</w:t>
            </w:r>
          </w:p>
        </w:tc>
        <w:tc>
          <w:tcPr>
            <w:tcW w:w="894" w:type="pct"/>
            <w:tcBorders>
              <w:top w:val="single" w:sz="4" w:space="0" w:color="auto"/>
              <w:left w:val="single" w:sz="4" w:space="0" w:color="auto"/>
              <w:right w:val="single" w:sz="4" w:space="0" w:color="auto"/>
            </w:tcBorders>
          </w:tcPr>
          <w:p w14:paraId="72185E3B"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ISTURISA</w:t>
            </w:r>
          </w:p>
        </w:tc>
      </w:tr>
      <w:tr w:rsidR="00A277CA" w:rsidRPr="00A277CA" w14:paraId="12C1CFDC" w14:textId="77777777" w:rsidTr="00FA4D4F">
        <w:tc>
          <w:tcPr>
            <w:tcW w:w="1791" w:type="pct"/>
            <w:gridSpan w:val="3"/>
            <w:tcBorders>
              <w:top w:val="single" w:sz="4" w:space="0" w:color="auto"/>
              <w:left w:val="single" w:sz="4" w:space="0" w:color="auto"/>
              <w:right w:val="single" w:sz="4" w:space="0" w:color="auto"/>
            </w:tcBorders>
          </w:tcPr>
          <w:p w14:paraId="648EC7A6" w14:textId="77777777" w:rsidR="00A277CA" w:rsidRPr="00A277CA" w:rsidRDefault="00A277CA" w:rsidP="00FA4D4F">
            <w:pPr>
              <w:keepNext/>
              <w:rPr>
                <w:rFonts w:ascii="Arial Narrow" w:eastAsia="Calibri" w:hAnsi="Arial Narrow"/>
                <w:bCs/>
                <w:sz w:val="20"/>
                <w:szCs w:val="20"/>
              </w:rPr>
            </w:pPr>
            <w:r w:rsidRPr="00A277CA">
              <w:rPr>
                <w:rFonts w:ascii="Arial Narrow" w:eastAsia="Calibri" w:hAnsi="Arial Narrow"/>
                <w:bCs/>
                <w:sz w:val="20"/>
                <w:szCs w:val="20"/>
              </w:rPr>
              <w:t>Osilodrostat, 10 mg oral tablet</w:t>
            </w:r>
          </w:p>
        </w:tc>
        <w:tc>
          <w:tcPr>
            <w:tcW w:w="747" w:type="pct"/>
            <w:tcBorders>
              <w:top w:val="single" w:sz="4" w:space="0" w:color="auto"/>
              <w:left w:val="single" w:sz="4" w:space="0" w:color="auto"/>
              <w:right w:val="single" w:sz="4" w:space="0" w:color="auto"/>
            </w:tcBorders>
          </w:tcPr>
          <w:p w14:paraId="548E0644"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New</w:t>
            </w:r>
          </w:p>
        </w:tc>
        <w:tc>
          <w:tcPr>
            <w:tcW w:w="522" w:type="pct"/>
            <w:tcBorders>
              <w:top w:val="single" w:sz="4" w:space="0" w:color="auto"/>
              <w:left w:val="single" w:sz="4" w:space="0" w:color="auto"/>
              <w:right w:val="single" w:sz="4" w:space="0" w:color="auto"/>
            </w:tcBorders>
          </w:tcPr>
          <w:p w14:paraId="67934C2C"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1</w:t>
            </w:r>
          </w:p>
        </w:tc>
        <w:tc>
          <w:tcPr>
            <w:tcW w:w="523" w:type="pct"/>
            <w:tcBorders>
              <w:top w:val="single" w:sz="4" w:space="0" w:color="auto"/>
              <w:left w:val="single" w:sz="4" w:space="0" w:color="auto"/>
              <w:right w:val="single" w:sz="4" w:space="0" w:color="auto"/>
            </w:tcBorders>
          </w:tcPr>
          <w:p w14:paraId="18DE1C4A"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60</w:t>
            </w:r>
          </w:p>
        </w:tc>
        <w:tc>
          <w:tcPr>
            <w:tcW w:w="523" w:type="pct"/>
            <w:tcBorders>
              <w:top w:val="single" w:sz="4" w:space="0" w:color="auto"/>
              <w:left w:val="single" w:sz="4" w:space="0" w:color="auto"/>
              <w:right w:val="single" w:sz="4" w:space="0" w:color="auto"/>
            </w:tcBorders>
          </w:tcPr>
          <w:p w14:paraId="1BEFF05E"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2</w:t>
            </w:r>
          </w:p>
        </w:tc>
        <w:tc>
          <w:tcPr>
            <w:tcW w:w="894" w:type="pct"/>
            <w:tcBorders>
              <w:top w:val="single" w:sz="4" w:space="0" w:color="auto"/>
              <w:left w:val="single" w:sz="4" w:space="0" w:color="auto"/>
              <w:right w:val="single" w:sz="4" w:space="0" w:color="auto"/>
            </w:tcBorders>
          </w:tcPr>
          <w:p w14:paraId="5EE50370" w14:textId="77777777" w:rsidR="00A277CA" w:rsidRPr="00A277CA" w:rsidRDefault="00A277CA" w:rsidP="00FA4D4F">
            <w:pPr>
              <w:keepNext/>
              <w:jc w:val="center"/>
              <w:rPr>
                <w:rFonts w:ascii="Arial Narrow" w:eastAsia="Calibri" w:hAnsi="Arial Narrow"/>
                <w:bCs/>
                <w:sz w:val="20"/>
                <w:szCs w:val="20"/>
              </w:rPr>
            </w:pPr>
            <w:r w:rsidRPr="00A277CA">
              <w:rPr>
                <w:rFonts w:ascii="Arial Narrow" w:eastAsia="Calibri" w:hAnsi="Arial Narrow"/>
                <w:bCs/>
                <w:sz w:val="20"/>
                <w:szCs w:val="20"/>
              </w:rPr>
              <w:t>ISTURISA</w:t>
            </w:r>
          </w:p>
        </w:tc>
      </w:tr>
      <w:tr w:rsidR="00A277CA" w:rsidRPr="00A277CA" w14:paraId="0298264B" w14:textId="77777777" w:rsidTr="00FA4D4F">
        <w:tc>
          <w:tcPr>
            <w:tcW w:w="5000" w:type="pct"/>
            <w:gridSpan w:val="8"/>
            <w:tcBorders>
              <w:top w:val="single" w:sz="4" w:space="0" w:color="auto"/>
              <w:left w:val="single" w:sz="4" w:space="0" w:color="auto"/>
              <w:right w:val="single" w:sz="4" w:space="0" w:color="auto"/>
            </w:tcBorders>
          </w:tcPr>
          <w:p w14:paraId="304FDB2D" w14:textId="77777777" w:rsidR="00A277CA" w:rsidRPr="00A277CA" w:rsidRDefault="00A277CA" w:rsidP="00FA4D4F">
            <w:pPr>
              <w:keepNext/>
              <w:rPr>
                <w:rFonts w:ascii="Arial Narrow" w:eastAsia="Calibri" w:hAnsi="Arial Narrow"/>
                <w:b/>
                <w:sz w:val="20"/>
                <w:szCs w:val="20"/>
              </w:rPr>
            </w:pPr>
          </w:p>
        </w:tc>
      </w:tr>
      <w:tr w:rsidR="00A277CA" w:rsidRPr="00A277CA" w14:paraId="35BCCAE0" w14:textId="77777777" w:rsidTr="00FA4D4F">
        <w:tc>
          <w:tcPr>
            <w:tcW w:w="5000" w:type="pct"/>
            <w:gridSpan w:val="8"/>
            <w:tcBorders>
              <w:top w:val="single" w:sz="4" w:space="0" w:color="auto"/>
              <w:left w:val="single" w:sz="4" w:space="0" w:color="auto"/>
              <w:right w:val="single" w:sz="4" w:space="0" w:color="auto"/>
            </w:tcBorders>
          </w:tcPr>
          <w:p w14:paraId="2201AFAA" w14:textId="77777777" w:rsidR="00A277CA" w:rsidRPr="00A277CA" w:rsidRDefault="00A277CA" w:rsidP="00FA4D4F">
            <w:pPr>
              <w:keepNext/>
              <w:rPr>
                <w:rFonts w:ascii="Arial Narrow" w:eastAsia="Calibri" w:hAnsi="Arial Narrow"/>
                <w:b/>
                <w:sz w:val="20"/>
                <w:szCs w:val="20"/>
              </w:rPr>
            </w:pPr>
            <w:r w:rsidRPr="00A277CA">
              <w:rPr>
                <w:rFonts w:ascii="Arial Narrow" w:hAnsi="Arial Narrow"/>
                <w:b/>
                <w:sz w:val="20"/>
                <w:szCs w:val="20"/>
              </w:rPr>
              <w:t>Restriction Summary [new1]</w:t>
            </w:r>
            <w:r w:rsidRPr="00A277CA">
              <w:rPr>
                <w:rFonts w:ascii="Arial Narrow" w:hAnsi="Arial Narrow"/>
                <w:b/>
                <w:color w:val="FF0000"/>
                <w:sz w:val="20"/>
                <w:szCs w:val="20"/>
              </w:rPr>
              <w:t xml:space="preserve"> </w:t>
            </w:r>
            <w:r w:rsidRPr="00A277CA">
              <w:rPr>
                <w:rFonts w:ascii="Arial Narrow" w:hAnsi="Arial Narrow"/>
                <w:b/>
                <w:sz w:val="20"/>
                <w:szCs w:val="20"/>
              </w:rPr>
              <w:t xml:space="preserve">/ Treatment of Concept: [new2] </w:t>
            </w:r>
          </w:p>
        </w:tc>
      </w:tr>
      <w:tr w:rsidR="00A277CA" w:rsidRPr="00A277CA" w14:paraId="5838AC45" w14:textId="77777777" w:rsidTr="00FA4D4F">
        <w:tc>
          <w:tcPr>
            <w:tcW w:w="530" w:type="pct"/>
            <w:gridSpan w:val="2"/>
            <w:vMerge w:val="restart"/>
            <w:tcBorders>
              <w:top w:val="single" w:sz="4" w:space="0" w:color="auto"/>
              <w:left w:val="single" w:sz="4" w:space="0" w:color="auto"/>
              <w:right w:val="single" w:sz="4" w:space="0" w:color="auto"/>
            </w:tcBorders>
          </w:tcPr>
          <w:p w14:paraId="26BFD41C" w14:textId="77777777" w:rsidR="00A277CA" w:rsidRPr="00A277CA" w:rsidRDefault="00A277CA" w:rsidP="00FA4D4F">
            <w:pPr>
              <w:keepNext/>
              <w:jc w:val="center"/>
              <w:rPr>
                <w:rFonts w:ascii="Arial Narrow" w:eastAsia="Calibri" w:hAnsi="Arial Narrow"/>
                <w:b/>
                <w:sz w:val="20"/>
                <w:szCs w:val="20"/>
              </w:rPr>
            </w:pPr>
            <w:r w:rsidRPr="00A277CA">
              <w:rPr>
                <w:rFonts w:ascii="Arial Narrow" w:eastAsia="Calibri" w:hAnsi="Arial Narrow"/>
                <w:b/>
                <w:sz w:val="20"/>
                <w:szCs w:val="20"/>
              </w:rPr>
              <w:t>Concept ID</w:t>
            </w:r>
          </w:p>
          <w:p w14:paraId="2838FCC2" w14:textId="77777777" w:rsidR="00A277CA" w:rsidRPr="00A277CA" w:rsidRDefault="00A277CA" w:rsidP="00FA4D4F">
            <w:pPr>
              <w:keepNext/>
              <w:rPr>
                <w:rFonts w:ascii="Arial Narrow" w:eastAsia="Calibri" w:hAnsi="Arial Narrow"/>
                <w:sz w:val="20"/>
                <w:szCs w:val="20"/>
              </w:rPr>
            </w:pPr>
          </w:p>
          <w:p w14:paraId="2D455600" w14:textId="77777777" w:rsidR="00A277CA" w:rsidRPr="00A277CA" w:rsidRDefault="00A277CA" w:rsidP="00FA4D4F">
            <w:pPr>
              <w:keepNext/>
              <w:jc w:val="center"/>
              <w:rPr>
                <w:rFonts w:ascii="Arial Narrow" w:eastAsia="Calibri" w:hAnsi="Arial Narrow"/>
                <w:sz w:val="20"/>
                <w:szCs w:val="20"/>
              </w:rPr>
            </w:pPr>
            <w:r w:rsidRPr="00A277CA">
              <w:rPr>
                <w:rFonts w:ascii="Arial Narrow" w:eastAsia="Calibri" w:hAnsi="Arial Narrow"/>
                <w:sz w:val="20"/>
                <w:szCs w:val="20"/>
              </w:rPr>
              <w:t>(for internal Dept. use)</w:t>
            </w:r>
          </w:p>
          <w:p w14:paraId="7852D0D3" w14:textId="77777777" w:rsidR="00A277CA" w:rsidRPr="00A277CA" w:rsidRDefault="00A277CA" w:rsidP="00FA4D4F">
            <w:pPr>
              <w:keepNext/>
              <w:rPr>
                <w:rFonts w:ascii="Arial Narrow" w:eastAsia="Calibri" w:hAnsi="Arial Narrow"/>
                <w:b/>
                <w:sz w:val="20"/>
                <w:szCs w:val="20"/>
              </w:rPr>
            </w:pPr>
          </w:p>
        </w:tc>
        <w:tc>
          <w:tcPr>
            <w:tcW w:w="4470" w:type="pct"/>
            <w:gridSpan w:val="6"/>
            <w:tcBorders>
              <w:top w:val="single" w:sz="4" w:space="0" w:color="auto"/>
              <w:left w:val="single" w:sz="4" w:space="0" w:color="auto"/>
              <w:bottom w:val="single" w:sz="4" w:space="0" w:color="auto"/>
              <w:right w:val="single" w:sz="4" w:space="0" w:color="auto"/>
            </w:tcBorders>
          </w:tcPr>
          <w:p w14:paraId="1C2220D8"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b/>
                <w:sz w:val="20"/>
                <w:szCs w:val="20"/>
              </w:rPr>
              <w:t xml:space="preserve">Category / Program: </w:t>
            </w:r>
          </w:p>
          <w:p w14:paraId="6452D16A"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t xml:space="preserve">Section 85 – General Schedule </w:t>
            </w:r>
          </w:p>
        </w:tc>
      </w:tr>
      <w:tr w:rsidR="00A277CA" w:rsidRPr="00A277CA" w14:paraId="14914A40" w14:textId="77777777" w:rsidTr="00FA4D4F">
        <w:trPr>
          <w:trHeight w:val="240"/>
        </w:trPr>
        <w:tc>
          <w:tcPr>
            <w:tcW w:w="530" w:type="pct"/>
            <w:gridSpan w:val="2"/>
            <w:vMerge/>
            <w:tcBorders>
              <w:left w:val="single" w:sz="4" w:space="0" w:color="auto"/>
              <w:right w:val="single" w:sz="4" w:space="0" w:color="auto"/>
            </w:tcBorders>
          </w:tcPr>
          <w:p w14:paraId="1135A7F7" w14:textId="77777777" w:rsidR="00A277CA" w:rsidRPr="00A277CA" w:rsidRDefault="00A277CA" w:rsidP="00FA4D4F">
            <w:pPr>
              <w:keepNext/>
              <w:rPr>
                <w:rFonts w:ascii="Arial Narrow" w:eastAsia="Calibri" w:hAnsi="Arial Narrow"/>
                <w:sz w:val="20"/>
                <w:szCs w:val="20"/>
              </w:rPr>
            </w:pPr>
          </w:p>
        </w:tc>
        <w:tc>
          <w:tcPr>
            <w:tcW w:w="4470" w:type="pct"/>
            <w:gridSpan w:val="6"/>
            <w:tcBorders>
              <w:top w:val="single" w:sz="4" w:space="0" w:color="auto"/>
              <w:left w:val="single" w:sz="4" w:space="0" w:color="auto"/>
              <w:bottom w:val="single" w:sz="4" w:space="0" w:color="auto"/>
              <w:right w:val="single" w:sz="4" w:space="0" w:color="auto"/>
            </w:tcBorders>
          </w:tcPr>
          <w:p w14:paraId="52795A7D" w14:textId="77777777" w:rsidR="00A277CA" w:rsidRPr="00A277CA" w:rsidRDefault="00A277CA" w:rsidP="00FA4D4F">
            <w:pPr>
              <w:keepNext/>
              <w:rPr>
                <w:rFonts w:ascii="Arial Narrow" w:eastAsia="Calibri" w:hAnsi="Arial Narrow"/>
                <w:b/>
                <w:sz w:val="20"/>
                <w:szCs w:val="20"/>
              </w:rPr>
            </w:pPr>
            <w:r w:rsidRPr="00A277CA">
              <w:rPr>
                <w:rFonts w:ascii="Arial Narrow" w:eastAsia="Calibri" w:hAnsi="Arial Narrow"/>
                <w:b/>
                <w:sz w:val="20"/>
                <w:szCs w:val="20"/>
              </w:rPr>
              <w:t xml:space="preserve">Prescriber type: </w:t>
            </w: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Dental </w:t>
            </w:r>
            <w:r w:rsidRPr="00A277CA">
              <w:rPr>
                <w:rFonts w:ascii="Arial Narrow" w:eastAsia="Calibri" w:hAnsi="Arial Narrow"/>
                <w:sz w:val="20"/>
                <w:szCs w:val="20"/>
              </w:rPr>
              <w:fldChar w:fldCharType="begin">
                <w:ffData>
                  <w:name w:val=""/>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Medical Practitioners </w:t>
            </w:r>
            <w:r w:rsidRPr="00A277CA">
              <w:rPr>
                <w:rFonts w:ascii="Arial Narrow" w:eastAsia="Calibri" w:hAnsi="Arial Narrow"/>
                <w:sz w:val="20"/>
                <w:szCs w:val="20"/>
              </w:rPr>
              <w:fldChar w:fldCharType="begin">
                <w:ffData>
                  <w:name w:val="Check3"/>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Nurse practitioners </w:t>
            </w: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Optometrists </w:t>
            </w:r>
            <w:r w:rsidRPr="00A277CA">
              <w:rPr>
                <w:rFonts w:ascii="Arial Narrow" w:eastAsia="Calibri" w:hAnsi="Arial Narrow"/>
                <w:sz w:val="20"/>
                <w:szCs w:val="20"/>
              </w:rPr>
              <w:fldChar w:fldCharType="begin">
                <w:ffData>
                  <w:name w:val="Check5"/>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Midwives</w:t>
            </w:r>
          </w:p>
        </w:tc>
      </w:tr>
      <w:tr w:rsidR="00A277CA" w:rsidRPr="00A277CA" w14:paraId="36DD35D5" w14:textId="77777777" w:rsidTr="00FA4D4F">
        <w:tc>
          <w:tcPr>
            <w:tcW w:w="530" w:type="pct"/>
            <w:gridSpan w:val="2"/>
            <w:vMerge/>
            <w:tcBorders>
              <w:left w:val="single" w:sz="4" w:space="0" w:color="auto"/>
              <w:bottom w:val="single" w:sz="4" w:space="0" w:color="auto"/>
              <w:right w:val="single" w:sz="4" w:space="0" w:color="auto"/>
            </w:tcBorders>
          </w:tcPr>
          <w:p w14:paraId="24DA2EC0" w14:textId="77777777" w:rsidR="00A277CA" w:rsidRPr="00A277CA" w:rsidRDefault="00A277CA" w:rsidP="00FA4D4F">
            <w:pPr>
              <w:keepNext/>
              <w:rPr>
                <w:rFonts w:ascii="Arial Narrow" w:eastAsia="Calibri" w:hAnsi="Arial Narrow"/>
                <w:sz w:val="20"/>
                <w:szCs w:val="20"/>
              </w:rPr>
            </w:pPr>
          </w:p>
        </w:tc>
        <w:tc>
          <w:tcPr>
            <w:tcW w:w="4470" w:type="pct"/>
            <w:gridSpan w:val="6"/>
            <w:tcBorders>
              <w:top w:val="single" w:sz="4" w:space="0" w:color="auto"/>
              <w:left w:val="single" w:sz="4" w:space="0" w:color="auto"/>
              <w:bottom w:val="single" w:sz="4" w:space="0" w:color="auto"/>
              <w:right w:val="single" w:sz="4" w:space="0" w:color="auto"/>
            </w:tcBorders>
          </w:tcPr>
          <w:p w14:paraId="614049C0" w14:textId="77777777" w:rsidR="00A277CA" w:rsidRPr="00A277CA" w:rsidRDefault="00A277CA" w:rsidP="00FA4D4F">
            <w:pPr>
              <w:keepNext/>
              <w:rPr>
                <w:rFonts w:ascii="Arial Narrow" w:eastAsia="Calibri" w:hAnsi="Arial Narrow"/>
                <w:b/>
                <w:sz w:val="20"/>
                <w:szCs w:val="20"/>
              </w:rPr>
            </w:pPr>
            <w:r w:rsidRPr="00A277CA">
              <w:rPr>
                <w:rFonts w:ascii="Arial Narrow" w:eastAsia="Calibri" w:hAnsi="Arial Narrow"/>
                <w:b/>
                <w:sz w:val="20"/>
                <w:szCs w:val="20"/>
              </w:rPr>
              <w:t>Restriction Type – assessment time by Services Australia – Method of obtaining authority approval (if Authority Required)</w:t>
            </w:r>
          </w:p>
          <w:p w14:paraId="7A5A27F5"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Unrestricted benefit</w:t>
            </w:r>
          </w:p>
          <w:p w14:paraId="6FBBE0B4"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Restricted benefit</w:t>
            </w:r>
          </w:p>
          <w:p w14:paraId="15A85F97"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Authority Required – Streamlined [new/existing code] (specification of 4-digit code by prescriber to certify that they have read the PBS restriction; no prior assessment by Services Australia; retrospective audit of patient records possible) </w:t>
            </w:r>
          </w:p>
          <w:p w14:paraId="7767E39E"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fldChar w:fldCharType="begin">
                <w:ffData>
                  <w:name w:val="Check3"/>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immediate/real time assessment by Services Australia (telephone/online application avenues)</w:t>
            </w:r>
          </w:p>
          <w:p w14:paraId="67941457" w14:textId="77777777" w:rsidR="00A277CA" w:rsidRPr="00A277CA" w:rsidRDefault="00A277CA" w:rsidP="00FA4D4F">
            <w:pPr>
              <w:keepNext/>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non-immediate/delayed assessment by Services Australia (in-writing only via mail/postal service or electronic upload to Hobart; requires at least one concept ID to be marked as ‘FULL’ for full assessment by Services Australia)</w:t>
            </w:r>
          </w:p>
        </w:tc>
      </w:tr>
      <w:tr w:rsidR="00A277CA" w:rsidRPr="00A277CA" w14:paraId="600248FE" w14:textId="77777777" w:rsidTr="00FA4D4F">
        <w:tc>
          <w:tcPr>
            <w:tcW w:w="212" w:type="pct"/>
            <w:vMerge w:val="restart"/>
            <w:vAlign w:val="center"/>
          </w:tcPr>
          <w:p w14:paraId="5F66F941" w14:textId="648485E1" w:rsidR="00A277CA" w:rsidRPr="00A277CA" w:rsidRDefault="00A277CA" w:rsidP="00FA4D4F">
            <w:pPr>
              <w:jc w:val="center"/>
              <w:rPr>
                <w:rFonts w:ascii="Arial Narrow" w:hAnsi="Arial Narrow"/>
                <w:iCs/>
                <w:color w:val="333333"/>
                <w:sz w:val="20"/>
                <w:szCs w:val="20"/>
              </w:rPr>
            </w:pPr>
          </w:p>
        </w:tc>
        <w:tc>
          <w:tcPr>
            <w:tcW w:w="318" w:type="pct"/>
            <w:vAlign w:val="center"/>
          </w:tcPr>
          <w:p w14:paraId="0C751A64" w14:textId="339E3A27"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35A1E79E"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The following should be assessed prior to receiving treatment and closely monitored throughout the treatment period:</w:t>
            </w:r>
          </w:p>
          <w:p w14:paraId="1F3F5F95" w14:textId="77777777" w:rsidR="00A277CA" w:rsidRPr="00A277CA" w:rsidRDefault="00A277CA" w:rsidP="0047787D">
            <w:pPr>
              <w:numPr>
                <w:ilvl w:val="0"/>
                <w:numId w:val="13"/>
              </w:numPr>
              <w:contextualSpacing/>
              <w:rPr>
                <w:rFonts w:ascii="Arial Narrow" w:hAnsi="Arial Narrow"/>
                <w:iCs/>
                <w:strike/>
                <w:color w:val="333333"/>
                <w:sz w:val="20"/>
                <w:szCs w:val="20"/>
              </w:rPr>
            </w:pPr>
            <w:r w:rsidRPr="00A277CA">
              <w:rPr>
                <w:rFonts w:ascii="Arial Narrow" w:hAnsi="Arial Narrow"/>
                <w:iCs/>
                <w:color w:val="333333"/>
                <w:sz w:val="20"/>
                <w:szCs w:val="20"/>
              </w:rPr>
              <w:t>QTc prolongation via an electrocardiogram</w:t>
            </w:r>
          </w:p>
          <w:p w14:paraId="5D42A008" w14:textId="77777777" w:rsidR="00A277CA" w:rsidRPr="00A277CA" w:rsidRDefault="00A277CA" w:rsidP="0047787D">
            <w:pPr>
              <w:numPr>
                <w:ilvl w:val="0"/>
                <w:numId w:val="13"/>
              </w:numPr>
              <w:contextualSpacing/>
              <w:rPr>
                <w:rFonts w:ascii="Arial Narrow" w:hAnsi="Arial Narrow"/>
                <w:iCs/>
                <w:color w:val="333333"/>
                <w:sz w:val="20"/>
                <w:szCs w:val="20"/>
              </w:rPr>
            </w:pPr>
            <w:r w:rsidRPr="00A277CA">
              <w:rPr>
                <w:rFonts w:ascii="Arial Narrow" w:hAnsi="Arial Narrow"/>
                <w:iCs/>
                <w:color w:val="333333"/>
                <w:sz w:val="20"/>
                <w:szCs w:val="20"/>
              </w:rPr>
              <w:t>Hypocortisolism</w:t>
            </w:r>
          </w:p>
        </w:tc>
      </w:tr>
      <w:tr w:rsidR="00A277CA" w:rsidRPr="00A277CA" w14:paraId="5FA62D8E" w14:textId="77777777" w:rsidTr="00FA4D4F">
        <w:tc>
          <w:tcPr>
            <w:tcW w:w="212" w:type="pct"/>
            <w:vMerge/>
            <w:vAlign w:val="center"/>
          </w:tcPr>
          <w:p w14:paraId="52B71C4D" w14:textId="77777777" w:rsidR="00A277CA" w:rsidRPr="00A277CA" w:rsidRDefault="00A277CA" w:rsidP="00FA4D4F">
            <w:pPr>
              <w:jc w:val="center"/>
              <w:rPr>
                <w:rFonts w:ascii="Arial Narrow" w:hAnsi="Arial Narrow"/>
                <w:iCs/>
                <w:color w:val="333333"/>
                <w:sz w:val="20"/>
                <w:szCs w:val="20"/>
              </w:rPr>
            </w:pPr>
          </w:p>
        </w:tc>
        <w:tc>
          <w:tcPr>
            <w:tcW w:w="318" w:type="pct"/>
            <w:vAlign w:val="center"/>
          </w:tcPr>
          <w:p w14:paraId="55C5A29E" w14:textId="5829C3DB"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19FC6FC7"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0458D9BF"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lastRenderedPageBreak/>
              <w:t>Cortisol levels should be monitored at regular intervals, since hypocortisolism-related events can occur at any time during treatment.</w:t>
            </w:r>
          </w:p>
        </w:tc>
      </w:tr>
      <w:tr w:rsidR="00A277CA" w:rsidRPr="00A277CA" w14:paraId="2307057E" w14:textId="77777777" w:rsidTr="00FA4D4F">
        <w:trPr>
          <w:trHeight w:val="55"/>
        </w:trPr>
        <w:tc>
          <w:tcPr>
            <w:tcW w:w="212" w:type="pct"/>
            <w:vMerge/>
            <w:vAlign w:val="center"/>
          </w:tcPr>
          <w:p w14:paraId="052E9122" w14:textId="77777777" w:rsidR="00A277CA" w:rsidRPr="00A277CA" w:rsidRDefault="00A277CA" w:rsidP="00FA4D4F">
            <w:pPr>
              <w:jc w:val="center"/>
              <w:rPr>
                <w:rFonts w:ascii="Arial Narrow" w:hAnsi="Arial Narrow"/>
                <w:iCs/>
                <w:color w:val="333333"/>
                <w:sz w:val="20"/>
                <w:szCs w:val="20"/>
              </w:rPr>
            </w:pPr>
          </w:p>
        </w:tc>
        <w:tc>
          <w:tcPr>
            <w:tcW w:w="318" w:type="pct"/>
            <w:vAlign w:val="center"/>
          </w:tcPr>
          <w:p w14:paraId="66827215" w14:textId="554B92A8"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355F7A54"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2AE4B52B" w14:textId="77777777" w:rsidR="00A277CA" w:rsidRPr="00A277CA" w:rsidRDefault="00A277CA" w:rsidP="00FA4D4F">
            <w:pPr>
              <w:rPr>
                <w:rFonts w:ascii="Arial Narrow" w:hAnsi="Arial Narrow"/>
                <w:bCs/>
                <w:iCs/>
                <w:color w:val="333333"/>
                <w:sz w:val="20"/>
                <w:szCs w:val="20"/>
              </w:rPr>
            </w:pPr>
            <w:r w:rsidRPr="00A277CA">
              <w:rPr>
                <w:rFonts w:ascii="Arial Narrow" w:eastAsia="Calibri" w:hAnsi="Arial Narrow"/>
                <w:iCs/>
                <w:sz w:val="20"/>
                <w:szCs w:val="20"/>
              </w:rPr>
              <w:t>No increase in the maximum number of repeats may be authorised.</w:t>
            </w:r>
          </w:p>
        </w:tc>
      </w:tr>
      <w:tr w:rsidR="00A277CA" w:rsidRPr="00A277CA" w14:paraId="1916D7F3" w14:textId="77777777" w:rsidTr="00FA4D4F">
        <w:tc>
          <w:tcPr>
            <w:tcW w:w="212" w:type="pct"/>
            <w:vMerge/>
            <w:vAlign w:val="center"/>
          </w:tcPr>
          <w:p w14:paraId="5F6A8891" w14:textId="77777777" w:rsidR="00A277CA" w:rsidRPr="00A277CA" w:rsidRDefault="00A277CA" w:rsidP="00FA4D4F">
            <w:pPr>
              <w:jc w:val="center"/>
              <w:rPr>
                <w:rFonts w:ascii="Arial Narrow" w:hAnsi="Arial Narrow"/>
                <w:iCs/>
                <w:color w:val="333333"/>
                <w:sz w:val="20"/>
                <w:szCs w:val="20"/>
              </w:rPr>
            </w:pPr>
          </w:p>
        </w:tc>
        <w:tc>
          <w:tcPr>
            <w:tcW w:w="318" w:type="pct"/>
            <w:vAlign w:val="center"/>
          </w:tcPr>
          <w:p w14:paraId="1505FBB2" w14:textId="4F4618AA"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2195870D"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006AB7B9" w14:textId="77777777" w:rsidR="00A277CA" w:rsidRPr="00A277CA" w:rsidRDefault="00A277CA" w:rsidP="00FA4D4F">
            <w:pPr>
              <w:rPr>
                <w:rFonts w:ascii="Arial Narrow" w:hAnsi="Arial Narrow"/>
                <w:bCs/>
                <w:iCs/>
                <w:color w:val="333333"/>
                <w:sz w:val="20"/>
                <w:szCs w:val="20"/>
              </w:rPr>
            </w:pPr>
            <w:r w:rsidRPr="00A277CA">
              <w:rPr>
                <w:rFonts w:ascii="Arial Narrow" w:eastAsia="Calibri" w:hAnsi="Arial Narrow"/>
                <w:bCs/>
                <w:iCs/>
                <w:sz w:val="20"/>
                <w:szCs w:val="20"/>
              </w:rPr>
              <w:t>Special Pricing Arrangements apply.</w:t>
            </w:r>
          </w:p>
        </w:tc>
      </w:tr>
      <w:tr w:rsidR="00A277CA" w:rsidRPr="00A277CA" w14:paraId="2EFCEB96" w14:textId="77777777" w:rsidTr="00FA4D4F">
        <w:tc>
          <w:tcPr>
            <w:tcW w:w="530" w:type="pct"/>
            <w:gridSpan w:val="2"/>
            <w:vAlign w:val="center"/>
          </w:tcPr>
          <w:p w14:paraId="1C675168"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42AAD6BD" w14:textId="77777777" w:rsidR="00A277CA" w:rsidRPr="00A277CA" w:rsidRDefault="00A277CA" w:rsidP="00FA4D4F">
            <w:pPr>
              <w:rPr>
                <w:rFonts w:ascii="Arial Narrow" w:hAnsi="Arial Narrow"/>
                <w:bCs/>
                <w:color w:val="333333"/>
                <w:sz w:val="20"/>
                <w:szCs w:val="20"/>
              </w:rPr>
            </w:pPr>
            <w:r w:rsidRPr="00A277CA">
              <w:rPr>
                <w:rFonts w:ascii="Arial Narrow" w:hAnsi="Arial Narrow"/>
                <w:b/>
                <w:bCs/>
                <w:color w:val="333333"/>
                <w:sz w:val="20"/>
                <w:szCs w:val="20"/>
              </w:rPr>
              <w:t xml:space="preserve">Episodicity: </w:t>
            </w:r>
            <w:r w:rsidRPr="00A277CA">
              <w:rPr>
                <w:rFonts w:ascii="Arial Narrow" w:hAnsi="Arial Narrow"/>
                <w:color w:val="333333"/>
                <w:sz w:val="20"/>
                <w:szCs w:val="20"/>
              </w:rPr>
              <w:t>Chronic</w:t>
            </w:r>
          </w:p>
        </w:tc>
      </w:tr>
      <w:tr w:rsidR="00A277CA" w:rsidRPr="00A277CA" w14:paraId="58812618" w14:textId="77777777" w:rsidTr="00FA4D4F">
        <w:tc>
          <w:tcPr>
            <w:tcW w:w="530" w:type="pct"/>
            <w:gridSpan w:val="2"/>
            <w:vAlign w:val="center"/>
          </w:tcPr>
          <w:p w14:paraId="37E6B043"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2804BADB"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Severity: </w:t>
            </w:r>
            <w:r w:rsidRPr="00A277CA">
              <w:rPr>
                <w:rFonts w:ascii="Arial Narrow" w:hAnsi="Arial Narrow"/>
                <w:color w:val="333333"/>
                <w:sz w:val="20"/>
                <w:szCs w:val="20"/>
              </w:rPr>
              <w:t>NA</w:t>
            </w:r>
          </w:p>
        </w:tc>
      </w:tr>
      <w:tr w:rsidR="00A277CA" w:rsidRPr="00A277CA" w14:paraId="6A07AFAE" w14:textId="77777777" w:rsidTr="00FA4D4F">
        <w:tc>
          <w:tcPr>
            <w:tcW w:w="530" w:type="pct"/>
            <w:gridSpan w:val="2"/>
            <w:vAlign w:val="center"/>
          </w:tcPr>
          <w:p w14:paraId="6D9F4BF2"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13316BF7"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Condition: </w:t>
            </w:r>
            <w:r w:rsidRPr="00A277CA">
              <w:rPr>
                <w:rFonts w:ascii="Arial Narrow" w:hAnsi="Arial Narrow"/>
                <w:color w:val="333333"/>
                <w:sz w:val="20"/>
                <w:szCs w:val="20"/>
              </w:rPr>
              <w:t xml:space="preserve">Endogenous </w:t>
            </w:r>
            <w:r w:rsidRPr="00A277CA">
              <w:rPr>
                <w:rFonts w:ascii="Arial Narrow" w:hAnsi="Arial Narrow"/>
                <w:bCs/>
                <w:color w:val="333333"/>
                <w:sz w:val="20"/>
                <w:szCs w:val="20"/>
              </w:rPr>
              <w:t>Cushing’s Syndrome</w:t>
            </w:r>
          </w:p>
        </w:tc>
      </w:tr>
      <w:tr w:rsidR="00A277CA" w:rsidRPr="00A277CA" w14:paraId="4D87CC43" w14:textId="77777777" w:rsidTr="001E6B46">
        <w:tc>
          <w:tcPr>
            <w:tcW w:w="530" w:type="pct"/>
            <w:gridSpan w:val="2"/>
            <w:vAlign w:val="center"/>
          </w:tcPr>
          <w:p w14:paraId="00B61794" w14:textId="52875D0B" w:rsidR="00A277CA" w:rsidRPr="00A277CA" w:rsidRDefault="00A277CA" w:rsidP="00FA4D4F">
            <w:pPr>
              <w:jc w:val="center"/>
              <w:rPr>
                <w:rFonts w:ascii="Arial Narrow" w:hAnsi="Arial Narrow"/>
                <w:iCs/>
                <w:color w:val="333333"/>
                <w:sz w:val="20"/>
                <w:szCs w:val="20"/>
              </w:rPr>
            </w:pPr>
          </w:p>
        </w:tc>
        <w:tc>
          <w:tcPr>
            <w:tcW w:w="4470" w:type="pct"/>
            <w:gridSpan w:val="6"/>
            <w:vAlign w:val="center"/>
            <w:hideMark/>
          </w:tcPr>
          <w:p w14:paraId="64B34C6D"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Indication:</w:t>
            </w:r>
            <w:r w:rsidRPr="00A277CA">
              <w:rPr>
                <w:rFonts w:ascii="Arial Narrow" w:hAnsi="Arial Narrow"/>
                <w:color w:val="333333"/>
                <w:sz w:val="20"/>
                <w:szCs w:val="20"/>
              </w:rPr>
              <w:t xml:space="preserve"> </w:t>
            </w:r>
            <w:r w:rsidRPr="00A277CA">
              <w:rPr>
                <w:rFonts w:ascii="Arial Narrow" w:hAnsi="Arial Narrow"/>
                <w:strike/>
                <w:color w:val="333333"/>
                <w:sz w:val="20"/>
                <w:szCs w:val="20"/>
              </w:rPr>
              <w:t xml:space="preserve">Patients with </w:t>
            </w:r>
            <w:r w:rsidRPr="00A277CA">
              <w:rPr>
                <w:rFonts w:ascii="Arial Narrow" w:hAnsi="Arial Narrow"/>
                <w:iCs/>
                <w:strike/>
                <w:color w:val="333333"/>
                <w:sz w:val="20"/>
                <w:szCs w:val="20"/>
              </w:rPr>
              <w:t>Chronic</w:t>
            </w:r>
            <w:r w:rsidRPr="00A277CA">
              <w:rPr>
                <w:rFonts w:ascii="Arial Narrow" w:hAnsi="Arial Narrow"/>
                <w:color w:val="333333"/>
                <w:sz w:val="20"/>
                <w:szCs w:val="20"/>
              </w:rPr>
              <w:t xml:space="preserve"> Endogenous Cushing’s syndrome</w:t>
            </w:r>
          </w:p>
        </w:tc>
      </w:tr>
      <w:tr w:rsidR="00A277CA" w:rsidRPr="00A277CA" w14:paraId="6A70705D" w14:textId="77777777" w:rsidTr="001E6B46">
        <w:tc>
          <w:tcPr>
            <w:tcW w:w="530" w:type="pct"/>
            <w:gridSpan w:val="2"/>
            <w:vAlign w:val="center"/>
          </w:tcPr>
          <w:p w14:paraId="6DB40366"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2DF350D3"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Treatment Phase:</w:t>
            </w:r>
            <w:r w:rsidRPr="00A277CA">
              <w:rPr>
                <w:rFonts w:ascii="Arial Narrow" w:hAnsi="Arial Narrow"/>
                <w:color w:val="333333"/>
                <w:sz w:val="20"/>
                <w:szCs w:val="20"/>
              </w:rPr>
              <w:t xml:space="preserve"> Initial treatment</w:t>
            </w:r>
          </w:p>
        </w:tc>
      </w:tr>
      <w:tr w:rsidR="00A277CA" w:rsidRPr="00A277CA" w14:paraId="15926A9F" w14:textId="77777777" w:rsidTr="001E6B46">
        <w:tc>
          <w:tcPr>
            <w:tcW w:w="530" w:type="pct"/>
            <w:gridSpan w:val="2"/>
            <w:vAlign w:val="center"/>
          </w:tcPr>
          <w:p w14:paraId="14658D03" w14:textId="35BA85BA"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16DF74D9"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Clinical criteria:</w:t>
            </w:r>
          </w:p>
        </w:tc>
      </w:tr>
      <w:tr w:rsidR="00A277CA" w:rsidRPr="00A277CA" w14:paraId="18A02534" w14:textId="77777777" w:rsidTr="001E6B46">
        <w:tc>
          <w:tcPr>
            <w:tcW w:w="530" w:type="pct"/>
            <w:gridSpan w:val="2"/>
            <w:vAlign w:val="center"/>
          </w:tcPr>
          <w:p w14:paraId="2D111BAC" w14:textId="4FA8EE16"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045F5B06"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 xml:space="preserve">Patients must have failed surgery for the removal of the primary tumour </w:t>
            </w:r>
          </w:p>
          <w:p w14:paraId="593397DF" w14:textId="77777777" w:rsidR="00A277CA" w:rsidRPr="00A277CA" w:rsidRDefault="00A277CA" w:rsidP="00FA4D4F">
            <w:pPr>
              <w:rPr>
                <w:rFonts w:ascii="Arial Narrow" w:hAnsi="Arial Narrow"/>
                <w:iCs/>
                <w:color w:val="333333"/>
                <w:sz w:val="20"/>
                <w:szCs w:val="20"/>
              </w:rPr>
            </w:pPr>
            <w:r w:rsidRPr="00A277CA">
              <w:rPr>
                <w:rFonts w:ascii="Arial Narrow" w:hAnsi="Arial Narrow"/>
                <w:iCs/>
                <w:strike/>
                <w:color w:val="333333"/>
                <w:sz w:val="20"/>
                <w:szCs w:val="20"/>
              </w:rPr>
              <w:t>Patients must have</w:t>
            </w:r>
            <w:r w:rsidRPr="00A277CA">
              <w:rPr>
                <w:rFonts w:ascii="Arial Narrow" w:hAnsi="Arial Narrow"/>
                <w:iCs/>
                <w:color w:val="333333"/>
                <w:sz w:val="20"/>
                <w:szCs w:val="20"/>
              </w:rPr>
              <w:t xml:space="preserve"> The condition must be, at least one of:</w:t>
            </w:r>
          </w:p>
          <w:p w14:paraId="2B5623AC"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 xml:space="preserve">(i) persistent </w:t>
            </w:r>
            <w:r w:rsidRPr="00A277CA">
              <w:rPr>
                <w:rFonts w:ascii="Arial Narrow" w:hAnsi="Arial Narrow"/>
                <w:iCs/>
                <w:strike/>
                <w:color w:val="333333"/>
                <w:sz w:val="20"/>
                <w:szCs w:val="20"/>
              </w:rPr>
              <w:t>or recurrent</w:t>
            </w:r>
            <w:r w:rsidRPr="00A277CA">
              <w:rPr>
                <w:rFonts w:ascii="Arial Narrow" w:hAnsi="Arial Narrow"/>
                <w:iCs/>
                <w:color w:val="333333"/>
                <w:sz w:val="20"/>
                <w:szCs w:val="20"/>
              </w:rPr>
              <w:t xml:space="preserve"> hypercortisolism after surgery </w:t>
            </w:r>
            <w:r w:rsidRPr="00A277CA">
              <w:rPr>
                <w:rFonts w:ascii="Arial Narrow" w:hAnsi="Arial Narrow"/>
                <w:bCs/>
                <w:iCs/>
                <w:color w:val="333333"/>
                <w:sz w:val="20"/>
                <w:szCs w:val="20"/>
              </w:rPr>
              <w:t>OR</w:t>
            </w:r>
          </w:p>
          <w:p w14:paraId="22A35946"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 xml:space="preserve">(ii) recurrent hypercortisolism after surgery, </w:t>
            </w:r>
            <w:r w:rsidRPr="00A277CA">
              <w:rPr>
                <w:rFonts w:ascii="Arial Narrow" w:hAnsi="Arial Narrow"/>
                <w:bCs/>
                <w:iCs/>
                <w:color w:val="333333"/>
                <w:sz w:val="20"/>
                <w:szCs w:val="20"/>
              </w:rPr>
              <w:t>OR</w:t>
            </w:r>
          </w:p>
          <w:p w14:paraId="6FA49976"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(iii) inappropriate for surgery</w:t>
            </w:r>
            <w:r w:rsidRPr="00A277CA">
              <w:rPr>
                <w:rFonts w:ascii="Arial Narrow" w:hAnsi="Arial Narrow"/>
                <w:color w:val="333333"/>
                <w:sz w:val="20"/>
                <w:szCs w:val="20"/>
              </w:rPr>
              <w:t>.</w:t>
            </w:r>
          </w:p>
        </w:tc>
      </w:tr>
      <w:tr w:rsidR="00A277CA" w:rsidRPr="00A277CA" w14:paraId="18C7F64E" w14:textId="77777777" w:rsidTr="00FA4D4F">
        <w:tc>
          <w:tcPr>
            <w:tcW w:w="530" w:type="pct"/>
            <w:gridSpan w:val="2"/>
            <w:vAlign w:val="center"/>
            <w:hideMark/>
          </w:tcPr>
          <w:p w14:paraId="52BFED91"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2809BDED" w14:textId="77777777" w:rsidR="00A277CA" w:rsidRPr="00A277CA" w:rsidRDefault="00A277CA" w:rsidP="00FA4D4F">
            <w:pPr>
              <w:rPr>
                <w:rFonts w:ascii="Arial Narrow" w:hAnsi="Arial Narrow"/>
                <w:b/>
                <w:bCs/>
                <w:strike/>
                <w:color w:val="333333"/>
                <w:sz w:val="20"/>
                <w:szCs w:val="20"/>
              </w:rPr>
            </w:pPr>
            <w:r w:rsidRPr="00A277CA">
              <w:rPr>
                <w:rFonts w:ascii="Arial Narrow" w:hAnsi="Arial Narrow"/>
                <w:b/>
                <w:bCs/>
                <w:strike/>
                <w:color w:val="333333"/>
                <w:sz w:val="20"/>
                <w:szCs w:val="20"/>
              </w:rPr>
              <w:t>OR</w:t>
            </w:r>
          </w:p>
        </w:tc>
      </w:tr>
      <w:tr w:rsidR="00A277CA" w:rsidRPr="00A277CA" w14:paraId="33235146" w14:textId="77777777" w:rsidTr="00FA4D4F">
        <w:tc>
          <w:tcPr>
            <w:tcW w:w="530" w:type="pct"/>
            <w:gridSpan w:val="2"/>
            <w:vAlign w:val="center"/>
          </w:tcPr>
          <w:p w14:paraId="4A40D392"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34015B96"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must not be considered candidates for surgery</w:t>
            </w:r>
          </w:p>
        </w:tc>
      </w:tr>
      <w:tr w:rsidR="00A277CA" w:rsidRPr="00A277CA" w14:paraId="3BB01365" w14:textId="77777777" w:rsidTr="00FA4D4F">
        <w:tc>
          <w:tcPr>
            <w:tcW w:w="530" w:type="pct"/>
            <w:gridSpan w:val="2"/>
            <w:vAlign w:val="center"/>
          </w:tcPr>
          <w:p w14:paraId="6CF1C4B7"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12149BF7"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AND</w:t>
            </w:r>
          </w:p>
        </w:tc>
      </w:tr>
      <w:tr w:rsidR="00A277CA" w:rsidRPr="00A277CA" w14:paraId="639CE665" w14:textId="77777777" w:rsidTr="00FA4D4F">
        <w:tc>
          <w:tcPr>
            <w:tcW w:w="530" w:type="pct"/>
            <w:gridSpan w:val="2"/>
            <w:vAlign w:val="center"/>
          </w:tcPr>
          <w:p w14:paraId="6CE4DA29" w14:textId="1EC2A0B4"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22925A3F" w14:textId="77777777" w:rsidR="00A277CA" w:rsidRPr="00A277CA" w:rsidRDefault="00A277CA" w:rsidP="00FA4D4F">
            <w:pPr>
              <w:rPr>
                <w:rFonts w:ascii="Arial Narrow" w:hAnsi="Arial Narrow"/>
                <w:b/>
                <w:bCs/>
                <w:color w:val="333333"/>
                <w:sz w:val="20"/>
                <w:szCs w:val="20"/>
              </w:rPr>
            </w:pPr>
            <w:r w:rsidRPr="00A277CA">
              <w:rPr>
                <w:rFonts w:ascii="Arial Narrow" w:hAnsi="Arial Narrow"/>
                <w:color w:val="333333"/>
                <w:sz w:val="20"/>
                <w:szCs w:val="20"/>
              </w:rPr>
              <w:t>Patient</w:t>
            </w:r>
            <w:r w:rsidRPr="00A277CA">
              <w:rPr>
                <w:rFonts w:ascii="Arial Narrow" w:hAnsi="Arial Narrow"/>
                <w:strike/>
                <w:color w:val="333333"/>
                <w:sz w:val="20"/>
                <w:szCs w:val="20"/>
              </w:rPr>
              <w:t>s</w:t>
            </w:r>
            <w:r w:rsidRPr="00A277CA">
              <w:rPr>
                <w:rFonts w:ascii="Arial Narrow" w:hAnsi="Arial Narrow"/>
                <w:color w:val="333333"/>
                <w:sz w:val="20"/>
                <w:szCs w:val="20"/>
              </w:rPr>
              <w:t xml:space="preserve"> must have active endogenous Cushing’s Syndrome </w:t>
            </w:r>
            <w:r w:rsidRPr="00A277CA">
              <w:rPr>
                <w:rFonts w:ascii="Arial Narrow" w:hAnsi="Arial Narrow"/>
                <w:strike/>
                <w:color w:val="333333"/>
                <w:sz w:val="20"/>
                <w:szCs w:val="20"/>
              </w:rPr>
              <w:t xml:space="preserve">as </w:t>
            </w:r>
            <w:r w:rsidRPr="00A277CA">
              <w:rPr>
                <w:rFonts w:ascii="Arial Narrow" w:hAnsi="Arial Narrow"/>
                <w:color w:val="333333"/>
                <w:sz w:val="20"/>
                <w:szCs w:val="20"/>
              </w:rPr>
              <w:t>determined by a mean urinary free cortisol (UFC) level greater than 1.3 times the upper limit of normal (ULN)</w:t>
            </w:r>
            <w:r w:rsidRPr="00A277CA">
              <w:rPr>
                <w:rFonts w:ascii="Arial Narrow" w:hAnsi="Arial Narrow"/>
                <w:iCs/>
                <w:color w:val="333333"/>
                <w:sz w:val="20"/>
                <w:szCs w:val="20"/>
              </w:rPr>
              <w:t>.</w:t>
            </w:r>
          </w:p>
        </w:tc>
      </w:tr>
      <w:tr w:rsidR="00A277CA" w:rsidRPr="00A277CA" w14:paraId="1C281ED0" w14:textId="77777777" w:rsidTr="00FA4D4F">
        <w:tc>
          <w:tcPr>
            <w:tcW w:w="530" w:type="pct"/>
            <w:gridSpan w:val="2"/>
            <w:vAlign w:val="center"/>
          </w:tcPr>
          <w:p w14:paraId="153FA3C9" w14:textId="2B9BE3A5"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457B097F"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Treatment criteria:</w:t>
            </w:r>
          </w:p>
        </w:tc>
      </w:tr>
      <w:tr w:rsidR="00A277CA" w:rsidRPr="00A277CA" w14:paraId="31F92862" w14:textId="77777777" w:rsidTr="00FA4D4F">
        <w:tc>
          <w:tcPr>
            <w:tcW w:w="530" w:type="pct"/>
            <w:gridSpan w:val="2"/>
            <w:vAlign w:val="center"/>
          </w:tcPr>
          <w:p w14:paraId="4A32C497" w14:textId="16790B02" w:rsidR="00A277CA" w:rsidRPr="00A277CA" w:rsidRDefault="00A277CA" w:rsidP="00FA4D4F">
            <w:pPr>
              <w:jc w:val="center"/>
              <w:rPr>
                <w:rFonts w:ascii="Arial Narrow" w:hAnsi="Arial Narrow"/>
                <w:iCs/>
                <w:color w:val="333333"/>
                <w:sz w:val="20"/>
                <w:szCs w:val="20"/>
              </w:rPr>
            </w:pPr>
          </w:p>
        </w:tc>
        <w:tc>
          <w:tcPr>
            <w:tcW w:w="4470" w:type="pct"/>
            <w:gridSpan w:val="6"/>
            <w:vAlign w:val="center"/>
            <w:hideMark/>
          </w:tcPr>
          <w:p w14:paraId="18ACA315" w14:textId="4C5F3260" w:rsidR="00A277CA" w:rsidRPr="00A277CA" w:rsidRDefault="00A277CA" w:rsidP="00FA4D4F">
            <w:pPr>
              <w:autoSpaceDE w:val="0"/>
              <w:autoSpaceDN w:val="0"/>
              <w:adjustRightInd w:val="0"/>
              <w:rPr>
                <w:rFonts w:ascii="Arial Narrow" w:eastAsia="Calibri" w:hAnsi="Arial Narrow" w:cs="Arial Narrow"/>
                <w:iCs/>
                <w:sz w:val="20"/>
                <w:szCs w:val="20"/>
              </w:rPr>
            </w:pPr>
            <w:r w:rsidRPr="00A277CA">
              <w:rPr>
                <w:rFonts w:ascii="Arial Narrow" w:hAnsi="Arial Narrow"/>
                <w:strike/>
                <w:color w:val="333333"/>
                <w:sz w:val="20"/>
                <w:szCs w:val="20"/>
              </w:rPr>
              <w:t xml:space="preserve">Patients </w:t>
            </w:r>
            <w:r w:rsidRPr="00A277CA">
              <w:rPr>
                <w:rFonts w:ascii="Arial Narrow" w:hAnsi="Arial Narrow"/>
                <w:iCs/>
                <w:color w:val="333333"/>
                <w:sz w:val="20"/>
                <w:szCs w:val="20"/>
              </w:rPr>
              <w:t>M</w:t>
            </w:r>
            <w:r w:rsidRPr="00A277CA">
              <w:rPr>
                <w:rFonts w:ascii="Arial Narrow" w:hAnsi="Arial Narrow"/>
                <w:color w:val="333333"/>
                <w:sz w:val="20"/>
                <w:szCs w:val="20"/>
              </w:rPr>
              <w:t xml:space="preserve">ust be treated </w:t>
            </w:r>
            <w:r w:rsidRPr="00A277CA">
              <w:rPr>
                <w:rFonts w:ascii="Arial Narrow" w:hAnsi="Arial Narrow"/>
                <w:strike/>
                <w:color w:val="333333"/>
                <w:sz w:val="20"/>
                <w:szCs w:val="20"/>
              </w:rPr>
              <w:t>and supervised by a physicians experienced in endocrinology or internal medicine</w:t>
            </w:r>
            <w:r w:rsidRPr="00A277CA">
              <w:rPr>
                <w:rFonts w:ascii="Arial Narrow" w:hAnsi="Arial Narrow"/>
                <w:color w:val="333333"/>
                <w:sz w:val="20"/>
                <w:szCs w:val="20"/>
              </w:rPr>
              <w:t xml:space="preserve"> </w:t>
            </w:r>
            <w:r w:rsidRPr="00A277CA">
              <w:rPr>
                <w:rFonts w:ascii="Arial Narrow" w:hAnsi="Arial Narrow"/>
                <w:iCs/>
                <w:color w:val="333333"/>
                <w:sz w:val="20"/>
                <w:szCs w:val="20"/>
              </w:rPr>
              <w:t xml:space="preserve">by an endocrinologist or a </w:t>
            </w:r>
            <w:r w:rsidRPr="00A277CA">
              <w:rPr>
                <w:rFonts w:ascii="Arial Narrow" w:hAnsi="Arial Narrow"/>
                <w:iCs/>
                <w:strike/>
                <w:color w:val="333333"/>
                <w:sz w:val="20"/>
                <w:szCs w:val="20"/>
              </w:rPr>
              <w:t xml:space="preserve">general medicine </w:t>
            </w:r>
            <w:r w:rsidRPr="00A277CA">
              <w:rPr>
                <w:rFonts w:ascii="Arial Narrow" w:hAnsi="Arial Narrow"/>
                <w:iCs/>
                <w:color w:val="333333"/>
                <w:sz w:val="20"/>
                <w:szCs w:val="20"/>
              </w:rPr>
              <w:t xml:space="preserve">physician </w:t>
            </w:r>
            <w:r w:rsidR="00D03B1A">
              <w:rPr>
                <w:rFonts w:ascii="Arial Narrow" w:hAnsi="Arial Narrow"/>
                <w:iCs/>
                <w:color w:val="333333"/>
                <w:sz w:val="20"/>
                <w:szCs w:val="20"/>
              </w:rPr>
              <w:t>specialising</w:t>
            </w:r>
            <w:r w:rsidR="00D03B1A" w:rsidRPr="00A277CA">
              <w:rPr>
                <w:rFonts w:ascii="Arial Narrow" w:hAnsi="Arial Narrow"/>
                <w:iCs/>
                <w:color w:val="333333"/>
                <w:sz w:val="20"/>
                <w:szCs w:val="20"/>
              </w:rPr>
              <w:t xml:space="preserve"> </w:t>
            </w:r>
            <w:r w:rsidRPr="00A277CA">
              <w:rPr>
                <w:rFonts w:ascii="Arial Narrow" w:hAnsi="Arial Narrow"/>
                <w:iCs/>
                <w:color w:val="333333"/>
                <w:sz w:val="20"/>
                <w:szCs w:val="20"/>
              </w:rPr>
              <w:t>in general medicine</w:t>
            </w:r>
          </w:p>
        </w:tc>
      </w:tr>
      <w:tr w:rsidR="00A277CA" w:rsidRPr="00A277CA" w14:paraId="1B7625D4" w14:textId="77777777" w:rsidTr="00FA4D4F">
        <w:tc>
          <w:tcPr>
            <w:tcW w:w="530" w:type="pct"/>
            <w:gridSpan w:val="2"/>
            <w:vAlign w:val="center"/>
          </w:tcPr>
          <w:p w14:paraId="3E8F0394"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0F8925A7" w14:textId="77777777" w:rsidR="00A277CA" w:rsidRPr="00A277CA" w:rsidRDefault="00A277CA" w:rsidP="00FA4D4F">
            <w:pPr>
              <w:autoSpaceDE w:val="0"/>
              <w:autoSpaceDN w:val="0"/>
              <w:adjustRightInd w:val="0"/>
              <w:rPr>
                <w:rFonts w:ascii="Arial Narrow" w:hAnsi="Arial Narrow"/>
                <w:iCs/>
                <w:color w:val="333333"/>
                <w:sz w:val="20"/>
                <w:szCs w:val="20"/>
              </w:rPr>
            </w:pPr>
            <w:r w:rsidRPr="00A277CA">
              <w:rPr>
                <w:rFonts w:ascii="Arial Narrow" w:hAnsi="Arial Narrow"/>
                <w:bCs/>
                <w:iCs/>
                <w:color w:val="333333"/>
                <w:sz w:val="20"/>
                <w:szCs w:val="20"/>
              </w:rPr>
              <w:t>Treatment criteria:</w:t>
            </w:r>
          </w:p>
        </w:tc>
      </w:tr>
      <w:tr w:rsidR="00A277CA" w:rsidRPr="00A277CA" w14:paraId="1285BCEE" w14:textId="77777777" w:rsidTr="00FA4D4F">
        <w:tc>
          <w:tcPr>
            <w:tcW w:w="530" w:type="pct"/>
            <w:gridSpan w:val="2"/>
            <w:vAlign w:val="center"/>
          </w:tcPr>
          <w:p w14:paraId="1E95E54C" w14:textId="3CA80BF1"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778A5FAF" w14:textId="77777777" w:rsidR="00A277CA" w:rsidRPr="00A277CA" w:rsidRDefault="00A277CA" w:rsidP="00FA4D4F">
            <w:pPr>
              <w:autoSpaceDE w:val="0"/>
              <w:autoSpaceDN w:val="0"/>
              <w:adjustRightInd w:val="0"/>
              <w:rPr>
                <w:rFonts w:ascii="Arial Narrow" w:hAnsi="Arial Narrow"/>
                <w:iCs/>
                <w:color w:val="333333"/>
                <w:sz w:val="20"/>
                <w:szCs w:val="20"/>
              </w:rPr>
            </w:pPr>
            <w:r w:rsidRPr="00A277CA">
              <w:rPr>
                <w:rFonts w:ascii="Arial Narrow" w:hAnsi="Arial Narrow"/>
                <w:iCs/>
                <w:color w:val="333333"/>
                <w:sz w:val="20"/>
                <w:szCs w:val="20"/>
              </w:rPr>
              <w:t>The treatment must not exceed 12 weeks of treatment under this restriction</w:t>
            </w:r>
          </w:p>
        </w:tc>
      </w:tr>
      <w:tr w:rsidR="00A277CA" w:rsidRPr="00A277CA" w14:paraId="0F296DC9" w14:textId="77777777" w:rsidTr="00FA4D4F">
        <w:tc>
          <w:tcPr>
            <w:tcW w:w="530" w:type="pct"/>
            <w:gridSpan w:val="2"/>
            <w:vAlign w:val="center"/>
          </w:tcPr>
          <w:p w14:paraId="2FADAFC8" w14:textId="15DEE994"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353D63C6"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Population criteria:</w:t>
            </w:r>
          </w:p>
        </w:tc>
      </w:tr>
      <w:tr w:rsidR="00A277CA" w:rsidRPr="00A277CA" w14:paraId="0A36EAE6" w14:textId="77777777" w:rsidTr="001E6B46">
        <w:tc>
          <w:tcPr>
            <w:tcW w:w="530" w:type="pct"/>
            <w:gridSpan w:val="2"/>
            <w:vAlign w:val="center"/>
          </w:tcPr>
          <w:p w14:paraId="43657D1B" w14:textId="3D5F1A16"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277D3A6B"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Patient</w:t>
            </w:r>
            <w:r w:rsidRPr="00A277CA">
              <w:rPr>
                <w:rFonts w:ascii="Arial Narrow" w:hAnsi="Arial Narrow"/>
                <w:strike/>
                <w:color w:val="333333"/>
                <w:sz w:val="20"/>
                <w:szCs w:val="20"/>
              </w:rPr>
              <w:t>s</w:t>
            </w:r>
            <w:r w:rsidRPr="00A277CA">
              <w:rPr>
                <w:rFonts w:ascii="Arial Narrow" w:hAnsi="Arial Narrow"/>
                <w:color w:val="333333"/>
                <w:sz w:val="20"/>
                <w:szCs w:val="20"/>
              </w:rPr>
              <w:t xml:space="preserve"> must be </w:t>
            </w:r>
            <w:r w:rsidRPr="00A277CA">
              <w:rPr>
                <w:rFonts w:ascii="Arial Narrow" w:hAnsi="Arial Narrow"/>
                <w:strike/>
                <w:color w:val="333333"/>
                <w:sz w:val="20"/>
                <w:szCs w:val="20"/>
              </w:rPr>
              <w:t>aged 18 years or older</w:t>
            </w:r>
            <w:r w:rsidRPr="00A277CA">
              <w:rPr>
                <w:rFonts w:ascii="Arial Narrow" w:hAnsi="Arial Narrow"/>
                <w:color w:val="333333"/>
                <w:sz w:val="20"/>
                <w:szCs w:val="20"/>
              </w:rPr>
              <w:t xml:space="preserve"> at least 18 years of age.</w:t>
            </w:r>
          </w:p>
        </w:tc>
      </w:tr>
      <w:tr w:rsidR="00A277CA" w:rsidRPr="00A277CA" w14:paraId="0D43694E" w14:textId="77777777" w:rsidTr="001E6B46">
        <w:tc>
          <w:tcPr>
            <w:tcW w:w="530" w:type="pct"/>
            <w:gridSpan w:val="2"/>
            <w:vAlign w:val="center"/>
          </w:tcPr>
          <w:p w14:paraId="77DE2CBA" w14:textId="218DD63E"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2166DE19"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026328BF" w14:textId="7B1C6583" w:rsidR="00A277CA" w:rsidRPr="00A277CA" w:rsidRDefault="00A277CA" w:rsidP="00FA4D4F">
            <w:pPr>
              <w:rPr>
                <w:rFonts w:ascii="Arial Narrow" w:hAnsi="Arial Narrow"/>
                <w:color w:val="333333"/>
                <w:sz w:val="20"/>
                <w:szCs w:val="20"/>
              </w:rPr>
            </w:pPr>
            <w:r w:rsidRPr="00A277CA">
              <w:rPr>
                <w:rFonts w:ascii="Arial Narrow" w:hAnsi="Arial Narrow"/>
                <w:strike/>
                <w:color w:val="333333"/>
                <w:sz w:val="20"/>
                <w:szCs w:val="20"/>
              </w:rPr>
              <w:t xml:space="preserve">To assess patients eligible for initial treatment, </w:t>
            </w:r>
            <w:r w:rsidR="005D0056">
              <w:rPr>
                <w:rFonts w:ascii="Arial Narrow" w:hAnsi="Arial Narrow"/>
                <w:color w:val="333333"/>
                <w:sz w:val="20"/>
                <w:szCs w:val="20"/>
              </w:rPr>
              <w:t>T</w:t>
            </w:r>
            <w:r w:rsidRPr="00A277CA">
              <w:rPr>
                <w:rFonts w:ascii="Arial Narrow" w:hAnsi="Arial Narrow"/>
                <w:color w:val="333333"/>
                <w:sz w:val="20"/>
                <w:szCs w:val="20"/>
              </w:rPr>
              <w:t xml:space="preserve">he mean UFC </w:t>
            </w:r>
            <w:r w:rsidRPr="00A277CA">
              <w:rPr>
                <w:rFonts w:ascii="Arial Narrow" w:hAnsi="Arial Narrow"/>
                <w:strike/>
                <w:color w:val="333333"/>
                <w:sz w:val="20"/>
                <w:szCs w:val="20"/>
              </w:rPr>
              <w:t>should be</w:t>
            </w:r>
            <w:r w:rsidRPr="00A277CA">
              <w:rPr>
                <w:rFonts w:ascii="Arial Narrow" w:hAnsi="Arial Narrow"/>
                <w:color w:val="333333"/>
                <w:sz w:val="20"/>
                <w:szCs w:val="20"/>
              </w:rPr>
              <w:t xml:space="preserve"> </w:t>
            </w:r>
            <w:r w:rsidRPr="00A277CA">
              <w:rPr>
                <w:rFonts w:ascii="Arial Narrow" w:hAnsi="Arial Narrow"/>
                <w:iCs/>
                <w:color w:val="333333"/>
                <w:sz w:val="20"/>
                <w:szCs w:val="20"/>
              </w:rPr>
              <w:t>is</w:t>
            </w:r>
            <w:r w:rsidRPr="00A277CA">
              <w:rPr>
                <w:rFonts w:ascii="Arial Narrow" w:hAnsi="Arial Narrow"/>
                <w:color w:val="333333"/>
                <w:sz w:val="20"/>
                <w:szCs w:val="20"/>
              </w:rPr>
              <w:t xml:space="preserve"> the average of at least three urine samples collected preferably on three consecutive days, with at least 2 values being 1.3 times greater than the ULN. </w:t>
            </w:r>
          </w:p>
          <w:p w14:paraId="311EDBB0" w14:textId="77777777" w:rsidR="00A277CA" w:rsidRPr="00A277CA" w:rsidRDefault="00A277CA" w:rsidP="00FA4D4F">
            <w:pPr>
              <w:rPr>
                <w:rFonts w:ascii="Arial Narrow" w:hAnsi="Arial Narrow"/>
                <w:color w:val="333333"/>
                <w:sz w:val="20"/>
                <w:szCs w:val="20"/>
              </w:rPr>
            </w:pPr>
          </w:p>
          <w:p w14:paraId="07DEC08A"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must undergo a dose titration period whereby responses must be assessed every 1-2 weeks until the mean UFC levels are within the normal range. Only patients who demonstrate a complete response between month 2 and 3 are eligible for continuing treatment.</w:t>
            </w:r>
            <w:r w:rsidRPr="00A277CA">
              <w:rPr>
                <w:rFonts w:eastAsia="Calibri"/>
                <w:strike/>
                <w:sz w:val="20"/>
                <w:szCs w:val="20"/>
              </w:rPr>
              <w:t xml:space="preserve"> </w:t>
            </w:r>
          </w:p>
          <w:p w14:paraId="078D3133" w14:textId="77777777" w:rsidR="00A277CA" w:rsidRPr="00A277CA" w:rsidRDefault="00A277CA" w:rsidP="00FA4D4F">
            <w:pPr>
              <w:rPr>
                <w:rFonts w:ascii="Arial Narrow" w:hAnsi="Arial Narrow"/>
                <w:strike/>
                <w:color w:val="333333"/>
                <w:sz w:val="20"/>
                <w:szCs w:val="20"/>
              </w:rPr>
            </w:pPr>
          </w:p>
          <w:p w14:paraId="4EA51472" w14:textId="5FAD7731" w:rsidR="00A277CA" w:rsidRPr="00A277CA" w:rsidRDefault="00A277CA" w:rsidP="00FA4D4F">
            <w:pPr>
              <w:rPr>
                <w:rFonts w:ascii="Arial Narrow" w:hAnsi="Arial Narrow"/>
                <w:iCs/>
                <w:color w:val="333333"/>
                <w:sz w:val="20"/>
                <w:szCs w:val="20"/>
              </w:rPr>
            </w:pPr>
            <w:r w:rsidRPr="00A277CA">
              <w:rPr>
                <w:rFonts w:ascii="Arial Narrow" w:hAnsi="Arial Narrow"/>
                <w:strike/>
                <w:color w:val="333333"/>
                <w:sz w:val="20"/>
                <w:szCs w:val="20"/>
              </w:rPr>
              <w:t>At the time of authority application, medical practitioners should request the appropriate number of packs to provide sufficient drug, based on the prescribed dose of the patient, for one month of treatment.</w:t>
            </w:r>
            <w:r w:rsidRPr="00A277CA">
              <w:rPr>
                <w:rFonts w:ascii="Arial Narrow" w:hAnsi="Arial Narrow"/>
                <w:color w:val="333333"/>
                <w:sz w:val="20"/>
                <w:szCs w:val="20"/>
              </w:rPr>
              <w:t xml:space="preserve"> </w:t>
            </w:r>
            <w:r w:rsidRPr="00A277CA">
              <w:rPr>
                <w:rFonts w:ascii="Arial Narrow" w:hAnsi="Arial Narrow"/>
                <w:strike/>
                <w:color w:val="333333"/>
                <w:sz w:val="20"/>
                <w:szCs w:val="20"/>
              </w:rPr>
              <w:t xml:space="preserve">The daily dose must not exceed 30 mg twice daily. Up to a maximum of 2 repeats will be authorised. Patients must not exceed more than 3 months of treatment under this restriction. </w:t>
            </w:r>
            <w:r w:rsidRPr="00A277CA">
              <w:rPr>
                <w:rFonts w:ascii="Arial Narrow" w:hAnsi="Arial Narrow"/>
                <w:iCs/>
                <w:strike/>
                <w:color w:val="333333"/>
                <w:sz w:val="20"/>
                <w:szCs w:val="20"/>
              </w:rPr>
              <w:t>The daily dose must not exceed 60mg. Patients must not exceed more than 3months of treatment under this restriction.</w:t>
            </w:r>
          </w:p>
          <w:p w14:paraId="2E0E259E" w14:textId="77777777" w:rsidR="00A277CA" w:rsidRPr="00A277CA" w:rsidRDefault="00A277CA" w:rsidP="00FA4D4F">
            <w:pPr>
              <w:rPr>
                <w:rFonts w:ascii="Arial Narrow" w:hAnsi="Arial Narrow"/>
                <w:iCs/>
                <w:color w:val="333333"/>
                <w:sz w:val="20"/>
                <w:szCs w:val="20"/>
              </w:rPr>
            </w:pPr>
          </w:p>
          <w:p w14:paraId="6FC5EDD2"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Treatment should be discontinued, or the dose reduced, if mean UFC levels fall below the lower limit of normal (LLN) or there are signs of adrenal insufficiency.</w:t>
            </w:r>
          </w:p>
          <w:p w14:paraId="17417FD0"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failed surgery are defined as those with recurrent or persistent hypercortisolism (UFC &gt; 1.3x ULN).</w:t>
            </w:r>
          </w:p>
          <w:p w14:paraId="46D0FF0B" w14:textId="77777777" w:rsidR="00A277CA" w:rsidRPr="00A277CA" w:rsidRDefault="00A277CA" w:rsidP="00FA4D4F">
            <w:pPr>
              <w:rPr>
                <w:rFonts w:ascii="Arial Narrow" w:hAnsi="Arial Narrow"/>
                <w:strike/>
                <w:color w:val="333333"/>
                <w:sz w:val="20"/>
                <w:szCs w:val="20"/>
              </w:rPr>
            </w:pPr>
          </w:p>
          <w:p w14:paraId="5AD5107A"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are not candidates for surgery are defined as:</w:t>
            </w:r>
          </w:p>
          <w:p w14:paraId="3AE5FD19"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a medical contraindication for surgery</w:t>
            </w:r>
          </w:p>
          <w:p w14:paraId="242B8DB0"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inoperable tumours</w:t>
            </w:r>
          </w:p>
          <w:p w14:paraId="35E7581A"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lastRenderedPageBreak/>
              <w:t>surgery unlikely to reduce hypercortisolism</w:t>
            </w:r>
          </w:p>
          <w:p w14:paraId="072BBC02"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who refuse surgery</w:t>
            </w:r>
          </w:p>
          <w:p w14:paraId="33D8550B"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surgical treatment being unavailable to the patient</w:t>
            </w:r>
          </w:p>
        </w:tc>
      </w:tr>
      <w:tr w:rsidR="00A277CA" w:rsidRPr="00A277CA" w14:paraId="131147DA" w14:textId="77777777" w:rsidTr="00FA4D4F">
        <w:tc>
          <w:tcPr>
            <w:tcW w:w="530" w:type="pct"/>
            <w:gridSpan w:val="2"/>
            <w:vAlign w:val="center"/>
          </w:tcPr>
          <w:p w14:paraId="6E2B94CC" w14:textId="5960CE95"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18F8508C"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0936B6D9" w14:textId="7883524D"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Patient must undergo a dose titration period whereby responses must be assessed every 1-2 weeks until the mean UFC levels are within the normal range.</w:t>
            </w:r>
          </w:p>
        </w:tc>
      </w:tr>
      <w:tr w:rsidR="00A277CA" w:rsidRPr="00A277CA" w14:paraId="05532FFB" w14:textId="77777777" w:rsidTr="00FA4D4F">
        <w:tc>
          <w:tcPr>
            <w:tcW w:w="530" w:type="pct"/>
            <w:gridSpan w:val="2"/>
            <w:vAlign w:val="center"/>
          </w:tcPr>
          <w:p w14:paraId="18FE1F55" w14:textId="71E1FD99"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6804CF00"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1B862C03" w14:textId="77777777" w:rsidR="00A277CA" w:rsidRPr="00A277CA" w:rsidRDefault="00A277CA" w:rsidP="00FA4D4F">
            <w:pPr>
              <w:rPr>
                <w:rFonts w:ascii="Arial Narrow" w:hAnsi="Arial Narrow"/>
                <w:b/>
                <w:bCs/>
                <w:color w:val="333333"/>
                <w:sz w:val="20"/>
                <w:szCs w:val="20"/>
              </w:rPr>
            </w:pPr>
            <w:r w:rsidRPr="00A277CA">
              <w:rPr>
                <w:rFonts w:ascii="Arial Narrow" w:hAnsi="Arial Narrow"/>
                <w:color w:val="333333"/>
                <w:sz w:val="20"/>
                <w:szCs w:val="20"/>
              </w:rPr>
              <w:t xml:space="preserve">At the time of authority application, medical practitioners </w:t>
            </w:r>
            <w:r w:rsidRPr="00A277CA">
              <w:rPr>
                <w:rFonts w:ascii="Arial Narrow" w:hAnsi="Arial Narrow"/>
                <w:iCs/>
                <w:color w:val="333333"/>
                <w:sz w:val="20"/>
                <w:szCs w:val="20"/>
              </w:rPr>
              <w:t>must</w:t>
            </w:r>
            <w:r w:rsidRPr="00A277CA">
              <w:rPr>
                <w:rFonts w:ascii="Arial Narrow" w:hAnsi="Arial Narrow"/>
                <w:color w:val="333333"/>
                <w:sz w:val="20"/>
                <w:szCs w:val="20"/>
              </w:rPr>
              <w:t xml:space="preserve"> </w:t>
            </w:r>
            <w:r w:rsidRPr="00A277CA">
              <w:rPr>
                <w:rFonts w:ascii="Arial Narrow" w:hAnsi="Arial Narrow"/>
                <w:strike/>
                <w:color w:val="333333"/>
                <w:sz w:val="20"/>
                <w:szCs w:val="20"/>
              </w:rPr>
              <w:t>should</w:t>
            </w:r>
            <w:r w:rsidRPr="00A277CA">
              <w:rPr>
                <w:rFonts w:ascii="Arial Narrow" w:hAnsi="Arial Narrow"/>
                <w:color w:val="333333"/>
                <w:sz w:val="20"/>
                <w:szCs w:val="20"/>
              </w:rPr>
              <w:t xml:space="preserve"> request the appropriate number of packs </w:t>
            </w:r>
            <w:r w:rsidRPr="00A277CA">
              <w:rPr>
                <w:rFonts w:ascii="Arial Narrow" w:hAnsi="Arial Narrow"/>
                <w:iCs/>
                <w:color w:val="333333"/>
                <w:sz w:val="20"/>
                <w:szCs w:val="20"/>
              </w:rPr>
              <w:t>of appropriate strength(s) to provide sufficient drug for 4 weeks as per the product information</w:t>
            </w:r>
            <w:r w:rsidRPr="00A277CA">
              <w:rPr>
                <w:rFonts w:ascii="Arial Narrow" w:hAnsi="Arial Narrow"/>
                <w:color w:val="333333"/>
                <w:sz w:val="20"/>
                <w:szCs w:val="20"/>
              </w:rPr>
              <w:t xml:space="preserve"> </w:t>
            </w:r>
            <w:r w:rsidRPr="00A277CA">
              <w:rPr>
                <w:rFonts w:ascii="Arial Narrow" w:hAnsi="Arial Narrow"/>
                <w:strike/>
                <w:color w:val="333333"/>
                <w:sz w:val="20"/>
                <w:szCs w:val="20"/>
              </w:rPr>
              <w:t>based on the prescribed dose of the patient, one month of treatment</w:t>
            </w:r>
            <w:r w:rsidRPr="00A277CA">
              <w:rPr>
                <w:rFonts w:ascii="Arial Narrow" w:hAnsi="Arial Narrow"/>
                <w:color w:val="333333"/>
                <w:sz w:val="20"/>
                <w:szCs w:val="20"/>
              </w:rPr>
              <w:t xml:space="preserve">. </w:t>
            </w:r>
            <w:r w:rsidRPr="00A277CA">
              <w:rPr>
                <w:rFonts w:ascii="Arial Narrow" w:hAnsi="Arial Narrow"/>
                <w:iCs/>
                <w:color w:val="333333"/>
                <w:sz w:val="20"/>
                <w:szCs w:val="20"/>
              </w:rPr>
              <w:t>A separate authority prescription form must be completed for each strength requested.</w:t>
            </w:r>
            <w:r w:rsidRPr="00A277CA">
              <w:rPr>
                <w:rFonts w:ascii="Arial Narrow" w:hAnsi="Arial Narrow"/>
                <w:color w:val="333333"/>
                <w:sz w:val="20"/>
                <w:szCs w:val="20"/>
              </w:rPr>
              <w:t xml:space="preserve"> The daily dose must not exceed 30 mg twice daily. Up to a maximum of 2 repeats will be authorised. </w:t>
            </w:r>
            <w:r w:rsidRPr="00A277CA">
              <w:rPr>
                <w:rFonts w:ascii="Arial Narrow" w:hAnsi="Arial Narrow"/>
                <w:strike/>
                <w:color w:val="333333"/>
                <w:sz w:val="20"/>
                <w:szCs w:val="20"/>
              </w:rPr>
              <w:t>Patients must not exceed more than 3 months of treatment under this restriction.</w:t>
            </w:r>
            <w:r w:rsidRPr="00A277CA">
              <w:rPr>
                <w:rFonts w:ascii="Arial Narrow" w:hAnsi="Arial Narrow"/>
                <w:color w:val="333333"/>
                <w:sz w:val="20"/>
                <w:szCs w:val="20"/>
              </w:rPr>
              <w:t xml:space="preserve">  </w:t>
            </w:r>
          </w:p>
        </w:tc>
      </w:tr>
      <w:tr w:rsidR="00A277CA" w:rsidRPr="00A277CA" w14:paraId="41327521" w14:textId="77777777" w:rsidTr="00FA4D4F">
        <w:tc>
          <w:tcPr>
            <w:tcW w:w="530" w:type="pct"/>
            <w:gridSpan w:val="2"/>
            <w:vAlign w:val="center"/>
          </w:tcPr>
          <w:p w14:paraId="63646F32" w14:textId="05CABDC3" w:rsidR="00A277CA" w:rsidRPr="00A277CA" w:rsidRDefault="00A277CA" w:rsidP="00FA4D4F">
            <w:pPr>
              <w:jc w:val="center"/>
              <w:rPr>
                <w:rFonts w:ascii="Arial Narrow" w:hAnsi="Arial Narrow"/>
                <w:iCs/>
                <w:color w:val="333333"/>
                <w:sz w:val="20"/>
                <w:szCs w:val="20"/>
              </w:rPr>
            </w:pPr>
          </w:p>
        </w:tc>
        <w:tc>
          <w:tcPr>
            <w:tcW w:w="4470" w:type="pct"/>
            <w:gridSpan w:val="6"/>
            <w:vAlign w:val="center"/>
          </w:tcPr>
          <w:p w14:paraId="1F0AC827" w14:textId="77777777" w:rsidR="00A277CA" w:rsidRPr="00A277CA" w:rsidRDefault="00A277CA" w:rsidP="00FA4D4F">
            <w:pPr>
              <w:rPr>
                <w:rFonts w:ascii="Arial Narrow" w:hAnsi="Arial Narrow"/>
                <w:iCs/>
                <w:color w:val="333333"/>
                <w:sz w:val="20"/>
                <w:szCs w:val="20"/>
              </w:rPr>
            </w:pPr>
            <w:r w:rsidRPr="00A277CA">
              <w:rPr>
                <w:rFonts w:ascii="Arial Narrow" w:hAnsi="Arial Narrow"/>
                <w:bCs/>
                <w:iCs/>
                <w:color w:val="333333"/>
                <w:sz w:val="20"/>
                <w:szCs w:val="20"/>
              </w:rPr>
              <w:t>Prescribing Instructions:</w:t>
            </w:r>
            <w:r w:rsidRPr="00A277CA">
              <w:rPr>
                <w:rFonts w:ascii="Arial Narrow" w:hAnsi="Arial Narrow"/>
                <w:iCs/>
                <w:color w:val="333333"/>
                <w:sz w:val="20"/>
                <w:szCs w:val="20"/>
              </w:rPr>
              <w:t xml:space="preserve"> </w:t>
            </w:r>
          </w:p>
          <w:p w14:paraId="7BAD44B9"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Where there is a current, approved PBS prescription with valid repeat prescriptions specified (i.e., where the dose is changing), mark the prescription that is intended for no further supply as 'Cancelled'.</w:t>
            </w:r>
          </w:p>
        </w:tc>
      </w:tr>
      <w:tr w:rsidR="00A277CA" w:rsidRPr="00A277CA" w14:paraId="48FC3EFD" w14:textId="77777777" w:rsidTr="00FA4D4F">
        <w:tc>
          <w:tcPr>
            <w:tcW w:w="530" w:type="pct"/>
            <w:gridSpan w:val="2"/>
            <w:vAlign w:val="center"/>
          </w:tcPr>
          <w:p w14:paraId="47C439A5" w14:textId="4DDE99F6"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4DE453CB"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4B6F7F51"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failed surgery are defined as those with recurrent or persistent hypercortisolism (UFC &gt; 1.3x ULN).</w:t>
            </w:r>
          </w:p>
          <w:p w14:paraId="0F7427D6" w14:textId="77777777" w:rsidR="00A277CA" w:rsidRPr="00A277CA" w:rsidRDefault="00A277CA" w:rsidP="00FA4D4F">
            <w:pPr>
              <w:rPr>
                <w:rFonts w:ascii="Arial Narrow" w:hAnsi="Arial Narrow"/>
                <w:color w:val="333333"/>
                <w:sz w:val="20"/>
                <w:szCs w:val="20"/>
              </w:rPr>
            </w:pPr>
          </w:p>
          <w:p w14:paraId="7628F54F"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 xml:space="preserve">Patients who are not candidates for surgery are defined as: </w:t>
            </w:r>
          </w:p>
          <w:p w14:paraId="1C57DD39" w14:textId="77777777" w:rsidR="00A277CA" w:rsidRPr="00A277CA" w:rsidRDefault="00A277CA" w:rsidP="00FA4D4F">
            <w:pPr>
              <w:rPr>
                <w:rFonts w:ascii="Arial Narrow" w:hAnsi="Arial Narrow"/>
                <w:strike/>
                <w:color w:val="333333"/>
                <w:sz w:val="20"/>
                <w:szCs w:val="20"/>
              </w:rPr>
            </w:pPr>
            <w:r w:rsidRPr="00A277CA">
              <w:rPr>
                <w:rFonts w:ascii="Arial Narrow" w:hAnsi="Arial Narrow"/>
                <w:color w:val="333333"/>
                <w:sz w:val="20"/>
                <w:szCs w:val="20"/>
              </w:rPr>
              <w:t>The condition is inappropriate for surgery if the patient:</w:t>
            </w:r>
          </w:p>
          <w:p w14:paraId="71CEA18E"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with</w:t>
            </w:r>
            <w:r w:rsidRPr="00A277CA">
              <w:rPr>
                <w:rFonts w:ascii="Arial Narrow" w:hAnsi="Arial Narrow"/>
                <w:iCs/>
                <w:color w:val="333333"/>
                <w:sz w:val="20"/>
                <w:szCs w:val="20"/>
              </w:rPr>
              <w:t xml:space="preserve"> has</w:t>
            </w:r>
            <w:r w:rsidRPr="00A277CA">
              <w:rPr>
                <w:rFonts w:ascii="Arial Narrow" w:hAnsi="Arial Narrow"/>
                <w:color w:val="333333"/>
                <w:sz w:val="20"/>
                <w:szCs w:val="20"/>
              </w:rPr>
              <w:t xml:space="preserve"> a medical contraindication for surgery</w:t>
            </w:r>
          </w:p>
          <w:p w14:paraId="1F18BA3A"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with</w:t>
            </w:r>
            <w:r w:rsidRPr="00A277CA">
              <w:rPr>
                <w:rFonts w:ascii="Arial Narrow" w:hAnsi="Arial Narrow"/>
                <w:color w:val="333333"/>
                <w:sz w:val="20"/>
                <w:szCs w:val="20"/>
              </w:rPr>
              <w:t xml:space="preserve"> </w:t>
            </w:r>
            <w:r w:rsidRPr="00A277CA">
              <w:rPr>
                <w:rFonts w:ascii="Arial Narrow" w:hAnsi="Arial Narrow"/>
                <w:iCs/>
                <w:color w:val="333333"/>
                <w:sz w:val="20"/>
                <w:szCs w:val="20"/>
              </w:rPr>
              <w:t>has</w:t>
            </w:r>
            <w:r w:rsidRPr="00A277CA">
              <w:rPr>
                <w:rFonts w:ascii="Arial Narrow" w:hAnsi="Arial Narrow"/>
                <w:color w:val="333333"/>
                <w:sz w:val="20"/>
                <w:szCs w:val="20"/>
              </w:rPr>
              <w:t xml:space="preserve"> inoperable tumours</w:t>
            </w:r>
          </w:p>
          <w:p w14:paraId="12ACFD71"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iCs/>
                <w:color w:val="333333"/>
                <w:sz w:val="20"/>
                <w:szCs w:val="20"/>
              </w:rPr>
              <w:t xml:space="preserve">has been determined that </w:t>
            </w:r>
            <w:r w:rsidRPr="00A277CA">
              <w:rPr>
                <w:rFonts w:ascii="Arial Narrow" w:hAnsi="Arial Narrow"/>
                <w:color w:val="333333"/>
                <w:sz w:val="20"/>
                <w:szCs w:val="20"/>
              </w:rPr>
              <w:t>surgery is unlikely to reduce hypercortisolism</w:t>
            </w:r>
          </w:p>
          <w:p w14:paraId="11839EA3"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who</w:t>
            </w:r>
            <w:r w:rsidRPr="00A277CA">
              <w:rPr>
                <w:rFonts w:ascii="Arial Narrow" w:hAnsi="Arial Narrow"/>
                <w:color w:val="333333"/>
                <w:sz w:val="20"/>
                <w:szCs w:val="20"/>
              </w:rPr>
              <w:t xml:space="preserve"> </w:t>
            </w:r>
            <w:r w:rsidRPr="00A277CA">
              <w:rPr>
                <w:rFonts w:ascii="Arial Narrow" w:hAnsi="Arial Narrow"/>
                <w:iCs/>
                <w:color w:val="333333"/>
                <w:sz w:val="20"/>
                <w:szCs w:val="20"/>
              </w:rPr>
              <w:t>refuses surgery</w:t>
            </w:r>
          </w:p>
          <w:p w14:paraId="01698ABE" w14:textId="0B6F4E3A"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iCs/>
                <w:color w:val="333333"/>
                <w:sz w:val="20"/>
                <w:szCs w:val="20"/>
              </w:rPr>
              <w:t>can</w:t>
            </w:r>
            <w:r w:rsidR="005D0056">
              <w:rPr>
                <w:rFonts w:ascii="Arial Narrow" w:hAnsi="Arial Narrow"/>
                <w:iCs/>
                <w:color w:val="333333"/>
                <w:sz w:val="20"/>
                <w:szCs w:val="20"/>
              </w:rPr>
              <w:t>not</w:t>
            </w:r>
            <w:r w:rsidRPr="00A277CA">
              <w:rPr>
                <w:rFonts w:ascii="Arial Narrow" w:hAnsi="Arial Narrow"/>
                <w:iCs/>
                <w:color w:val="333333"/>
                <w:sz w:val="20"/>
                <w:szCs w:val="20"/>
              </w:rPr>
              <w:t xml:space="preserve"> access surgical treatment</w:t>
            </w:r>
            <w:r w:rsidRPr="00A277CA">
              <w:rPr>
                <w:rFonts w:ascii="Arial Narrow" w:hAnsi="Arial Narrow"/>
                <w:strike/>
                <w:color w:val="333333"/>
                <w:sz w:val="20"/>
                <w:szCs w:val="20"/>
              </w:rPr>
              <w:t xml:space="preserve"> being unavailable to the patient</w:t>
            </w:r>
          </w:p>
        </w:tc>
      </w:tr>
      <w:tr w:rsidR="00A277CA" w:rsidRPr="00A277CA" w14:paraId="6AF1B657" w14:textId="77777777" w:rsidTr="00FA4D4F">
        <w:tc>
          <w:tcPr>
            <w:tcW w:w="530" w:type="pct"/>
            <w:gridSpan w:val="2"/>
            <w:vAlign w:val="center"/>
          </w:tcPr>
          <w:p w14:paraId="100950F2" w14:textId="6FC54E14" w:rsidR="00A277CA" w:rsidRPr="00A277CA" w:rsidRDefault="00A277CA" w:rsidP="00FA4D4F">
            <w:pPr>
              <w:jc w:val="center"/>
              <w:rPr>
                <w:rFonts w:ascii="Arial Narrow" w:hAnsi="Arial Narrow"/>
                <w:color w:val="333333"/>
                <w:sz w:val="20"/>
                <w:szCs w:val="20"/>
              </w:rPr>
            </w:pPr>
          </w:p>
        </w:tc>
        <w:tc>
          <w:tcPr>
            <w:tcW w:w="4470" w:type="pct"/>
            <w:gridSpan w:val="6"/>
            <w:vAlign w:val="center"/>
          </w:tcPr>
          <w:p w14:paraId="50731B78"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Administrative advice:</w:t>
            </w:r>
            <w:r w:rsidRPr="00A277CA">
              <w:rPr>
                <w:rFonts w:ascii="Arial Narrow" w:hAnsi="Arial Narrow"/>
                <w:color w:val="333333"/>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277CA" w:rsidRPr="00A277CA" w14:paraId="122B4F23" w14:textId="77777777" w:rsidTr="001E6B46">
        <w:tc>
          <w:tcPr>
            <w:tcW w:w="530" w:type="pct"/>
            <w:gridSpan w:val="2"/>
            <w:vAlign w:val="center"/>
          </w:tcPr>
          <w:p w14:paraId="018276F9" w14:textId="77777777"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051AEA1B" w14:textId="77777777" w:rsidR="00A277CA" w:rsidRPr="00A277CA" w:rsidRDefault="00A277CA" w:rsidP="00FA4D4F">
            <w:pPr>
              <w:rPr>
                <w:rFonts w:ascii="Arial Narrow" w:hAnsi="Arial Narrow"/>
                <w:b/>
                <w:bCs/>
                <w:strike/>
                <w:color w:val="333333"/>
                <w:sz w:val="20"/>
                <w:szCs w:val="20"/>
              </w:rPr>
            </w:pPr>
            <w:r w:rsidRPr="00A277CA">
              <w:rPr>
                <w:rFonts w:ascii="Arial Narrow" w:hAnsi="Arial Narrow"/>
                <w:b/>
                <w:bCs/>
                <w:strike/>
                <w:color w:val="333333"/>
                <w:sz w:val="20"/>
                <w:szCs w:val="20"/>
              </w:rPr>
              <w:t>Notes:</w:t>
            </w:r>
          </w:p>
          <w:p w14:paraId="7493B166"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failed surgery are defined as those with recurrent or persistent hypercortisolism (UFC &gt; 1.3x ULN).</w:t>
            </w:r>
          </w:p>
          <w:p w14:paraId="6109861B" w14:textId="77777777" w:rsidR="00A277CA" w:rsidRPr="00A277CA" w:rsidRDefault="00A277CA" w:rsidP="00FA4D4F">
            <w:pPr>
              <w:rPr>
                <w:rFonts w:ascii="Arial Narrow" w:hAnsi="Arial Narrow"/>
                <w:strike/>
                <w:color w:val="333333"/>
                <w:sz w:val="20"/>
                <w:szCs w:val="20"/>
              </w:rPr>
            </w:pPr>
          </w:p>
          <w:p w14:paraId="456A918D"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are not candidates for surgery are defined as:</w:t>
            </w:r>
          </w:p>
          <w:p w14:paraId="245E9C9A"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a medical contraindication for surgery</w:t>
            </w:r>
          </w:p>
          <w:p w14:paraId="5CAA7345"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inoperable tumours</w:t>
            </w:r>
          </w:p>
          <w:p w14:paraId="1215082B"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surgery unlikely to reduce hypercortisolism</w:t>
            </w:r>
          </w:p>
          <w:p w14:paraId="4BE714E4"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who refuse surgery</w:t>
            </w:r>
          </w:p>
          <w:p w14:paraId="7B193C4D"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surgical treatment being unavailable to the patient</w:t>
            </w:r>
          </w:p>
        </w:tc>
      </w:tr>
      <w:tr w:rsidR="00A277CA" w:rsidRPr="00A277CA" w14:paraId="67B1094F" w14:textId="77777777" w:rsidTr="00FA4D4F">
        <w:tc>
          <w:tcPr>
            <w:tcW w:w="530" w:type="pct"/>
            <w:gridSpan w:val="2"/>
            <w:vAlign w:val="center"/>
          </w:tcPr>
          <w:p w14:paraId="22879A41" w14:textId="6A6BDAD4" w:rsidR="00A277CA" w:rsidRPr="00A277CA" w:rsidRDefault="00A277CA" w:rsidP="00FA4D4F">
            <w:pPr>
              <w:jc w:val="center"/>
              <w:rPr>
                <w:rFonts w:ascii="Arial Narrow" w:hAnsi="Arial Narrow"/>
                <w:strike/>
                <w:color w:val="333333"/>
                <w:sz w:val="20"/>
                <w:szCs w:val="20"/>
              </w:rPr>
            </w:pPr>
          </w:p>
        </w:tc>
        <w:tc>
          <w:tcPr>
            <w:tcW w:w="4470" w:type="pct"/>
            <w:gridSpan w:val="6"/>
          </w:tcPr>
          <w:p w14:paraId="47356D5B" w14:textId="77777777" w:rsidR="00A277CA" w:rsidRPr="00A277CA" w:rsidRDefault="00A277CA" w:rsidP="00FA4D4F">
            <w:pPr>
              <w:rPr>
                <w:rFonts w:ascii="Arial Narrow" w:hAnsi="Arial Narrow"/>
                <w:b/>
                <w:bCs/>
                <w:strike/>
                <w:color w:val="333333"/>
                <w:sz w:val="20"/>
                <w:szCs w:val="20"/>
              </w:rPr>
            </w:pPr>
            <w:r w:rsidRPr="00A277CA">
              <w:rPr>
                <w:rFonts w:ascii="Arial Narrow" w:eastAsia="Calibri" w:hAnsi="Arial Narrow"/>
                <w:b/>
                <w:strike/>
                <w:sz w:val="20"/>
                <w:szCs w:val="20"/>
              </w:rPr>
              <w:t>Administrative advice:</w:t>
            </w:r>
            <w:r w:rsidRPr="00A277CA">
              <w:rPr>
                <w:rFonts w:ascii="Arial Narrow" w:eastAsia="Calibri" w:hAnsi="Arial Narrow"/>
                <w:strike/>
                <w:sz w:val="20"/>
                <w:szCs w:val="20"/>
              </w:rPr>
              <w:t xml:space="preserve"> No increase in the maximum number of repeats may be authorised.</w:t>
            </w:r>
          </w:p>
        </w:tc>
      </w:tr>
      <w:tr w:rsidR="00A277CA" w:rsidRPr="00A277CA" w14:paraId="603BB707" w14:textId="77777777" w:rsidTr="00FA4D4F">
        <w:tc>
          <w:tcPr>
            <w:tcW w:w="530" w:type="pct"/>
            <w:gridSpan w:val="2"/>
            <w:vAlign w:val="center"/>
          </w:tcPr>
          <w:p w14:paraId="0DBEFFF5" w14:textId="46B6D5A6" w:rsidR="00A277CA" w:rsidRPr="00A277CA" w:rsidRDefault="00A277CA" w:rsidP="00FA4D4F">
            <w:pPr>
              <w:jc w:val="center"/>
              <w:rPr>
                <w:rFonts w:ascii="Arial Narrow" w:hAnsi="Arial Narrow"/>
                <w:strike/>
                <w:color w:val="333333"/>
                <w:sz w:val="20"/>
                <w:szCs w:val="20"/>
              </w:rPr>
            </w:pPr>
          </w:p>
        </w:tc>
        <w:tc>
          <w:tcPr>
            <w:tcW w:w="4470" w:type="pct"/>
            <w:gridSpan w:val="6"/>
          </w:tcPr>
          <w:p w14:paraId="736E0ED3" w14:textId="77777777" w:rsidR="00A277CA" w:rsidRPr="00A277CA" w:rsidRDefault="00A277CA" w:rsidP="00FA4D4F">
            <w:pPr>
              <w:rPr>
                <w:rFonts w:ascii="Arial Narrow" w:eastAsia="Calibri" w:hAnsi="Arial Narrow"/>
                <w:b/>
                <w:strike/>
                <w:sz w:val="20"/>
                <w:szCs w:val="20"/>
              </w:rPr>
            </w:pPr>
            <w:r w:rsidRPr="00A277CA">
              <w:rPr>
                <w:rFonts w:ascii="Arial Narrow" w:eastAsia="Calibri" w:hAnsi="Arial Narrow"/>
                <w:b/>
                <w:strike/>
                <w:sz w:val="20"/>
                <w:szCs w:val="20"/>
              </w:rPr>
              <w:t xml:space="preserve">Administrative Advice: </w:t>
            </w:r>
            <w:r w:rsidRPr="00A277CA">
              <w:rPr>
                <w:rFonts w:ascii="Arial Narrow" w:eastAsia="Calibri" w:hAnsi="Arial Narrow"/>
                <w:bCs/>
                <w:strike/>
                <w:sz w:val="20"/>
                <w:szCs w:val="20"/>
              </w:rPr>
              <w:t>Special Pricing Arrangements apply.</w:t>
            </w:r>
          </w:p>
        </w:tc>
      </w:tr>
      <w:tr w:rsidR="00A277CA" w:rsidRPr="00A277CA" w14:paraId="0CA5D81C" w14:textId="77777777" w:rsidTr="001E6B46">
        <w:tc>
          <w:tcPr>
            <w:tcW w:w="530" w:type="pct"/>
            <w:gridSpan w:val="2"/>
            <w:vAlign w:val="center"/>
          </w:tcPr>
          <w:p w14:paraId="6DE9637A" w14:textId="6F2F2AF3" w:rsidR="00A277CA" w:rsidRPr="00A277CA" w:rsidRDefault="00A277CA" w:rsidP="00FA4D4F">
            <w:pPr>
              <w:jc w:val="center"/>
              <w:rPr>
                <w:rFonts w:ascii="Arial Narrow" w:hAnsi="Arial Narrow"/>
                <w:color w:val="333333"/>
                <w:sz w:val="20"/>
                <w:szCs w:val="20"/>
              </w:rPr>
            </w:pPr>
          </w:p>
        </w:tc>
        <w:tc>
          <w:tcPr>
            <w:tcW w:w="4470" w:type="pct"/>
            <w:gridSpan w:val="6"/>
            <w:vAlign w:val="center"/>
            <w:hideMark/>
          </w:tcPr>
          <w:p w14:paraId="2D9A3AA7" w14:textId="77777777" w:rsidR="00A277CA" w:rsidRPr="00A277CA" w:rsidRDefault="00A277CA" w:rsidP="00FA4D4F">
            <w:pPr>
              <w:rPr>
                <w:rFonts w:ascii="Arial Narrow" w:hAnsi="Arial Narrow"/>
                <w:strike/>
                <w:color w:val="333333"/>
                <w:sz w:val="20"/>
                <w:szCs w:val="20"/>
              </w:rPr>
            </w:pPr>
            <w:r w:rsidRPr="00A277CA">
              <w:rPr>
                <w:rFonts w:ascii="Arial Narrow" w:hAnsi="Arial Narrow"/>
                <w:b/>
                <w:bCs/>
                <w:strike/>
                <w:color w:val="333333"/>
                <w:sz w:val="20"/>
                <w:szCs w:val="20"/>
              </w:rPr>
              <w:t>Caution:</w:t>
            </w:r>
            <w:r w:rsidRPr="00A277CA">
              <w:rPr>
                <w:rFonts w:ascii="Arial Narrow" w:hAnsi="Arial Narrow"/>
                <w:strike/>
                <w:color w:val="333333"/>
                <w:sz w:val="20"/>
                <w:szCs w:val="20"/>
              </w:rPr>
              <w:t xml:space="preserve"> </w:t>
            </w:r>
          </w:p>
          <w:p w14:paraId="10C8F1E9"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The following should be assessed prior to receiving treatment and closely monitored throughout the treatment period:</w:t>
            </w:r>
          </w:p>
          <w:p w14:paraId="07F537F0"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QTc prolongation via an electrocardiogram</w:t>
            </w:r>
          </w:p>
          <w:p w14:paraId="656F9FD1"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Hypocortisolism</w:t>
            </w:r>
          </w:p>
          <w:p w14:paraId="06530685" w14:textId="77777777" w:rsidR="00A277CA" w:rsidRPr="00A277CA" w:rsidRDefault="00A277CA" w:rsidP="00FA4D4F">
            <w:pPr>
              <w:rPr>
                <w:rFonts w:ascii="Arial Narrow" w:hAnsi="Arial Narrow"/>
                <w:color w:val="333333"/>
                <w:sz w:val="20"/>
                <w:szCs w:val="20"/>
              </w:rPr>
            </w:pPr>
          </w:p>
          <w:p w14:paraId="3A2DDDE1" w14:textId="1CC270B0" w:rsidR="00A277CA" w:rsidRPr="00A277CA" w:rsidRDefault="00A277CA" w:rsidP="00FA4D4F">
            <w:pPr>
              <w:rPr>
                <w:rFonts w:ascii="Arial Narrow" w:hAnsi="Arial Narrow"/>
                <w:color w:val="333333"/>
                <w:sz w:val="20"/>
                <w:szCs w:val="20"/>
              </w:rPr>
            </w:pPr>
            <w:r w:rsidRPr="00A277CA">
              <w:rPr>
                <w:rFonts w:ascii="Arial Narrow" w:hAnsi="Arial Narrow"/>
                <w:strike/>
                <w:color w:val="333333"/>
                <w:sz w:val="20"/>
                <w:szCs w:val="20"/>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w:t>
            </w:r>
            <w:r w:rsidRPr="00A277CA" w:rsidDel="005D5AB0">
              <w:rPr>
                <w:rFonts w:ascii="Arial Narrow" w:hAnsi="Arial Narrow"/>
                <w:color w:val="333333"/>
                <w:sz w:val="20"/>
                <w:szCs w:val="20"/>
              </w:rPr>
              <w:t xml:space="preserve"> </w:t>
            </w:r>
            <w:r w:rsidRPr="00A277CA">
              <w:rPr>
                <w:rFonts w:ascii="Arial Narrow" w:hAnsi="Arial Narrow"/>
                <w:strike/>
                <w:color w:val="333333"/>
                <w:sz w:val="20"/>
                <w:szCs w:val="20"/>
              </w:rPr>
              <w:t>Cortisol levels should be monitored at regular intervals, since hypocortisolism-related events can occur at any time during treatment</w:t>
            </w:r>
          </w:p>
        </w:tc>
      </w:tr>
    </w:tbl>
    <w:p w14:paraId="516055B4" w14:textId="77777777" w:rsidR="00A277CA" w:rsidRPr="00A277CA" w:rsidRDefault="00A277CA" w:rsidP="001E6B46">
      <w:pPr>
        <w:rPr>
          <w:rFonts w:eastAsia="Calibri"/>
          <w:sz w:val="22"/>
          <w:szCs w:val="22"/>
        </w:rPr>
      </w:pPr>
    </w:p>
    <w:p w14:paraId="77C4C8AF" w14:textId="77777777" w:rsidR="00A277CA" w:rsidRPr="00A277CA" w:rsidRDefault="00A277CA" w:rsidP="001E6B46">
      <w:pPr>
        <w:spacing w:after="120"/>
        <w:rPr>
          <w:rFonts w:asciiTheme="minorHAnsi" w:hAnsiTheme="minorHAnsi" w:cstheme="minorHAnsi"/>
        </w:rPr>
      </w:pPr>
      <w:r w:rsidRPr="00A277CA">
        <w:rPr>
          <w:rFonts w:asciiTheme="minorHAnsi" w:hAnsiTheme="minorHAnsi" w:cstheme="minorHAnsi"/>
        </w:rPr>
        <w:t>The requested restriction for continuing treatment is presented below.</w:t>
      </w:r>
    </w:p>
    <w:p w14:paraId="5353C9CC" w14:textId="77777777" w:rsidR="00A277CA" w:rsidRPr="00A277CA" w:rsidRDefault="00A277CA" w:rsidP="001E6B46">
      <w:pPr>
        <w:rPr>
          <w:rFonts w:eastAsia="Calibri"/>
          <w:b/>
          <w:bCs/>
          <w:sz w:val="22"/>
          <w:szCs w:val="18"/>
        </w:rPr>
      </w:pPr>
      <w:r w:rsidRPr="00A277CA">
        <w:rPr>
          <w:rFonts w:eastAsia="Calibri"/>
          <w:b/>
          <w:bCs/>
          <w:sz w:val="22"/>
          <w:szCs w:val="18"/>
        </w:rPr>
        <w:lastRenderedPageBreak/>
        <w:t>Proposed listing of medicine –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6"/>
        <w:gridCol w:w="631"/>
        <w:gridCol w:w="2294"/>
        <w:gridCol w:w="941"/>
        <w:gridCol w:w="1077"/>
        <w:gridCol w:w="1077"/>
        <w:gridCol w:w="1055"/>
        <w:gridCol w:w="1506"/>
      </w:tblGrid>
      <w:tr w:rsidR="00A277CA" w:rsidRPr="00A277CA" w14:paraId="498C0883" w14:textId="77777777" w:rsidTr="00FA4D4F">
        <w:tc>
          <w:tcPr>
            <w:tcW w:w="1864" w:type="pct"/>
            <w:gridSpan w:val="3"/>
            <w:tcBorders>
              <w:top w:val="single" w:sz="4" w:space="0" w:color="auto"/>
              <w:left w:val="single" w:sz="4" w:space="0" w:color="auto"/>
              <w:right w:val="single" w:sz="4" w:space="0" w:color="auto"/>
            </w:tcBorders>
            <w:vAlign w:val="center"/>
          </w:tcPr>
          <w:p w14:paraId="50718A6C" w14:textId="77777777" w:rsidR="00A277CA" w:rsidRPr="00A277CA" w:rsidRDefault="00A277CA" w:rsidP="00FA4D4F">
            <w:pPr>
              <w:keepLines/>
              <w:rPr>
                <w:rFonts w:ascii="Arial Narrow" w:hAnsi="Arial Narrow"/>
                <w:b/>
                <w:bCs/>
                <w:sz w:val="20"/>
                <w:szCs w:val="20"/>
              </w:rPr>
            </w:pPr>
            <w:r w:rsidRPr="00A277CA">
              <w:rPr>
                <w:rFonts w:ascii="Arial Narrow" w:hAnsi="Arial Narrow"/>
                <w:b/>
                <w:bCs/>
                <w:sz w:val="20"/>
                <w:szCs w:val="20"/>
              </w:rPr>
              <w:t>MEDICINAL PRODUCT</w:t>
            </w:r>
          </w:p>
          <w:p w14:paraId="2ED83FFB" w14:textId="77777777" w:rsidR="00A277CA" w:rsidRPr="00A277CA" w:rsidRDefault="00A277CA" w:rsidP="00FA4D4F">
            <w:pPr>
              <w:rPr>
                <w:rFonts w:ascii="Arial Narrow" w:eastAsia="Calibri" w:hAnsi="Arial Narrow"/>
                <w:b/>
                <w:sz w:val="20"/>
                <w:szCs w:val="20"/>
              </w:rPr>
            </w:pPr>
            <w:r w:rsidRPr="00A277CA">
              <w:rPr>
                <w:rFonts w:ascii="Arial Narrow" w:hAnsi="Arial Narrow"/>
                <w:b/>
                <w:bCs/>
                <w:sz w:val="20"/>
                <w:szCs w:val="20"/>
              </w:rPr>
              <w:t>medicinal product pack</w:t>
            </w:r>
          </w:p>
        </w:tc>
        <w:tc>
          <w:tcPr>
            <w:tcW w:w="522" w:type="pct"/>
            <w:tcBorders>
              <w:top w:val="single" w:sz="4" w:space="0" w:color="auto"/>
              <w:left w:val="single" w:sz="4" w:space="0" w:color="auto"/>
              <w:right w:val="single" w:sz="4" w:space="0" w:color="auto"/>
            </w:tcBorders>
            <w:vAlign w:val="center"/>
          </w:tcPr>
          <w:p w14:paraId="391B457E"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PBS item code</w:t>
            </w:r>
          </w:p>
        </w:tc>
        <w:tc>
          <w:tcPr>
            <w:tcW w:w="597" w:type="pct"/>
            <w:tcBorders>
              <w:top w:val="single" w:sz="4" w:space="0" w:color="auto"/>
              <w:left w:val="single" w:sz="4" w:space="0" w:color="auto"/>
              <w:right w:val="single" w:sz="4" w:space="0" w:color="auto"/>
            </w:tcBorders>
            <w:vAlign w:val="center"/>
          </w:tcPr>
          <w:p w14:paraId="6645CD49"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Max. qty packs</w:t>
            </w:r>
          </w:p>
        </w:tc>
        <w:tc>
          <w:tcPr>
            <w:tcW w:w="597" w:type="pct"/>
            <w:tcBorders>
              <w:top w:val="single" w:sz="4" w:space="0" w:color="auto"/>
              <w:left w:val="single" w:sz="4" w:space="0" w:color="auto"/>
              <w:right w:val="single" w:sz="4" w:space="0" w:color="auto"/>
            </w:tcBorders>
            <w:vAlign w:val="center"/>
          </w:tcPr>
          <w:p w14:paraId="1EE1538C"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Max. qty units</w:t>
            </w:r>
          </w:p>
        </w:tc>
        <w:tc>
          <w:tcPr>
            <w:tcW w:w="585" w:type="pct"/>
            <w:tcBorders>
              <w:top w:val="single" w:sz="4" w:space="0" w:color="auto"/>
              <w:left w:val="single" w:sz="4" w:space="0" w:color="auto"/>
              <w:right w:val="single" w:sz="4" w:space="0" w:color="auto"/>
            </w:tcBorders>
            <w:vAlign w:val="center"/>
          </w:tcPr>
          <w:p w14:paraId="454ED629" w14:textId="77777777" w:rsidR="00A277CA" w:rsidRPr="00A277CA" w:rsidRDefault="00A277CA" w:rsidP="00FA4D4F">
            <w:pPr>
              <w:keepLines/>
              <w:jc w:val="center"/>
              <w:rPr>
                <w:rFonts w:ascii="Arial Narrow" w:hAnsi="Arial Narrow"/>
                <w:b/>
                <w:sz w:val="20"/>
                <w:szCs w:val="20"/>
              </w:rPr>
            </w:pPr>
            <w:r w:rsidRPr="00A277CA">
              <w:rPr>
                <w:rFonts w:ascii="Arial Narrow" w:hAnsi="Arial Narrow"/>
                <w:b/>
                <w:sz w:val="20"/>
                <w:szCs w:val="20"/>
              </w:rPr>
              <w:t>№. of</w:t>
            </w:r>
          </w:p>
          <w:p w14:paraId="7C7AB47D"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Rpts</w:t>
            </w:r>
          </w:p>
        </w:tc>
        <w:tc>
          <w:tcPr>
            <w:tcW w:w="835" w:type="pct"/>
            <w:tcBorders>
              <w:top w:val="single" w:sz="4" w:space="0" w:color="auto"/>
              <w:left w:val="single" w:sz="4" w:space="0" w:color="auto"/>
              <w:right w:val="single" w:sz="4" w:space="0" w:color="auto"/>
            </w:tcBorders>
            <w:vAlign w:val="center"/>
          </w:tcPr>
          <w:p w14:paraId="0A6B1833"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Available brands</w:t>
            </w:r>
          </w:p>
        </w:tc>
      </w:tr>
      <w:tr w:rsidR="00A277CA" w:rsidRPr="00A277CA" w14:paraId="5EDB7D97" w14:textId="77777777" w:rsidTr="00FA4D4F">
        <w:tc>
          <w:tcPr>
            <w:tcW w:w="5000" w:type="pct"/>
            <w:gridSpan w:val="8"/>
            <w:tcBorders>
              <w:top w:val="single" w:sz="4" w:space="0" w:color="auto"/>
              <w:left w:val="single" w:sz="4" w:space="0" w:color="auto"/>
              <w:right w:val="single" w:sz="4" w:space="0" w:color="auto"/>
            </w:tcBorders>
          </w:tcPr>
          <w:p w14:paraId="1C2F54F8" w14:textId="77777777" w:rsidR="00A277CA" w:rsidRPr="00A277CA" w:rsidRDefault="00A277CA" w:rsidP="00FA4D4F">
            <w:pPr>
              <w:rPr>
                <w:rFonts w:ascii="Arial Narrow" w:eastAsia="Calibri" w:hAnsi="Arial Narrow"/>
                <w:b/>
                <w:sz w:val="20"/>
                <w:szCs w:val="20"/>
              </w:rPr>
            </w:pPr>
            <w:r w:rsidRPr="00A277CA">
              <w:rPr>
                <w:rFonts w:ascii="Arial Narrow" w:hAnsi="Arial Narrow"/>
                <w:sz w:val="20"/>
                <w:szCs w:val="20"/>
              </w:rPr>
              <w:t>OSILODROSTAT</w:t>
            </w:r>
          </w:p>
        </w:tc>
      </w:tr>
      <w:tr w:rsidR="00A277CA" w:rsidRPr="00A277CA" w14:paraId="28F1DDB3" w14:textId="77777777" w:rsidTr="00FA4D4F">
        <w:tc>
          <w:tcPr>
            <w:tcW w:w="1864" w:type="pct"/>
            <w:gridSpan w:val="3"/>
            <w:tcBorders>
              <w:top w:val="single" w:sz="4" w:space="0" w:color="auto"/>
              <w:left w:val="single" w:sz="4" w:space="0" w:color="auto"/>
              <w:right w:val="single" w:sz="4" w:space="0" w:color="auto"/>
            </w:tcBorders>
          </w:tcPr>
          <w:p w14:paraId="256DFF58"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1 mg oral tablet</w:t>
            </w:r>
          </w:p>
        </w:tc>
        <w:tc>
          <w:tcPr>
            <w:tcW w:w="522" w:type="pct"/>
            <w:tcBorders>
              <w:top w:val="single" w:sz="4" w:space="0" w:color="auto"/>
              <w:left w:val="single" w:sz="4" w:space="0" w:color="auto"/>
              <w:right w:val="single" w:sz="4" w:space="0" w:color="auto"/>
            </w:tcBorders>
          </w:tcPr>
          <w:p w14:paraId="07E9A59E"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29835F4A"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2FEB58E6"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72BE402D"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5</w:t>
            </w:r>
          </w:p>
        </w:tc>
        <w:tc>
          <w:tcPr>
            <w:tcW w:w="835" w:type="pct"/>
            <w:tcBorders>
              <w:top w:val="single" w:sz="4" w:space="0" w:color="auto"/>
              <w:left w:val="single" w:sz="4" w:space="0" w:color="auto"/>
              <w:right w:val="single" w:sz="4" w:space="0" w:color="auto"/>
            </w:tcBorders>
          </w:tcPr>
          <w:p w14:paraId="07B0E946"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712D512E" w14:textId="77777777" w:rsidTr="00FA4D4F">
        <w:tc>
          <w:tcPr>
            <w:tcW w:w="1864" w:type="pct"/>
            <w:gridSpan w:val="3"/>
            <w:tcBorders>
              <w:top w:val="single" w:sz="4" w:space="0" w:color="auto"/>
              <w:left w:val="single" w:sz="4" w:space="0" w:color="auto"/>
              <w:right w:val="single" w:sz="4" w:space="0" w:color="auto"/>
            </w:tcBorders>
          </w:tcPr>
          <w:p w14:paraId="61D2E980"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5 mg oral tablet</w:t>
            </w:r>
          </w:p>
        </w:tc>
        <w:tc>
          <w:tcPr>
            <w:tcW w:w="522" w:type="pct"/>
            <w:tcBorders>
              <w:top w:val="single" w:sz="4" w:space="0" w:color="auto"/>
              <w:left w:val="single" w:sz="4" w:space="0" w:color="auto"/>
              <w:right w:val="single" w:sz="4" w:space="0" w:color="auto"/>
            </w:tcBorders>
          </w:tcPr>
          <w:p w14:paraId="7354CCA8"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173C3E39"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7D2BC77A"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13908B0F"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5</w:t>
            </w:r>
          </w:p>
        </w:tc>
        <w:tc>
          <w:tcPr>
            <w:tcW w:w="835" w:type="pct"/>
            <w:tcBorders>
              <w:top w:val="single" w:sz="4" w:space="0" w:color="auto"/>
              <w:left w:val="single" w:sz="4" w:space="0" w:color="auto"/>
              <w:right w:val="single" w:sz="4" w:space="0" w:color="auto"/>
            </w:tcBorders>
          </w:tcPr>
          <w:p w14:paraId="2B337C1E"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104B9142" w14:textId="77777777" w:rsidTr="00FA4D4F">
        <w:tc>
          <w:tcPr>
            <w:tcW w:w="1864" w:type="pct"/>
            <w:gridSpan w:val="3"/>
            <w:tcBorders>
              <w:top w:val="single" w:sz="4" w:space="0" w:color="auto"/>
              <w:left w:val="single" w:sz="4" w:space="0" w:color="auto"/>
              <w:right w:val="single" w:sz="4" w:space="0" w:color="auto"/>
            </w:tcBorders>
          </w:tcPr>
          <w:p w14:paraId="72903A15"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10 mg oral tablet</w:t>
            </w:r>
          </w:p>
        </w:tc>
        <w:tc>
          <w:tcPr>
            <w:tcW w:w="522" w:type="pct"/>
            <w:tcBorders>
              <w:top w:val="single" w:sz="4" w:space="0" w:color="auto"/>
              <w:left w:val="single" w:sz="4" w:space="0" w:color="auto"/>
              <w:right w:val="single" w:sz="4" w:space="0" w:color="auto"/>
            </w:tcBorders>
          </w:tcPr>
          <w:p w14:paraId="221138E2"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09BFF652"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24594E74"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1123877E"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5</w:t>
            </w:r>
          </w:p>
        </w:tc>
        <w:tc>
          <w:tcPr>
            <w:tcW w:w="835" w:type="pct"/>
            <w:tcBorders>
              <w:top w:val="single" w:sz="4" w:space="0" w:color="auto"/>
              <w:left w:val="single" w:sz="4" w:space="0" w:color="auto"/>
              <w:right w:val="single" w:sz="4" w:space="0" w:color="auto"/>
            </w:tcBorders>
          </w:tcPr>
          <w:p w14:paraId="1B11ADF7"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1304B1F6" w14:textId="77777777" w:rsidTr="00FA4D4F">
        <w:tc>
          <w:tcPr>
            <w:tcW w:w="5000" w:type="pct"/>
            <w:gridSpan w:val="8"/>
            <w:tcBorders>
              <w:top w:val="single" w:sz="4" w:space="0" w:color="auto"/>
              <w:left w:val="single" w:sz="4" w:space="0" w:color="auto"/>
              <w:right w:val="single" w:sz="4" w:space="0" w:color="auto"/>
            </w:tcBorders>
          </w:tcPr>
          <w:p w14:paraId="3E10511E" w14:textId="77777777" w:rsidR="00A277CA" w:rsidRPr="00A277CA" w:rsidRDefault="00A277CA" w:rsidP="00FA4D4F">
            <w:pPr>
              <w:rPr>
                <w:rFonts w:ascii="Arial Narrow" w:eastAsia="Calibri" w:hAnsi="Arial Narrow"/>
                <w:b/>
                <w:sz w:val="20"/>
                <w:szCs w:val="20"/>
              </w:rPr>
            </w:pPr>
          </w:p>
        </w:tc>
      </w:tr>
      <w:tr w:rsidR="00A277CA" w:rsidRPr="00A277CA" w14:paraId="4AF62422" w14:textId="77777777" w:rsidTr="00FA4D4F">
        <w:tc>
          <w:tcPr>
            <w:tcW w:w="5000" w:type="pct"/>
            <w:gridSpan w:val="8"/>
            <w:tcBorders>
              <w:top w:val="single" w:sz="4" w:space="0" w:color="auto"/>
              <w:left w:val="single" w:sz="4" w:space="0" w:color="auto"/>
              <w:right w:val="single" w:sz="4" w:space="0" w:color="auto"/>
            </w:tcBorders>
          </w:tcPr>
          <w:p w14:paraId="362BD77A" w14:textId="77777777" w:rsidR="00A277CA" w:rsidRPr="00A277CA" w:rsidRDefault="00A277CA" w:rsidP="00FA4D4F">
            <w:pPr>
              <w:rPr>
                <w:rFonts w:ascii="Arial Narrow" w:eastAsia="Calibri" w:hAnsi="Arial Narrow"/>
                <w:b/>
                <w:sz w:val="20"/>
                <w:szCs w:val="20"/>
              </w:rPr>
            </w:pPr>
            <w:r w:rsidRPr="00A277CA">
              <w:rPr>
                <w:rFonts w:ascii="Arial Narrow" w:hAnsi="Arial Narrow"/>
                <w:b/>
                <w:sz w:val="20"/>
                <w:szCs w:val="20"/>
              </w:rPr>
              <w:t>Restriction Summary [new3]</w:t>
            </w:r>
            <w:r w:rsidRPr="00A277CA">
              <w:rPr>
                <w:rFonts w:ascii="Arial Narrow" w:hAnsi="Arial Narrow"/>
                <w:b/>
                <w:color w:val="FF0000"/>
                <w:sz w:val="20"/>
                <w:szCs w:val="20"/>
              </w:rPr>
              <w:t xml:space="preserve"> </w:t>
            </w:r>
            <w:r w:rsidRPr="00A277CA">
              <w:rPr>
                <w:rFonts w:ascii="Arial Narrow" w:hAnsi="Arial Narrow"/>
                <w:b/>
                <w:sz w:val="20"/>
                <w:szCs w:val="20"/>
              </w:rPr>
              <w:t xml:space="preserve">/ Treatment of Concept: [new4] </w:t>
            </w:r>
          </w:p>
        </w:tc>
      </w:tr>
      <w:tr w:rsidR="00A277CA" w:rsidRPr="00A277CA" w14:paraId="2E96FF62" w14:textId="77777777" w:rsidTr="00FA4D4F">
        <w:tc>
          <w:tcPr>
            <w:tcW w:w="591" w:type="pct"/>
            <w:gridSpan w:val="2"/>
            <w:vMerge w:val="restart"/>
            <w:tcBorders>
              <w:top w:val="single" w:sz="4" w:space="0" w:color="auto"/>
              <w:left w:val="single" w:sz="4" w:space="0" w:color="auto"/>
              <w:right w:val="single" w:sz="4" w:space="0" w:color="auto"/>
            </w:tcBorders>
          </w:tcPr>
          <w:p w14:paraId="5FD50AC2"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
                <w:sz w:val="20"/>
                <w:szCs w:val="20"/>
              </w:rPr>
              <w:t>Concept ID</w:t>
            </w:r>
          </w:p>
          <w:p w14:paraId="0B0AAF96" w14:textId="77777777" w:rsidR="00A277CA" w:rsidRPr="00A277CA" w:rsidRDefault="00A277CA" w:rsidP="00FA4D4F">
            <w:pPr>
              <w:rPr>
                <w:rFonts w:ascii="Arial Narrow" w:eastAsia="Calibri" w:hAnsi="Arial Narrow"/>
                <w:sz w:val="20"/>
                <w:szCs w:val="20"/>
              </w:rPr>
            </w:pPr>
          </w:p>
          <w:p w14:paraId="33FED1AE" w14:textId="77777777" w:rsidR="00A277CA" w:rsidRPr="00A277CA" w:rsidRDefault="00A277CA" w:rsidP="00FA4D4F">
            <w:pPr>
              <w:jc w:val="center"/>
              <w:rPr>
                <w:rFonts w:ascii="Arial Narrow" w:eastAsia="Calibri" w:hAnsi="Arial Narrow"/>
                <w:sz w:val="20"/>
                <w:szCs w:val="20"/>
              </w:rPr>
            </w:pPr>
            <w:r w:rsidRPr="00A277CA">
              <w:rPr>
                <w:rFonts w:ascii="Arial Narrow" w:eastAsia="Calibri" w:hAnsi="Arial Narrow"/>
                <w:sz w:val="20"/>
                <w:szCs w:val="20"/>
              </w:rPr>
              <w:t>(for internal Dept. use)</w:t>
            </w:r>
          </w:p>
          <w:p w14:paraId="6CCA9DA9" w14:textId="77777777" w:rsidR="00A277CA" w:rsidRPr="00A277CA" w:rsidRDefault="00A277CA" w:rsidP="00FA4D4F">
            <w:pPr>
              <w:rPr>
                <w:rFonts w:ascii="Arial Narrow" w:eastAsia="Calibri" w:hAnsi="Arial Narrow"/>
                <w:sz w:val="20"/>
                <w:szCs w:val="20"/>
              </w:rPr>
            </w:pPr>
          </w:p>
          <w:p w14:paraId="340F3C74" w14:textId="77777777" w:rsidR="00A277CA" w:rsidRPr="00A277CA" w:rsidRDefault="00A277CA" w:rsidP="00FA4D4F">
            <w:pPr>
              <w:rPr>
                <w:rFonts w:ascii="Arial Narrow" w:eastAsia="Calibri" w:hAnsi="Arial Narrow"/>
                <w:b/>
                <w:sz w:val="20"/>
                <w:szCs w:val="20"/>
              </w:rPr>
            </w:pPr>
          </w:p>
        </w:tc>
        <w:tc>
          <w:tcPr>
            <w:tcW w:w="4409" w:type="pct"/>
            <w:gridSpan w:val="6"/>
            <w:tcBorders>
              <w:top w:val="single" w:sz="4" w:space="0" w:color="auto"/>
              <w:left w:val="single" w:sz="4" w:space="0" w:color="auto"/>
              <w:bottom w:val="single" w:sz="4" w:space="0" w:color="auto"/>
              <w:right w:val="single" w:sz="4" w:space="0" w:color="auto"/>
            </w:tcBorders>
          </w:tcPr>
          <w:p w14:paraId="478F02E2"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b/>
                <w:sz w:val="20"/>
                <w:szCs w:val="20"/>
              </w:rPr>
              <w:t xml:space="preserve">Category / Program: </w:t>
            </w:r>
          </w:p>
          <w:p w14:paraId="546E82A6"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t>Section 85 – General Schedule</w:t>
            </w:r>
          </w:p>
        </w:tc>
      </w:tr>
      <w:tr w:rsidR="00A277CA" w:rsidRPr="00A277CA" w14:paraId="1312E6D1" w14:textId="77777777" w:rsidTr="00FA4D4F">
        <w:trPr>
          <w:trHeight w:val="240"/>
        </w:trPr>
        <w:tc>
          <w:tcPr>
            <w:tcW w:w="591" w:type="pct"/>
            <w:gridSpan w:val="2"/>
            <w:vMerge/>
            <w:tcBorders>
              <w:left w:val="single" w:sz="4" w:space="0" w:color="auto"/>
              <w:right w:val="single" w:sz="4" w:space="0" w:color="auto"/>
            </w:tcBorders>
          </w:tcPr>
          <w:p w14:paraId="71D02DB6" w14:textId="77777777" w:rsidR="00A277CA" w:rsidRPr="00A277CA" w:rsidRDefault="00A277CA" w:rsidP="00FA4D4F">
            <w:pPr>
              <w:rPr>
                <w:rFonts w:ascii="Arial Narrow" w:eastAsia="Calibri" w:hAnsi="Arial Narrow"/>
                <w:sz w:val="20"/>
                <w:szCs w:val="20"/>
              </w:rPr>
            </w:pPr>
          </w:p>
        </w:tc>
        <w:tc>
          <w:tcPr>
            <w:tcW w:w="4409" w:type="pct"/>
            <w:gridSpan w:val="6"/>
            <w:tcBorders>
              <w:top w:val="single" w:sz="4" w:space="0" w:color="auto"/>
              <w:left w:val="single" w:sz="4" w:space="0" w:color="auto"/>
              <w:bottom w:val="single" w:sz="4" w:space="0" w:color="auto"/>
              <w:right w:val="single" w:sz="4" w:space="0" w:color="auto"/>
            </w:tcBorders>
          </w:tcPr>
          <w:p w14:paraId="5A769A86"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
                <w:sz w:val="20"/>
                <w:szCs w:val="20"/>
              </w:rPr>
              <w:t xml:space="preserve">Prescriber type: </w:t>
            </w: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Dental </w:t>
            </w:r>
            <w:r w:rsidRPr="00A277CA">
              <w:rPr>
                <w:rFonts w:ascii="Arial Narrow" w:eastAsia="Calibri" w:hAnsi="Arial Narrow"/>
                <w:sz w:val="20"/>
                <w:szCs w:val="20"/>
              </w:rPr>
              <w:fldChar w:fldCharType="begin">
                <w:ffData>
                  <w:name w:val=""/>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Medical Practitioners </w:t>
            </w:r>
            <w:r w:rsidRPr="00A277CA">
              <w:rPr>
                <w:rFonts w:ascii="Arial Narrow" w:eastAsia="Calibri" w:hAnsi="Arial Narrow"/>
                <w:sz w:val="20"/>
                <w:szCs w:val="20"/>
              </w:rPr>
              <w:fldChar w:fldCharType="begin">
                <w:ffData>
                  <w:name w:val="Check3"/>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Nurse practitioners </w:t>
            </w: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Optometrists </w:t>
            </w:r>
            <w:r w:rsidRPr="00A277CA">
              <w:rPr>
                <w:rFonts w:ascii="Arial Narrow" w:eastAsia="Calibri" w:hAnsi="Arial Narrow"/>
                <w:sz w:val="20"/>
                <w:szCs w:val="20"/>
              </w:rPr>
              <w:fldChar w:fldCharType="begin">
                <w:ffData>
                  <w:name w:val="Check5"/>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Midwives</w:t>
            </w:r>
          </w:p>
        </w:tc>
      </w:tr>
      <w:tr w:rsidR="00A277CA" w:rsidRPr="00A277CA" w14:paraId="02129717" w14:textId="77777777" w:rsidTr="00FA4D4F">
        <w:tc>
          <w:tcPr>
            <w:tcW w:w="591" w:type="pct"/>
            <w:gridSpan w:val="2"/>
            <w:vMerge/>
            <w:tcBorders>
              <w:left w:val="single" w:sz="4" w:space="0" w:color="auto"/>
              <w:bottom w:val="single" w:sz="4" w:space="0" w:color="auto"/>
              <w:right w:val="single" w:sz="4" w:space="0" w:color="auto"/>
            </w:tcBorders>
          </w:tcPr>
          <w:p w14:paraId="572D9520" w14:textId="77777777" w:rsidR="00A277CA" w:rsidRPr="00A277CA" w:rsidRDefault="00A277CA" w:rsidP="00FA4D4F">
            <w:pPr>
              <w:rPr>
                <w:rFonts w:ascii="Arial Narrow" w:eastAsia="Calibri" w:hAnsi="Arial Narrow"/>
                <w:sz w:val="20"/>
                <w:szCs w:val="20"/>
              </w:rPr>
            </w:pPr>
          </w:p>
        </w:tc>
        <w:tc>
          <w:tcPr>
            <w:tcW w:w="4409" w:type="pct"/>
            <w:gridSpan w:val="6"/>
            <w:tcBorders>
              <w:top w:val="single" w:sz="4" w:space="0" w:color="auto"/>
              <w:left w:val="single" w:sz="4" w:space="0" w:color="auto"/>
              <w:bottom w:val="single" w:sz="4" w:space="0" w:color="auto"/>
              <w:right w:val="single" w:sz="4" w:space="0" w:color="auto"/>
            </w:tcBorders>
          </w:tcPr>
          <w:p w14:paraId="0ABEC51E"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
                <w:sz w:val="20"/>
                <w:szCs w:val="20"/>
              </w:rPr>
              <w:t>Restriction Type – assessment time by Services Australia – Method of obtaining authority approval (if Authority Required)</w:t>
            </w:r>
          </w:p>
          <w:p w14:paraId="539CD73B"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Unrestricted benefit</w:t>
            </w:r>
          </w:p>
          <w:p w14:paraId="42F9C947"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Restricted benefit</w:t>
            </w:r>
          </w:p>
          <w:p w14:paraId="03AB7047"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Authority Required – Streamlined [new/existing code] (specification of 4-digit code by prescriber to certify that they have read the PBS restriction; no prior assessment by Services Australia; retrospective audit of patient records possible) </w:t>
            </w:r>
          </w:p>
          <w:p w14:paraId="62FF1235"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immediate/real time assessment by Services Australia (telephone/online application avenues)</w:t>
            </w:r>
          </w:p>
          <w:p w14:paraId="6E6A60DB"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non-immediate/delayed assessment by Services Australia (in-writing only via mail/postal service or electronic upload to Hobart; requires at least one concept ID to be marked as ‘FULL’ for full assessment by Services Australia)</w:t>
            </w:r>
          </w:p>
        </w:tc>
      </w:tr>
      <w:tr w:rsidR="00A277CA" w:rsidRPr="00A277CA" w14:paraId="6144E741" w14:textId="77777777" w:rsidTr="00FA4D4F">
        <w:tc>
          <w:tcPr>
            <w:tcW w:w="242" w:type="pct"/>
            <w:vMerge w:val="restart"/>
            <w:tcBorders>
              <w:left w:val="single" w:sz="4" w:space="0" w:color="auto"/>
              <w:right w:val="single" w:sz="4" w:space="0" w:color="auto"/>
            </w:tcBorders>
            <w:vAlign w:val="center"/>
          </w:tcPr>
          <w:p w14:paraId="1E3B05A1" w14:textId="467F74EE" w:rsidR="00A277CA" w:rsidRPr="00A277CA" w:rsidRDefault="00A277CA" w:rsidP="00FA4D4F">
            <w:pPr>
              <w:rPr>
                <w:rFonts w:ascii="Arial Narrow" w:eastAsia="Calibri" w:hAnsi="Arial Narrow"/>
                <w:iCs/>
                <w:sz w:val="20"/>
                <w:szCs w:val="20"/>
              </w:rPr>
            </w:pPr>
          </w:p>
        </w:tc>
        <w:tc>
          <w:tcPr>
            <w:tcW w:w="350" w:type="pct"/>
            <w:tcBorders>
              <w:left w:val="single" w:sz="4" w:space="0" w:color="auto"/>
              <w:bottom w:val="single" w:sz="4" w:space="0" w:color="auto"/>
              <w:right w:val="single" w:sz="4" w:space="0" w:color="auto"/>
            </w:tcBorders>
            <w:vAlign w:val="center"/>
          </w:tcPr>
          <w:p w14:paraId="5953B4C6" w14:textId="07E18323" w:rsidR="00A277CA" w:rsidRPr="00A277CA" w:rsidRDefault="00A277CA" w:rsidP="00FA4D4F">
            <w:pPr>
              <w:rPr>
                <w:rFonts w:ascii="Arial Narrow" w:eastAsia="Calibri" w:hAnsi="Arial Narrow"/>
                <w:iCs/>
                <w:sz w:val="20"/>
                <w:szCs w:val="20"/>
              </w:rPr>
            </w:pPr>
          </w:p>
        </w:tc>
        <w:tc>
          <w:tcPr>
            <w:tcW w:w="4409" w:type="pct"/>
            <w:gridSpan w:val="6"/>
            <w:tcBorders>
              <w:top w:val="single" w:sz="4" w:space="0" w:color="auto"/>
              <w:left w:val="single" w:sz="4" w:space="0" w:color="auto"/>
              <w:bottom w:val="single" w:sz="4" w:space="0" w:color="auto"/>
              <w:right w:val="single" w:sz="4" w:space="0" w:color="auto"/>
            </w:tcBorders>
            <w:vAlign w:val="center"/>
          </w:tcPr>
          <w:p w14:paraId="08102D0A"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The following should be assessed prior to receiving treatment and closely monitored throughout the treatment period:</w:t>
            </w:r>
          </w:p>
          <w:p w14:paraId="6F9C83B7" w14:textId="77777777" w:rsidR="00A277CA" w:rsidRPr="00A277CA" w:rsidRDefault="00A277CA" w:rsidP="0047787D">
            <w:pPr>
              <w:numPr>
                <w:ilvl w:val="0"/>
                <w:numId w:val="13"/>
              </w:numPr>
              <w:contextualSpacing/>
              <w:rPr>
                <w:rFonts w:ascii="Arial Narrow" w:hAnsi="Arial Narrow"/>
                <w:iCs/>
                <w:strike/>
                <w:color w:val="333333"/>
                <w:sz w:val="20"/>
                <w:szCs w:val="20"/>
              </w:rPr>
            </w:pPr>
            <w:r w:rsidRPr="00A277CA">
              <w:rPr>
                <w:rFonts w:ascii="Arial Narrow" w:hAnsi="Arial Narrow"/>
                <w:iCs/>
                <w:color w:val="333333"/>
                <w:sz w:val="20"/>
                <w:szCs w:val="20"/>
              </w:rPr>
              <w:t>QTc prolongation via an electrocardiogram</w:t>
            </w:r>
          </w:p>
          <w:p w14:paraId="6275EE54" w14:textId="77777777" w:rsidR="00A277CA" w:rsidRPr="00A277CA" w:rsidRDefault="00A277CA" w:rsidP="0047787D">
            <w:pPr>
              <w:pStyle w:val="ListParagraph"/>
              <w:numPr>
                <w:ilvl w:val="0"/>
                <w:numId w:val="13"/>
              </w:numPr>
              <w:spacing w:after="0"/>
              <w:contextualSpacing/>
              <w:rPr>
                <w:rFonts w:ascii="Arial Narrow" w:eastAsia="Calibri" w:hAnsi="Arial Narrow"/>
                <w:iCs/>
                <w:sz w:val="20"/>
                <w:szCs w:val="20"/>
              </w:rPr>
            </w:pPr>
            <w:r w:rsidRPr="00A277CA">
              <w:rPr>
                <w:rFonts w:ascii="Arial Narrow" w:hAnsi="Arial Narrow"/>
                <w:iCs/>
                <w:color w:val="333333"/>
                <w:sz w:val="20"/>
                <w:szCs w:val="20"/>
              </w:rPr>
              <w:t>Hypocortisolism</w:t>
            </w:r>
          </w:p>
        </w:tc>
      </w:tr>
      <w:tr w:rsidR="00A277CA" w:rsidRPr="00A277CA" w14:paraId="14F52E22" w14:textId="77777777" w:rsidTr="00FA4D4F">
        <w:tc>
          <w:tcPr>
            <w:tcW w:w="242" w:type="pct"/>
            <w:vMerge/>
            <w:tcBorders>
              <w:left w:val="single" w:sz="4" w:space="0" w:color="auto"/>
              <w:right w:val="single" w:sz="4" w:space="0" w:color="auto"/>
            </w:tcBorders>
            <w:vAlign w:val="center"/>
          </w:tcPr>
          <w:p w14:paraId="2B68812E" w14:textId="77777777" w:rsidR="00A277CA" w:rsidRPr="00A277CA" w:rsidRDefault="00A277CA" w:rsidP="00FA4D4F">
            <w:pPr>
              <w:rPr>
                <w:rFonts w:ascii="Arial Narrow" w:eastAsia="Calibri" w:hAnsi="Arial Narrow"/>
                <w:iCs/>
                <w:sz w:val="20"/>
                <w:szCs w:val="20"/>
              </w:rPr>
            </w:pPr>
          </w:p>
        </w:tc>
        <w:tc>
          <w:tcPr>
            <w:tcW w:w="350" w:type="pct"/>
            <w:tcBorders>
              <w:left w:val="single" w:sz="4" w:space="0" w:color="auto"/>
              <w:bottom w:val="single" w:sz="4" w:space="0" w:color="auto"/>
              <w:right w:val="single" w:sz="4" w:space="0" w:color="auto"/>
            </w:tcBorders>
            <w:vAlign w:val="center"/>
          </w:tcPr>
          <w:p w14:paraId="63309002" w14:textId="4AD8568D" w:rsidR="00A277CA" w:rsidRPr="00A277CA" w:rsidRDefault="00A277CA" w:rsidP="00FA4D4F">
            <w:pPr>
              <w:rPr>
                <w:rFonts w:ascii="Arial Narrow" w:eastAsia="Calibri" w:hAnsi="Arial Narrow"/>
                <w:iCs/>
                <w:sz w:val="20"/>
                <w:szCs w:val="20"/>
              </w:rPr>
            </w:pPr>
          </w:p>
        </w:tc>
        <w:tc>
          <w:tcPr>
            <w:tcW w:w="4409" w:type="pct"/>
            <w:gridSpan w:val="6"/>
            <w:tcBorders>
              <w:top w:val="single" w:sz="4" w:space="0" w:color="auto"/>
              <w:left w:val="single" w:sz="4" w:space="0" w:color="auto"/>
              <w:bottom w:val="single" w:sz="4" w:space="0" w:color="auto"/>
              <w:right w:val="single" w:sz="4" w:space="0" w:color="auto"/>
            </w:tcBorders>
            <w:vAlign w:val="center"/>
          </w:tcPr>
          <w:p w14:paraId="591195CF"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12AD146C" w14:textId="77777777" w:rsidR="00A277CA" w:rsidRPr="00A277CA" w:rsidRDefault="00A277CA" w:rsidP="00FA4D4F">
            <w:pPr>
              <w:rPr>
                <w:rFonts w:ascii="Arial Narrow" w:eastAsia="Calibri" w:hAnsi="Arial Narrow"/>
                <w:iCs/>
                <w:sz w:val="20"/>
                <w:szCs w:val="20"/>
              </w:rPr>
            </w:pPr>
            <w:r w:rsidRPr="00A277CA">
              <w:rPr>
                <w:rFonts w:ascii="Arial Narrow" w:hAnsi="Arial Narrow"/>
                <w:iCs/>
                <w:color w:val="333333"/>
                <w:sz w:val="20"/>
                <w:szCs w:val="20"/>
              </w:rPr>
              <w:t>Cortisol levels should be monitored at regular intervals, since hypocortisolism-related events can occur at any time during treatment.</w:t>
            </w:r>
          </w:p>
        </w:tc>
      </w:tr>
      <w:tr w:rsidR="00A277CA" w:rsidRPr="00A277CA" w14:paraId="51FE5362" w14:textId="77777777" w:rsidTr="00FA4D4F">
        <w:tc>
          <w:tcPr>
            <w:tcW w:w="242" w:type="pct"/>
            <w:vMerge/>
            <w:tcBorders>
              <w:left w:val="single" w:sz="4" w:space="0" w:color="auto"/>
              <w:right w:val="single" w:sz="4" w:space="0" w:color="auto"/>
            </w:tcBorders>
            <w:vAlign w:val="center"/>
          </w:tcPr>
          <w:p w14:paraId="1CF778FD" w14:textId="77777777" w:rsidR="00A277CA" w:rsidRPr="00A277CA" w:rsidRDefault="00A277CA" w:rsidP="00FA4D4F">
            <w:pPr>
              <w:rPr>
                <w:rFonts w:ascii="Arial Narrow" w:eastAsia="Calibri" w:hAnsi="Arial Narrow"/>
                <w:iCs/>
                <w:sz w:val="20"/>
                <w:szCs w:val="20"/>
              </w:rPr>
            </w:pPr>
          </w:p>
        </w:tc>
        <w:tc>
          <w:tcPr>
            <w:tcW w:w="350" w:type="pct"/>
            <w:tcBorders>
              <w:left w:val="single" w:sz="4" w:space="0" w:color="auto"/>
              <w:bottom w:val="single" w:sz="4" w:space="0" w:color="auto"/>
              <w:right w:val="single" w:sz="4" w:space="0" w:color="auto"/>
            </w:tcBorders>
            <w:vAlign w:val="center"/>
          </w:tcPr>
          <w:p w14:paraId="5CE942F2" w14:textId="687D34A4" w:rsidR="00A277CA" w:rsidRPr="00A277CA" w:rsidRDefault="00A277CA" w:rsidP="00FA4D4F">
            <w:pPr>
              <w:rPr>
                <w:rFonts w:ascii="Arial Narrow" w:eastAsia="Calibri" w:hAnsi="Arial Narrow"/>
                <w:iCs/>
                <w:sz w:val="20"/>
                <w:szCs w:val="20"/>
              </w:rPr>
            </w:pPr>
          </w:p>
        </w:tc>
        <w:tc>
          <w:tcPr>
            <w:tcW w:w="4409" w:type="pct"/>
            <w:gridSpan w:val="6"/>
            <w:tcBorders>
              <w:top w:val="single" w:sz="4" w:space="0" w:color="auto"/>
              <w:left w:val="single" w:sz="4" w:space="0" w:color="auto"/>
              <w:bottom w:val="single" w:sz="4" w:space="0" w:color="auto"/>
              <w:right w:val="single" w:sz="4" w:space="0" w:color="auto"/>
            </w:tcBorders>
            <w:vAlign w:val="center"/>
          </w:tcPr>
          <w:p w14:paraId="7BBA313A"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30FF6CD1"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No increase in the maximum number of repeats may be authorised.</w:t>
            </w:r>
          </w:p>
        </w:tc>
      </w:tr>
      <w:tr w:rsidR="00A277CA" w:rsidRPr="00A277CA" w14:paraId="78A6DEE7" w14:textId="77777777" w:rsidTr="00FA4D4F">
        <w:tc>
          <w:tcPr>
            <w:tcW w:w="242" w:type="pct"/>
            <w:vMerge/>
            <w:tcBorders>
              <w:left w:val="single" w:sz="4" w:space="0" w:color="auto"/>
              <w:bottom w:val="single" w:sz="4" w:space="0" w:color="auto"/>
              <w:right w:val="single" w:sz="4" w:space="0" w:color="auto"/>
            </w:tcBorders>
            <w:vAlign w:val="center"/>
          </w:tcPr>
          <w:p w14:paraId="24D1BF0E" w14:textId="77777777" w:rsidR="00A277CA" w:rsidRPr="00A277CA" w:rsidRDefault="00A277CA" w:rsidP="00FA4D4F">
            <w:pPr>
              <w:rPr>
                <w:rFonts w:ascii="Arial Narrow" w:eastAsia="Calibri" w:hAnsi="Arial Narrow"/>
                <w:iCs/>
                <w:sz w:val="20"/>
                <w:szCs w:val="20"/>
              </w:rPr>
            </w:pPr>
          </w:p>
        </w:tc>
        <w:tc>
          <w:tcPr>
            <w:tcW w:w="350" w:type="pct"/>
            <w:tcBorders>
              <w:left w:val="single" w:sz="4" w:space="0" w:color="auto"/>
              <w:bottom w:val="single" w:sz="4" w:space="0" w:color="auto"/>
              <w:right w:val="single" w:sz="4" w:space="0" w:color="auto"/>
            </w:tcBorders>
            <w:vAlign w:val="center"/>
          </w:tcPr>
          <w:p w14:paraId="1D9B3782" w14:textId="2659541E" w:rsidR="00A277CA" w:rsidRPr="00A277CA" w:rsidRDefault="00A277CA" w:rsidP="00FA4D4F">
            <w:pPr>
              <w:rPr>
                <w:rFonts w:ascii="Arial Narrow" w:eastAsia="Calibri" w:hAnsi="Arial Narrow"/>
                <w:iCs/>
                <w:sz w:val="20"/>
                <w:szCs w:val="20"/>
              </w:rPr>
            </w:pPr>
          </w:p>
        </w:tc>
        <w:tc>
          <w:tcPr>
            <w:tcW w:w="4409" w:type="pct"/>
            <w:gridSpan w:val="6"/>
            <w:tcBorders>
              <w:top w:val="single" w:sz="4" w:space="0" w:color="auto"/>
              <w:left w:val="single" w:sz="4" w:space="0" w:color="auto"/>
              <w:bottom w:val="single" w:sz="4" w:space="0" w:color="auto"/>
              <w:right w:val="single" w:sz="4" w:space="0" w:color="auto"/>
            </w:tcBorders>
            <w:vAlign w:val="center"/>
          </w:tcPr>
          <w:p w14:paraId="66AD2B46"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1C620D59"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bCs/>
                <w:iCs/>
                <w:sz w:val="20"/>
                <w:szCs w:val="20"/>
              </w:rPr>
              <w:t>Special Pricing Arrangements apply.</w:t>
            </w:r>
          </w:p>
        </w:tc>
      </w:tr>
      <w:tr w:rsidR="00A277CA" w:rsidRPr="00A277CA" w14:paraId="130A1D8E" w14:textId="77777777" w:rsidTr="00FA4D4F">
        <w:tc>
          <w:tcPr>
            <w:tcW w:w="591" w:type="pct"/>
            <w:gridSpan w:val="2"/>
            <w:tcBorders>
              <w:left w:val="single" w:sz="4" w:space="0" w:color="auto"/>
              <w:bottom w:val="single" w:sz="4" w:space="0" w:color="auto"/>
              <w:right w:val="single" w:sz="4" w:space="0" w:color="auto"/>
            </w:tcBorders>
          </w:tcPr>
          <w:p w14:paraId="34C24060" w14:textId="77777777" w:rsidR="00A277CA" w:rsidRPr="00A277CA" w:rsidRDefault="00A277CA" w:rsidP="00FA4D4F">
            <w:pPr>
              <w:rPr>
                <w:rFonts w:ascii="Arial Narrow" w:eastAsia="Calibri" w:hAnsi="Arial Narrow"/>
                <w:sz w:val="20"/>
                <w:szCs w:val="20"/>
              </w:rPr>
            </w:pPr>
          </w:p>
        </w:tc>
        <w:tc>
          <w:tcPr>
            <w:tcW w:w="4409" w:type="pct"/>
            <w:gridSpan w:val="6"/>
            <w:tcBorders>
              <w:top w:val="single" w:sz="4" w:space="0" w:color="auto"/>
              <w:left w:val="single" w:sz="4" w:space="0" w:color="auto"/>
              <w:bottom w:val="single" w:sz="4" w:space="0" w:color="auto"/>
              <w:right w:val="single" w:sz="4" w:space="0" w:color="auto"/>
            </w:tcBorders>
          </w:tcPr>
          <w:p w14:paraId="1B2C717A" w14:textId="77777777" w:rsidR="00A277CA" w:rsidRPr="00A277CA" w:rsidRDefault="00A277CA" w:rsidP="00FA4D4F">
            <w:pPr>
              <w:rPr>
                <w:rFonts w:ascii="Arial Narrow" w:eastAsia="Calibri" w:hAnsi="Arial Narrow"/>
                <w:b/>
                <w:sz w:val="20"/>
                <w:szCs w:val="20"/>
              </w:rPr>
            </w:pPr>
          </w:p>
        </w:tc>
      </w:tr>
      <w:tr w:rsidR="00A277CA" w:rsidRPr="00A277CA" w14:paraId="6DF58FC0" w14:textId="77777777" w:rsidTr="00FA4D4F">
        <w:tc>
          <w:tcPr>
            <w:tcW w:w="591" w:type="pct"/>
            <w:gridSpan w:val="2"/>
            <w:vAlign w:val="center"/>
          </w:tcPr>
          <w:p w14:paraId="061C87F6"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tcPr>
          <w:p w14:paraId="0F98A4C3" w14:textId="77777777" w:rsidR="00A277CA" w:rsidRPr="00A277CA" w:rsidRDefault="00A277CA" w:rsidP="00FA4D4F">
            <w:pPr>
              <w:rPr>
                <w:rFonts w:ascii="Arial Narrow" w:hAnsi="Arial Narrow"/>
                <w:bCs/>
                <w:color w:val="333333"/>
                <w:sz w:val="20"/>
                <w:szCs w:val="20"/>
              </w:rPr>
            </w:pPr>
            <w:r w:rsidRPr="00A277CA">
              <w:rPr>
                <w:rFonts w:ascii="Arial Narrow" w:hAnsi="Arial Narrow"/>
                <w:b/>
                <w:bCs/>
                <w:color w:val="333333"/>
                <w:sz w:val="20"/>
                <w:szCs w:val="20"/>
              </w:rPr>
              <w:t xml:space="preserve">Episodicity: </w:t>
            </w:r>
            <w:r w:rsidRPr="00A277CA">
              <w:rPr>
                <w:rFonts w:ascii="Arial Narrow" w:hAnsi="Arial Narrow"/>
                <w:color w:val="333333"/>
                <w:sz w:val="20"/>
                <w:szCs w:val="20"/>
              </w:rPr>
              <w:t>Chronic</w:t>
            </w:r>
          </w:p>
        </w:tc>
      </w:tr>
      <w:tr w:rsidR="00A277CA" w:rsidRPr="00A277CA" w14:paraId="7E638EF3" w14:textId="77777777" w:rsidTr="00FA4D4F">
        <w:tc>
          <w:tcPr>
            <w:tcW w:w="591" w:type="pct"/>
            <w:gridSpan w:val="2"/>
            <w:vAlign w:val="center"/>
          </w:tcPr>
          <w:p w14:paraId="00989A76"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tcPr>
          <w:p w14:paraId="796A4EF2"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Severity: </w:t>
            </w:r>
            <w:r w:rsidRPr="00A277CA">
              <w:rPr>
                <w:rFonts w:ascii="Arial Narrow" w:hAnsi="Arial Narrow"/>
                <w:color w:val="333333"/>
                <w:sz w:val="20"/>
                <w:szCs w:val="20"/>
              </w:rPr>
              <w:t>NA</w:t>
            </w:r>
          </w:p>
        </w:tc>
      </w:tr>
      <w:tr w:rsidR="00A277CA" w:rsidRPr="00A277CA" w14:paraId="78349301" w14:textId="77777777" w:rsidTr="00FA4D4F">
        <w:tc>
          <w:tcPr>
            <w:tcW w:w="591" w:type="pct"/>
            <w:gridSpan w:val="2"/>
            <w:vAlign w:val="center"/>
          </w:tcPr>
          <w:p w14:paraId="4C700161"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tcPr>
          <w:p w14:paraId="7FF1BEE0"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Condition: </w:t>
            </w:r>
            <w:r w:rsidRPr="00A277CA">
              <w:rPr>
                <w:rFonts w:ascii="Arial Narrow" w:hAnsi="Arial Narrow"/>
                <w:color w:val="333333"/>
                <w:sz w:val="20"/>
                <w:szCs w:val="20"/>
              </w:rPr>
              <w:t>Endogenous</w:t>
            </w:r>
            <w:r w:rsidRPr="00A277CA">
              <w:rPr>
                <w:rFonts w:ascii="Arial Narrow" w:hAnsi="Arial Narrow"/>
                <w:b/>
                <w:bCs/>
                <w:color w:val="333333"/>
                <w:sz w:val="20"/>
                <w:szCs w:val="20"/>
              </w:rPr>
              <w:t xml:space="preserve"> </w:t>
            </w:r>
            <w:r w:rsidRPr="00A277CA">
              <w:rPr>
                <w:rFonts w:ascii="Arial Narrow" w:hAnsi="Arial Narrow"/>
                <w:bCs/>
                <w:color w:val="333333"/>
                <w:sz w:val="20"/>
                <w:szCs w:val="20"/>
              </w:rPr>
              <w:t>Cushing’s Syndrome</w:t>
            </w:r>
          </w:p>
        </w:tc>
      </w:tr>
      <w:tr w:rsidR="00A277CA" w:rsidRPr="00A277CA" w14:paraId="694C5350" w14:textId="77777777" w:rsidTr="001E6B46">
        <w:tc>
          <w:tcPr>
            <w:tcW w:w="591" w:type="pct"/>
            <w:gridSpan w:val="2"/>
            <w:vAlign w:val="center"/>
          </w:tcPr>
          <w:p w14:paraId="3FB25890" w14:textId="7373B1FD" w:rsidR="00A277CA" w:rsidRPr="00A277CA" w:rsidRDefault="00A277CA" w:rsidP="00FA4D4F">
            <w:pPr>
              <w:jc w:val="center"/>
              <w:rPr>
                <w:rFonts w:ascii="Arial Narrow" w:hAnsi="Arial Narrow"/>
                <w:color w:val="333333"/>
                <w:sz w:val="20"/>
                <w:szCs w:val="20"/>
              </w:rPr>
            </w:pPr>
          </w:p>
        </w:tc>
        <w:tc>
          <w:tcPr>
            <w:tcW w:w="4409" w:type="pct"/>
            <w:gridSpan w:val="6"/>
            <w:vAlign w:val="center"/>
            <w:hideMark/>
          </w:tcPr>
          <w:p w14:paraId="37FC68C6"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Indication:</w:t>
            </w:r>
            <w:r w:rsidRPr="00A277CA">
              <w:rPr>
                <w:rFonts w:ascii="Arial Narrow" w:hAnsi="Arial Narrow"/>
                <w:color w:val="333333"/>
                <w:sz w:val="20"/>
                <w:szCs w:val="20"/>
              </w:rPr>
              <w:t xml:space="preserve"> </w:t>
            </w:r>
            <w:r w:rsidRPr="00A277CA">
              <w:rPr>
                <w:rFonts w:ascii="Arial Narrow" w:hAnsi="Arial Narrow"/>
                <w:strike/>
                <w:color w:val="333333"/>
                <w:sz w:val="20"/>
                <w:szCs w:val="20"/>
              </w:rPr>
              <w:t xml:space="preserve">Patients with </w:t>
            </w:r>
            <w:r w:rsidRPr="00A277CA">
              <w:rPr>
                <w:rFonts w:ascii="Arial Narrow" w:hAnsi="Arial Narrow"/>
                <w:iCs/>
                <w:strike/>
                <w:color w:val="333333"/>
                <w:sz w:val="20"/>
                <w:szCs w:val="20"/>
              </w:rPr>
              <w:t>Chronic</w:t>
            </w:r>
            <w:r w:rsidRPr="00A277CA">
              <w:rPr>
                <w:rFonts w:ascii="Arial Narrow" w:hAnsi="Arial Narrow"/>
                <w:color w:val="333333"/>
                <w:sz w:val="20"/>
                <w:szCs w:val="20"/>
              </w:rPr>
              <w:t xml:space="preserve"> Endogenous Cushing’s syndrome</w:t>
            </w:r>
          </w:p>
        </w:tc>
      </w:tr>
      <w:tr w:rsidR="00A277CA" w:rsidRPr="00A277CA" w14:paraId="4ADAD774" w14:textId="77777777" w:rsidTr="001E6B46">
        <w:tc>
          <w:tcPr>
            <w:tcW w:w="591" w:type="pct"/>
            <w:gridSpan w:val="2"/>
            <w:vAlign w:val="center"/>
          </w:tcPr>
          <w:p w14:paraId="302506AB"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hideMark/>
          </w:tcPr>
          <w:p w14:paraId="177DA976"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Treatment Phase:</w:t>
            </w:r>
            <w:r w:rsidRPr="00A277CA">
              <w:rPr>
                <w:rFonts w:ascii="Arial Narrow" w:hAnsi="Arial Narrow"/>
                <w:color w:val="333333"/>
                <w:sz w:val="20"/>
                <w:szCs w:val="20"/>
              </w:rPr>
              <w:t xml:space="preserve"> Continuing treatment</w:t>
            </w:r>
          </w:p>
        </w:tc>
      </w:tr>
      <w:tr w:rsidR="00A277CA" w:rsidRPr="00A277CA" w14:paraId="2B3A55E1" w14:textId="77777777" w:rsidTr="001E6B46">
        <w:tc>
          <w:tcPr>
            <w:tcW w:w="591" w:type="pct"/>
            <w:gridSpan w:val="2"/>
            <w:vAlign w:val="center"/>
          </w:tcPr>
          <w:p w14:paraId="3091F776" w14:textId="25F251C6" w:rsidR="00A277CA" w:rsidRPr="00A277CA" w:rsidRDefault="00A277CA" w:rsidP="00FA4D4F">
            <w:pPr>
              <w:jc w:val="center"/>
              <w:rPr>
                <w:rFonts w:ascii="Arial Narrow" w:hAnsi="Arial Narrow"/>
                <w:color w:val="333333"/>
                <w:sz w:val="20"/>
                <w:szCs w:val="20"/>
              </w:rPr>
            </w:pPr>
          </w:p>
        </w:tc>
        <w:tc>
          <w:tcPr>
            <w:tcW w:w="4409" w:type="pct"/>
            <w:gridSpan w:val="6"/>
            <w:vAlign w:val="center"/>
            <w:hideMark/>
          </w:tcPr>
          <w:p w14:paraId="6ACF3BE9"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Clinical criteria:</w:t>
            </w:r>
          </w:p>
        </w:tc>
      </w:tr>
      <w:tr w:rsidR="00A277CA" w:rsidRPr="00A277CA" w14:paraId="0C0FC174" w14:textId="77777777" w:rsidTr="001E6B46">
        <w:tc>
          <w:tcPr>
            <w:tcW w:w="591" w:type="pct"/>
            <w:gridSpan w:val="2"/>
            <w:vAlign w:val="center"/>
          </w:tcPr>
          <w:p w14:paraId="4C5320CA" w14:textId="645E9B4E" w:rsidR="00A277CA" w:rsidRPr="00A277CA" w:rsidRDefault="00A277CA" w:rsidP="00FA4D4F">
            <w:pPr>
              <w:jc w:val="center"/>
              <w:rPr>
                <w:rFonts w:ascii="Arial Narrow" w:hAnsi="Arial Narrow"/>
                <w:iCs/>
                <w:color w:val="333333"/>
                <w:sz w:val="20"/>
                <w:szCs w:val="20"/>
              </w:rPr>
            </w:pPr>
          </w:p>
        </w:tc>
        <w:tc>
          <w:tcPr>
            <w:tcW w:w="4409" w:type="pct"/>
            <w:gridSpan w:val="6"/>
            <w:vAlign w:val="center"/>
          </w:tcPr>
          <w:p w14:paraId="2C1DBE06"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Patient must have received PBS-subsidised treatment with this drug for this condition</w:t>
            </w:r>
          </w:p>
        </w:tc>
      </w:tr>
      <w:tr w:rsidR="00A277CA" w:rsidRPr="00A277CA" w14:paraId="0E1FE555" w14:textId="77777777" w:rsidTr="001E6B46">
        <w:tc>
          <w:tcPr>
            <w:tcW w:w="591" w:type="pct"/>
            <w:gridSpan w:val="2"/>
            <w:vAlign w:val="center"/>
          </w:tcPr>
          <w:p w14:paraId="537D2760"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tcPr>
          <w:p w14:paraId="035C7C79"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AND</w:t>
            </w:r>
          </w:p>
        </w:tc>
      </w:tr>
      <w:tr w:rsidR="00A277CA" w:rsidRPr="00A277CA" w14:paraId="32E8A563" w14:textId="77777777" w:rsidTr="00FA4D4F">
        <w:tc>
          <w:tcPr>
            <w:tcW w:w="591" w:type="pct"/>
            <w:gridSpan w:val="2"/>
            <w:vAlign w:val="center"/>
          </w:tcPr>
          <w:p w14:paraId="78ADAA45" w14:textId="77777777" w:rsidR="00A277CA" w:rsidRPr="00A277CA" w:rsidRDefault="00A277CA" w:rsidP="00FA4D4F">
            <w:pPr>
              <w:jc w:val="center"/>
              <w:rPr>
                <w:rFonts w:ascii="Arial Narrow" w:hAnsi="Arial Narrow"/>
                <w:color w:val="333333"/>
                <w:sz w:val="20"/>
                <w:szCs w:val="20"/>
              </w:rPr>
            </w:pPr>
          </w:p>
        </w:tc>
        <w:tc>
          <w:tcPr>
            <w:tcW w:w="4409" w:type="pct"/>
            <w:gridSpan w:val="6"/>
            <w:vAlign w:val="center"/>
          </w:tcPr>
          <w:p w14:paraId="396A0257" w14:textId="77777777" w:rsidR="00A277CA" w:rsidRPr="00A277CA" w:rsidRDefault="00A277CA" w:rsidP="00FA4D4F">
            <w:pPr>
              <w:rPr>
                <w:rFonts w:ascii="Arial Narrow" w:hAnsi="Arial Narrow"/>
                <w:bCs/>
                <w:iCs/>
                <w:color w:val="333333"/>
                <w:sz w:val="20"/>
                <w:szCs w:val="20"/>
              </w:rPr>
            </w:pPr>
            <w:r w:rsidRPr="00A277CA">
              <w:rPr>
                <w:rFonts w:ascii="Arial Narrow" w:hAnsi="Arial Narrow"/>
                <w:bCs/>
                <w:iCs/>
                <w:color w:val="333333"/>
                <w:sz w:val="20"/>
                <w:szCs w:val="20"/>
              </w:rPr>
              <w:t>Clinical criteria:</w:t>
            </w:r>
          </w:p>
        </w:tc>
      </w:tr>
      <w:tr w:rsidR="00A277CA" w:rsidRPr="00A277CA" w14:paraId="0A489453" w14:textId="77777777" w:rsidTr="00FA4D4F">
        <w:tc>
          <w:tcPr>
            <w:tcW w:w="591" w:type="pct"/>
            <w:gridSpan w:val="2"/>
            <w:vAlign w:val="center"/>
          </w:tcPr>
          <w:p w14:paraId="221DA261" w14:textId="1C78E1A5" w:rsidR="00A277CA" w:rsidRPr="00A277CA" w:rsidRDefault="00A277CA" w:rsidP="00FA4D4F">
            <w:pPr>
              <w:jc w:val="center"/>
              <w:rPr>
                <w:rFonts w:ascii="Arial Narrow" w:hAnsi="Arial Narrow"/>
                <w:iCs/>
                <w:color w:val="333333"/>
                <w:sz w:val="20"/>
                <w:szCs w:val="20"/>
              </w:rPr>
            </w:pPr>
          </w:p>
        </w:tc>
        <w:tc>
          <w:tcPr>
            <w:tcW w:w="4409" w:type="pct"/>
            <w:gridSpan w:val="6"/>
            <w:vAlign w:val="center"/>
          </w:tcPr>
          <w:p w14:paraId="65EB2DCA"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 xml:space="preserve">Patient must have demonstrated a complete response </w:t>
            </w:r>
            <w:r w:rsidRPr="00A277CA">
              <w:rPr>
                <w:rFonts w:ascii="Arial Narrow" w:hAnsi="Arial Narrow"/>
                <w:iCs/>
                <w:color w:val="333333"/>
                <w:sz w:val="20"/>
                <w:szCs w:val="20"/>
              </w:rPr>
              <w:t>to this drug</w:t>
            </w:r>
            <w:r w:rsidRPr="00A277CA">
              <w:rPr>
                <w:rFonts w:ascii="Arial Narrow" w:hAnsi="Arial Narrow"/>
                <w:color w:val="333333"/>
                <w:sz w:val="20"/>
                <w:szCs w:val="20"/>
              </w:rPr>
              <w:t xml:space="preserve">. </w:t>
            </w:r>
          </w:p>
        </w:tc>
      </w:tr>
      <w:tr w:rsidR="00A277CA" w:rsidRPr="00A277CA" w14:paraId="3F4898C0" w14:textId="77777777" w:rsidTr="00FA4D4F">
        <w:tc>
          <w:tcPr>
            <w:tcW w:w="591" w:type="pct"/>
            <w:gridSpan w:val="2"/>
            <w:vAlign w:val="center"/>
          </w:tcPr>
          <w:p w14:paraId="1D6EE3E2" w14:textId="64753667" w:rsidR="00A277CA" w:rsidRPr="00A277CA" w:rsidRDefault="00A277CA" w:rsidP="00FA4D4F">
            <w:pPr>
              <w:jc w:val="center"/>
              <w:rPr>
                <w:rFonts w:ascii="Arial Narrow" w:hAnsi="Arial Narrow"/>
                <w:strike/>
                <w:color w:val="333333"/>
                <w:sz w:val="20"/>
                <w:szCs w:val="20"/>
              </w:rPr>
            </w:pPr>
          </w:p>
        </w:tc>
        <w:tc>
          <w:tcPr>
            <w:tcW w:w="4409" w:type="pct"/>
            <w:gridSpan w:val="6"/>
            <w:vAlign w:val="center"/>
            <w:hideMark/>
          </w:tcPr>
          <w:p w14:paraId="422923A0"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Treatment criteria:</w:t>
            </w:r>
          </w:p>
        </w:tc>
      </w:tr>
      <w:tr w:rsidR="00A277CA" w:rsidRPr="00A277CA" w14:paraId="3B978FBC" w14:textId="77777777" w:rsidTr="00FA4D4F">
        <w:tc>
          <w:tcPr>
            <w:tcW w:w="591" w:type="pct"/>
            <w:gridSpan w:val="2"/>
            <w:vAlign w:val="center"/>
          </w:tcPr>
          <w:p w14:paraId="5F18DF9B" w14:textId="5EFB0864" w:rsidR="00A277CA" w:rsidRPr="00A277CA" w:rsidRDefault="00A277CA" w:rsidP="00FA4D4F">
            <w:pPr>
              <w:jc w:val="center"/>
              <w:rPr>
                <w:rFonts w:ascii="Arial Narrow" w:hAnsi="Arial Narrow"/>
                <w:color w:val="333333"/>
                <w:sz w:val="20"/>
                <w:szCs w:val="20"/>
              </w:rPr>
            </w:pPr>
          </w:p>
        </w:tc>
        <w:tc>
          <w:tcPr>
            <w:tcW w:w="4409" w:type="pct"/>
            <w:gridSpan w:val="6"/>
            <w:vAlign w:val="center"/>
            <w:hideMark/>
          </w:tcPr>
          <w:p w14:paraId="58471FB0" w14:textId="77777777" w:rsidR="00A277CA" w:rsidRPr="00A277CA" w:rsidRDefault="00A277CA" w:rsidP="00FA4D4F">
            <w:pPr>
              <w:autoSpaceDE w:val="0"/>
              <w:autoSpaceDN w:val="0"/>
              <w:adjustRightInd w:val="0"/>
              <w:rPr>
                <w:rFonts w:ascii="Arial Narrow" w:eastAsia="Calibri" w:hAnsi="Arial Narrow" w:cs="Arial Narrow"/>
                <w:iCs/>
                <w:sz w:val="20"/>
                <w:szCs w:val="20"/>
              </w:rPr>
            </w:pPr>
            <w:r w:rsidRPr="00A277CA">
              <w:rPr>
                <w:rFonts w:ascii="Arial Narrow" w:hAnsi="Arial Narrow"/>
                <w:strike/>
                <w:color w:val="333333"/>
                <w:sz w:val="20"/>
                <w:szCs w:val="20"/>
              </w:rPr>
              <w:t>Patients m</w:t>
            </w:r>
            <w:r w:rsidRPr="00A277CA">
              <w:rPr>
                <w:rFonts w:ascii="Arial Narrow" w:hAnsi="Arial Narrow"/>
                <w:color w:val="333333"/>
                <w:sz w:val="20"/>
                <w:szCs w:val="20"/>
              </w:rPr>
              <w:t xml:space="preserve">Must be treated </w:t>
            </w:r>
            <w:r w:rsidRPr="00A277CA">
              <w:rPr>
                <w:rFonts w:ascii="Arial Narrow" w:hAnsi="Arial Narrow"/>
                <w:strike/>
                <w:color w:val="333333"/>
                <w:sz w:val="20"/>
                <w:szCs w:val="20"/>
              </w:rPr>
              <w:t xml:space="preserve">and supervised by a physicians experienced in endocrinology or internal medicine </w:t>
            </w:r>
            <w:r w:rsidRPr="00A277CA">
              <w:rPr>
                <w:rFonts w:ascii="Arial Narrow" w:hAnsi="Arial Narrow"/>
                <w:color w:val="333333"/>
                <w:sz w:val="20"/>
                <w:szCs w:val="20"/>
              </w:rPr>
              <w:t xml:space="preserve">by an endocrinologist or a </w:t>
            </w:r>
            <w:r w:rsidRPr="00A277CA">
              <w:rPr>
                <w:rFonts w:ascii="Arial Narrow" w:hAnsi="Arial Narrow"/>
                <w:strike/>
                <w:color w:val="333333"/>
                <w:sz w:val="20"/>
                <w:szCs w:val="20"/>
              </w:rPr>
              <w:t>general medicine</w:t>
            </w:r>
            <w:r w:rsidRPr="00A277CA">
              <w:rPr>
                <w:rFonts w:ascii="Arial Narrow" w:hAnsi="Arial Narrow"/>
                <w:color w:val="333333"/>
                <w:sz w:val="20"/>
                <w:szCs w:val="20"/>
              </w:rPr>
              <w:t xml:space="preserve"> physician </w:t>
            </w:r>
            <w:r w:rsidRPr="00A277CA">
              <w:rPr>
                <w:rFonts w:ascii="Arial Narrow" w:hAnsi="Arial Narrow"/>
                <w:iCs/>
                <w:color w:val="333333"/>
                <w:sz w:val="20"/>
                <w:szCs w:val="20"/>
              </w:rPr>
              <w:t>specialises in general medicine.</w:t>
            </w:r>
          </w:p>
        </w:tc>
      </w:tr>
      <w:tr w:rsidR="00A277CA" w:rsidRPr="00A277CA" w14:paraId="480E66C9" w14:textId="77777777" w:rsidTr="00FA4D4F">
        <w:tc>
          <w:tcPr>
            <w:tcW w:w="591" w:type="pct"/>
            <w:gridSpan w:val="2"/>
            <w:vAlign w:val="center"/>
          </w:tcPr>
          <w:p w14:paraId="4071EF3F" w14:textId="5F7DC835" w:rsidR="00A277CA" w:rsidRPr="00A277CA" w:rsidRDefault="00A277CA" w:rsidP="00FA4D4F">
            <w:pPr>
              <w:jc w:val="center"/>
              <w:rPr>
                <w:rFonts w:ascii="Arial Narrow" w:hAnsi="Arial Narrow"/>
                <w:strike/>
                <w:color w:val="333333"/>
                <w:sz w:val="20"/>
                <w:szCs w:val="20"/>
              </w:rPr>
            </w:pPr>
          </w:p>
        </w:tc>
        <w:tc>
          <w:tcPr>
            <w:tcW w:w="4409" w:type="pct"/>
            <w:gridSpan w:val="6"/>
            <w:vAlign w:val="center"/>
            <w:hideMark/>
          </w:tcPr>
          <w:p w14:paraId="6DF41675"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Population criteria:</w:t>
            </w:r>
          </w:p>
        </w:tc>
      </w:tr>
      <w:tr w:rsidR="00A277CA" w:rsidRPr="00A277CA" w14:paraId="7129087A" w14:textId="77777777" w:rsidTr="001E6B46">
        <w:tc>
          <w:tcPr>
            <w:tcW w:w="591" w:type="pct"/>
            <w:gridSpan w:val="2"/>
            <w:vAlign w:val="center"/>
          </w:tcPr>
          <w:p w14:paraId="2B919C70" w14:textId="16E508FD" w:rsidR="00A277CA" w:rsidRPr="00A277CA" w:rsidRDefault="00A277CA" w:rsidP="00FA4D4F">
            <w:pPr>
              <w:jc w:val="center"/>
              <w:rPr>
                <w:rFonts w:ascii="Arial Narrow" w:hAnsi="Arial Narrow"/>
                <w:iCs/>
                <w:color w:val="333333"/>
                <w:sz w:val="20"/>
                <w:szCs w:val="20"/>
              </w:rPr>
            </w:pPr>
          </w:p>
        </w:tc>
        <w:tc>
          <w:tcPr>
            <w:tcW w:w="4409" w:type="pct"/>
            <w:gridSpan w:val="6"/>
            <w:vAlign w:val="center"/>
            <w:hideMark/>
          </w:tcPr>
          <w:p w14:paraId="0C2B38A7"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 xml:space="preserve">Patients must be </w:t>
            </w:r>
            <w:r w:rsidRPr="00A277CA">
              <w:rPr>
                <w:rFonts w:ascii="Arial Narrow" w:hAnsi="Arial Narrow"/>
                <w:iCs/>
                <w:color w:val="333333"/>
                <w:sz w:val="20"/>
                <w:szCs w:val="20"/>
              </w:rPr>
              <w:t>at least</w:t>
            </w:r>
            <w:r w:rsidRPr="00A277CA">
              <w:rPr>
                <w:rFonts w:ascii="Arial Narrow" w:hAnsi="Arial Narrow"/>
                <w:color w:val="333333"/>
                <w:sz w:val="20"/>
                <w:szCs w:val="20"/>
              </w:rPr>
              <w:t xml:space="preserve"> a</w:t>
            </w:r>
            <w:r w:rsidRPr="00A277CA">
              <w:rPr>
                <w:rFonts w:ascii="Arial Narrow" w:hAnsi="Arial Narrow"/>
                <w:strike/>
                <w:color w:val="333333"/>
                <w:sz w:val="20"/>
                <w:szCs w:val="20"/>
              </w:rPr>
              <w:t>ged</w:t>
            </w:r>
            <w:r w:rsidRPr="00A277CA">
              <w:rPr>
                <w:rFonts w:ascii="Arial Narrow" w:hAnsi="Arial Narrow"/>
                <w:color w:val="333333"/>
                <w:sz w:val="20"/>
                <w:szCs w:val="20"/>
              </w:rPr>
              <w:t xml:space="preserve"> 18 years </w:t>
            </w:r>
            <w:r w:rsidRPr="00A277CA">
              <w:rPr>
                <w:rFonts w:ascii="Arial Narrow" w:hAnsi="Arial Narrow"/>
                <w:iCs/>
                <w:color w:val="333333"/>
                <w:sz w:val="20"/>
                <w:szCs w:val="20"/>
              </w:rPr>
              <w:t>of age</w:t>
            </w:r>
            <w:r w:rsidRPr="00A277CA">
              <w:rPr>
                <w:rFonts w:ascii="Arial Narrow" w:hAnsi="Arial Narrow"/>
                <w:color w:val="333333"/>
                <w:sz w:val="20"/>
                <w:szCs w:val="20"/>
              </w:rPr>
              <w:t xml:space="preserve"> </w:t>
            </w:r>
            <w:r w:rsidRPr="00A277CA">
              <w:rPr>
                <w:rFonts w:ascii="Arial Narrow" w:hAnsi="Arial Narrow"/>
                <w:strike/>
                <w:color w:val="333333"/>
                <w:sz w:val="20"/>
                <w:szCs w:val="20"/>
              </w:rPr>
              <w:t>or older</w:t>
            </w:r>
          </w:p>
        </w:tc>
      </w:tr>
      <w:tr w:rsidR="00A277CA" w:rsidRPr="00A277CA" w14:paraId="6F82E531" w14:textId="77777777" w:rsidTr="00FA4D4F">
        <w:tc>
          <w:tcPr>
            <w:tcW w:w="591" w:type="pct"/>
            <w:gridSpan w:val="2"/>
            <w:vAlign w:val="center"/>
          </w:tcPr>
          <w:p w14:paraId="4E3717CC" w14:textId="6B9685AF" w:rsidR="00A277CA" w:rsidRPr="00A277CA" w:rsidDel="00E46F35" w:rsidRDefault="00A277CA" w:rsidP="00FA4D4F">
            <w:pPr>
              <w:jc w:val="center"/>
              <w:rPr>
                <w:rFonts w:ascii="Arial Narrow" w:hAnsi="Arial Narrow"/>
                <w:color w:val="333333"/>
                <w:sz w:val="20"/>
                <w:szCs w:val="20"/>
              </w:rPr>
            </w:pPr>
          </w:p>
        </w:tc>
        <w:tc>
          <w:tcPr>
            <w:tcW w:w="4409" w:type="pct"/>
            <w:gridSpan w:val="6"/>
            <w:vAlign w:val="center"/>
          </w:tcPr>
          <w:p w14:paraId="3298C11B"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2934F40A"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A complete response is defined as a mean urinary free cortisol (UFC) less than or equal to the upper limit of normal (ULN). The mean UFC should be the average of at least three urine samples collected within seven days.</w:t>
            </w:r>
          </w:p>
        </w:tc>
      </w:tr>
      <w:tr w:rsidR="00A277CA" w:rsidRPr="00A277CA" w14:paraId="1ADD2DB7" w14:textId="77777777" w:rsidTr="00FA4D4F">
        <w:tc>
          <w:tcPr>
            <w:tcW w:w="591" w:type="pct"/>
            <w:gridSpan w:val="2"/>
            <w:vAlign w:val="center"/>
          </w:tcPr>
          <w:p w14:paraId="0B9F8689" w14:textId="08937820" w:rsidR="00A277CA" w:rsidRPr="00A277CA" w:rsidDel="00E46F35" w:rsidRDefault="00A277CA" w:rsidP="00FA4D4F">
            <w:pPr>
              <w:jc w:val="center"/>
              <w:rPr>
                <w:rFonts w:ascii="Arial Narrow" w:hAnsi="Arial Narrow"/>
                <w:color w:val="333333"/>
                <w:sz w:val="20"/>
                <w:szCs w:val="20"/>
              </w:rPr>
            </w:pPr>
          </w:p>
        </w:tc>
        <w:tc>
          <w:tcPr>
            <w:tcW w:w="4409" w:type="pct"/>
            <w:gridSpan w:val="6"/>
            <w:vAlign w:val="center"/>
          </w:tcPr>
          <w:p w14:paraId="01F8E175"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43EDF502"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At the time of authority application, medical practitioners must request the appropriate number of packs of appropriate strength(s) to provide sufficient drug for 4 weeks as per the product information. A separate authority prescription form must be completed for each strength requested. The daily dose must not exceed 30 mg twice daily. Up to a maximum of 5 repeats will be authorised</w:t>
            </w:r>
          </w:p>
        </w:tc>
      </w:tr>
      <w:tr w:rsidR="00A277CA" w:rsidRPr="00A277CA" w14:paraId="70761D95" w14:textId="77777777" w:rsidTr="00FA4D4F">
        <w:tc>
          <w:tcPr>
            <w:tcW w:w="591" w:type="pct"/>
            <w:gridSpan w:val="2"/>
            <w:vAlign w:val="center"/>
          </w:tcPr>
          <w:p w14:paraId="322F83BF" w14:textId="1C740652" w:rsidR="00A277CA" w:rsidRPr="00A277CA" w:rsidDel="00E46F35" w:rsidRDefault="00A277CA" w:rsidP="00FA4D4F">
            <w:pPr>
              <w:jc w:val="center"/>
              <w:rPr>
                <w:rFonts w:ascii="Arial Narrow" w:hAnsi="Arial Narrow"/>
                <w:iCs/>
                <w:color w:val="333333"/>
                <w:sz w:val="20"/>
                <w:szCs w:val="20"/>
              </w:rPr>
            </w:pPr>
          </w:p>
        </w:tc>
        <w:tc>
          <w:tcPr>
            <w:tcW w:w="4409" w:type="pct"/>
            <w:gridSpan w:val="6"/>
            <w:vAlign w:val="center"/>
          </w:tcPr>
          <w:p w14:paraId="63DE0E0D" w14:textId="77777777" w:rsidR="00A277CA" w:rsidRPr="00A277CA" w:rsidRDefault="00A277CA" w:rsidP="00FA4D4F">
            <w:pPr>
              <w:rPr>
                <w:rFonts w:ascii="Arial Narrow" w:hAnsi="Arial Narrow"/>
                <w:iCs/>
                <w:color w:val="333333"/>
                <w:sz w:val="20"/>
                <w:szCs w:val="20"/>
              </w:rPr>
            </w:pPr>
            <w:r w:rsidRPr="00A277CA">
              <w:rPr>
                <w:rFonts w:ascii="Arial Narrow" w:hAnsi="Arial Narrow"/>
                <w:bCs/>
                <w:iCs/>
                <w:color w:val="333333"/>
                <w:sz w:val="20"/>
                <w:szCs w:val="20"/>
              </w:rPr>
              <w:t>Prescribing Instructions:</w:t>
            </w:r>
            <w:r w:rsidRPr="00A277CA">
              <w:rPr>
                <w:rFonts w:ascii="Arial Narrow" w:hAnsi="Arial Narrow"/>
                <w:iCs/>
                <w:color w:val="333333"/>
                <w:sz w:val="20"/>
                <w:szCs w:val="20"/>
              </w:rPr>
              <w:t xml:space="preserve"> </w:t>
            </w:r>
          </w:p>
          <w:p w14:paraId="58CDF67E"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Where there is a current, approved PBS prescription with valid repeat prescriptions specified (i.e., where the dose is changing), mark the prescription that is intended for no further supply as 'Cancelled'.</w:t>
            </w:r>
          </w:p>
        </w:tc>
      </w:tr>
      <w:tr w:rsidR="00A277CA" w:rsidRPr="00A277CA" w14:paraId="73B4DE5B" w14:textId="77777777" w:rsidTr="00FA4D4F">
        <w:tc>
          <w:tcPr>
            <w:tcW w:w="591" w:type="pct"/>
            <w:gridSpan w:val="2"/>
            <w:vAlign w:val="center"/>
          </w:tcPr>
          <w:p w14:paraId="7E59C6D9" w14:textId="2A232F16" w:rsidR="00A277CA" w:rsidRPr="00A277CA" w:rsidRDefault="00A277CA" w:rsidP="00FA4D4F">
            <w:pPr>
              <w:jc w:val="center"/>
              <w:rPr>
                <w:rFonts w:ascii="Arial Narrow" w:hAnsi="Arial Narrow"/>
                <w:iCs/>
                <w:color w:val="333333"/>
                <w:sz w:val="20"/>
                <w:szCs w:val="20"/>
              </w:rPr>
            </w:pPr>
          </w:p>
        </w:tc>
        <w:tc>
          <w:tcPr>
            <w:tcW w:w="4409" w:type="pct"/>
            <w:gridSpan w:val="6"/>
            <w:vAlign w:val="center"/>
          </w:tcPr>
          <w:p w14:paraId="552E7E6C" w14:textId="77777777" w:rsidR="00A277CA" w:rsidRPr="00A277CA" w:rsidRDefault="00A277CA" w:rsidP="00FA4D4F">
            <w:pPr>
              <w:rPr>
                <w:rFonts w:ascii="Arial Narrow" w:hAnsi="Arial Narrow"/>
                <w:bCs/>
                <w:iCs/>
                <w:color w:val="333333"/>
                <w:sz w:val="20"/>
                <w:szCs w:val="20"/>
              </w:rPr>
            </w:pPr>
            <w:r w:rsidRPr="00A277CA">
              <w:rPr>
                <w:rFonts w:ascii="Arial Narrow" w:hAnsi="Arial Narrow"/>
                <w:bCs/>
                <w:iCs/>
                <w:color w:val="333333"/>
                <w:sz w:val="20"/>
                <w:szCs w:val="20"/>
              </w:rPr>
              <w:t>Administrative advice:</w:t>
            </w:r>
            <w:r w:rsidRPr="00A277CA">
              <w:rPr>
                <w:rFonts w:ascii="Arial Narrow" w:hAnsi="Arial Narrow"/>
                <w:iCs/>
                <w:color w:val="333333"/>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277CA" w:rsidRPr="00A277CA" w14:paraId="3357A867" w14:textId="77777777" w:rsidTr="001E6B46">
        <w:tc>
          <w:tcPr>
            <w:tcW w:w="591" w:type="pct"/>
            <w:gridSpan w:val="2"/>
            <w:vAlign w:val="center"/>
          </w:tcPr>
          <w:p w14:paraId="7CC34330" w14:textId="22D23AC8" w:rsidR="00A277CA" w:rsidRPr="00A277CA" w:rsidRDefault="00A277CA" w:rsidP="00FA4D4F">
            <w:pPr>
              <w:jc w:val="center"/>
              <w:rPr>
                <w:rFonts w:ascii="Arial Narrow" w:hAnsi="Arial Narrow"/>
                <w:color w:val="333333"/>
                <w:sz w:val="20"/>
                <w:szCs w:val="20"/>
              </w:rPr>
            </w:pPr>
          </w:p>
        </w:tc>
        <w:tc>
          <w:tcPr>
            <w:tcW w:w="4409" w:type="pct"/>
            <w:gridSpan w:val="6"/>
            <w:vAlign w:val="center"/>
            <w:hideMark/>
          </w:tcPr>
          <w:p w14:paraId="69F58BA2"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0BFAC828" w14:textId="77777777" w:rsidR="00A277CA" w:rsidRPr="00A277CA" w:rsidRDefault="00A277CA" w:rsidP="00FA4D4F">
            <w:pPr>
              <w:rPr>
                <w:rFonts w:ascii="Arial Narrow" w:hAnsi="Arial Narrow"/>
                <w:color w:val="333333"/>
                <w:sz w:val="20"/>
                <w:szCs w:val="20"/>
              </w:rPr>
            </w:pPr>
            <w:r w:rsidRPr="00A277CA">
              <w:rPr>
                <w:rFonts w:ascii="Arial Narrow" w:hAnsi="Arial Narrow"/>
                <w:strike/>
                <w:color w:val="333333"/>
                <w:sz w:val="20"/>
                <w:szCs w:val="20"/>
              </w:rPr>
              <w:t>For the first authority application for continuing treatment, a patient must have demonstrated a complete response to osilodrostat between month 1 and 3 after commencing initial treatment</w:t>
            </w:r>
            <w:r w:rsidRPr="00A277CA">
              <w:rPr>
                <w:rFonts w:ascii="Arial Narrow" w:hAnsi="Arial Narrow"/>
                <w:color w:val="333333"/>
                <w:sz w:val="20"/>
                <w:szCs w:val="20"/>
              </w:rPr>
              <w:t>.</w:t>
            </w:r>
          </w:p>
          <w:p w14:paraId="2EDD5523" w14:textId="77777777" w:rsidR="00A277CA" w:rsidRPr="00A277CA" w:rsidRDefault="00A277CA" w:rsidP="00FA4D4F">
            <w:pPr>
              <w:rPr>
                <w:rFonts w:ascii="Arial Narrow" w:hAnsi="Arial Narrow"/>
                <w:color w:val="333333"/>
                <w:sz w:val="20"/>
                <w:szCs w:val="20"/>
              </w:rPr>
            </w:pPr>
          </w:p>
          <w:p w14:paraId="7C17F8CD"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 xml:space="preserve">For subsequent authority applications for continuing treatment, a patient must have demonstrated a complete response prior to applying for further continuing treatment. </w:t>
            </w:r>
          </w:p>
          <w:p w14:paraId="3EB0CF8D" w14:textId="77777777" w:rsidR="00A277CA" w:rsidRPr="00A277CA" w:rsidRDefault="00A277CA" w:rsidP="00FA4D4F">
            <w:pPr>
              <w:rPr>
                <w:rFonts w:ascii="Arial Narrow" w:hAnsi="Arial Narrow"/>
                <w:color w:val="333333"/>
                <w:sz w:val="20"/>
                <w:szCs w:val="20"/>
              </w:rPr>
            </w:pPr>
          </w:p>
          <w:p w14:paraId="20173076"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A complete response is defined as a mean urinary free cortisol (UFC) less than or equal to the upper limit of normal (ULN). The mean UFC should be the average of at least three urine samples collected within seven days.</w:t>
            </w:r>
          </w:p>
          <w:p w14:paraId="34AAE959" w14:textId="77777777" w:rsidR="00A277CA" w:rsidRPr="00A277CA" w:rsidRDefault="00A277CA" w:rsidP="00FA4D4F">
            <w:pPr>
              <w:rPr>
                <w:rFonts w:ascii="Arial Narrow" w:hAnsi="Arial Narrow"/>
                <w:color w:val="333333"/>
                <w:sz w:val="20"/>
                <w:szCs w:val="20"/>
              </w:rPr>
            </w:pPr>
          </w:p>
          <w:p w14:paraId="1BC6C3F1" w14:textId="77777777" w:rsidR="00A277CA" w:rsidRPr="00A277CA" w:rsidRDefault="00A277CA" w:rsidP="00FA4D4F">
            <w:pPr>
              <w:rPr>
                <w:rFonts w:ascii="Arial Narrow" w:hAnsi="Arial Narrow"/>
                <w:iCs/>
                <w:strike/>
                <w:color w:val="333333"/>
                <w:sz w:val="20"/>
                <w:szCs w:val="20"/>
              </w:rPr>
            </w:pPr>
            <w:r w:rsidRPr="00A277CA">
              <w:rPr>
                <w:rFonts w:ascii="Arial Narrow" w:hAnsi="Arial Narrow"/>
                <w:iCs/>
                <w:strike/>
                <w:color w:val="333333"/>
                <w:sz w:val="20"/>
                <w:szCs w:val="20"/>
              </w:rPr>
              <w:t>At the time of authority application, medical practitioners should request the appropriate number of packs to provide sufficient drug, based on the prescribed dose of the patient, for one month of treatment. Up to a maximum of 5 repeats will be authorised. The dose must not exceed 30 mg twice daily</w:t>
            </w:r>
          </w:p>
        </w:tc>
      </w:tr>
      <w:tr w:rsidR="00A277CA" w:rsidRPr="00A277CA" w14:paraId="346B8CC0" w14:textId="77777777" w:rsidTr="00FA4D4F">
        <w:tc>
          <w:tcPr>
            <w:tcW w:w="591" w:type="pct"/>
            <w:gridSpan w:val="2"/>
            <w:vAlign w:val="center"/>
          </w:tcPr>
          <w:p w14:paraId="44E44591" w14:textId="7625D1AF" w:rsidR="00A277CA" w:rsidRPr="00A277CA" w:rsidRDefault="00A277CA" w:rsidP="00FA4D4F">
            <w:pPr>
              <w:jc w:val="center"/>
              <w:rPr>
                <w:rFonts w:ascii="Arial Narrow" w:hAnsi="Arial Narrow"/>
                <w:strike/>
                <w:color w:val="333333"/>
                <w:sz w:val="20"/>
                <w:szCs w:val="20"/>
              </w:rPr>
            </w:pPr>
          </w:p>
        </w:tc>
        <w:tc>
          <w:tcPr>
            <w:tcW w:w="4409" w:type="pct"/>
            <w:gridSpan w:val="6"/>
          </w:tcPr>
          <w:p w14:paraId="044DB6D4" w14:textId="77777777" w:rsidR="00A277CA" w:rsidRPr="00A277CA" w:rsidRDefault="00A277CA" w:rsidP="00FA4D4F">
            <w:pPr>
              <w:rPr>
                <w:rFonts w:ascii="Arial Narrow" w:hAnsi="Arial Narrow"/>
                <w:b/>
                <w:bCs/>
                <w:strike/>
                <w:color w:val="333333"/>
                <w:sz w:val="20"/>
                <w:szCs w:val="20"/>
              </w:rPr>
            </w:pPr>
            <w:r w:rsidRPr="00A277CA">
              <w:rPr>
                <w:rFonts w:ascii="Arial Narrow" w:eastAsia="Calibri" w:hAnsi="Arial Narrow"/>
                <w:b/>
                <w:strike/>
                <w:sz w:val="20"/>
                <w:szCs w:val="20"/>
              </w:rPr>
              <w:t>Administrative advice:</w:t>
            </w:r>
            <w:r w:rsidRPr="00A277CA">
              <w:rPr>
                <w:rFonts w:ascii="Arial Narrow" w:eastAsia="Calibri" w:hAnsi="Arial Narrow"/>
                <w:strike/>
                <w:sz w:val="20"/>
                <w:szCs w:val="20"/>
              </w:rPr>
              <w:t xml:space="preserve"> No increase in the maximum number of repeats may be authorised.</w:t>
            </w:r>
          </w:p>
        </w:tc>
      </w:tr>
      <w:tr w:rsidR="00A277CA" w:rsidRPr="00A277CA" w14:paraId="2EF2E1B4" w14:textId="77777777" w:rsidTr="00FA4D4F">
        <w:tc>
          <w:tcPr>
            <w:tcW w:w="591" w:type="pct"/>
            <w:gridSpan w:val="2"/>
            <w:vAlign w:val="center"/>
          </w:tcPr>
          <w:p w14:paraId="1D038243" w14:textId="23EA2E45" w:rsidR="00A277CA" w:rsidRPr="00A277CA" w:rsidRDefault="00A277CA" w:rsidP="00FA4D4F">
            <w:pPr>
              <w:jc w:val="center"/>
              <w:rPr>
                <w:rFonts w:ascii="Arial Narrow" w:hAnsi="Arial Narrow"/>
                <w:strike/>
                <w:color w:val="333333"/>
                <w:sz w:val="20"/>
                <w:szCs w:val="20"/>
              </w:rPr>
            </w:pPr>
          </w:p>
        </w:tc>
        <w:tc>
          <w:tcPr>
            <w:tcW w:w="4409" w:type="pct"/>
            <w:gridSpan w:val="6"/>
          </w:tcPr>
          <w:p w14:paraId="2AA8F605" w14:textId="77777777" w:rsidR="00A277CA" w:rsidRPr="00A277CA" w:rsidRDefault="00A277CA" w:rsidP="00FA4D4F">
            <w:pPr>
              <w:rPr>
                <w:rFonts w:ascii="Arial Narrow" w:hAnsi="Arial Narrow"/>
                <w:b/>
                <w:bCs/>
                <w:strike/>
                <w:color w:val="333333"/>
                <w:sz w:val="20"/>
                <w:szCs w:val="20"/>
              </w:rPr>
            </w:pPr>
            <w:r w:rsidRPr="00A277CA">
              <w:rPr>
                <w:rFonts w:ascii="Arial Narrow" w:eastAsia="Calibri" w:hAnsi="Arial Narrow"/>
                <w:b/>
                <w:strike/>
                <w:sz w:val="20"/>
                <w:szCs w:val="20"/>
              </w:rPr>
              <w:t xml:space="preserve">Administrative Advice: </w:t>
            </w:r>
            <w:r w:rsidRPr="00A277CA">
              <w:rPr>
                <w:rFonts w:ascii="Arial Narrow" w:eastAsia="Calibri" w:hAnsi="Arial Narrow"/>
                <w:bCs/>
                <w:strike/>
                <w:sz w:val="20"/>
                <w:szCs w:val="20"/>
              </w:rPr>
              <w:t>Special Pricing Arrangements apply.</w:t>
            </w:r>
          </w:p>
        </w:tc>
      </w:tr>
      <w:tr w:rsidR="00A277CA" w:rsidRPr="00A277CA" w14:paraId="0B8419B0" w14:textId="77777777" w:rsidTr="001E6B46">
        <w:tc>
          <w:tcPr>
            <w:tcW w:w="591" w:type="pct"/>
            <w:gridSpan w:val="2"/>
            <w:vAlign w:val="center"/>
          </w:tcPr>
          <w:p w14:paraId="36C97F99" w14:textId="69FDE51B" w:rsidR="00A277CA" w:rsidRPr="00A277CA" w:rsidRDefault="00A277CA" w:rsidP="00FA4D4F">
            <w:pPr>
              <w:jc w:val="center"/>
              <w:rPr>
                <w:rFonts w:ascii="Arial Narrow" w:hAnsi="Arial Narrow"/>
                <w:strike/>
                <w:color w:val="333333"/>
                <w:sz w:val="20"/>
                <w:szCs w:val="20"/>
              </w:rPr>
            </w:pPr>
          </w:p>
        </w:tc>
        <w:tc>
          <w:tcPr>
            <w:tcW w:w="4409" w:type="pct"/>
            <w:gridSpan w:val="6"/>
            <w:vAlign w:val="center"/>
          </w:tcPr>
          <w:p w14:paraId="6B30D5D0" w14:textId="77777777" w:rsidR="00A277CA" w:rsidRPr="00A277CA" w:rsidRDefault="00A277CA" w:rsidP="00FA4D4F">
            <w:pPr>
              <w:rPr>
                <w:rFonts w:ascii="Arial Narrow" w:hAnsi="Arial Narrow"/>
                <w:strike/>
                <w:color w:val="333333"/>
                <w:sz w:val="20"/>
                <w:szCs w:val="20"/>
              </w:rPr>
            </w:pPr>
            <w:r w:rsidRPr="00A277CA">
              <w:rPr>
                <w:rFonts w:ascii="Arial Narrow" w:hAnsi="Arial Narrow"/>
                <w:b/>
                <w:bCs/>
                <w:strike/>
                <w:color w:val="333333"/>
                <w:sz w:val="20"/>
                <w:szCs w:val="20"/>
              </w:rPr>
              <w:t>Caution:</w:t>
            </w:r>
            <w:r w:rsidRPr="00A277CA">
              <w:rPr>
                <w:rFonts w:ascii="Arial Narrow" w:hAnsi="Arial Narrow"/>
                <w:strike/>
                <w:color w:val="333333"/>
                <w:sz w:val="20"/>
                <w:szCs w:val="20"/>
              </w:rPr>
              <w:t xml:space="preserve"> </w:t>
            </w:r>
          </w:p>
          <w:p w14:paraId="4B878678"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The following should be assessed prior to receiving treatment and closely monitored throughout the treatment period:</w:t>
            </w:r>
          </w:p>
          <w:p w14:paraId="293E97D1"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QTc prolongation via an electrocardiogram</w:t>
            </w:r>
          </w:p>
          <w:p w14:paraId="6152E7D1"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Hypocortisolism</w:t>
            </w:r>
          </w:p>
          <w:p w14:paraId="44943449" w14:textId="77777777" w:rsidR="00A277CA" w:rsidRPr="00A277CA" w:rsidRDefault="00A277CA" w:rsidP="00FA4D4F">
            <w:pPr>
              <w:ind w:left="360"/>
              <w:contextualSpacing/>
              <w:rPr>
                <w:rFonts w:ascii="Arial Narrow" w:hAnsi="Arial Narrow"/>
                <w:strike/>
                <w:color w:val="333333"/>
                <w:sz w:val="20"/>
                <w:szCs w:val="20"/>
              </w:rPr>
            </w:pPr>
          </w:p>
          <w:p w14:paraId="04A6BBED"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 Cortisol levels should be monitored at regular intervals, since hypocortisolism-related events can occur at any time during treatment.</w:t>
            </w:r>
          </w:p>
        </w:tc>
      </w:tr>
    </w:tbl>
    <w:p w14:paraId="65DA3D51" w14:textId="77777777" w:rsidR="00A277CA" w:rsidRPr="00A277CA" w:rsidRDefault="00A277CA" w:rsidP="001E6B46">
      <w:pPr>
        <w:rPr>
          <w:rFonts w:eastAsia="Calibri"/>
          <w:sz w:val="22"/>
          <w:szCs w:val="22"/>
        </w:rPr>
      </w:pPr>
    </w:p>
    <w:p w14:paraId="006F381A" w14:textId="77777777" w:rsidR="00A277CA" w:rsidRPr="00A277CA" w:rsidRDefault="00A277CA" w:rsidP="001E6B46">
      <w:pPr>
        <w:keepNext/>
        <w:rPr>
          <w:rFonts w:eastAsia="Calibri"/>
          <w:b/>
          <w:bCs/>
          <w:sz w:val="22"/>
          <w:szCs w:val="18"/>
        </w:rPr>
      </w:pPr>
      <w:r w:rsidRPr="00A277CA">
        <w:rPr>
          <w:rFonts w:eastAsia="Calibri"/>
          <w:b/>
          <w:bCs/>
          <w:sz w:val="22"/>
          <w:szCs w:val="18"/>
        </w:rPr>
        <w:t>Proposed restriction – Grandfather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8"/>
        <w:gridCol w:w="720"/>
        <w:gridCol w:w="2153"/>
        <w:gridCol w:w="941"/>
        <w:gridCol w:w="1077"/>
        <w:gridCol w:w="1077"/>
        <w:gridCol w:w="1055"/>
        <w:gridCol w:w="1506"/>
      </w:tblGrid>
      <w:tr w:rsidR="00A277CA" w:rsidRPr="00A277CA" w14:paraId="520BE344" w14:textId="77777777" w:rsidTr="00FA4D4F">
        <w:tc>
          <w:tcPr>
            <w:tcW w:w="1864" w:type="pct"/>
            <w:gridSpan w:val="3"/>
            <w:tcBorders>
              <w:top w:val="single" w:sz="4" w:space="0" w:color="auto"/>
              <w:left w:val="single" w:sz="4" w:space="0" w:color="auto"/>
              <w:right w:val="single" w:sz="4" w:space="0" w:color="auto"/>
            </w:tcBorders>
            <w:vAlign w:val="center"/>
          </w:tcPr>
          <w:p w14:paraId="45C7F198" w14:textId="77777777" w:rsidR="00A277CA" w:rsidRPr="00A277CA" w:rsidRDefault="00A277CA" w:rsidP="00FA4D4F">
            <w:pPr>
              <w:keepLines/>
              <w:rPr>
                <w:rFonts w:ascii="Arial Narrow" w:hAnsi="Arial Narrow"/>
                <w:b/>
                <w:bCs/>
                <w:sz w:val="20"/>
                <w:szCs w:val="20"/>
              </w:rPr>
            </w:pPr>
            <w:r w:rsidRPr="00A277CA">
              <w:rPr>
                <w:rFonts w:ascii="Arial Narrow" w:hAnsi="Arial Narrow"/>
                <w:b/>
                <w:bCs/>
                <w:sz w:val="20"/>
                <w:szCs w:val="20"/>
              </w:rPr>
              <w:t>MEDICINAL PRODUCT</w:t>
            </w:r>
          </w:p>
          <w:p w14:paraId="228C3E3F" w14:textId="77777777" w:rsidR="00A277CA" w:rsidRPr="00A277CA" w:rsidRDefault="00A277CA" w:rsidP="00FA4D4F">
            <w:pPr>
              <w:rPr>
                <w:rFonts w:ascii="Arial Narrow" w:eastAsia="Calibri" w:hAnsi="Arial Narrow"/>
                <w:b/>
                <w:sz w:val="20"/>
                <w:szCs w:val="20"/>
              </w:rPr>
            </w:pPr>
            <w:r w:rsidRPr="00A277CA">
              <w:rPr>
                <w:rFonts w:ascii="Arial Narrow" w:hAnsi="Arial Narrow"/>
                <w:b/>
                <w:bCs/>
                <w:sz w:val="20"/>
                <w:szCs w:val="20"/>
              </w:rPr>
              <w:t>medicinal product pack</w:t>
            </w:r>
          </w:p>
        </w:tc>
        <w:tc>
          <w:tcPr>
            <w:tcW w:w="522" w:type="pct"/>
            <w:tcBorders>
              <w:top w:val="single" w:sz="4" w:space="0" w:color="auto"/>
              <w:left w:val="single" w:sz="4" w:space="0" w:color="auto"/>
              <w:right w:val="single" w:sz="4" w:space="0" w:color="auto"/>
            </w:tcBorders>
            <w:vAlign w:val="center"/>
          </w:tcPr>
          <w:p w14:paraId="793CB6A6"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PBS item code</w:t>
            </w:r>
          </w:p>
        </w:tc>
        <w:tc>
          <w:tcPr>
            <w:tcW w:w="597" w:type="pct"/>
            <w:tcBorders>
              <w:top w:val="single" w:sz="4" w:space="0" w:color="auto"/>
              <w:left w:val="single" w:sz="4" w:space="0" w:color="auto"/>
              <w:right w:val="single" w:sz="4" w:space="0" w:color="auto"/>
            </w:tcBorders>
            <w:vAlign w:val="center"/>
          </w:tcPr>
          <w:p w14:paraId="2937EE40"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Max. qty packs</w:t>
            </w:r>
          </w:p>
        </w:tc>
        <w:tc>
          <w:tcPr>
            <w:tcW w:w="597" w:type="pct"/>
            <w:tcBorders>
              <w:top w:val="single" w:sz="4" w:space="0" w:color="auto"/>
              <w:left w:val="single" w:sz="4" w:space="0" w:color="auto"/>
              <w:right w:val="single" w:sz="4" w:space="0" w:color="auto"/>
            </w:tcBorders>
            <w:vAlign w:val="center"/>
          </w:tcPr>
          <w:p w14:paraId="61BBCF1C"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Max. qty units</w:t>
            </w:r>
          </w:p>
        </w:tc>
        <w:tc>
          <w:tcPr>
            <w:tcW w:w="585" w:type="pct"/>
            <w:tcBorders>
              <w:top w:val="single" w:sz="4" w:space="0" w:color="auto"/>
              <w:left w:val="single" w:sz="4" w:space="0" w:color="auto"/>
              <w:right w:val="single" w:sz="4" w:space="0" w:color="auto"/>
            </w:tcBorders>
            <w:vAlign w:val="center"/>
          </w:tcPr>
          <w:p w14:paraId="7D055868" w14:textId="77777777" w:rsidR="00A277CA" w:rsidRPr="00A277CA" w:rsidRDefault="00A277CA" w:rsidP="00FA4D4F">
            <w:pPr>
              <w:keepLines/>
              <w:jc w:val="center"/>
              <w:rPr>
                <w:rFonts w:ascii="Arial Narrow" w:hAnsi="Arial Narrow"/>
                <w:b/>
                <w:sz w:val="20"/>
                <w:szCs w:val="20"/>
              </w:rPr>
            </w:pPr>
            <w:r w:rsidRPr="00A277CA">
              <w:rPr>
                <w:rFonts w:ascii="Arial Narrow" w:hAnsi="Arial Narrow"/>
                <w:b/>
                <w:sz w:val="20"/>
                <w:szCs w:val="20"/>
              </w:rPr>
              <w:t>№. of</w:t>
            </w:r>
          </w:p>
          <w:p w14:paraId="511D9BEB"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Rpts</w:t>
            </w:r>
          </w:p>
        </w:tc>
        <w:tc>
          <w:tcPr>
            <w:tcW w:w="835" w:type="pct"/>
            <w:tcBorders>
              <w:top w:val="single" w:sz="4" w:space="0" w:color="auto"/>
              <w:left w:val="single" w:sz="4" w:space="0" w:color="auto"/>
              <w:right w:val="single" w:sz="4" w:space="0" w:color="auto"/>
            </w:tcBorders>
            <w:vAlign w:val="center"/>
          </w:tcPr>
          <w:p w14:paraId="77F3763C" w14:textId="77777777" w:rsidR="00A277CA" w:rsidRPr="00A277CA" w:rsidRDefault="00A277CA" w:rsidP="00FA4D4F">
            <w:pPr>
              <w:jc w:val="center"/>
              <w:rPr>
                <w:rFonts w:ascii="Arial Narrow" w:eastAsia="Calibri" w:hAnsi="Arial Narrow"/>
                <w:b/>
                <w:sz w:val="20"/>
                <w:szCs w:val="20"/>
              </w:rPr>
            </w:pPr>
            <w:r w:rsidRPr="00A277CA">
              <w:rPr>
                <w:rFonts w:ascii="Arial Narrow" w:hAnsi="Arial Narrow"/>
                <w:b/>
                <w:sz w:val="20"/>
                <w:szCs w:val="20"/>
              </w:rPr>
              <w:t>Available brands</w:t>
            </w:r>
          </w:p>
        </w:tc>
      </w:tr>
      <w:tr w:rsidR="00A277CA" w:rsidRPr="00A277CA" w14:paraId="6F3E6844" w14:textId="77777777" w:rsidTr="00FA4D4F">
        <w:tc>
          <w:tcPr>
            <w:tcW w:w="5000" w:type="pct"/>
            <w:gridSpan w:val="8"/>
            <w:tcBorders>
              <w:top w:val="single" w:sz="4" w:space="0" w:color="auto"/>
              <w:left w:val="single" w:sz="4" w:space="0" w:color="auto"/>
              <w:right w:val="single" w:sz="4" w:space="0" w:color="auto"/>
            </w:tcBorders>
          </w:tcPr>
          <w:p w14:paraId="2D1A9121" w14:textId="77777777" w:rsidR="00A277CA" w:rsidRPr="00A277CA" w:rsidRDefault="00A277CA" w:rsidP="00FA4D4F">
            <w:pPr>
              <w:rPr>
                <w:rFonts w:ascii="Arial Narrow" w:eastAsia="Calibri" w:hAnsi="Arial Narrow"/>
                <w:b/>
                <w:sz w:val="20"/>
                <w:szCs w:val="20"/>
              </w:rPr>
            </w:pPr>
            <w:r w:rsidRPr="00A277CA">
              <w:rPr>
                <w:rFonts w:ascii="Arial Narrow" w:hAnsi="Arial Narrow"/>
                <w:sz w:val="20"/>
                <w:szCs w:val="20"/>
              </w:rPr>
              <w:t>OSILODROSTAT</w:t>
            </w:r>
          </w:p>
        </w:tc>
      </w:tr>
      <w:tr w:rsidR="00A277CA" w:rsidRPr="00A277CA" w14:paraId="097DE797" w14:textId="77777777" w:rsidTr="00FA4D4F">
        <w:tc>
          <w:tcPr>
            <w:tcW w:w="1864" w:type="pct"/>
            <w:gridSpan w:val="3"/>
            <w:tcBorders>
              <w:top w:val="single" w:sz="4" w:space="0" w:color="auto"/>
              <w:left w:val="single" w:sz="4" w:space="0" w:color="auto"/>
              <w:right w:val="single" w:sz="4" w:space="0" w:color="auto"/>
            </w:tcBorders>
          </w:tcPr>
          <w:p w14:paraId="4832EB45"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1 mg oral tablet</w:t>
            </w:r>
          </w:p>
        </w:tc>
        <w:tc>
          <w:tcPr>
            <w:tcW w:w="522" w:type="pct"/>
            <w:tcBorders>
              <w:top w:val="single" w:sz="4" w:space="0" w:color="auto"/>
              <w:left w:val="single" w:sz="4" w:space="0" w:color="auto"/>
              <w:right w:val="single" w:sz="4" w:space="0" w:color="auto"/>
            </w:tcBorders>
          </w:tcPr>
          <w:p w14:paraId="64788590"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7EA8DACC"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2EDEBD1F"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320A0F3A"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2</w:t>
            </w:r>
          </w:p>
        </w:tc>
        <w:tc>
          <w:tcPr>
            <w:tcW w:w="835" w:type="pct"/>
            <w:tcBorders>
              <w:top w:val="single" w:sz="4" w:space="0" w:color="auto"/>
              <w:left w:val="single" w:sz="4" w:space="0" w:color="auto"/>
              <w:right w:val="single" w:sz="4" w:space="0" w:color="auto"/>
            </w:tcBorders>
          </w:tcPr>
          <w:p w14:paraId="46F6EA0E"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410CCC04" w14:textId="77777777" w:rsidTr="00FA4D4F">
        <w:tc>
          <w:tcPr>
            <w:tcW w:w="1864" w:type="pct"/>
            <w:gridSpan w:val="3"/>
            <w:tcBorders>
              <w:top w:val="single" w:sz="4" w:space="0" w:color="auto"/>
              <w:left w:val="single" w:sz="4" w:space="0" w:color="auto"/>
              <w:right w:val="single" w:sz="4" w:space="0" w:color="auto"/>
            </w:tcBorders>
          </w:tcPr>
          <w:p w14:paraId="3E2A50CA"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5 mg oral tablet</w:t>
            </w:r>
          </w:p>
        </w:tc>
        <w:tc>
          <w:tcPr>
            <w:tcW w:w="522" w:type="pct"/>
            <w:tcBorders>
              <w:top w:val="single" w:sz="4" w:space="0" w:color="auto"/>
              <w:left w:val="single" w:sz="4" w:space="0" w:color="auto"/>
              <w:right w:val="single" w:sz="4" w:space="0" w:color="auto"/>
            </w:tcBorders>
          </w:tcPr>
          <w:p w14:paraId="786A336A"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1D436824"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3DFEDFA8"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75D6FACF"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2</w:t>
            </w:r>
          </w:p>
        </w:tc>
        <w:tc>
          <w:tcPr>
            <w:tcW w:w="835" w:type="pct"/>
            <w:tcBorders>
              <w:top w:val="single" w:sz="4" w:space="0" w:color="auto"/>
              <w:left w:val="single" w:sz="4" w:space="0" w:color="auto"/>
              <w:right w:val="single" w:sz="4" w:space="0" w:color="auto"/>
            </w:tcBorders>
          </w:tcPr>
          <w:p w14:paraId="5360BBAD"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044BAFEF" w14:textId="77777777" w:rsidTr="00FA4D4F">
        <w:tc>
          <w:tcPr>
            <w:tcW w:w="1864" w:type="pct"/>
            <w:gridSpan w:val="3"/>
            <w:tcBorders>
              <w:top w:val="single" w:sz="4" w:space="0" w:color="auto"/>
              <w:left w:val="single" w:sz="4" w:space="0" w:color="auto"/>
              <w:right w:val="single" w:sz="4" w:space="0" w:color="auto"/>
            </w:tcBorders>
          </w:tcPr>
          <w:p w14:paraId="22FB8C13"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Cs/>
                <w:sz w:val="20"/>
                <w:szCs w:val="20"/>
              </w:rPr>
              <w:t>Osilodrostat, 10 mg oral tablet</w:t>
            </w:r>
          </w:p>
        </w:tc>
        <w:tc>
          <w:tcPr>
            <w:tcW w:w="522" w:type="pct"/>
            <w:tcBorders>
              <w:top w:val="single" w:sz="4" w:space="0" w:color="auto"/>
              <w:left w:val="single" w:sz="4" w:space="0" w:color="auto"/>
              <w:right w:val="single" w:sz="4" w:space="0" w:color="auto"/>
            </w:tcBorders>
          </w:tcPr>
          <w:p w14:paraId="2739677B"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New</w:t>
            </w:r>
          </w:p>
        </w:tc>
        <w:tc>
          <w:tcPr>
            <w:tcW w:w="597" w:type="pct"/>
            <w:tcBorders>
              <w:top w:val="single" w:sz="4" w:space="0" w:color="auto"/>
              <w:left w:val="single" w:sz="4" w:space="0" w:color="auto"/>
              <w:right w:val="single" w:sz="4" w:space="0" w:color="auto"/>
            </w:tcBorders>
          </w:tcPr>
          <w:p w14:paraId="6043A476"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1</w:t>
            </w:r>
          </w:p>
        </w:tc>
        <w:tc>
          <w:tcPr>
            <w:tcW w:w="597" w:type="pct"/>
            <w:tcBorders>
              <w:top w:val="single" w:sz="4" w:space="0" w:color="auto"/>
              <w:left w:val="single" w:sz="4" w:space="0" w:color="auto"/>
              <w:right w:val="single" w:sz="4" w:space="0" w:color="auto"/>
            </w:tcBorders>
          </w:tcPr>
          <w:p w14:paraId="1E092759"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60</w:t>
            </w:r>
          </w:p>
        </w:tc>
        <w:tc>
          <w:tcPr>
            <w:tcW w:w="585" w:type="pct"/>
            <w:tcBorders>
              <w:top w:val="single" w:sz="4" w:space="0" w:color="auto"/>
              <w:left w:val="single" w:sz="4" w:space="0" w:color="auto"/>
              <w:right w:val="single" w:sz="4" w:space="0" w:color="auto"/>
            </w:tcBorders>
          </w:tcPr>
          <w:p w14:paraId="60374B0F" w14:textId="77777777" w:rsidR="00A277CA" w:rsidRPr="00A277CA" w:rsidRDefault="00A277CA" w:rsidP="00FA4D4F">
            <w:pPr>
              <w:jc w:val="center"/>
              <w:rPr>
                <w:rFonts w:ascii="Arial Narrow" w:eastAsia="Calibri" w:hAnsi="Arial Narrow"/>
                <w:bCs/>
                <w:sz w:val="20"/>
                <w:szCs w:val="20"/>
              </w:rPr>
            </w:pPr>
            <w:r w:rsidRPr="00A277CA">
              <w:rPr>
                <w:rFonts w:ascii="Arial Narrow" w:eastAsia="Calibri" w:hAnsi="Arial Narrow"/>
                <w:bCs/>
                <w:sz w:val="20"/>
                <w:szCs w:val="20"/>
              </w:rPr>
              <w:t>2</w:t>
            </w:r>
          </w:p>
        </w:tc>
        <w:tc>
          <w:tcPr>
            <w:tcW w:w="835" w:type="pct"/>
            <w:tcBorders>
              <w:top w:val="single" w:sz="4" w:space="0" w:color="auto"/>
              <w:left w:val="single" w:sz="4" w:space="0" w:color="auto"/>
              <w:right w:val="single" w:sz="4" w:space="0" w:color="auto"/>
            </w:tcBorders>
          </w:tcPr>
          <w:p w14:paraId="44477476" w14:textId="77777777" w:rsidR="00A277CA" w:rsidRPr="00A277CA" w:rsidRDefault="00A277CA" w:rsidP="00FA4D4F">
            <w:pPr>
              <w:jc w:val="center"/>
              <w:rPr>
                <w:rFonts w:ascii="Arial Narrow" w:eastAsia="Calibri" w:hAnsi="Arial Narrow"/>
                <w:b/>
                <w:sz w:val="20"/>
                <w:szCs w:val="20"/>
              </w:rPr>
            </w:pPr>
            <w:r w:rsidRPr="00A277CA">
              <w:rPr>
                <w:rFonts w:ascii="Arial Narrow" w:eastAsia="Calibri" w:hAnsi="Arial Narrow"/>
                <w:bCs/>
                <w:sz w:val="20"/>
                <w:szCs w:val="20"/>
              </w:rPr>
              <w:t>ISTURISA</w:t>
            </w:r>
          </w:p>
        </w:tc>
      </w:tr>
      <w:tr w:rsidR="00A277CA" w:rsidRPr="00A277CA" w14:paraId="7D9F9148" w14:textId="77777777" w:rsidTr="00FA4D4F">
        <w:tc>
          <w:tcPr>
            <w:tcW w:w="5000" w:type="pct"/>
            <w:gridSpan w:val="8"/>
            <w:tcBorders>
              <w:top w:val="single" w:sz="4" w:space="0" w:color="auto"/>
              <w:left w:val="single" w:sz="4" w:space="0" w:color="auto"/>
              <w:right w:val="single" w:sz="4" w:space="0" w:color="auto"/>
            </w:tcBorders>
          </w:tcPr>
          <w:p w14:paraId="66A907DD" w14:textId="77777777" w:rsidR="00A277CA" w:rsidRPr="00A277CA" w:rsidRDefault="00A277CA" w:rsidP="00FA4D4F">
            <w:pPr>
              <w:rPr>
                <w:rFonts w:ascii="Arial Narrow" w:eastAsia="Calibri" w:hAnsi="Arial Narrow"/>
                <w:b/>
                <w:sz w:val="20"/>
                <w:szCs w:val="20"/>
              </w:rPr>
            </w:pPr>
          </w:p>
        </w:tc>
      </w:tr>
      <w:tr w:rsidR="00A277CA" w:rsidRPr="00A277CA" w14:paraId="1ABD4E69" w14:textId="77777777" w:rsidTr="00FA4D4F">
        <w:tc>
          <w:tcPr>
            <w:tcW w:w="5000" w:type="pct"/>
            <w:gridSpan w:val="8"/>
            <w:tcBorders>
              <w:top w:val="single" w:sz="4" w:space="0" w:color="auto"/>
              <w:left w:val="single" w:sz="4" w:space="0" w:color="auto"/>
              <w:right w:val="single" w:sz="4" w:space="0" w:color="auto"/>
            </w:tcBorders>
          </w:tcPr>
          <w:p w14:paraId="6D957BDA" w14:textId="77777777" w:rsidR="00A277CA" w:rsidRPr="00A277CA" w:rsidRDefault="00A277CA" w:rsidP="00FA4D4F">
            <w:pPr>
              <w:rPr>
                <w:rFonts w:ascii="Arial Narrow" w:eastAsia="Calibri" w:hAnsi="Arial Narrow"/>
                <w:b/>
                <w:sz w:val="20"/>
                <w:szCs w:val="20"/>
              </w:rPr>
            </w:pPr>
            <w:r w:rsidRPr="00A277CA">
              <w:rPr>
                <w:rFonts w:ascii="Arial Narrow" w:hAnsi="Arial Narrow"/>
                <w:b/>
                <w:sz w:val="20"/>
                <w:szCs w:val="20"/>
              </w:rPr>
              <w:lastRenderedPageBreak/>
              <w:t>Restriction Summary [new5]</w:t>
            </w:r>
            <w:r w:rsidRPr="00A277CA">
              <w:rPr>
                <w:rFonts w:ascii="Arial Narrow" w:hAnsi="Arial Narrow"/>
                <w:b/>
                <w:color w:val="FF0000"/>
                <w:sz w:val="20"/>
                <w:szCs w:val="20"/>
              </w:rPr>
              <w:t xml:space="preserve"> </w:t>
            </w:r>
            <w:r w:rsidRPr="00A277CA">
              <w:rPr>
                <w:rFonts w:ascii="Arial Narrow" w:hAnsi="Arial Narrow"/>
                <w:b/>
                <w:sz w:val="20"/>
                <w:szCs w:val="20"/>
              </w:rPr>
              <w:t xml:space="preserve">/ Treatment of Concept: [new6] </w:t>
            </w:r>
          </w:p>
        </w:tc>
      </w:tr>
      <w:tr w:rsidR="00A277CA" w:rsidRPr="00A277CA" w14:paraId="5772C81C" w14:textId="77777777" w:rsidTr="00FA4D4F">
        <w:tc>
          <w:tcPr>
            <w:tcW w:w="670" w:type="pct"/>
            <w:gridSpan w:val="2"/>
            <w:vMerge w:val="restart"/>
            <w:tcBorders>
              <w:top w:val="single" w:sz="4" w:space="0" w:color="auto"/>
              <w:left w:val="single" w:sz="4" w:space="0" w:color="auto"/>
              <w:right w:val="single" w:sz="4" w:space="0" w:color="auto"/>
            </w:tcBorders>
          </w:tcPr>
          <w:p w14:paraId="24588654" w14:textId="77777777" w:rsidR="00A277CA" w:rsidRPr="00A277CA" w:rsidRDefault="00A277CA" w:rsidP="001E6B46">
            <w:pPr>
              <w:jc w:val="center"/>
              <w:rPr>
                <w:rFonts w:ascii="Arial Narrow" w:eastAsia="Calibri" w:hAnsi="Arial Narrow"/>
                <w:b/>
                <w:sz w:val="20"/>
                <w:szCs w:val="20"/>
              </w:rPr>
            </w:pPr>
            <w:r w:rsidRPr="00A277CA">
              <w:rPr>
                <w:rFonts w:ascii="Arial Narrow" w:eastAsia="Calibri" w:hAnsi="Arial Narrow"/>
                <w:b/>
                <w:sz w:val="20"/>
                <w:szCs w:val="20"/>
              </w:rPr>
              <w:t>Concept ID</w:t>
            </w:r>
          </w:p>
          <w:p w14:paraId="7325F930" w14:textId="77777777" w:rsidR="00A277CA" w:rsidRPr="00A277CA" w:rsidRDefault="00A277CA" w:rsidP="00FA4D4F">
            <w:pPr>
              <w:rPr>
                <w:rFonts w:ascii="Arial Narrow" w:eastAsia="Calibri" w:hAnsi="Arial Narrow"/>
                <w:sz w:val="20"/>
                <w:szCs w:val="20"/>
              </w:rPr>
            </w:pPr>
          </w:p>
          <w:p w14:paraId="12D59AE1" w14:textId="77777777" w:rsidR="00A277CA" w:rsidRPr="00A277CA" w:rsidRDefault="00A277CA" w:rsidP="00FA4D4F">
            <w:pPr>
              <w:jc w:val="center"/>
              <w:rPr>
                <w:rFonts w:ascii="Arial Narrow" w:eastAsia="Calibri" w:hAnsi="Arial Narrow"/>
                <w:sz w:val="20"/>
                <w:szCs w:val="20"/>
              </w:rPr>
            </w:pPr>
            <w:r w:rsidRPr="00A277CA">
              <w:rPr>
                <w:rFonts w:ascii="Arial Narrow" w:eastAsia="Calibri" w:hAnsi="Arial Narrow"/>
                <w:sz w:val="20"/>
                <w:szCs w:val="20"/>
              </w:rPr>
              <w:t>(for internal Dept. use)</w:t>
            </w:r>
          </w:p>
          <w:p w14:paraId="7E7540BF" w14:textId="77777777" w:rsidR="00A277CA" w:rsidRPr="00A277CA" w:rsidRDefault="00A277CA" w:rsidP="00FA4D4F">
            <w:pPr>
              <w:rPr>
                <w:rFonts w:ascii="Arial Narrow" w:eastAsia="Calibri" w:hAnsi="Arial Narrow"/>
                <w:sz w:val="20"/>
                <w:szCs w:val="20"/>
              </w:rPr>
            </w:pPr>
          </w:p>
          <w:p w14:paraId="7341E20F" w14:textId="77777777" w:rsidR="00A277CA" w:rsidRPr="00A277CA" w:rsidRDefault="00A277CA" w:rsidP="00FA4D4F">
            <w:pPr>
              <w:rPr>
                <w:rFonts w:ascii="Arial Narrow" w:eastAsia="Calibri" w:hAnsi="Arial Narrow"/>
                <w:b/>
                <w:sz w:val="20"/>
                <w:szCs w:val="20"/>
              </w:rPr>
            </w:pPr>
          </w:p>
        </w:tc>
        <w:tc>
          <w:tcPr>
            <w:tcW w:w="4330" w:type="pct"/>
            <w:gridSpan w:val="6"/>
            <w:tcBorders>
              <w:top w:val="single" w:sz="4" w:space="0" w:color="auto"/>
              <w:left w:val="single" w:sz="4" w:space="0" w:color="auto"/>
              <w:bottom w:val="single" w:sz="4" w:space="0" w:color="auto"/>
              <w:right w:val="single" w:sz="4" w:space="0" w:color="auto"/>
            </w:tcBorders>
          </w:tcPr>
          <w:p w14:paraId="418A5143"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b/>
                <w:sz w:val="20"/>
                <w:szCs w:val="20"/>
              </w:rPr>
              <w:t xml:space="preserve">Category / Program: </w:t>
            </w:r>
          </w:p>
          <w:p w14:paraId="725C3BE6"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t>Section 85 – General Schedule</w:t>
            </w:r>
          </w:p>
        </w:tc>
      </w:tr>
      <w:tr w:rsidR="00A277CA" w:rsidRPr="00A277CA" w14:paraId="3139FE3E" w14:textId="77777777" w:rsidTr="00FA4D4F">
        <w:trPr>
          <w:trHeight w:val="240"/>
        </w:trPr>
        <w:tc>
          <w:tcPr>
            <w:tcW w:w="670" w:type="pct"/>
            <w:gridSpan w:val="2"/>
            <w:vMerge/>
            <w:tcBorders>
              <w:left w:val="single" w:sz="4" w:space="0" w:color="auto"/>
              <w:right w:val="single" w:sz="4" w:space="0" w:color="auto"/>
            </w:tcBorders>
          </w:tcPr>
          <w:p w14:paraId="6973C731" w14:textId="77777777" w:rsidR="00A277CA" w:rsidRPr="00A277CA" w:rsidRDefault="00A277CA" w:rsidP="00FA4D4F">
            <w:pPr>
              <w:rPr>
                <w:rFonts w:ascii="Arial Narrow" w:eastAsia="Calibri" w:hAnsi="Arial Narrow"/>
                <w:sz w:val="20"/>
                <w:szCs w:val="20"/>
              </w:rPr>
            </w:pPr>
          </w:p>
        </w:tc>
        <w:tc>
          <w:tcPr>
            <w:tcW w:w="4330" w:type="pct"/>
            <w:gridSpan w:val="6"/>
            <w:tcBorders>
              <w:top w:val="single" w:sz="4" w:space="0" w:color="auto"/>
              <w:left w:val="single" w:sz="4" w:space="0" w:color="auto"/>
              <w:bottom w:val="single" w:sz="4" w:space="0" w:color="auto"/>
              <w:right w:val="single" w:sz="4" w:space="0" w:color="auto"/>
            </w:tcBorders>
          </w:tcPr>
          <w:p w14:paraId="19AD87A8"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
                <w:sz w:val="20"/>
                <w:szCs w:val="20"/>
              </w:rPr>
              <w:t xml:space="preserve">Prescriber type: </w:t>
            </w: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Dental </w:t>
            </w:r>
            <w:r w:rsidRPr="00A277CA">
              <w:rPr>
                <w:rFonts w:ascii="Arial Narrow" w:eastAsia="Calibri" w:hAnsi="Arial Narrow"/>
                <w:sz w:val="20"/>
                <w:szCs w:val="20"/>
              </w:rPr>
              <w:fldChar w:fldCharType="begin">
                <w:ffData>
                  <w:name w:val=""/>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Medical Practitioners </w:t>
            </w:r>
            <w:r w:rsidRPr="00A277CA">
              <w:rPr>
                <w:rFonts w:ascii="Arial Narrow" w:eastAsia="Calibri" w:hAnsi="Arial Narrow"/>
                <w:sz w:val="20"/>
                <w:szCs w:val="20"/>
              </w:rPr>
              <w:fldChar w:fldCharType="begin">
                <w:ffData>
                  <w:name w:val="Check3"/>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Nurse practitioners </w:t>
            </w: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Optometrists </w:t>
            </w:r>
            <w:r w:rsidRPr="00A277CA">
              <w:rPr>
                <w:rFonts w:ascii="Arial Narrow" w:eastAsia="Calibri" w:hAnsi="Arial Narrow"/>
                <w:sz w:val="20"/>
                <w:szCs w:val="20"/>
              </w:rPr>
              <w:fldChar w:fldCharType="begin">
                <w:ffData>
                  <w:name w:val="Check5"/>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Midwives</w:t>
            </w:r>
          </w:p>
        </w:tc>
      </w:tr>
      <w:tr w:rsidR="00A277CA" w:rsidRPr="00A277CA" w14:paraId="1CAAB4BC" w14:textId="77777777" w:rsidTr="00FA4D4F">
        <w:tc>
          <w:tcPr>
            <w:tcW w:w="670" w:type="pct"/>
            <w:gridSpan w:val="2"/>
            <w:vMerge/>
            <w:tcBorders>
              <w:left w:val="single" w:sz="4" w:space="0" w:color="auto"/>
              <w:bottom w:val="single" w:sz="4" w:space="0" w:color="auto"/>
              <w:right w:val="single" w:sz="4" w:space="0" w:color="auto"/>
            </w:tcBorders>
          </w:tcPr>
          <w:p w14:paraId="18DB4B92" w14:textId="77777777" w:rsidR="00A277CA" w:rsidRPr="00A277CA" w:rsidRDefault="00A277CA" w:rsidP="00FA4D4F">
            <w:pPr>
              <w:rPr>
                <w:rFonts w:ascii="Arial Narrow" w:eastAsia="Calibri" w:hAnsi="Arial Narrow"/>
                <w:sz w:val="20"/>
                <w:szCs w:val="20"/>
              </w:rPr>
            </w:pPr>
          </w:p>
        </w:tc>
        <w:tc>
          <w:tcPr>
            <w:tcW w:w="4330" w:type="pct"/>
            <w:gridSpan w:val="6"/>
            <w:tcBorders>
              <w:top w:val="single" w:sz="4" w:space="0" w:color="auto"/>
              <w:left w:val="single" w:sz="4" w:space="0" w:color="auto"/>
              <w:bottom w:val="single" w:sz="4" w:space="0" w:color="auto"/>
              <w:right w:val="single" w:sz="4" w:space="0" w:color="auto"/>
            </w:tcBorders>
          </w:tcPr>
          <w:p w14:paraId="2FEED89C"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
                <w:sz w:val="20"/>
                <w:szCs w:val="20"/>
              </w:rPr>
              <w:t>Restriction Type – assessment time by Services Australia – Method of obtaining authority approval (if Authority Required)</w:t>
            </w:r>
          </w:p>
          <w:p w14:paraId="78F8B7D4"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Unrestricted benefit</w:t>
            </w:r>
          </w:p>
          <w:p w14:paraId="78B13414"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Check1"/>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Restricted benefit</w:t>
            </w:r>
          </w:p>
          <w:p w14:paraId="4127CB0B"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 xml:space="preserve">Authority Required – Streamlined [new/existing code] (specification of 4-digit code by prescriber to certify that they have read the PBS restriction; no prior assessment by Services Australia; retrospective audit of patient records possible) </w:t>
            </w:r>
          </w:p>
          <w:p w14:paraId="2EA52E81"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1"/>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immediate/real time assessment by Services Australia (telephone/online application avenues)</w:t>
            </w:r>
          </w:p>
          <w:p w14:paraId="11F5C59C" w14:textId="77777777" w:rsidR="00A277CA" w:rsidRPr="00A277CA" w:rsidRDefault="00A277CA" w:rsidP="00FA4D4F">
            <w:pPr>
              <w:rPr>
                <w:rFonts w:ascii="Arial Narrow" w:eastAsia="Calibri" w:hAnsi="Arial Narrow"/>
                <w:sz w:val="20"/>
                <w:szCs w:val="20"/>
              </w:rPr>
            </w:pPr>
            <w:r w:rsidRPr="00A277CA">
              <w:rPr>
                <w:rFonts w:ascii="Arial Narrow" w:eastAsia="Calibri" w:hAnsi="Arial Narrow"/>
                <w:sz w:val="20"/>
                <w:szCs w:val="20"/>
              </w:rPr>
              <w:fldChar w:fldCharType="begin">
                <w:ffData>
                  <w:name w:val=""/>
                  <w:enabled/>
                  <w:calcOnExit w:val="0"/>
                  <w:checkBox>
                    <w:sizeAuto/>
                    <w:default w:val="0"/>
                  </w:checkBox>
                </w:ffData>
              </w:fldChar>
            </w:r>
            <w:r w:rsidRPr="00A277CA">
              <w:rPr>
                <w:rFonts w:ascii="Arial Narrow" w:eastAsia="Calibri" w:hAnsi="Arial Narrow"/>
                <w:sz w:val="20"/>
                <w:szCs w:val="20"/>
              </w:rPr>
              <w:instrText xml:space="preserve"> FORMCHECKBOX </w:instrText>
            </w:r>
            <w:r w:rsidR="00A9220E">
              <w:rPr>
                <w:rFonts w:ascii="Arial Narrow" w:eastAsia="Calibri" w:hAnsi="Arial Narrow"/>
                <w:sz w:val="20"/>
                <w:szCs w:val="20"/>
              </w:rPr>
            </w:r>
            <w:r w:rsidR="00A9220E">
              <w:rPr>
                <w:rFonts w:ascii="Arial Narrow" w:eastAsia="Calibri" w:hAnsi="Arial Narrow"/>
                <w:sz w:val="20"/>
                <w:szCs w:val="20"/>
              </w:rPr>
              <w:fldChar w:fldCharType="separate"/>
            </w:r>
            <w:r w:rsidRPr="00A277CA">
              <w:rPr>
                <w:rFonts w:ascii="Arial Narrow" w:eastAsia="Calibri" w:hAnsi="Arial Narrow"/>
                <w:sz w:val="20"/>
                <w:szCs w:val="20"/>
              </w:rPr>
              <w:fldChar w:fldCharType="end"/>
            </w:r>
            <w:r w:rsidRPr="00A277CA">
              <w:rPr>
                <w:rFonts w:ascii="Arial Narrow" w:eastAsia="Calibri" w:hAnsi="Arial Narrow"/>
                <w:sz w:val="20"/>
                <w:szCs w:val="20"/>
              </w:rPr>
              <w:t>Authority Required – non-immediate/delayed assessment by Services Australia (in-writing only via mail/postal service or electronic upload to Hobart; requires at least one concept ID to be marked as ‘FULL’ for full assessment by Services Australia)</w:t>
            </w:r>
          </w:p>
        </w:tc>
      </w:tr>
      <w:tr w:rsidR="00A277CA" w:rsidRPr="00A277CA" w14:paraId="02A2F39C" w14:textId="77777777" w:rsidTr="00FA4D4F">
        <w:tc>
          <w:tcPr>
            <w:tcW w:w="271" w:type="pct"/>
            <w:vMerge w:val="restart"/>
            <w:tcBorders>
              <w:left w:val="single" w:sz="4" w:space="0" w:color="auto"/>
              <w:right w:val="single" w:sz="4" w:space="0" w:color="auto"/>
            </w:tcBorders>
            <w:vAlign w:val="center"/>
          </w:tcPr>
          <w:p w14:paraId="5BE45993" w14:textId="7A2633A7" w:rsidR="00A277CA" w:rsidRPr="00A277CA" w:rsidRDefault="00A277CA" w:rsidP="00FA4D4F">
            <w:pPr>
              <w:rPr>
                <w:rFonts w:ascii="Arial Narrow" w:eastAsia="Calibri" w:hAnsi="Arial Narrow"/>
                <w:iCs/>
                <w:sz w:val="20"/>
                <w:szCs w:val="20"/>
              </w:rPr>
            </w:pPr>
          </w:p>
        </w:tc>
        <w:tc>
          <w:tcPr>
            <w:tcW w:w="399" w:type="pct"/>
            <w:tcBorders>
              <w:left w:val="single" w:sz="4" w:space="0" w:color="auto"/>
              <w:bottom w:val="single" w:sz="4" w:space="0" w:color="auto"/>
              <w:right w:val="single" w:sz="4" w:space="0" w:color="auto"/>
            </w:tcBorders>
            <w:vAlign w:val="center"/>
          </w:tcPr>
          <w:p w14:paraId="624D4EF7" w14:textId="190120FF" w:rsidR="00A277CA" w:rsidRPr="00A277CA" w:rsidRDefault="00A277CA" w:rsidP="00FA4D4F">
            <w:pPr>
              <w:rPr>
                <w:rFonts w:ascii="Arial Narrow" w:eastAsia="Calibri" w:hAnsi="Arial Narrow"/>
                <w:iCs/>
                <w:sz w:val="20"/>
                <w:szCs w:val="20"/>
              </w:rPr>
            </w:pPr>
          </w:p>
        </w:tc>
        <w:tc>
          <w:tcPr>
            <w:tcW w:w="4330" w:type="pct"/>
            <w:gridSpan w:val="6"/>
            <w:tcBorders>
              <w:top w:val="single" w:sz="4" w:space="0" w:color="auto"/>
              <w:left w:val="single" w:sz="4" w:space="0" w:color="auto"/>
              <w:bottom w:val="single" w:sz="4" w:space="0" w:color="auto"/>
              <w:right w:val="single" w:sz="4" w:space="0" w:color="auto"/>
            </w:tcBorders>
            <w:vAlign w:val="center"/>
          </w:tcPr>
          <w:p w14:paraId="5A866979"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The following should be assessed prior to receiving treatment and closely monitored throughout the treatment period:</w:t>
            </w:r>
          </w:p>
          <w:p w14:paraId="71891DB9" w14:textId="77777777" w:rsidR="00A277CA" w:rsidRPr="00A277CA" w:rsidRDefault="00A277CA" w:rsidP="0047787D">
            <w:pPr>
              <w:numPr>
                <w:ilvl w:val="0"/>
                <w:numId w:val="13"/>
              </w:numPr>
              <w:contextualSpacing/>
              <w:rPr>
                <w:rFonts w:ascii="Arial Narrow" w:hAnsi="Arial Narrow"/>
                <w:iCs/>
                <w:strike/>
                <w:color w:val="333333"/>
                <w:sz w:val="20"/>
                <w:szCs w:val="20"/>
              </w:rPr>
            </w:pPr>
            <w:r w:rsidRPr="00A277CA">
              <w:rPr>
                <w:rFonts w:ascii="Arial Narrow" w:hAnsi="Arial Narrow"/>
                <w:iCs/>
                <w:color w:val="333333"/>
                <w:sz w:val="20"/>
                <w:szCs w:val="20"/>
              </w:rPr>
              <w:t>QTc prolongation via an electrocardiogram</w:t>
            </w:r>
          </w:p>
          <w:p w14:paraId="34462916" w14:textId="77777777" w:rsidR="00A277CA" w:rsidRPr="00A277CA" w:rsidRDefault="00A277CA" w:rsidP="0047787D">
            <w:pPr>
              <w:pStyle w:val="ListParagraph"/>
              <w:numPr>
                <w:ilvl w:val="0"/>
                <w:numId w:val="13"/>
              </w:numPr>
              <w:spacing w:after="0"/>
              <w:contextualSpacing/>
              <w:rPr>
                <w:rFonts w:ascii="Arial Narrow" w:eastAsia="Calibri" w:hAnsi="Arial Narrow"/>
                <w:iCs/>
                <w:sz w:val="20"/>
                <w:szCs w:val="20"/>
              </w:rPr>
            </w:pPr>
            <w:r w:rsidRPr="00A277CA">
              <w:rPr>
                <w:rFonts w:ascii="Arial Narrow" w:hAnsi="Arial Narrow"/>
                <w:iCs/>
                <w:color w:val="333333"/>
                <w:sz w:val="20"/>
                <w:szCs w:val="20"/>
              </w:rPr>
              <w:t>Hypocortisolism</w:t>
            </w:r>
          </w:p>
        </w:tc>
      </w:tr>
      <w:tr w:rsidR="00A277CA" w:rsidRPr="00A277CA" w14:paraId="0EA63F82" w14:textId="77777777" w:rsidTr="00FA4D4F">
        <w:tc>
          <w:tcPr>
            <w:tcW w:w="271" w:type="pct"/>
            <w:vMerge/>
            <w:tcBorders>
              <w:left w:val="single" w:sz="4" w:space="0" w:color="auto"/>
              <w:right w:val="single" w:sz="4" w:space="0" w:color="auto"/>
            </w:tcBorders>
            <w:vAlign w:val="center"/>
          </w:tcPr>
          <w:p w14:paraId="40684724" w14:textId="77777777" w:rsidR="00A277CA" w:rsidRPr="00A277CA" w:rsidRDefault="00A277CA" w:rsidP="00FA4D4F">
            <w:pPr>
              <w:rPr>
                <w:rFonts w:ascii="Arial Narrow" w:eastAsia="Calibri" w:hAnsi="Arial Narrow"/>
                <w:iCs/>
                <w:sz w:val="20"/>
                <w:szCs w:val="20"/>
              </w:rPr>
            </w:pPr>
          </w:p>
        </w:tc>
        <w:tc>
          <w:tcPr>
            <w:tcW w:w="399" w:type="pct"/>
            <w:tcBorders>
              <w:left w:val="single" w:sz="4" w:space="0" w:color="auto"/>
              <w:bottom w:val="single" w:sz="4" w:space="0" w:color="auto"/>
              <w:right w:val="single" w:sz="4" w:space="0" w:color="auto"/>
            </w:tcBorders>
            <w:vAlign w:val="center"/>
          </w:tcPr>
          <w:p w14:paraId="7B7E1501" w14:textId="5B5B9C05" w:rsidR="00A277CA" w:rsidRPr="00A277CA" w:rsidRDefault="00A277CA" w:rsidP="00FA4D4F">
            <w:pPr>
              <w:rPr>
                <w:rFonts w:ascii="Arial Narrow" w:eastAsia="Calibri" w:hAnsi="Arial Narrow"/>
                <w:iCs/>
                <w:sz w:val="20"/>
                <w:szCs w:val="20"/>
              </w:rPr>
            </w:pPr>
          </w:p>
        </w:tc>
        <w:tc>
          <w:tcPr>
            <w:tcW w:w="4330" w:type="pct"/>
            <w:gridSpan w:val="6"/>
            <w:tcBorders>
              <w:top w:val="single" w:sz="4" w:space="0" w:color="auto"/>
              <w:left w:val="single" w:sz="4" w:space="0" w:color="auto"/>
              <w:bottom w:val="single" w:sz="4" w:space="0" w:color="auto"/>
              <w:right w:val="single" w:sz="4" w:space="0" w:color="auto"/>
            </w:tcBorders>
            <w:vAlign w:val="center"/>
          </w:tcPr>
          <w:p w14:paraId="2EF8D1E8"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1A998594" w14:textId="77777777" w:rsidR="00A277CA" w:rsidRPr="00A277CA" w:rsidRDefault="00A277CA" w:rsidP="00FA4D4F">
            <w:pPr>
              <w:rPr>
                <w:rFonts w:ascii="Arial Narrow" w:eastAsia="Calibri" w:hAnsi="Arial Narrow"/>
                <w:iCs/>
                <w:sz w:val="20"/>
                <w:szCs w:val="20"/>
              </w:rPr>
            </w:pPr>
            <w:r w:rsidRPr="00A277CA">
              <w:rPr>
                <w:rFonts w:ascii="Arial Narrow" w:hAnsi="Arial Narrow"/>
                <w:iCs/>
                <w:color w:val="333333"/>
                <w:sz w:val="20"/>
                <w:szCs w:val="20"/>
              </w:rPr>
              <w:t>Cortisol levels should be monitored at regular intervals, since hypocortisolism-related events can occur at any time during treatment.</w:t>
            </w:r>
          </w:p>
        </w:tc>
      </w:tr>
      <w:tr w:rsidR="00A277CA" w:rsidRPr="00A277CA" w14:paraId="6CF922B6" w14:textId="77777777" w:rsidTr="00FA4D4F">
        <w:tc>
          <w:tcPr>
            <w:tcW w:w="271" w:type="pct"/>
            <w:vMerge/>
            <w:tcBorders>
              <w:left w:val="single" w:sz="4" w:space="0" w:color="auto"/>
              <w:right w:val="single" w:sz="4" w:space="0" w:color="auto"/>
            </w:tcBorders>
            <w:vAlign w:val="center"/>
          </w:tcPr>
          <w:p w14:paraId="1ADF0F4F" w14:textId="77777777" w:rsidR="00A277CA" w:rsidRPr="00A277CA" w:rsidRDefault="00A277CA" w:rsidP="00FA4D4F">
            <w:pPr>
              <w:rPr>
                <w:rFonts w:ascii="Arial Narrow" w:eastAsia="Calibri" w:hAnsi="Arial Narrow"/>
                <w:iCs/>
                <w:sz w:val="20"/>
                <w:szCs w:val="20"/>
              </w:rPr>
            </w:pPr>
          </w:p>
        </w:tc>
        <w:tc>
          <w:tcPr>
            <w:tcW w:w="399" w:type="pct"/>
            <w:tcBorders>
              <w:left w:val="single" w:sz="4" w:space="0" w:color="auto"/>
              <w:bottom w:val="single" w:sz="4" w:space="0" w:color="auto"/>
              <w:right w:val="single" w:sz="4" w:space="0" w:color="auto"/>
            </w:tcBorders>
            <w:vAlign w:val="center"/>
          </w:tcPr>
          <w:p w14:paraId="7A5AFC33" w14:textId="647D4D4C" w:rsidR="00A277CA" w:rsidRPr="00A277CA" w:rsidRDefault="00A277CA" w:rsidP="00FA4D4F">
            <w:pPr>
              <w:rPr>
                <w:rFonts w:ascii="Arial Narrow" w:eastAsia="Calibri" w:hAnsi="Arial Narrow"/>
                <w:iCs/>
                <w:sz w:val="20"/>
                <w:szCs w:val="20"/>
              </w:rPr>
            </w:pPr>
          </w:p>
        </w:tc>
        <w:tc>
          <w:tcPr>
            <w:tcW w:w="4330" w:type="pct"/>
            <w:gridSpan w:val="6"/>
            <w:tcBorders>
              <w:top w:val="single" w:sz="4" w:space="0" w:color="auto"/>
              <w:left w:val="single" w:sz="4" w:space="0" w:color="auto"/>
              <w:bottom w:val="single" w:sz="4" w:space="0" w:color="auto"/>
              <w:right w:val="single" w:sz="4" w:space="0" w:color="auto"/>
            </w:tcBorders>
            <w:vAlign w:val="center"/>
          </w:tcPr>
          <w:p w14:paraId="0F8A1AB4"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402F2DB4"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No increase in the maximum number of repeats may be authorised.</w:t>
            </w:r>
          </w:p>
        </w:tc>
      </w:tr>
      <w:tr w:rsidR="00A277CA" w:rsidRPr="00A277CA" w14:paraId="60305AB5" w14:textId="77777777" w:rsidTr="00FA4D4F">
        <w:tc>
          <w:tcPr>
            <w:tcW w:w="271" w:type="pct"/>
            <w:vMerge/>
            <w:tcBorders>
              <w:left w:val="single" w:sz="4" w:space="0" w:color="auto"/>
              <w:bottom w:val="single" w:sz="4" w:space="0" w:color="auto"/>
              <w:right w:val="single" w:sz="4" w:space="0" w:color="auto"/>
            </w:tcBorders>
            <w:vAlign w:val="center"/>
          </w:tcPr>
          <w:p w14:paraId="2CB59588" w14:textId="77777777" w:rsidR="00A277CA" w:rsidRPr="00A277CA" w:rsidRDefault="00A277CA" w:rsidP="00FA4D4F">
            <w:pPr>
              <w:rPr>
                <w:rFonts w:ascii="Arial Narrow" w:eastAsia="Calibri" w:hAnsi="Arial Narrow"/>
                <w:iCs/>
                <w:sz w:val="20"/>
                <w:szCs w:val="20"/>
              </w:rPr>
            </w:pPr>
          </w:p>
        </w:tc>
        <w:tc>
          <w:tcPr>
            <w:tcW w:w="399" w:type="pct"/>
            <w:tcBorders>
              <w:left w:val="single" w:sz="4" w:space="0" w:color="auto"/>
              <w:bottom w:val="single" w:sz="4" w:space="0" w:color="auto"/>
              <w:right w:val="single" w:sz="4" w:space="0" w:color="auto"/>
            </w:tcBorders>
            <w:vAlign w:val="center"/>
          </w:tcPr>
          <w:p w14:paraId="4D364E29" w14:textId="360B4283" w:rsidR="00A277CA" w:rsidRPr="00A277CA" w:rsidRDefault="00A277CA" w:rsidP="00FA4D4F">
            <w:pPr>
              <w:rPr>
                <w:rFonts w:ascii="Arial Narrow" w:eastAsia="Calibri" w:hAnsi="Arial Narrow"/>
                <w:iCs/>
                <w:sz w:val="20"/>
                <w:szCs w:val="20"/>
              </w:rPr>
            </w:pPr>
          </w:p>
        </w:tc>
        <w:tc>
          <w:tcPr>
            <w:tcW w:w="4330" w:type="pct"/>
            <w:gridSpan w:val="6"/>
            <w:tcBorders>
              <w:top w:val="single" w:sz="4" w:space="0" w:color="auto"/>
              <w:left w:val="single" w:sz="4" w:space="0" w:color="auto"/>
              <w:bottom w:val="single" w:sz="4" w:space="0" w:color="auto"/>
              <w:right w:val="single" w:sz="4" w:space="0" w:color="auto"/>
            </w:tcBorders>
            <w:vAlign w:val="center"/>
          </w:tcPr>
          <w:p w14:paraId="376146DF"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iCs/>
                <w:sz w:val="20"/>
                <w:szCs w:val="20"/>
              </w:rPr>
              <w:t xml:space="preserve">Administrative Advice: </w:t>
            </w:r>
          </w:p>
          <w:p w14:paraId="29E8B9E5" w14:textId="77777777" w:rsidR="00A277CA" w:rsidRPr="00A277CA" w:rsidRDefault="00A277CA" w:rsidP="00FA4D4F">
            <w:pPr>
              <w:rPr>
                <w:rFonts w:ascii="Arial Narrow" w:eastAsia="Calibri" w:hAnsi="Arial Narrow"/>
                <w:iCs/>
                <w:sz w:val="20"/>
                <w:szCs w:val="20"/>
              </w:rPr>
            </w:pPr>
            <w:r w:rsidRPr="00A277CA">
              <w:rPr>
                <w:rFonts w:ascii="Arial Narrow" w:eastAsia="Calibri" w:hAnsi="Arial Narrow"/>
                <w:bCs/>
                <w:iCs/>
                <w:sz w:val="20"/>
                <w:szCs w:val="20"/>
              </w:rPr>
              <w:t>Special Pricing Arrangements apply.</w:t>
            </w:r>
          </w:p>
        </w:tc>
      </w:tr>
      <w:tr w:rsidR="00A277CA" w:rsidRPr="00A277CA" w14:paraId="1E931D5D" w14:textId="77777777" w:rsidTr="00FA4D4F">
        <w:tc>
          <w:tcPr>
            <w:tcW w:w="670" w:type="pct"/>
            <w:gridSpan w:val="2"/>
            <w:vAlign w:val="center"/>
          </w:tcPr>
          <w:p w14:paraId="3A14CDC3"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B267CEB" w14:textId="77777777" w:rsidR="00A277CA" w:rsidRPr="00A277CA" w:rsidRDefault="00A277CA" w:rsidP="00FA4D4F">
            <w:pPr>
              <w:rPr>
                <w:rFonts w:ascii="Arial Narrow" w:hAnsi="Arial Narrow"/>
                <w:b/>
                <w:bCs/>
                <w:color w:val="333333"/>
                <w:sz w:val="20"/>
                <w:szCs w:val="20"/>
              </w:rPr>
            </w:pPr>
          </w:p>
        </w:tc>
      </w:tr>
      <w:tr w:rsidR="00A277CA" w:rsidRPr="00A277CA" w14:paraId="7FF99E0F" w14:textId="77777777" w:rsidTr="00FA4D4F">
        <w:tc>
          <w:tcPr>
            <w:tcW w:w="670" w:type="pct"/>
            <w:gridSpan w:val="2"/>
            <w:vAlign w:val="center"/>
          </w:tcPr>
          <w:p w14:paraId="0CDA3209"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29BE2E0E" w14:textId="77777777" w:rsidR="00A277CA" w:rsidRPr="00A277CA" w:rsidRDefault="00A277CA" w:rsidP="00FA4D4F">
            <w:pPr>
              <w:rPr>
                <w:rFonts w:ascii="Arial Narrow" w:hAnsi="Arial Narrow"/>
                <w:bCs/>
                <w:color w:val="333333"/>
                <w:sz w:val="20"/>
                <w:szCs w:val="20"/>
              </w:rPr>
            </w:pPr>
            <w:r w:rsidRPr="00A277CA">
              <w:rPr>
                <w:rFonts w:ascii="Arial Narrow" w:hAnsi="Arial Narrow"/>
                <w:b/>
                <w:bCs/>
                <w:color w:val="333333"/>
                <w:sz w:val="20"/>
                <w:szCs w:val="20"/>
              </w:rPr>
              <w:t xml:space="preserve">Episodicity: </w:t>
            </w:r>
            <w:r w:rsidRPr="00A277CA">
              <w:rPr>
                <w:rFonts w:ascii="Arial Narrow" w:hAnsi="Arial Narrow"/>
                <w:color w:val="333333"/>
                <w:sz w:val="20"/>
                <w:szCs w:val="20"/>
              </w:rPr>
              <w:t>Chronic</w:t>
            </w:r>
          </w:p>
        </w:tc>
      </w:tr>
      <w:tr w:rsidR="00A277CA" w:rsidRPr="00A277CA" w14:paraId="5B2722B2" w14:textId="77777777" w:rsidTr="00FA4D4F">
        <w:tc>
          <w:tcPr>
            <w:tcW w:w="670" w:type="pct"/>
            <w:gridSpan w:val="2"/>
            <w:vAlign w:val="center"/>
          </w:tcPr>
          <w:p w14:paraId="26319086"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56822DE2"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Severity: </w:t>
            </w:r>
            <w:r w:rsidRPr="00A277CA">
              <w:rPr>
                <w:rFonts w:ascii="Arial Narrow" w:hAnsi="Arial Narrow"/>
                <w:color w:val="333333"/>
                <w:sz w:val="20"/>
                <w:szCs w:val="20"/>
              </w:rPr>
              <w:t>NA</w:t>
            </w:r>
          </w:p>
        </w:tc>
      </w:tr>
      <w:tr w:rsidR="00A277CA" w:rsidRPr="00A277CA" w14:paraId="7376185C" w14:textId="77777777" w:rsidTr="00FA4D4F">
        <w:tc>
          <w:tcPr>
            <w:tcW w:w="670" w:type="pct"/>
            <w:gridSpan w:val="2"/>
            <w:vAlign w:val="center"/>
          </w:tcPr>
          <w:p w14:paraId="076B0093"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2F01CF2F"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 xml:space="preserve">Condition: </w:t>
            </w:r>
            <w:r w:rsidRPr="00A277CA">
              <w:rPr>
                <w:rFonts w:ascii="Arial Narrow" w:hAnsi="Arial Narrow"/>
                <w:color w:val="333333"/>
                <w:sz w:val="20"/>
                <w:szCs w:val="20"/>
              </w:rPr>
              <w:t>Endogenous</w:t>
            </w:r>
            <w:r w:rsidRPr="00A277CA">
              <w:rPr>
                <w:rFonts w:ascii="Arial Narrow" w:hAnsi="Arial Narrow"/>
                <w:b/>
                <w:bCs/>
                <w:color w:val="333333"/>
                <w:sz w:val="20"/>
                <w:szCs w:val="20"/>
              </w:rPr>
              <w:t xml:space="preserve"> </w:t>
            </w:r>
            <w:r w:rsidRPr="00A277CA">
              <w:rPr>
                <w:rFonts w:ascii="Arial Narrow" w:hAnsi="Arial Narrow"/>
                <w:bCs/>
                <w:color w:val="333333"/>
                <w:sz w:val="20"/>
                <w:szCs w:val="20"/>
              </w:rPr>
              <w:t>Cushing’s Syndrome</w:t>
            </w:r>
          </w:p>
        </w:tc>
      </w:tr>
      <w:tr w:rsidR="00A277CA" w:rsidRPr="00A277CA" w14:paraId="716206F3" w14:textId="77777777" w:rsidTr="001E6B46">
        <w:tc>
          <w:tcPr>
            <w:tcW w:w="670" w:type="pct"/>
            <w:gridSpan w:val="2"/>
            <w:vAlign w:val="center"/>
          </w:tcPr>
          <w:p w14:paraId="2C7190F2" w14:textId="44EACC90" w:rsidR="00A277CA" w:rsidRPr="00A277CA" w:rsidRDefault="00A277CA" w:rsidP="00FA4D4F">
            <w:pPr>
              <w:jc w:val="center"/>
              <w:rPr>
                <w:rFonts w:ascii="Arial Narrow" w:hAnsi="Arial Narrow"/>
                <w:color w:val="333333"/>
                <w:sz w:val="20"/>
                <w:szCs w:val="20"/>
              </w:rPr>
            </w:pPr>
          </w:p>
        </w:tc>
        <w:tc>
          <w:tcPr>
            <w:tcW w:w="4330" w:type="pct"/>
            <w:gridSpan w:val="6"/>
            <w:vAlign w:val="center"/>
            <w:hideMark/>
          </w:tcPr>
          <w:p w14:paraId="1BD26464"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Indication:</w:t>
            </w:r>
            <w:r w:rsidRPr="00A277CA">
              <w:rPr>
                <w:rFonts w:ascii="Arial Narrow" w:hAnsi="Arial Narrow"/>
                <w:color w:val="333333"/>
                <w:sz w:val="20"/>
                <w:szCs w:val="20"/>
              </w:rPr>
              <w:t xml:space="preserve"> </w:t>
            </w:r>
            <w:r w:rsidRPr="00A277CA">
              <w:rPr>
                <w:rFonts w:ascii="Arial Narrow" w:hAnsi="Arial Narrow"/>
                <w:strike/>
                <w:color w:val="333333"/>
                <w:sz w:val="20"/>
                <w:szCs w:val="20"/>
              </w:rPr>
              <w:t>Patients with</w:t>
            </w:r>
            <w:r w:rsidRPr="00A277CA">
              <w:rPr>
                <w:rFonts w:ascii="Arial Narrow" w:hAnsi="Arial Narrow"/>
                <w:color w:val="333333"/>
                <w:sz w:val="20"/>
                <w:szCs w:val="20"/>
              </w:rPr>
              <w:t xml:space="preserve"> Endogenous Cushing’s syndrome</w:t>
            </w:r>
          </w:p>
        </w:tc>
      </w:tr>
      <w:tr w:rsidR="00A277CA" w:rsidRPr="00A277CA" w14:paraId="755F6723" w14:textId="77777777" w:rsidTr="001E6B46">
        <w:tc>
          <w:tcPr>
            <w:tcW w:w="670" w:type="pct"/>
            <w:gridSpan w:val="2"/>
            <w:vAlign w:val="center"/>
          </w:tcPr>
          <w:p w14:paraId="58B18213"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hideMark/>
          </w:tcPr>
          <w:p w14:paraId="2CD7FF06"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Treatment Phase:</w:t>
            </w:r>
            <w:r w:rsidRPr="00A277CA">
              <w:rPr>
                <w:rFonts w:ascii="Arial Narrow" w:hAnsi="Arial Narrow"/>
                <w:color w:val="333333"/>
                <w:sz w:val="20"/>
                <w:szCs w:val="20"/>
              </w:rPr>
              <w:t xml:space="preserve"> Grandfather</w:t>
            </w:r>
            <w:r w:rsidRPr="00A277CA">
              <w:rPr>
                <w:rFonts w:ascii="Arial Narrow" w:hAnsi="Arial Narrow"/>
                <w:iCs/>
                <w:color w:val="333333"/>
                <w:sz w:val="20"/>
                <w:szCs w:val="20"/>
              </w:rPr>
              <w:t xml:space="preserve"> treatment</w:t>
            </w:r>
            <w:r w:rsidRPr="00A277CA">
              <w:rPr>
                <w:rFonts w:ascii="Arial Narrow" w:hAnsi="Arial Narrow"/>
                <w:color w:val="333333"/>
                <w:sz w:val="20"/>
                <w:szCs w:val="20"/>
              </w:rPr>
              <w:t xml:space="preserve"> </w:t>
            </w:r>
          </w:p>
        </w:tc>
      </w:tr>
      <w:tr w:rsidR="00A277CA" w:rsidRPr="00A277CA" w14:paraId="09FFD7F8" w14:textId="77777777" w:rsidTr="001E6B46">
        <w:tc>
          <w:tcPr>
            <w:tcW w:w="670" w:type="pct"/>
            <w:gridSpan w:val="2"/>
            <w:vAlign w:val="center"/>
          </w:tcPr>
          <w:p w14:paraId="14AFBCDD" w14:textId="3D6B79FE" w:rsidR="00A277CA" w:rsidRPr="00A277CA" w:rsidRDefault="00A277CA" w:rsidP="00FA4D4F">
            <w:pPr>
              <w:jc w:val="center"/>
              <w:rPr>
                <w:rFonts w:ascii="Arial Narrow" w:hAnsi="Arial Narrow"/>
                <w:color w:val="333333"/>
                <w:sz w:val="20"/>
                <w:szCs w:val="20"/>
              </w:rPr>
            </w:pPr>
          </w:p>
        </w:tc>
        <w:tc>
          <w:tcPr>
            <w:tcW w:w="4330" w:type="pct"/>
            <w:gridSpan w:val="6"/>
            <w:vAlign w:val="center"/>
            <w:hideMark/>
          </w:tcPr>
          <w:p w14:paraId="34ED2DB9"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Clinical criteria:</w:t>
            </w:r>
          </w:p>
        </w:tc>
      </w:tr>
      <w:tr w:rsidR="00A277CA" w:rsidRPr="00A277CA" w14:paraId="2296417F" w14:textId="77777777" w:rsidTr="001E6B46">
        <w:tc>
          <w:tcPr>
            <w:tcW w:w="670" w:type="pct"/>
            <w:gridSpan w:val="2"/>
            <w:vAlign w:val="center"/>
          </w:tcPr>
          <w:p w14:paraId="370CFCB1" w14:textId="5F33E568"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0846E39A"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Patient must have previously received non-PBS subsidised drug for this condition prior to [list date]</w:t>
            </w:r>
          </w:p>
        </w:tc>
      </w:tr>
      <w:tr w:rsidR="00A277CA" w:rsidRPr="00A277CA" w14:paraId="6E1DAC2C" w14:textId="77777777" w:rsidTr="001E6B46">
        <w:tc>
          <w:tcPr>
            <w:tcW w:w="670" w:type="pct"/>
            <w:gridSpan w:val="2"/>
            <w:vAlign w:val="center"/>
          </w:tcPr>
          <w:p w14:paraId="795B619A"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1BC4130" w14:textId="77777777" w:rsidR="00A277CA" w:rsidRPr="00A277CA" w:rsidRDefault="00A277CA" w:rsidP="00FA4D4F">
            <w:pPr>
              <w:rPr>
                <w:rFonts w:ascii="Arial Narrow" w:hAnsi="Arial Narrow"/>
                <w:b/>
                <w:bCs/>
                <w:color w:val="333333"/>
                <w:sz w:val="20"/>
                <w:szCs w:val="20"/>
              </w:rPr>
            </w:pPr>
            <w:r w:rsidRPr="00A277CA">
              <w:rPr>
                <w:rFonts w:ascii="Arial Narrow" w:hAnsi="Arial Narrow"/>
                <w:b/>
                <w:bCs/>
                <w:color w:val="333333"/>
                <w:sz w:val="20"/>
                <w:szCs w:val="20"/>
              </w:rPr>
              <w:t>AND</w:t>
            </w:r>
          </w:p>
        </w:tc>
      </w:tr>
      <w:tr w:rsidR="00A277CA" w:rsidRPr="00A277CA" w14:paraId="5BC88A0B" w14:textId="77777777" w:rsidTr="00FA4D4F">
        <w:tc>
          <w:tcPr>
            <w:tcW w:w="670" w:type="pct"/>
            <w:gridSpan w:val="2"/>
            <w:vAlign w:val="center"/>
          </w:tcPr>
          <w:p w14:paraId="0362F6BE"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06A09A17" w14:textId="77777777" w:rsidR="00A277CA" w:rsidRPr="00A277CA" w:rsidRDefault="00A277CA" w:rsidP="00FA4D4F">
            <w:pPr>
              <w:rPr>
                <w:rFonts w:ascii="Arial Narrow" w:hAnsi="Arial Narrow"/>
                <w:iCs/>
                <w:color w:val="333333"/>
                <w:sz w:val="20"/>
                <w:szCs w:val="20"/>
              </w:rPr>
            </w:pPr>
            <w:r w:rsidRPr="00A277CA">
              <w:rPr>
                <w:rFonts w:ascii="Arial Narrow" w:hAnsi="Arial Narrow"/>
                <w:strike/>
                <w:color w:val="333333"/>
                <w:sz w:val="20"/>
                <w:szCs w:val="20"/>
              </w:rPr>
              <w:t xml:space="preserve">Patients must have failed surgery for the removal of the primary tumour </w:t>
            </w:r>
            <w:r w:rsidRPr="00A277CA">
              <w:rPr>
                <w:rFonts w:ascii="Arial Narrow" w:hAnsi="Arial Narrow"/>
                <w:iCs/>
                <w:strike/>
                <w:color w:val="333333"/>
                <w:sz w:val="20"/>
                <w:szCs w:val="20"/>
              </w:rPr>
              <w:t>Patients with persistent or recurrent hypercortisolism after surgery</w:t>
            </w:r>
          </w:p>
          <w:p w14:paraId="5A440745"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The condition must have been, at least one of:</w:t>
            </w:r>
          </w:p>
          <w:p w14:paraId="7ED7D4A1"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 xml:space="preserve">(i) persistent hypercortisolism after surgery </w:t>
            </w:r>
            <w:r w:rsidRPr="00A277CA">
              <w:rPr>
                <w:rFonts w:ascii="Arial Narrow" w:hAnsi="Arial Narrow"/>
                <w:bCs/>
                <w:iCs/>
                <w:color w:val="333333"/>
                <w:sz w:val="20"/>
                <w:szCs w:val="20"/>
              </w:rPr>
              <w:t>OR</w:t>
            </w:r>
          </w:p>
          <w:p w14:paraId="39051A47"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 xml:space="preserve">(ii) recurrent hypercortisolism after surgery, </w:t>
            </w:r>
            <w:r w:rsidRPr="00A277CA">
              <w:rPr>
                <w:rFonts w:ascii="Arial Narrow" w:hAnsi="Arial Narrow"/>
                <w:bCs/>
                <w:iCs/>
                <w:color w:val="333333"/>
                <w:sz w:val="20"/>
                <w:szCs w:val="20"/>
              </w:rPr>
              <w:t>OR</w:t>
            </w:r>
          </w:p>
          <w:p w14:paraId="13CDDDF4" w14:textId="77777777" w:rsidR="00A277CA" w:rsidRPr="00A277CA" w:rsidRDefault="00A277CA" w:rsidP="00FA4D4F">
            <w:pPr>
              <w:rPr>
                <w:rFonts w:ascii="Arial Narrow" w:hAnsi="Arial Narrow"/>
                <w:b/>
                <w:bCs/>
                <w:color w:val="333333"/>
                <w:sz w:val="20"/>
                <w:szCs w:val="20"/>
              </w:rPr>
            </w:pPr>
            <w:r w:rsidRPr="00A277CA">
              <w:rPr>
                <w:rFonts w:ascii="Arial Narrow" w:hAnsi="Arial Narrow"/>
                <w:color w:val="333333"/>
                <w:sz w:val="20"/>
                <w:szCs w:val="20"/>
              </w:rPr>
              <w:t xml:space="preserve">(iii) </w:t>
            </w:r>
            <w:r w:rsidRPr="00A277CA">
              <w:rPr>
                <w:rFonts w:ascii="Arial Narrow" w:hAnsi="Arial Narrow"/>
                <w:iCs/>
                <w:color w:val="333333"/>
                <w:sz w:val="20"/>
                <w:szCs w:val="20"/>
              </w:rPr>
              <w:t>inappropriate for surgery, at the time non-PBS subsidised treatment was commenced with this drug</w:t>
            </w:r>
            <w:r w:rsidRPr="00A277CA">
              <w:rPr>
                <w:rFonts w:ascii="Arial Narrow" w:hAnsi="Arial Narrow"/>
                <w:color w:val="333333"/>
                <w:sz w:val="20"/>
                <w:szCs w:val="20"/>
              </w:rPr>
              <w:t xml:space="preserve"> </w:t>
            </w:r>
          </w:p>
        </w:tc>
      </w:tr>
      <w:tr w:rsidR="00A277CA" w:rsidRPr="00A277CA" w14:paraId="2E759813" w14:textId="77777777" w:rsidTr="00FA4D4F">
        <w:tc>
          <w:tcPr>
            <w:tcW w:w="670" w:type="pct"/>
            <w:gridSpan w:val="2"/>
            <w:vAlign w:val="center"/>
          </w:tcPr>
          <w:p w14:paraId="653BEAB3"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6A7CD23" w14:textId="77777777" w:rsidR="00A277CA" w:rsidRPr="00A277CA" w:rsidRDefault="00A277CA" w:rsidP="00FA4D4F">
            <w:pPr>
              <w:rPr>
                <w:rFonts w:ascii="Arial Narrow" w:hAnsi="Arial Narrow"/>
                <w:iCs/>
                <w:color w:val="333333"/>
                <w:sz w:val="20"/>
                <w:szCs w:val="20"/>
              </w:rPr>
            </w:pPr>
            <w:r w:rsidRPr="00A277CA">
              <w:rPr>
                <w:rFonts w:ascii="Arial Narrow" w:hAnsi="Arial Narrow"/>
                <w:b/>
                <w:bCs/>
                <w:color w:val="333333"/>
                <w:sz w:val="20"/>
                <w:szCs w:val="20"/>
              </w:rPr>
              <w:t>AND</w:t>
            </w:r>
          </w:p>
        </w:tc>
      </w:tr>
      <w:tr w:rsidR="00A277CA" w:rsidRPr="00A277CA" w14:paraId="57294503" w14:textId="77777777" w:rsidTr="00FA4D4F">
        <w:tc>
          <w:tcPr>
            <w:tcW w:w="670" w:type="pct"/>
            <w:gridSpan w:val="2"/>
            <w:vAlign w:val="center"/>
          </w:tcPr>
          <w:p w14:paraId="7057DB01"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7579A7DA" w14:textId="77777777" w:rsidR="00A277CA" w:rsidRPr="00A277CA" w:rsidRDefault="00A277CA" w:rsidP="00FA4D4F">
            <w:pPr>
              <w:rPr>
                <w:rFonts w:ascii="Arial Narrow" w:hAnsi="Arial Narrow"/>
                <w:iCs/>
                <w:color w:val="333333"/>
                <w:sz w:val="20"/>
                <w:szCs w:val="20"/>
              </w:rPr>
            </w:pPr>
            <w:r w:rsidRPr="00A277CA">
              <w:rPr>
                <w:rFonts w:ascii="Arial Narrow" w:hAnsi="Arial Narrow"/>
                <w:b/>
                <w:bCs/>
                <w:color w:val="333333"/>
                <w:sz w:val="20"/>
                <w:szCs w:val="20"/>
              </w:rPr>
              <w:t>Clinical criteria:</w:t>
            </w:r>
          </w:p>
        </w:tc>
      </w:tr>
      <w:tr w:rsidR="00A277CA" w:rsidRPr="00A277CA" w14:paraId="44AB5671" w14:textId="77777777" w:rsidTr="00FA4D4F">
        <w:tc>
          <w:tcPr>
            <w:tcW w:w="670" w:type="pct"/>
            <w:gridSpan w:val="2"/>
            <w:vAlign w:val="center"/>
          </w:tcPr>
          <w:p w14:paraId="654976CE"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E5F9A32" w14:textId="77777777" w:rsidR="00A277CA" w:rsidRPr="00A277CA" w:rsidRDefault="00A277CA" w:rsidP="00FA4D4F">
            <w:pPr>
              <w:rPr>
                <w:rFonts w:ascii="Arial Narrow" w:hAnsi="Arial Narrow"/>
                <w:bCs/>
                <w:iCs/>
                <w:color w:val="333333"/>
                <w:sz w:val="20"/>
                <w:szCs w:val="20"/>
              </w:rPr>
            </w:pPr>
            <w:r w:rsidRPr="00A277CA">
              <w:rPr>
                <w:rFonts w:ascii="Arial Narrow" w:hAnsi="Arial Narrow"/>
                <w:iCs/>
                <w:color w:val="333333"/>
                <w:sz w:val="20"/>
                <w:szCs w:val="20"/>
              </w:rPr>
              <w:t>Patient must have demonstrated a complete response to this drug if received at least 3 months of initial non-PBS subsidised therapy.</w:t>
            </w:r>
          </w:p>
        </w:tc>
      </w:tr>
      <w:tr w:rsidR="00A277CA" w:rsidRPr="00A277CA" w14:paraId="2DA5775B" w14:textId="77777777" w:rsidTr="00FA4D4F">
        <w:tc>
          <w:tcPr>
            <w:tcW w:w="670" w:type="pct"/>
            <w:gridSpan w:val="2"/>
            <w:vAlign w:val="center"/>
          </w:tcPr>
          <w:p w14:paraId="7C200490" w14:textId="64F4A257" w:rsidR="00A277CA" w:rsidRPr="00A277CA" w:rsidRDefault="00A277CA" w:rsidP="00FA4D4F">
            <w:pPr>
              <w:jc w:val="center"/>
              <w:rPr>
                <w:rFonts w:ascii="Arial Narrow" w:hAnsi="Arial Narrow"/>
                <w:strike/>
                <w:color w:val="333333"/>
                <w:sz w:val="20"/>
                <w:szCs w:val="20"/>
              </w:rPr>
            </w:pPr>
          </w:p>
        </w:tc>
        <w:tc>
          <w:tcPr>
            <w:tcW w:w="4330" w:type="pct"/>
            <w:gridSpan w:val="6"/>
            <w:vAlign w:val="center"/>
          </w:tcPr>
          <w:p w14:paraId="735C0E82" w14:textId="77777777" w:rsidR="00A277CA" w:rsidRPr="00A277CA" w:rsidRDefault="00A277CA" w:rsidP="00FA4D4F">
            <w:pPr>
              <w:rPr>
                <w:rFonts w:ascii="Arial Narrow" w:hAnsi="Arial Narrow"/>
                <w:strike/>
                <w:color w:val="333333"/>
                <w:sz w:val="20"/>
                <w:szCs w:val="20"/>
              </w:rPr>
            </w:pPr>
            <w:r w:rsidRPr="00A277CA">
              <w:rPr>
                <w:rFonts w:ascii="Arial Narrow" w:hAnsi="Arial Narrow"/>
                <w:b/>
                <w:bCs/>
                <w:strike/>
                <w:color w:val="333333"/>
                <w:sz w:val="20"/>
                <w:szCs w:val="20"/>
              </w:rPr>
              <w:t>OR</w:t>
            </w:r>
          </w:p>
        </w:tc>
      </w:tr>
      <w:tr w:rsidR="00A277CA" w:rsidRPr="00A277CA" w14:paraId="0C3A6614" w14:textId="77777777" w:rsidTr="00FA4D4F">
        <w:tc>
          <w:tcPr>
            <w:tcW w:w="670" w:type="pct"/>
            <w:gridSpan w:val="2"/>
            <w:vAlign w:val="center"/>
          </w:tcPr>
          <w:p w14:paraId="3FE0A7B7" w14:textId="1804E276" w:rsidR="00A277CA" w:rsidRPr="00A277CA" w:rsidRDefault="00A277CA" w:rsidP="00FA4D4F">
            <w:pPr>
              <w:jc w:val="center"/>
              <w:rPr>
                <w:rFonts w:ascii="Arial Narrow" w:hAnsi="Arial Narrow"/>
                <w:strike/>
                <w:color w:val="333333"/>
                <w:sz w:val="20"/>
                <w:szCs w:val="20"/>
              </w:rPr>
            </w:pPr>
          </w:p>
        </w:tc>
        <w:tc>
          <w:tcPr>
            <w:tcW w:w="4330" w:type="pct"/>
            <w:gridSpan w:val="6"/>
            <w:vAlign w:val="center"/>
          </w:tcPr>
          <w:p w14:paraId="288EE02A" w14:textId="77777777" w:rsidR="00A277CA" w:rsidRPr="00A277CA" w:rsidRDefault="00A277CA" w:rsidP="00FA4D4F">
            <w:pPr>
              <w:autoSpaceDE w:val="0"/>
              <w:autoSpaceDN w:val="0"/>
              <w:adjustRightInd w:val="0"/>
              <w:rPr>
                <w:rFonts w:ascii="Arial Narrow" w:eastAsia="Calibri" w:hAnsi="Arial Narrow" w:cs="Arial Narrow"/>
                <w:iCs/>
                <w:strike/>
                <w:sz w:val="20"/>
                <w:szCs w:val="20"/>
              </w:rPr>
            </w:pPr>
            <w:r w:rsidRPr="00A277CA">
              <w:rPr>
                <w:rFonts w:ascii="Arial Narrow" w:hAnsi="Arial Narrow"/>
                <w:strike/>
                <w:color w:val="333333"/>
                <w:sz w:val="20"/>
                <w:szCs w:val="20"/>
              </w:rPr>
              <w:t>Patients must not be considered candidates for surgery</w:t>
            </w:r>
          </w:p>
        </w:tc>
      </w:tr>
      <w:tr w:rsidR="00A277CA" w:rsidRPr="00A277CA" w14:paraId="557EA924" w14:textId="77777777" w:rsidTr="00FA4D4F">
        <w:tc>
          <w:tcPr>
            <w:tcW w:w="670" w:type="pct"/>
            <w:gridSpan w:val="2"/>
            <w:vAlign w:val="center"/>
          </w:tcPr>
          <w:p w14:paraId="376AD74C" w14:textId="0E709034"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18D243C5" w14:textId="77777777" w:rsidR="00A277CA" w:rsidRPr="00A277CA" w:rsidRDefault="00A277CA" w:rsidP="00FA4D4F">
            <w:pPr>
              <w:autoSpaceDE w:val="0"/>
              <w:autoSpaceDN w:val="0"/>
              <w:adjustRightInd w:val="0"/>
              <w:rPr>
                <w:rFonts w:ascii="Arial Narrow" w:hAnsi="Arial Narrow"/>
                <w:color w:val="333333"/>
                <w:sz w:val="20"/>
                <w:szCs w:val="20"/>
              </w:rPr>
            </w:pPr>
            <w:r w:rsidRPr="00A277CA">
              <w:rPr>
                <w:rFonts w:ascii="Arial Narrow" w:hAnsi="Arial Narrow"/>
                <w:b/>
                <w:bCs/>
                <w:color w:val="333333"/>
                <w:sz w:val="20"/>
                <w:szCs w:val="20"/>
              </w:rPr>
              <w:t>Treatment criteria:</w:t>
            </w:r>
          </w:p>
        </w:tc>
      </w:tr>
      <w:tr w:rsidR="00A277CA" w:rsidRPr="00A277CA" w14:paraId="701C97BD" w14:textId="77777777" w:rsidTr="00FA4D4F">
        <w:tc>
          <w:tcPr>
            <w:tcW w:w="670" w:type="pct"/>
            <w:gridSpan w:val="2"/>
            <w:vAlign w:val="center"/>
          </w:tcPr>
          <w:p w14:paraId="772BBC57" w14:textId="0F58CB5F"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63E555E1" w14:textId="77777777" w:rsidR="00A277CA" w:rsidRPr="00A277CA" w:rsidRDefault="00A277CA" w:rsidP="00FA4D4F">
            <w:pPr>
              <w:autoSpaceDE w:val="0"/>
              <w:autoSpaceDN w:val="0"/>
              <w:adjustRightInd w:val="0"/>
              <w:rPr>
                <w:rFonts w:ascii="Arial Narrow" w:hAnsi="Arial Narrow"/>
                <w:strike/>
                <w:color w:val="333333"/>
                <w:sz w:val="20"/>
                <w:szCs w:val="20"/>
              </w:rPr>
            </w:pPr>
            <w:r w:rsidRPr="00A277CA">
              <w:rPr>
                <w:rFonts w:ascii="Arial Narrow" w:hAnsi="Arial Narrow"/>
                <w:strike/>
                <w:color w:val="333333"/>
                <w:sz w:val="20"/>
                <w:szCs w:val="20"/>
              </w:rPr>
              <w:t xml:space="preserve">Patients must be treated and supervised by a physicians experienced in endocrinology or internal medicine </w:t>
            </w:r>
            <w:r w:rsidRPr="00A277CA">
              <w:rPr>
                <w:rFonts w:ascii="Arial Narrow" w:hAnsi="Arial Narrow"/>
                <w:iCs/>
                <w:strike/>
                <w:color w:val="333333"/>
                <w:sz w:val="20"/>
                <w:szCs w:val="20"/>
              </w:rPr>
              <w:t xml:space="preserve">by an endocrinologist or a general medicine physician </w:t>
            </w:r>
            <w:r w:rsidRPr="00A277CA">
              <w:rPr>
                <w:rFonts w:ascii="Arial Narrow" w:hAnsi="Arial Narrow"/>
                <w:iCs/>
                <w:color w:val="333333"/>
                <w:sz w:val="20"/>
                <w:szCs w:val="20"/>
              </w:rPr>
              <w:t>Must be treated</w:t>
            </w:r>
            <w:r w:rsidRPr="00A277CA">
              <w:rPr>
                <w:rFonts w:ascii="Arial Narrow" w:hAnsi="Arial Narrow"/>
                <w:color w:val="333333"/>
                <w:sz w:val="20"/>
                <w:szCs w:val="20"/>
              </w:rPr>
              <w:t xml:space="preserve"> </w:t>
            </w:r>
            <w:r w:rsidRPr="00A277CA">
              <w:rPr>
                <w:rFonts w:ascii="Arial Narrow" w:hAnsi="Arial Narrow"/>
                <w:iCs/>
                <w:color w:val="333333"/>
                <w:sz w:val="20"/>
                <w:szCs w:val="20"/>
              </w:rPr>
              <w:t>by an endocrinologist or a physician specialises in general medicine</w:t>
            </w:r>
          </w:p>
        </w:tc>
      </w:tr>
      <w:tr w:rsidR="00A277CA" w:rsidRPr="00A277CA" w14:paraId="041C3CCF" w14:textId="77777777" w:rsidTr="00FA4D4F">
        <w:tc>
          <w:tcPr>
            <w:tcW w:w="670" w:type="pct"/>
            <w:gridSpan w:val="2"/>
            <w:vAlign w:val="center"/>
          </w:tcPr>
          <w:p w14:paraId="13F6294B" w14:textId="5C7EC2FE"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659AF0FE" w14:textId="77777777" w:rsidR="00A277CA" w:rsidRPr="00A277CA" w:rsidRDefault="00A277CA" w:rsidP="00FA4D4F">
            <w:pPr>
              <w:autoSpaceDE w:val="0"/>
              <w:autoSpaceDN w:val="0"/>
              <w:adjustRightInd w:val="0"/>
              <w:rPr>
                <w:rFonts w:ascii="Arial Narrow" w:hAnsi="Arial Narrow"/>
                <w:color w:val="333333"/>
                <w:sz w:val="20"/>
                <w:szCs w:val="20"/>
              </w:rPr>
            </w:pPr>
            <w:r w:rsidRPr="00A277CA">
              <w:rPr>
                <w:rFonts w:ascii="Arial Narrow" w:hAnsi="Arial Narrow"/>
                <w:b/>
                <w:bCs/>
                <w:color w:val="333333"/>
                <w:sz w:val="20"/>
                <w:szCs w:val="20"/>
              </w:rPr>
              <w:t>Population criteria:</w:t>
            </w:r>
          </w:p>
        </w:tc>
      </w:tr>
      <w:tr w:rsidR="00A277CA" w:rsidRPr="00A277CA" w14:paraId="380C740C" w14:textId="77777777" w:rsidTr="00FA4D4F">
        <w:tc>
          <w:tcPr>
            <w:tcW w:w="670" w:type="pct"/>
            <w:gridSpan w:val="2"/>
            <w:vAlign w:val="center"/>
          </w:tcPr>
          <w:p w14:paraId="4A558054" w14:textId="7FB02B52"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D28FA05"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 xml:space="preserve">Patients must be </w:t>
            </w:r>
            <w:r w:rsidRPr="00A277CA">
              <w:rPr>
                <w:rFonts w:ascii="Arial Narrow" w:hAnsi="Arial Narrow"/>
                <w:iCs/>
                <w:color w:val="333333"/>
                <w:sz w:val="20"/>
                <w:szCs w:val="20"/>
              </w:rPr>
              <w:t>at least 18 years of age.</w:t>
            </w:r>
            <w:r w:rsidRPr="00A277CA">
              <w:rPr>
                <w:rFonts w:ascii="Arial Narrow" w:hAnsi="Arial Narrow"/>
                <w:color w:val="333333"/>
                <w:sz w:val="20"/>
                <w:szCs w:val="20"/>
              </w:rPr>
              <w:t xml:space="preserve"> </w:t>
            </w:r>
            <w:r w:rsidRPr="00A277CA">
              <w:rPr>
                <w:rFonts w:ascii="Arial Narrow" w:hAnsi="Arial Narrow"/>
                <w:strike/>
                <w:color w:val="333333"/>
                <w:sz w:val="20"/>
                <w:szCs w:val="20"/>
              </w:rPr>
              <w:t>aged 18 years or older</w:t>
            </w:r>
          </w:p>
        </w:tc>
      </w:tr>
      <w:tr w:rsidR="00A277CA" w:rsidRPr="00A277CA" w14:paraId="5127042E" w14:textId="77777777" w:rsidTr="00FA4D4F">
        <w:tc>
          <w:tcPr>
            <w:tcW w:w="670" w:type="pct"/>
            <w:gridSpan w:val="2"/>
            <w:vAlign w:val="center"/>
          </w:tcPr>
          <w:p w14:paraId="50CCCF38" w14:textId="247AF4AF" w:rsidR="00A277CA" w:rsidRPr="00A277CA" w:rsidRDefault="00A277CA" w:rsidP="00FA4D4F">
            <w:pPr>
              <w:jc w:val="center"/>
              <w:rPr>
                <w:rFonts w:ascii="Arial Narrow" w:hAnsi="Arial Narrow"/>
                <w:iCs/>
                <w:color w:val="333333"/>
                <w:sz w:val="20"/>
                <w:szCs w:val="20"/>
              </w:rPr>
            </w:pPr>
          </w:p>
        </w:tc>
        <w:tc>
          <w:tcPr>
            <w:tcW w:w="4330" w:type="pct"/>
            <w:gridSpan w:val="6"/>
            <w:vAlign w:val="center"/>
          </w:tcPr>
          <w:p w14:paraId="5C366F88" w14:textId="77777777" w:rsidR="00A277CA" w:rsidRPr="00A277CA" w:rsidRDefault="00A277CA" w:rsidP="00FA4D4F">
            <w:pPr>
              <w:rPr>
                <w:rFonts w:ascii="Arial Narrow" w:hAnsi="Arial Narrow"/>
                <w:iCs/>
                <w:color w:val="333333"/>
                <w:sz w:val="20"/>
                <w:szCs w:val="20"/>
              </w:rPr>
            </w:pPr>
            <w:r w:rsidRPr="00A277CA">
              <w:rPr>
                <w:rFonts w:ascii="Arial Narrow" w:hAnsi="Arial Narrow"/>
                <w:bCs/>
                <w:iCs/>
                <w:color w:val="333333"/>
                <w:sz w:val="20"/>
                <w:szCs w:val="20"/>
              </w:rPr>
              <w:t>Prescribing Instructions:</w:t>
            </w:r>
            <w:r w:rsidRPr="00A277CA">
              <w:rPr>
                <w:rFonts w:ascii="Arial Narrow" w:hAnsi="Arial Narrow"/>
                <w:iCs/>
                <w:color w:val="333333"/>
                <w:sz w:val="20"/>
                <w:szCs w:val="20"/>
              </w:rPr>
              <w:t xml:space="preserve"> </w:t>
            </w:r>
          </w:p>
          <w:p w14:paraId="2F61AC98" w14:textId="77777777" w:rsidR="00A277CA" w:rsidRPr="00A277CA" w:rsidRDefault="00A277CA" w:rsidP="00FA4D4F">
            <w:pPr>
              <w:rPr>
                <w:rFonts w:ascii="Arial Narrow" w:hAnsi="Arial Narrow"/>
                <w:color w:val="333333"/>
                <w:sz w:val="20"/>
                <w:szCs w:val="20"/>
              </w:rPr>
            </w:pPr>
            <w:r w:rsidRPr="00A277CA">
              <w:rPr>
                <w:rFonts w:ascii="Arial Narrow" w:hAnsi="Arial Narrow"/>
                <w:iCs/>
                <w:color w:val="333333"/>
                <w:sz w:val="20"/>
                <w:szCs w:val="20"/>
              </w:rPr>
              <w:t>Only patients who demonstrate a complete response between months 2 and 3 of initial therapy are eligible for continuing treatment</w:t>
            </w:r>
            <w:r w:rsidRPr="00A277CA">
              <w:rPr>
                <w:rFonts w:ascii="Arial Narrow" w:hAnsi="Arial Narrow"/>
                <w:color w:val="333333"/>
                <w:sz w:val="20"/>
                <w:szCs w:val="20"/>
              </w:rPr>
              <w:t>.</w:t>
            </w:r>
          </w:p>
        </w:tc>
      </w:tr>
      <w:tr w:rsidR="00A277CA" w:rsidRPr="00A277CA" w14:paraId="16BCC271" w14:textId="77777777" w:rsidTr="00FA4D4F">
        <w:tc>
          <w:tcPr>
            <w:tcW w:w="670" w:type="pct"/>
            <w:gridSpan w:val="2"/>
            <w:vAlign w:val="center"/>
          </w:tcPr>
          <w:p w14:paraId="60D8450E" w14:textId="1C0995D9"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63DE1CF3"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5B098193" w14:textId="77777777"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A complete response is defined as a mean urinary free cortisol (UFC) less than or equal to the upper limit of normal (ULN). The mean UFC should be the average of at least three urine samples collected within seven days.</w:t>
            </w:r>
          </w:p>
        </w:tc>
      </w:tr>
      <w:tr w:rsidR="00A277CA" w:rsidRPr="00A277CA" w14:paraId="4AE5ADFA" w14:textId="77777777" w:rsidTr="00FA4D4F">
        <w:tc>
          <w:tcPr>
            <w:tcW w:w="670" w:type="pct"/>
            <w:gridSpan w:val="2"/>
            <w:vAlign w:val="center"/>
          </w:tcPr>
          <w:p w14:paraId="627C1AF4" w14:textId="36C6691E"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E22DB6E"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2A48EE2B" w14:textId="6A69DA44" w:rsidR="00A277CA" w:rsidRPr="00A277CA" w:rsidRDefault="00A277CA" w:rsidP="00FA4D4F">
            <w:pPr>
              <w:rPr>
                <w:rFonts w:ascii="Arial Narrow" w:hAnsi="Arial Narrow"/>
                <w:color w:val="333333"/>
                <w:sz w:val="20"/>
                <w:szCs w:val="20"/>
              </w:rPr>
            </w:pPr>
            <w:r w:rsidRPr="00A277CA">
              <w:rPr>
                <w:rFonts w:ascii="Arial Narrow" w:hAnsi="Arial Narrow"/>
                <w:color w:val="333333"/>
                <w:sz w:val="20"/>
                <w:szCs w:val="20"/>
              </w:rPr>
              <w:t xml:space="preserve">At the time of authority application, medical practitioners must request the appropriate number of packs </w:t>
            </w:r>
            <w:r w:rsidRPr="00A277CA">
              <w:rPr>
                <w:rFonts w:ascii="Arial Narrow" w:hAnsi="Arial Narrow"/>
                <w:iCs/>
                <w:color w:val="333333"/>
                <w:sz w:val="20"/>
                <w:szCs w:val="20"/>
              </w:rPr>
              <w:t>of appropriate strength(s) to provide sufficient drug for 4 weeks as per the product information</w:t>
            </w:r>
            <w:r w:rsidRPr="00A277CA">
              <w:rPr>
                <w:rFonts w:ascii="Arial Narrow" w:hAnsi="Arial Narrow"/>
                <w:color w:val="333333"/>
                <w:sz w:val="20"/>
                <w:szCs w:val="20"/>
              </w:rPr>
              <w:t xml:space="preserve"> </w:t>
            </w:r>
            <w:r w:rsidRPr="00A277CA">
              <w:rPr>
                <w:rFonts w:ascii="Arial Narrow" w:hAnsi="Arial Narrow"/>
                <w:strike/>
                <w:color w:val="333333"/>
                <w:sz w:val="20"/>
                <w:szCs w:val="20"/>
              </w:rPr>
              <w:t>based on the prescribed dose of the patient,</w:t>
            </w:r>
            <w:r w:rsidRPr="00A277CA">
              <w:rPr>
                <w:rFonts w:ascii="Arial Narrow" w:hAnsi="Arial Narrow"/>
                <w:color w:val="333333"/>
                <w:sz w:val="20"/>
                <w:szCs w:val="20"/>
              </w:rPr>
              <w:t xml:space="preserve"> </w:t>
            </w:r>
            <w:r w:rsidRPr="00A277CA">
              <w:rPr>
                <w:rFonts w:ascii="Arial Narrow" w:hAnsi="Arial Narrow"/>
                <w:strike/>
                <w:color w:val="333333"/>
                <w:sz w:val="20"/>
                <w:szCs w:val="20"/>
              </w:rPr>
              <w:t>one month of treatment</w:t>
            </w:r>
            <w:r w:rsidRPr="00A277CA">
              <w:rPr>
                <w:rFonts w:ascii="Arial Narrow" w:hAnsi="Arial Narrow"/>
                <w:color w:val="333333"/>
                <w:sz w:val="20"/>
                <w:szCs w:val="20"/>
              </w:rPr>
              <w:t xml:space="preserve">. </w:t>
            </w:r>
            <w:r w:rsidRPr="00A277CA">
              <w:rPr>
                <w:rFonts w:ascii="Arial Narrow" w:hAnsi="Arial Narrow"/>
                <w:iCs/>
                <w:color w:val="333333"/>
                <w:sz w:val="20"/>
                <w:szCs w:val="20"/>
              </w:rPr>
              <w:t>A separate authority prescription form must be completed for each strength requested.</w:t>
            </w:r>
            <w:r w:rsidRPr="00A277CA">
              <w:rPr>
                <w:rFonts w:ascii="Arial Narrow" w:hAnsi="Arial Narrow"/>
                <w:color w:val="333333"/>
                <w:sz w:val="20"/>
                <w:szCs w:val="20"/>
              </w:rPr>
              <w:t xml:space="preserve"> The daily dose must not exceed 30 mg twice daily. Up to a maximum of 5 repeats will be authorised. </w:t>
            </w:r>
            <w:r w:rsidRPr="00A277CA">
              <w:rPr>
                <w:rFonts w:ascii="Arial Narrow" w:hAnsi="Arial Narrow"/>
                <w:strike/>
                <w:color w:val="333333"/>
                <w:sz w:val="20"/>
                <w:szCs w:val="20"/>
              </w:rPr>
              <w:t>Patients must not exceed more than 3 months of treatment under this restriction</w:t>
            </w:r>
            <w:r w:rsidRPr="00A277CA">
              <w:rPr>
                <w:rFonts w:ascii="Arial Narrow" w:hAnsi="Arial Narrow"/>
                <w:color w:val="333333"/>
                <w:sz w:val="20"/>
                <w:szCs w:val="20"/>
              </w:rPr>
              <w:t xml:space="preserve">. </w:t>
            </w:r>
          </w:p>
        </w:tc>
      </w:tr>
      <w:tr w:rsidR="00A277CA" w:rsidRPr="00A277CA" w14:paraId="7522FE18" w14:textId="77777777" w:rsidTr="00FA4D4F">
        <w:tc>
          <w:tcPr>
            <w:tcW w:w="670" w:type="pct"/>
            <w:gridSpan w:val="2"/>
            <w:vAlign w:val="center"/>
          </w:tcPr>
          <w:p w14:paraId="68503F29" w14:textId="74BB8215" w:rsidR="00A277CA" w:rsidRPr="00A277CA" w:rsidRDefault="00A277CA" w:rsidP="00FA4D4F">
            <w:pPr>
              <w:jc w:val="center"/>
              <w:rPr>
                <w:rFonts w:ascii="Arial Narrow" w:hAnsi="Arial Narrow"/>
                <w:iCs/>
                <w:color w:val="333333"/>
                <w:sz w:val="20"/>
                <w:szCs w:val="20"/>
              </w:rPr>
            </w:pPr>
          </w:p>
        </w:tc>
        <w:tc>
          <w:tcPr>
            <w:tcW w:w="4330" w:type="pct"/>
            <w:gridSpan w:val="6"/>
            <w:vAlign w:val="center"/>
          </w:tcPr>
          <w:p w14:paraId="699404F3" w14:textId="77777777" w:rsidR="00A277CA" w:rsidRPr="00A277CA" w:rsidRDefault="00A277CA" w:rsidP="00FA4D4F">
            <w:pPr>
              <w:rPr>
                <w:rFonts w:ascii="Arial Narrow" w:hAnsi="Arial Narrow"/>
                <w:iCs/>
                <w:color w:val="333333"/>
                <w:sz w:val="20"/>
                <w:szCs w:val="20"/>
              </w:rPr>
            </w:pPr>
            <w:r w:rsidRPr="00A277CA">
              <w:rPr>
                <w:rFonts w:ascii="Arial Narrow" w:hAnsi="Arial Narrow"/>
                <w:bCs/>
                <w:iCs/>
                <w:color w:val="333333"/>
                <w:sz w:val="20"/>
                <w:szCs w:val="20"/>
              </w:rPr>
              <w:t>Prescribing Instructions:</w:t>
            </w:r>
            <w:r w:rsidRPr="00A277CA">
              <w:rPr>
                <w:rFonts w:ascii="Arial Narrow" w:hAnsi="Arial Narrow"/>
                <w:iCs/>
                <w:color w:val="333333"/>
                <w:sz w:val="20"/>
                <w:szCs w:val="20"/>
              </w:rPr>
              <w:t xml:space="preserve"> </w:t>
            </w:r>
          </w:p>
          <w:p w14:paraId="6E8EBE2F" w14:textId="77777777" w:rsidR="00A277CA" w:rsidRPr="00A277CA" w:rsidRDefault="00A277CA" w:rsidP="00FA4D4F">
            <w:pPr>
              <w:rPr>
                <w:rFonts w:ascii="Arial Narrow" w:hAnsi="Arial Narrow"/>
                <w:iCs/>
                <w:color w:val="333333"/>
                <w:sz w:val="20"/>
                <w:szCs w:val="20"/>
              </w:rPr>
            </w:pPr>
            <w:r w:rsidRPr="00A277CA">
              <w:rPr>
                <w:rFonts w:ascii="Arial Narrow" w:hAnsi="Arial Narrow"/>
                <w:iCs/>
                <w:color w:val="333333"/>
                <w:sz w:val="20"/>
                <w:szCs w:val="20"/>
              </w:rPr>
              <w:t>Where there is a current, approved PBS prescription with valid repeat prescriptions specified (i.e., where the dose is changing), mark the prescription that is intended for no further supply as 'Cancelled'.</w:t>
            </w:r>
          </w:p>
        </w:tc>
      </w:tr>
      <w:tr w:rsidR="00A277CA" w:rsidRPr="00A277CA" w14:paraId="2304564C" w14:textId="77777777" w:rsidTr="00FA4D4F">
        <w:tc>
          <w:tcPr>
            <w:tcW w:w="670" w:type="pct"/>
            <w:gridSpan w:val="2"/>
            <w:vAlign w:val="center"/>
          </w:tcPr>
          <w:p w14:paraId="5A7AC3A5" w14:textId="587A45D4" w:rsidR="00A277CA" w:rsidRPr="00A277CA" w:rsidRDefault="00A277CA" w:rsidP="00FA4D4F">
            <w:pPr>
              <w:jc w:val="center"/>
              <w:rPr>
                <w:rFonts w:ascii="Arial Narrow" w:hAnsi="Arial Narrow"/>
                <w:color w:val="333333"/>
                <w:sz w:val="20"/>
                <w:szCs w:val="20"/>
              </w:rPr>
            </w:pPr>
          </w:p>
        </w:tc>
        <w:tc>
          <w:tcPr>
            <w:tcW w:w="4330" w:type="pct"/>
            <w:gridSpan w:val="6"/>
          </w:tcPr>
          <w:p w14:paraId="32B0848F"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38DA1FD7" w14:textId="77777777" w:rsidR="00A277CA" w:rsidRPr="00A277CA" w:rsidRDefault="00A277CA" w:rsidP="00FA4D4F">
            <w:pPr>
              <w:rPr>
                <w:rFonts w:ascii="Arial Narrow" w:hAnsi="Arial Narrow"/>
                <w:b/>
                <w:bCs/>
                <w:color w:val="333333"/>
                <w:sz w:val="20"/>
                <w:szCs w:val="20"/>
              </w:rPr>
            </w:pPr>
            <w:r w:rsidRPr="00A277CA">
              <w:rPr>
                <w:rFonts w:ascii="Arial Narrow" w:eastAsia="Calibri" w:hAnsi="Arial Narrow"/>
                <w:bCs/>
                <w:iCs/>
                <w:sz w:val="20"/>
                <w:szCs w:val="20"/>
              </w:rPr>
              <w:t>A Grandfathered patient may qualify for PBS-subsidised treatment under this restriction once only. For continuing PBS-subsidised treatment, a Grandfathered patient must qualify under the continuing treatment criteria.</w:t>
            </w:r>
          </w:p>
        </w:tc>
      </w:tr>
      <w:tr w:rsidR="00A277CA" w:rsidRPr="00A277CA" w14:paraId="503867F1" w14:textId="77777777" w:rsidTr="00FA4D4F">
        <w:tc>
          <w:tcPr>
            <w:tcW w:w="670" w:type="pct"/>
            <w:gridSpan w:val="2"/>
            <w:vAlign w:val="center"/>
          </w:tcPr>
          <w:p w14:paraId="786F5741" w14:textId="65D5CCED"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62735AE9" w14:textId="77777777" w:rsidR="00A277CA" w:rsidRPr="00A277CA" w:rsidRDefault="00A277CA" w:rsidP="00FA4D4F">
            <w:pPr>
              <w:rPr>
                <w:rFonts w:ascii="Arial Narrow" w:hAnsi="Arial Narrow"/>
                <w:color w:val="333333"/>
                <w:sz w:val="20"/>
                <w:szCs w:val="20"/>
              </w:rPr>
            </w:pPr>
            <w:r w:rsidRPr="00A277CA">
              <w:rPr>
                <w:rFonts w:ascii="Arial Narrow" w:hAnsi="Arial Narrow"/>
                <w:b/>
                <w:bCs/>
                <w:color w:val="333333"/>
                <w:sz w:val="20"/>
                <w:szCs w:val="20"/>
              </w:rPr>
              <w:t>Prescribing Instructions:</w:t>
            </w:r>
            <w:r w:rsidRPr="00A277CA">
              <w:rPr>
                <w:rFonts w:ascii="Arial Narrow" w:hAnsi="Arial Narrow"/>
                <w:color w:val="333333"/>
                <w:sz w:val="20"/>
                <w:szCs w:val="20"/>
              </w:rPr>
              <w:t xml:space="preserve"> </w:t>
            </w:r>
          </w:p>
          <w:p w14:paraId="7E73980C"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failed surgery are defined as those with recurrent or persistent hypercortisolism (UFC &gt; 1.3x ULN).</w:t>
            </w:r>
          </w:p>
          <w:p w14:paraId="339D0AC8" w14:textId="77777777" w:rsidR="00A277CA" w:rsidRPr="00A277CA" w:rsidRDefault="00A277CA" w:rsidP="00FA4D4F">
            <w:pPr>
              <w:rPr>
                <w:rFonts w:ascii="Arial Narrow" w:hAnsi="Arial Narrow"/>
                <w:color w:val="333333"/>
                <w:sz w:val="20"/>
                <w:szCs w:val="20"/>
              </w:rPr>
            </w:pPr>
          </w:p>
          <w:p w14:paraId="2AB36F67"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 xml:space="preserve">Patients who are not candidates for surgery are defined as: </w:t>
            </w:r>
          </w:p>
          <w:p w14:paraId="40C5869A" w14:textId="77777777" w:rsidR="00A277CA" w:rsidRPr="00A277CA" w:rsidRDefault="00A277CA" w:rsidP="00FA4D4F">
            <w:pPr>
              <w:rPr>
                <w:rFonts w:ascii="Arial Narrow" w:hAnsi="Arial Narrow"/>
                <w:strike/>
                <w:color w:val="333333"/>
                <w:sz w:val="20"/>
                <w:szCs w:val="20"/>
              </w:rPr>
            </w:pPr>
            <w:r w:rsidRPr="00A277CA">
              <w:rPr>
                <w:rFonts w:ascii="Arial Narrow" w:hAnsi="Arial Narrow"/>
                <w:color w:val="333333"/>
                <w:sz w:val="20"/>
                <w:szCs w:val="20"/>
              </w:rPr>
              <w:t>The condition is inappropriate for surgery if the patient:</w:t>
            </w:r>
          </w:p>
          <w:p w14:paraId="74C9A705"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with</w:t>
            </w:r>
            <w:r w:rsidRPr="00A277CA">
              <w:rPr>
                <w:rFonts w:ascii="Arial Narrow" w:hAnsi="Arial Narrow"/>
                <w:iCs/>
                <w:color w:val="333333"/>
                <w:sz w:val="20"/>
                <w:szCs w:val="20"/>
              </w:rPr>
              <w:t xml:space="preserve"> has</w:t>
            </w:r>
            <w:r w:rsidRPr="00A277CA">
              <w:rPr>
                <w:rFonts w:ascii="Arial Narrow" w:hAnsi="Arial Narrow"/>
                <w:color w:val="333333"/>
                <w:sz w:val="20"/>
                <w:szCs w:val="20"/>
              </w:rPr>
              <w:t xml:space="preserve"> a medical contraindication for surgery</w:t>
            </w:r>
          </w:p>
          <w:p w14:paraId="77196C4A"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with</w:t>
            </w:r>
            <w:r w:rsidRPr="00A277CA">
              <w:rPr>
                <w:rFonts w:ascii="Arial Narrow" w:hAnsi="Arial Narrow"/>
                <w:color w:val="333333"/>
                <w:sz w:val="20"/>
                <w:szCs w:val="20"/>
              </w:rPr>
              <w:t xml:space="preserve"> </w:t>
            </w:r>
            <w:r w:rsidRPr="00A277CA">
              <w:rPr>
                <w:rFonts w:ascii="Arial Narrow" w:hAnsi="Arial Narrow"/>
                <w:iCs/>
                <w:color w:val="333333"/>
                <w:sz w:val="20"/>
                <w:szCs w:val="20"/>
              </w:rPr>
              <w:t>has</w:t>
            </w:r>
            <w:r w:rsidRPr="00A277CA">
              <w:rPr>
                <w:rFonts w:ascii="Arial Narrow" w:hAnsi="Arial Narrow"/>
                <w:color w:val="333333"/>
                <w:sz w:val="20"/>
                <w:szCs w:val="20"/>
              </w:rPr>
              <w:t xml:space="preserve"> inoperable tumours</w:t>
            </w:r>
          </w:p>
          <w:p w14:paraId="255C4E4B"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iCs/>
                <w:color w:val="333333"/>
                <w:sz w:val="20"/>
                <w:szCs w:val="20"/>
              </w:rPr>
              <w:t xml:space="preserve">has been determined that </w:t>
            </w:r>
            <w:r w:rsidRPr="00A277CA">
              <w:rPr>
                <w:rFonts w:ascii="Arial Narrow" w:hAnsi="Arial Narrow"/>
                <w:color w:val="333333"/>
                <w:sz w:val="20"/>
                <w:szCs w:val="20"/>
              </w:rPr>
              <w:t>surgery is unlikely to reduce hypercortisolism</w:t>
            </w:r>
          </w:p>
          <w:p w14:paraId="61344D04"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those who</w:t>
            </w:r>
            <w:r w:rsidRPr="00A277CA">
              <w:rPr>
                <w:rFonts w:ascii="Arial Narrow" w:hAnsi="Arial Narrow"/>
                <w:color w:val="333333"/>
                <w:sz w:val="20"/>
                <w:szCs w:val="20"/>
              </w:rPr>
              <w:t xml:space="preserve"> </w:t>
            </w:r>
            <w:r w:rsidRPr="00A277CA">
              <w:rPr>
                <w:rFonts w:ascii="Arial Narrow" w:hAnsi="Arial Narrow"/>
                <w:iCs/>
                <w:color w:val="333333"/>
                <w:sz w:val="20"/>
                <w:szCs w:val="20"/>
              </w:rPr>
              <w:t>refuses surgery</w:t>
            </w:r>
          </w:p>
          <w:p w14:paraId="2E7B6E04" w14:textId="4818AF75"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iCs/>
                <w:color w:val="333333"/>
                <w:sz w:val="20"/>
                <w:szCs w:val="20"/>
              </w:rPr>
              <w:t>can</w:t>
            </w:r>
            <w:r w:rsidR="005D0056">
              <w:rPr>
                <w:rFonts w:ascii="Arial Narrow" w:hAnsi="Arial Narrow"/>
                <w:iCs/>
                <w:color w:val="333333"/>
                <w:sz w:val="20"/>
                <w:szCs w:val="20"/>
              </w:rPr>
              <w:t>not</w:t>
            </w:r>
            <w:r w:rsidRPr="00A277CA">
              <w:rPr>
                <w:rFonts w:ascii="Arial Narrow" w:hAnsi="Arial Narrow"/>
                <w:iCs/>
                <w:color w:val="333333"/>
                <w:sz w:val="20"/>
                <w:szCs w:val="20"/>
              </w:rPr>
              <w:t xml:space="preserve"> access surgical treatment</w:t>
            </w:r>
            <w:r w:rsidRPr="00A277CA">
              <w:rPr>
                <w:rFonts w:ascii="Arial Narrow" w:hAnsi="Arial Narrow"/>
                <w:strike/>
                <w:color w:val="333333"/>
                <w:sz w:val="20"/>
                <w:szCs w:val="20"/>
              </w:rPr>
              <w:t xml:space="preserve"> being unavailable to the patient</w:t>
            </w:r>
          </w:p>
        </w:tc>
      </w:tr>
      <w:tr w:rsidR="00A277CA" w:rsidRPr="00A277CA" w14:paraId="0432E5BE" w14:textId="77777777" w:rsidTr="00FA4D4F">
        <w:tc>
          <w:tcPr>
            <w:tcW w:w="670" w:type="pct"/>
            <w:gridSpan w:val="2"/>
            <w:vAlign w:val="center"/>
          </w:tcPr>
          <w:p w14:paraId="1EF87640" w14:textId="5623840D" w:rsidR="00A277CA" w:rsidRPr="00A277CA" w:rsidRDefault="00A277CA" w:rsidP="00FA4D4F">
            <w:pPr>
              <w:jc w:val="center"/>
              <w:rPr>
                <w:rFonts w:ascii="Arial Narrow" w:hAnsi="Arial Narrow"/>
                <w:strike/>
                <w:color w:val="333333"/>
                <w:sz w:val="20"/>
                <w:szCs w:val="20"/>
              </w:rPr>
            </w:pPr>
          </w:p>
        </w:tc>
        <w:tc>
          <w:tcPr>
            <w:tcW w:w="4330" w:type="pct"/>
            <w:gridSpan w:val="6"/>
            <w:vAlign w:val="center"/>
          </w:tcPr>
          <w:p w14:paraId="3CDD25BB" w14:textId="77777777" w:rsidR="00A277CA" w:rsidRPr="00A277CA" w:rsidRDefault="00A277CA" w:rsidP="00FA4D4F">
            <w:pPr>
              <w:rPr>
                <w:rFonts w:ascii="Arial Narrow" w:hAnsi="Arial Narrow"/>
                <w:strike/>
                <w:color w:val="333333"/>
                <w:sz w:val="20"/>
                <w:szCs w:val="20"/>
              </w:rPr>
            </w:pPr>
            <w:r w:rsidRPr="00A277CA">
              <w:rPr>
                <w:rFonts w:ascii="Arial Narrow" w:hAnsi="Arial Narrow"/>
                <w:b/>
                <w:bCs/>
                <w:strike/>
                <w:color w:val="333333"/>
                <w:sz w:val="20"/>
                <w:szCs w:val="20"/>
              </w:rPr>
              <w:t>Prescribing Instructions:</w:t>
            </w:r>
            <w:r w:rsidRPr="00A277CA">
              <w:rPr>
                <w:rFonts w:ascii="Arial Narrow" w:hAnsi="Arial Narrow"/>
                <w:strike/>
                <w:color w:val="333333"/>
                <w:sz w:val="20"/>
                <w:szCs w:val="20"/>
              </w:rPr>
              <w:t xml:space="preserve"> </w:t>
            </w:r>
          </w:p>
          <w:p w14:paraId="0AFD3E6B"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 xml:space="preserve"> Only patients who demonstrate a complete response between month 2 and 3 are eligible for continuing treatment.</w:t>
            </w:r>
            <w:r w:rsidRPr="00A277CA">
              <w:rPr>
                <w:rFonts w:eastAsia="Calibri"/>
                <w:strike/>
                <w:sz w:val="20"/>
                <w:szCs w:val="20"/>
              </w:rPr>
              <w:t xml:space="preserve"> </w:t>
            </w:r>
          </w:p>
          <w:p w14:paraId="30504D4A" w14:textId="77777777" w:rsidR="00A277CA" w:rsidRPr="00A277CA" w:rsidRDefault="00A277CA" w:rsidP="00FA4D4F">
            <w:pPr>
              <w:rPr>
                <w:rFonts w:ascii="Arial Narrow" w:hAnsi="Arial Narrow"/>
                <w:color w:val="333333"/>
                <w:sz w:val="20"/>
                <w:szCs w:val="20"/>
              </w:rPr>
            </w:pPr>
          </w:p>
          <w:p w14:paraId="13B1CF20" w14:textId="77777777" w:rsidR="00A277CA" w:rsidRPr="00A277CA" w:rsidRDefault="00A277CA" w:rsidP="00FA4D4F">
            <w:pPr>
              <w:rPr>
                <w:rFonts w:ascii="Arial Narrow" w:hAnsi="Arial Narrow"/>
                <w:iCs/>
                <w:strike/>
                <w:color w:val="333333"/>
                <w:sz w:val="20"/>
                <w:szCs w:val="20"/>
              </w:rPr>
            </w:pPr>
            <w:r w:rsidRPr="00A277CA">
              <w:rPr>
                <w:rFonts w:ascii="Arial Narrow" w:hAnsi="Arial Narrow"/>
                <w:strike/>
                <w:color w:val="333333"/>
                <w:sz w:val="20"/>
                <w:szCs w:val="20"/>
              </w:rPr>
              <w:t>At the time of authority application, medical practitioners should request the appropriate number of packs to provide sufficient drug, based on the prescribed dose of the patient, for one month of treatment. The dose must not exceed 30 mg twice daily. Up to a maximum of 2 repeats will be authorised. Patients must not exceed more than 3 months of treatment under this restriction.</w:t>
            </w:r>
            <w:r w:rsidRPr="00A277CA">
              <w:rPr>
                <w:rFonts w:ascii="Arial Narrow" w:hAnsi="Arial Narrow"/>
                <w:color w:val="333333"/>
                <w:sz w:val="20"/>
                <w:szCs w:val="20"/>
              </w:rPr>
              <w:t xml:space="preserve"> </w:t>
            </w:r>
            <w:r w:rsidRPr="00A277CA">
              <w:rPr>
                <w:rFonts w:ascii="Arial Narrow" w:hAnsi="Arial Narrow"/>
                <w:iCs/>
                <w:strike/>
                <w:color w:val="333333"/>
                <w:sz w:val="20"/>
                <w:szCs w:val="20"/>
              </w:rPr>
              <w:t>The daily dose must not exceed 60mg. Patients must not exceed more than 3months of treatment under this restriction.</w:t>
            </w:r>
          </w:p>
          <w:p w14:paraId="3874CCF1" w14:textId="77777777" w:rsidR="00A277CA" w:rsidRPr="00A277CA" w:rsidRDefault="00A277CA" w:rsidP="00FA4D4F">
            <w:pPr>
              <w:rPr>
                <w:rFonts w:ascii="Arial Narrow" w:hAnsi="Arial Narrow"/>
                <w:strike/>
                <w:color w:val="333333"/>
                <w:sz w:val="20"/>
                <w:szCs w:val="20"/>
              </w:rPr>
            </w:pPr>
          </w:p>
          <w:p w14:paraId="73E71C3A" w14:textId="77777777" w:rsidR="00A277CA" w:rsidRPr="00A277CA" w:rsidRDefault="00A277CA" w:rsidP="00FA4D4F">
            <w:pPr>
              <w:rPr>
                <w:rFonts w:ascii="Arial Narrow" w:hAnsi="Arial Narrow"/>
                <w:color w:val="333333"/>
                <w:sz w:val="20"/>
                <w:szCs w:val="20"/>
              </w:rPr>
            </w:pPr>
            <w:r w:rsidRPr="00A277CA">
              <w:rPr>
                <w:rFonts w:ascii="Arial Narrow" w:hAnsi="Arial Narrow"/>
                <w:strike/>
                <w:color w:val="333333"/>
                <w:sz w:val="20"/>
                <w:szCs w:val="20"/>
              </w:rPr>
              <w:t>Treatment should be discontinued, or the dose reduced, if mean UFC levels fall below the lower limit of normal (LLN) or there are signs of adrenal insufficiency.</w:t>
            </w:r>
          </w:p>
        </w:tc>
      </w:tr>
      <w:tr w:rsidR="00A277CA" w:rsidRPr="00A277CA" w14:paraId="637080FB" w14:textId="77777777" w:rsidTr="00FA4D4F">
        <w:tc>
          <w:tcPr>
            <w:tcW w:w="670" w:type="pct"/>
            <w:gridSpan w:val="2"/>
            <w:vAlign w:val="center"/>
          </w:tcPr>
          <w:p w14:paraId="516FB47B" w14:textId="77777777" w:rsidR="00A277CA" w:rsidRPr="00A277CA" w:rsidRDefault="00A277CA" w:rsidP="00FA4D4F">
            <w:pPr>
              <w:jc w:val="center"/>
              <w:rPr>
                <w:rFonts w:ascii="Arial Narrow" w:hAnsi="Arial Narrow"/>
                <w:color w:val="333333"/>
                <w:sz w:val="20"/>
                <w:szCs w:val="20"/>
              </w:rPr>
            </w:pPr>
          </w:p>
        </w:tc>
        <w:tc>
          <w:tcPr>
            <w:tcW w:w="4330" w:type="pct"/>
            <w:gridSpan w:val="6"/>
            <w:vAlign w:val="center"/>
          </w:tcPr>
          <w:p w14:paraId="456BA4E1" w14:textId="77777777" w:rsidR="00A277CA" w:rsidRPr="00A277CA" w:rsidRDefault="00A277CA" w:rsidP="00FA4D4F">
            <w:pPr>
              <w:rPr>
                <w:rFonts w:ascii="Arial Narrow" w:hAnsi="Arial Narrow"/>
                <w:b/>
                <w:bCs/>
                <w:strike/>
                <w:color w:val="333333"/>
                <w:sz w:val="20"/>
                <w:szCs w:val="20"/>
              </w:rPr>
            </w:pPr>
            <w:r w:rsidRPr="00A277CA">
              <w:rPr>
                <w:rFonts w:ascii="Arial Narrow" w:hAnsi="Arial Narrow"/>
                <w:b/>
                <w:bCs/>
                <w:strike/>
                <w:color w:val="333333"/>
                <w:sz w:val="20"/>
                <w:szCs w:val="20"/>
              </w:rPr>
              <w:t>Notes:</w:t>
            </w:r>
          </w:p>
          <w:p w14:paraId="4DA12F8B"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Patients who failed surgery are defined as those with recurrent or persistent hypercortisolism (UFC &gt; 1.3x ULN).</w:t>
            </w:r>
          </w:p>
          <w:p w14:paraId="3BA9BF3D" w14:textId="77777777" w:rsidR="00A277CA" w:rsidRPr="00A277CA" w:rsidRDefault="00A277CA" w:rsidP="00FA4D4F">
            <w:pPr>
              <w:rPr>
                <w:rFonts w:ascii="Arial Narrow" w:hAnsi="Arial Narrow"/>
                <w:strike/>
                <w:color w:val="333333"/>
                <w:sz w:val="20"/>
                <w:szCs w:val="20"/>
              </w:rPr>
            </w:pPr>
          </w:p>
          <w:p w14:paraId="7A1A5588"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lastRenderedPageBreak/>
              <w:t>Patients who are not candidates for surgery are defined as:</w:t>
            </w:r>
          </w:p>
          <w:p w14:paraId="5F504275"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a medical contraindication for surgery</w:t>
            </w:r>
          </w:p>
          <w:p w14:paraId="25126CAE"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with inoperable tumours</w:t>
            </w:r>
          </w:p>
          <w:p w14:paraId="4EE01172"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surgery unlikely to reduce hypercortisolism</w:t>
            </w:r>
          </w:p>
          <w:p w14:paraId="050A3223" w14:textId="77777777" w:rsidR="00A277CA" w:rsidRPr="00A277CA" w:rsidRDefault="00A277CA" w:rsidP="0047787D">
            <w:pPr>
              <w:numPr>
                <w:ilvl w:val="0"/>
                <w:numId w:val="14"/>
              </w:numPr>
              <w:contextualSpacing/>
              <w:rPr>
                <w:rFonts w:ascii="Arial Narrow" w:hAnsi="Arial Narrow"/>
                <w:strike/>
                <w:color w:val="333333"/>
                <w:sz w:val="20"/>
                <w:szCs w:val="20"/>
              </w:rPr>
            </w:pPr>
            <w:r w:rsidRPr="00A277CA">
              <w:rPr>
                <w:rFonts w:ascii="Arial Narrow" w:hAnsi="Arial Narrow"/>
                <w:strike/>
                <w:color w:val="333333"/>
                <w:sz w:val="20"/>
                <w:szCs w:val="20"/>
              </w:rPr>
              <w:t>those who refuse surgery</w:t>
            </w:r>
          </w:p>
          <w:p w14:paraId="73321585" w14:textId="77777777" w:rsidR="00A277CA" w:rsidRPr="00A277CA" w:rsidRDefault="00A277CA" w:rsidP="0047787D">
            <w:pPr>
              <w:numPr>
                <w:ilvl w:val="0"/>
                <w:numId w:val="14"/>
              </w:numPr>
              <w:contextualSpacing/>
              <w:rPr>
                <w:rFonts w:ascii="Arial Narrow" w:hAnsi="Arial Narrow"/>
                <w:color w:val="333333"/>
                <w:sz w:val="20"/>
                <w:szCs w:val="20"/>
              </w:rPr>
            </w:pPr>
            <w:r w:rsidRPr="00A277CA">
              <w:rPr>
                <w:rFonts w:ascii="Arial Narrow" w:hAnsi="Arial Narrow"/>
                <w:strike/>
                <w:color w:val="333333"/>
                <w:sz w:val="20"/>
                <w:szCs w:val="20"/>
              </w:rPr>
              <w:t>surgical treatment being unavailable to the patient</w:t>
            </w:r>
          </w:p>
        </w:tc>
      </w:tr>
      <w:tr w:rsidR="00A277CA" w:rsidRPr="00A277CA" w14:paraId="2C9093C1" w14:textId="77777777" w:rsidTr="00FA4D4F">
        <w:tc>
          <w:tcPr>
            <w:tcW w:w="670" w:type="pct"/>
            <w:gridSpan w:val="2"/>
            <w:vAlign w:val="center"/>
          </w:tcPr>
          <w:p w14:paraId="6E110C26" w14:textId="79E7518C" w:rsidR="00A277CA" w:rsidRPr="00A277CA" w:rsidRDefault="00A277CA" w:rsidP="00FA4D4F">
            <w:pPr>
              <w:jc w:val="center"/>
              <w:rPr>
                <w:rFonts w:ascii="Arial Narrow" w:hAnsi="Arial Narrow"/>
                <w:strike/>
                <w:color w:val="333333"/>
                <w:sz w:val="20"/>
                <w:szCs w:val="20"/>
              </w:rPr>
            </w:pPr>
          </w:p>
        </w:tc>
        <w:tc>
          <w:tcPr>
            <w:tcW w:w="4330" w:type="pct"/>
            <w:gridSpan w:val="6"/>
          </w:tcPr>
          <w:p w14:paraId="1F0C0E62" w14:textId="77777777" w:rsidR="00A277CA" w:rsidRPr="00A277CA" w:rsidRDefault="00A277CA" w:rsidP="00FA4D4F">
            <w:pPr>
              <w:rPr>
                <w:rFonts w:ascii="Arial Narrow" w:hAnsi="Arial Narrow"/>
                <w:b/>
                <w:bCs/>
                <w:strike/>
                <w:color w:val="333333"/>
                <w:sz w:val="20"/>
                <w:szCs w:val="20"/>
              </w:rPr>
            </w:pPr>
            <w:r w:rsidRPr="00A277CA">
              <w:rPr>
                <w:rFonts w:ascii="Arial Narrow" w:eastAsia="Calibri" w:hAnsi="Arial Narrow"/>
                <w:b/>
                <w:strike/>
                <w:sz w:val="20"/>
                <w:szCs w:val="20"/>
              </w:rPr>
              <w:t>Administrative advice:</w:t>
            </w:r>
            <w:r w:rsidRPr="00A277CA">
              <w:rPr>
                <w:rFonts w:ascii="Arial Narrow" w:eastAsia="Calibri" w:hAnsi="Arial Narrow"/>
                <w:strike/>
                <w:sz w:val="20"/>
                <w:szCs w:val="20"/>
              </w:rPr>
              <w:t xml:space="preserve"> No increase in the maximum number of repeats may be authorised.</w:t>
            </w:r>
          </w:p>
        </w:tc>
      </w:tr>
      <w:tr w:rsidR="00A277CA" w:rsidRPr="00A277CA" w14:paraId="6532C12C" w14:textId="77777777" w:rsidTr="00FA4D4F">
        <w:tc>
          <w:tcPr>
            <w:tcW w:w="670" w:type="pct"/>
            <w:gridSpan w:val="2"/>
            <w:vAlign w:val="center"/>
          </w:tcPr>
          <w:p w14:paraId="418117E6" w14:textId="3A3068A9" w:rsidR="00A277CA" w:rsidRPr="00A277CA" w:rsidRDefault="00A277CA" w:rsidP="00FA4D4F">
            <w:pPr>
              <w:jc w:val="center"/>
              <w:rPr>
                <w:rFonts w:ascii="Arial Narrow" w:hAnsi="Arial Narrow"/>
                <w:strike/>
                <w:color w:val="333333"/>
                <w:sz w:val="20"/>
                <w:szCs w:val="20"/>
              </w:rPr>
            </w:pPr>
          </w:p>
        </w:tc>
        <w:tc>
          <w:tcPr>
            <w:tcW w:w="4330" w:type="pct"/>
            <w:gridSpan w:val="6"/>
          </w:tcPr>
          <w:p w14:paraId="107EA2A8" w14:textId="77777777" w:rsidR="00A277CA" w:rsidRPr="00A277CA" w:rsidRDefault="00A277CA" w:rsidP="00FA4D4F">
            <w:pPr>
              <w:rPr>
                <w:rFonts w:ascii="Arial Narrow" w:hAnsi="Arial Narrow"/>
                <w:b/>
                <w:bCs/>
                <w:strike/>
                <w:color w:val="333333"/>
                <w:sz w:val="20"/>
                <w:szCs w:val="20"/>
              </w:rPr>
            </w:pPr>
            <w:r w:rsidRPr="00A277CA">
              <w:rPr>
                <w:rFonts w:ascii="Arial Narrow" w:eastAsia="Calibri" w:hAnsi="Arial Narrow"/>
                <w:b/>
                <w:strike/>
                <w:sz w:val="20"/>
                <w:szCs w:val="20"/>
              </w:rPr>
              <w:t xml:space="preserve">Administrative Advice: </w:t>
            </w:r>
            <w:r w:rsidRPr="00A277CA">
              <w:rPr>
                <w:rFonts w:ascii="Arial Narrow" w:eastAsia="Calibri" w:hAnsi="Arial Narrow"/>
                <w:bCs/>
                <w:strike/>
                <w:sz w:val="20"/>
                <w:szCs w:val="20"/>
              </w:rPr>
              <w:t>Special Pricing Arrangements apply.</w:t>
            </w:r>
          </w:p>
        </w:tc>
      </w:tr>
      <w:tr w:rsidR="00A277CA" w:rsidRPr="00A277CA" w14:paraId="688E522F" w14:textId="77777777" w:rsidTr="00FA4D4F">
        <w:tc>
          <w:tcPr>
            <w:tcW w:w="670" w:type="pct"/>
            <w:gridSpan w:val="2"/>
            <w:vAlign w:val="center"/>
          </w:tcPr>
          <w:p w14:paraId="6729B363" w14:textId="28D0406F" w:rsidR="00A277CA" w:rsidRPr="00A277CA" w:rsidRDefault="00A277CA" w:rsidP="00FA4D4F">
            <w:pPr>
              <w:jc w:val="center"/>
              <w:rPr>
                <w:rFonts w:ascii="Arial Narrow" w:hAnsi="Arial Narrow"/>
                <w:color w:val="333333"/>
                <w:sz w:val="20"/>
                <w:szCs w:val="20"/>
              </w:rPr>
            </w:pPr>
          </w:p>
        </w:tc>
        <w:tc>
          <w:tcPr>
            <w:tcW w:w="4330" w:type="pct"/>
            <w:gridSpan w:val="6"/>
          </w:tcPr>
          <w:p w14:paraId="45D3C737" w14:textId="77777777" w:rsidR="00A277CA" w:rsidRPr="00A277CA" w:rsidRDefault="00A277CA" w:rsidP="00FA4D4F">
            <w:pPr>
              <w:rPr>
                <w:rFonts w:ascii="Arial Narrow" w:eastAsia="Calibri" w:hAnsi="Arial Narrow"/>
                <w:b/>
                <w:sz w:val="20"/>
                <w:szCs w:val="20"/>
              </w:rPr>
            </w:pPr>
            <w:r w:rsidRPr="00A277CA">
              <w:rPr>
                <w:rFonts w:ascii="Arial Narrow" w:eastAsia="Calibri" w:hAnsi="Arial Narrow"/>
                <w:b/>
                <w:sz w:val="20"/>
                <w:szCs w:val="20"/>
              </w:rPr>
              <w:t>Administrative Advice:</w:t>
            </w:r>
            <w:r w:rsidRPr="00A277CA">
              <w:rPr>
                <w:rFonts w:ascii="Arial Narrow" w:eastAsia="Calibri" w:hAnsi="Arial Narrow"/>
                <w:bCs/>
                <w:sz w:val="20"/>
                <w:szCs w:val="20"/>
              </w:rPr>
              <w:t xml:space="preserve"> This Grandfather restriction will cease to operate</w:t>
            </w:r>
            <w:r w:rsidRPr="00A277CA">
              <w:rPr>
                <w:rFonts w:ascii="Arial Narrow" w:eastAsia="Calibri" w:hAnsi="Arial Narrow"/>
                <w:bCs/>
                <w:iCs/>
                <w:sz w:val="20"/>
                <w:szCs w:val="20"/>
              </w:rPr>
              <w:t xml:space="preserve"> from</w:t>
            </w:r>
            <w:r w:rsidRPr="00A277CA">
              <w:rPr>
                <w:rFonts w:ascii="Arial Narrow" w:eastAsia="Calibri" w:hAnsi="Arial Narrow"/>
                <w:bCs/>
                <w:sz w:val="20"/>
                <w:szCs w:val="20"/>
              </w:rPr>
              <w:t xml:space="preserve"> 12 months after the date specified in the clinical criteria</w:t>
            </w:r>
          </w:p>
        </w:tc>
      </w:tr>
      <w:tr w:rsidR="00A277CA" w:rsidRPr="00A277CA" w14:paraId="0D11ACB1" w14:textId="77777777" w:rsidTr="00FA4D4F">
        <w:tc>
          <w:tcPr>
            <w:tcW w:w="670" w:type="pct"/>
            <w:gridSpan w:val="2"/>
            <w:vAlign w:val="center"/>
          </w:tcPr>
          <w:p w14:paraId="36F3C0AC" w14:textId="5844AF93" w:rsidR="00A277CA" w:rsidRPr="00A277CA" w:rsidDel="00411DB3" w:rsidRDefault="00A277CA" w:rsidP="00FA4D4F">
            <w:pPr>
              <w:jc w:val="center"/>
              <w:rPr>
                <w:rFonts w:ascii="Arial Narrow" w:hAnsi="Arial Narrow"/>
                <w:iCs/>
                <w:color w:val="333333"/>
                <w:sz w:val="20"/>
                <w:szCs w:val="20"/>
              </w:rPr>
            </w:pPr>
          </w:p>
        </w:tc>
        <w:tc>
          <w:tcPr>
            <w:tcW w:w="4330" w:type="pct"/>
            <w:gridSpan w:val="6"/>
            <w:vAlign w:val="center"/>
          </w:tcPr>
          <w:p w14:paraId="40335A08" w14:textId="77777777" w:rsidR="00A277CA" w:rsidRPr="00A277CA" w:rsidRDefault="00A277CA" w:rsidP="00FA4D4F">
            <w:pPr>
              <w:rPr>
                <w:rFonts w:ascii="Arial Narrow" w:eastAsia="Calibri" w:hAnsi="Arial Narrow"/>
                <w:iCs/>
                <w:sz w:val="20"/>
                <w:szCs w:val="20"/>
              </w:rPr>
            </w:pPr>
            <w:r w:rsidRPr="00A277CA">
              <w:rPr>
                <w:rFonts w:ascii="Arial Narrow" w:hAnsi="Arial Narrow"/>
                <w:bCs/>
                <w:iCs/>
                <w:color w:val="333333"/>
                <w:sz w:val="20"/>
                <w:szCs w:val="20"/>
              </w:rPr>
              <w:t>Administrative advice:</w:t>
            </w:r>
            <w:r w:rsidRPr="00A277CA">
              <w:rPr>
                <w:rFonts w:ascii="Arial Narrow" w:hAnsi="Arial Narrow"/>
                <w:iCs/>
                <w:color w:val="333333"/>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A277CA" w:rsidRPr="008C713C" w14:paraId="27BB4483" w14:textId="77777777" w:rsidTr="00FA4D4F">
        <w:tc>
          <w:tcPr>
            <w:tcW w:w="670" w:type="pct"/>
            <w:gridSpan w:val="2"/>
            <w:vAlign w:val="center"/>
          </w:tcPr>
          <w:p w14:paraId="7A1AB639" w14:textId="5E107EA8" w:rsidR="00A277CA" w:rsidRPr="00A277CA" w:rsidRDefault="00A277CA" w:rsidP="00FA4D4F">
            <w:pPr>
              <w:jc w:val="center"/>
              <w:rPr>
                <w:rFonts w:ascii="Arial Narrow" w:hAnsi="Arial Narrow"/>
                <w:strike/>
                <w:color w:val="333333"/>
                <w:sz w:val="20"/>
                <w:szCs w:val="20"/>
              </w:rPr>
            </w:pPr>
          </w:p>
        </w:tc>
        <w:tc>
          <w:tcPr>
            <w:tcW w:w="4330" w:type="pct"/>
            <w:gridSpan w:val="6"/>
            <w:vAlign w:val="center"/>
          </w:tcPr>
          <w:p w14:paraId="6DCDA430" w14:textId="77777777" w:rsidR="00A277CA" w:rsidRPr="00A277CA" w:rsidRDefault="00A277CA" w:rsidP="00FA4D4F">
            <w:pPr>
              <w:rPr>
                <w:rFonts w:ascii="Arial Narrow" w:hAnsi="Arial Narrow"/>
                <w:strike/>
                <w:color w:val="333333"/>
                <w:sz w:val="20"/>
                <w:szCs w:val="20"/>
              </w:rPr>
            </w:pPr>
            <w:r w:rsidRPr="00A277CA">
              <w:rPr>
                <w:rFonts w:ascii="Arial Narrow" w:hAnsi="Arial Narrow"/>
                <w:b/>
                <w:bCs/>
                <w:strike/>
                <w:color w:val="333333"/>
                <w:sz w:val="20"/>
                <w:szCs w:val="20"/>
              </w:rPr>
              <w:t>Caution:</w:t>
            </w:r>
            <w:r w:rsidRPr="00A277CA">
              <w:rPr>
                <w:rFonts w:ascii="Arial Narrow" w:hAnsi="Arial Narrow"/>
                <w:strike/>
                <w:color w:val="333333"/>
                <w:sz w:val="20"/>
                <w:szCs w:val="20"/>
              </w:rPr>
              <w:t xml:space="preserve"> </w:t>
            </w:r>
          </w:p>
          <w:p w14:paraId="0520AC78"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The following should be assessed prior to receiving treatment and closely monitored throughout the treatment period:</w:t>
            </w:r>
          </w:p>
          <w:p w14:paraId="518521C7"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QTc prolongation via an electrocardiogram</w:t>
            </w:r>
          </w:p>
          <w:p w14:paraId="7B6DB33E" w14:textId="77777777" w:rsidR="00A277CA" w:rsidRPr="00A277CA" w:rsidRDefault="00A277CA" w:rsidP="0047787D">
            <w:pPr>
              <w:numPr>
                <w:ilvl w:val="0"/>
                <w:numId w:val="13"/>
              </w:numPr>
              <w:contextualSpacing/>
              <w:rPr>
                <w:rFonts w:ascii="Arial Narrow" w:hAnsi="Arial Narrow"/>
                <w:strike/>
                <w:color w:val="333333"/>
                <w:sz w:val="20"/>
                <w:szCs w:val="20"/>
              </w:rPr>
            </w:pPr>
            <w:r w:rsidRPr="00A277CA">
              <w:rPr>
                <w:rFonts w:ascii="Arial Narrow" w:hAnsi="Arial Narrow"/>
                <w:strike/>
                <w:color w:val="333333"/>
                <w:sz w:val="20"/>
                <w:szCs w:val="20"/>
              </w:rPr>
              <w:t>Hypocortisolism</w:t>
            </w:r>
          </w:p>
          <w:p w14:paraId="3A825D91" w14:textId="77777777" w:rsidR="00A277CA" w:rsidRPr="00A277CA" w:rsidRDefault="00A277CA" w:rsidP="00FA4D4F">
            <w:pPr>
              <w:rPr>
                <w:rFonts w:ascii="Arial Narrow" w:hAnsi="Arial Narrow"/>
                <w:strike/>
                <w:color w:val="333333"/>
                <w:sz w:val="20"/>
                <w:szCs w:val="20"/>
              </w:rPr>
            </w:pPr>
          </w:p>
          <w:p w14:paraId="364C49E2" w14:textId="77777777" w:rsidR="00A277CA" w:rsidRPr="00A277CA" w:rsidRDefault="00A277CA" w:rsidP="00FA4D4F">
            <w:pPr>
              <w:rPr>
                <w:rFonts w:ascii="Arial Narrow" w:hAnsi="Arial Narrow"/>
                <w:strike/>
                <w:color w:val="333333"/>
                <w:sz w:val="20"/>
                <w:szCs w:val="20"/>
              </w:rPr>
            </w:pPr>
            <w:r w:rsidRPr="00A277CA">
              <w:rPr>
                <w:rFonts w:ascii="Arial Narrow" w:hAnsi="Arial Narrow"/>
                <w:strike/>
                <w:color w:val="333333"/>
                <w:sz w:val="20"/>
                <w:szCs w:val="20"/>
              </w:rPr>
              <w:t>Inhibition of cortisol synthesis by osilodrostat has led to hypocortisolism-related events such as cortisol withdrawal syndrome (symptomatic decrease of cortisol levels, but still above the lower limit of the normal range) and adrenal insufficiency (cortisol levels below the normal range).</w:t>
            </w:r>
            <w:r w:rsidRPr="00A277CA">
              <w:rPr>
                <w:rFonts w:eastAsia="Calibri"/>
                <w:strike/>
                <w:sz w:val="20"/>
                <w:szCs w:val="20"/>
              </w:rPr>
              <w:t xml:space="preserve"> </w:t>
            </w:r>
            <w:r w:rsidRPr="00A277CA">
              <w:rPr>
                <w:rFonts w:ascii="Arial Narrow" w:hAnsi="Arial Narrow"/>
                <w:strike/>
                <w:color w:val="333333"/>
                <w:sz w:val="20"/>
                <w:szCs w:val="20"/>
              </w:rPr>
              <w:t>Cortisol levels should be monitored at regular intervals, since hypocortisolism-related events can occur at any time during treatment.</w:t>
            </w:r>
          </w:p>
        </w:tc>
      </w:tr>
    </w:tbl>
    <w:p w14:paraId="22BAEBD6" w14:textId="77777777" w:rsidR="00046D64" w:rsidRPr="00882085" w:rsidRDefault="00046D64" w:rsidP="004B1CB4"/>
    <w:p w14:paraId="50DF3000" w14:textId="39D7CE38" w:rsidR="00CC35EA" w:rsidRPr="00EF3963" w:rsidRDefault="00A5536E" w:rsidP="00F9393E">
      <w:pPr>
        <w:pStyle w:val="3-BodyText"/>
        <w:rPr>
          <w:color w:val="0066FF"/>
        </w:rPr>
      </w:pPr>
      <w:r w:rsidRPr="00721D5A">
        <w:rPr>
          <w:iCs/>
        </w:rPr>
        <w:t>The requested restriction is narrower than the TGA indication, as the requested restriction specifies that patients must have failed surgery or not be considered candidates for surgery, while the TGA only specifies that patients must have endogenous CS.</w:t>
      </w:r>
      <w:r w:rsidR="004B485D" w:rsidRPr="00721D5A">
        <w:rPr>
          <w:iCs/>
        </w:rPr>
        <w:t xml:space="preserve"> </w:t>
      </w:r>
      <w:r w:rsidRPr="00721D5A">
        <w:rPr>
          <w:iCs/>
        </w:rPr>
        <w:t xml:space="preserve">The osilodrostat clinical trials used in </w:t>
      </w:r>
      <w:r w:rsidR="00DE1C54">
        <w:rPr>
          <w:iCs/>
        </w:rPr>
        <w:t>this submission</w:t>
      </w:r>
      <w:r w:rsidR="00A2325E" w:rsidRPr="00721D5A">
        <w:rPr>
          <w:iCs/>
        </w:rPr>
        <w:t xml:space="preserve"> specified that newly diagnosed </w:t>
      </w:r>
      <w:r w:rsidR="00CA7B11" w:rsidRPr="00721D5A">
        <w:rPr>
          <w:iCs/>
        </w:rPr>
        <w:t>C</w:t>
      </w:r>
      <w:r w:rsidR="00CA7B11">
        <w:rPr>
          <w:iCs/>
        </w:rPr>
        <w:t>ushing’s</w:t>
      </w:r>
      <w:r w:rsidR="00D03B1A">
        <w:rPr>
          <w:iCs/>
        </w:rPr>
        <w:t xml:space="preserve"> Disease (C</w:t>
      </w:r>
      <w:r w:rsidR="00A2325E" w:rsidRPr="00721D5A">
        <w:rPr>
          <w:iCs/>
        </w:rPr>
        <w:t>D</w:t>
      </w:r>
      <w:r w:rsidR="00D03B1A">
        <w:rPr>
          <w:iCs/>
        </w:rPr>
        <w:t>)</w:t>
      </w:r>
      <w:r w:rsidR="00A2325E" w:rsidRPr="00721D5A">
        <w:rPr>
          <w:iCs/>
        </w:rPr>
        <w:t xml:space="preserve"> patients must not be candidates for surgery, and for patients that had prior pituitary surgery, </w:t>
      </w:r>
      <w:r w:rsidR="008912D9" w:rsidRPr="00721D5A">
        <w:rPr>
          <w:iCs/>
        </w:rPr>
        <w:t xml:space="preserve">in LINC 4 </w:t>
      </w:r>
      <w:r w:rsidR="00A2325E" w:rsidRPr="00721D5A">
        <w:rPr>
          <w:iCs/>
        </w:rPr>
        <w:t xml:space="preserve">it must have been </w:t>
      </w:r>
      <w:r w:rsidR="00EF4674" w:rsidRPr="00721D5A">
        <w:rPr>
          <w:iCs/>
        </w:rPr>
        <w:t>3</w:t>
      </w:r>
      <w:r w:rsidR="00EF4674">
        <w:rPr>
          <w:iCs/>
        </w:rPr>
        <w:t> </w:t>
      </w:r>
      <w:r w:rsidR="00A2325E" w:rsidRPr="00721D5A">
        <w:rPr>
          <w:iCs/>
        </w:rPr>
        <w:t xml:space="preserve">months prior and </w:t>
      </w:r>
      <w:r w:rsidR="008912D9" w:rsidRPr="00721D5A">
        <w:rPr>
          <w:iCs/>
        </w:rPr>
        <w:t xml:space="preserve">in LINC 3 </w:t>
      </w:r>
      <w:r w:rsidR="00A2325E" w:rsidRPr="00721D5A">
        <w:rPr>
          <w:iCs/>
        </w:rPr>
        <w:t>at least 30 days prior</w:t>
      </w:r>
      <w:r w:rsidRPr="00721D5A">
        <w:rPr>
          <w:iCs/>
        </w:rPr>
        <w:t>.</w:t>
      </w:r>
    </w:p>
    <w:p w14:paraId="4F663C14" w14:textId="47C45E60" w:rsidR="00EF3963" w:rsidRPr="00FE3B94" w:rsidRDefault="00EF3963" w:rsidP="00F9393E">
      <w:pPr>
        <w:pStyle w:val="3-BodyText"/>
        <w:rPr>
          <w:color w:val="0066FF"/>
        </w:rPr>
      </w:pPr>
      <w:bookmarkStart w:id="7" w:name="_Hlk131520955"/>
      <w:r w:rsidRPr="00721D5A">
        <w:rPr>
          <w:rFonts w:cstheme="minorHAnsi"/>
        </w:rPr>
        <w:t xml:space="preserve">A grandfathering restriction </w:t>
      </w:r>
      <w:r>
        <w:rPr>
          <w:rFonts w:cstheme="minorHAnsi"/>
        </w:rPr>
        <w:t>wa</w:t>
      </w:r>
      <w:r w:rsidRPr="00721D5A">
        <w:rPr>
          <w:rFonts w:cstheme="minorHAnsi"/>
        </w:rPr>
        <w:t xml:space="preserve">s requested with the submission, consistent with the initial treatment restriction. The Secretariat </w:t>
      </w:r>
      <w:r>
        <w:rPr>
          <w:rFonts w:cstheme="minorHAnsi"/>
        </w:rPr>
        <w:t>noted that</w:t>
      </w:r>
      <w:r w:rsidRPr="00721D5A">
        <w:rPr>
          <w:rFonts w:cstheme="minorHAnsi"/>
        </w:rPr>
        <w:t xml:space="preserve"> the</w:t>
      </w:r>
      <w:r>
        <w:rPr>
          <w:rFonts w:cstheme="minorHAnsi"/>
        </w:rPr>
        <w:t xml:space="preserve"> addition of the</w:t>
      </w:r>
      <w:r w:rsidRPr="00721D5A">
        <w:rPr>
          <w:rFonts w:cstheme="minorHAnsi"/>
        </w:rPr>
        <w:t xml:space="preserve"> following clinical criterion</w:t>
      </w:r>
      <w:r>
        <w:rPr>
          <w:rFonts w:cstheme="minorHAnsi"/>
        </w:rPr>
        <w:t xml:space="preserve"> to the grandfathering restriction would be</w:t>
      </w:r>
      <w:r w:rsidRPr="00721D5A">
        <w:rPr>
          <w:rFonts w:cstheme="minorHAnsi"/>
        </w:rPr>
        <w:t xml:space="preserve"> important for consistency with the initial treatment restriction: “Patient must have had active endogenous Cushing’s Syndrome determined by a mean urinary free cortisol (UFC) level greater than 1.3 times the upper limit of normal (ULN) at the time non-PBS subsidised treatment was commenced with this drug”.</w:t>
      </w:r>
    </w:p>
    <w:p w14:paraId="7075B85C" w14:textId="62A47B7B" w:rsidR="00B50DB8" w:rsidRPr="00407F2D" w:rsidDel="00195452" w:rsidRDefault="00203181" w:rsidP="004E18E9">
      <w:pPr>
        <w:pStyle w:val="2-SectionHeading"/>
      </w:pPr>
      <w:bookmarkStart w:id="8" w:name="_Toc124928093"/>
      <w:bookmarkEnd w:id="7"/>
      <w:r w:rsidDel="00195452">
        <w:t xml:space="preserve">Population and </w:t>
      </w:r>
      <w:r w:rsidR="008E0D3C" w:rsidDel="00195452">
        <w:t>d</w:t>
      </w:r>
      <w:r w:rsidDel="00195452">
        <w:t>isease</w:t>
      </w:r>
      <w:bookmarkEnd w:id="8"/>
    </w:p>
    <w:p w14:paraId="21FDD135" w14:textId="15790B4A" w:rsidR="00894489" w:rsidRPr="002E4F02" w:rsidDel="00195452" w:rsidRDefault="00755D63" w:rsidP="004E18E9">
      <w:pPr>
        <w:pStyle w:val="3-BodyText"/>
        <w:rPr>
          <w:color w:val="0066FF"/>
        </w:rPr>
      </w:pPr>
      <w:r>
        <w:t>Endogenous CS is a rare endocrine disorder which is characterised by excessive levels of blood cortisol levels.</w:t>
      </w:r>
      <w:r w:rsidR="004B485D">
        <w:t xml:space="preserve"> </w:t>
      </w:r>
      <w:r>
        <w:t xml:space="preserve">The different causes of CS are </w:t>
      </w:r>
      <w:r w:rsidR="00450F56">
        <w:t xml:space="preserve">shown </w:t>
      </w:r>
      <w:r>
        <w:t xml:space="preserve">in </w:t>
      </w:r>
      <w:r w:rsidR="003A6CBE" w:rsidRPr="003A6CBE">
        <w:rPr>
          <w:rFonts w:ascii="Calibri" w:hAnsi="Calibri" w:cs="Calibri"/>
        </w:rPr>
        <w:fldChar w:fldCharType="begin"/>
      </w:r>
      <w:r w:rsidR="003A6CBE" w:rsidRPr="003A6CBE">
        <w:rPr>
          <w:rFonts w:ascii="Calibri" w:hAnsi="Calibri" w:cs="Calibri"/>
        </w:rPr>
        <w:instrText xml:space="preserve"> REF _Ref123516927 \h  \* MERGEFORMAT </w:instrText>
      </w:r>
      <w:r w:rsidR="003A6CBE" w:rsidRPr="003A6CBE">
        <w:rPr>
          <w:rFonts w:ascii="Calibri" w:hAnsi="Calibri" w:cs="Calibri"/>
        </w:rPr>
      </w:r>
      <w:r w:rsidR="003A6CBE" w:rsidRPr="003A6CBE">
        <w:rPr>
          <w:rFonts w:ascii="Calibri" w:hAnsi="Calibri" w:cs="Calibri"/>
        </w:rPr>
        <w:fldChar w:fldCharType="separate"/>
      </w:r>
      <w:r w:rsidR="00A9220E" w:rsidRPr="00A9220E">
        <w:rPr>
          <w:rFonts w:ascii="Calibri" w:hAnsi="Calibri" w:cs="Calibri"/>
        </w:rPr>
        <w:t xml:space="preserve">Figure </w:t>
      </w:r>
      <w:r w:rsidR="00A9220E" w:rsidRPr="00A9220E">
        <w:rPr>
          <w:rFonts w:ascii="Calibri" w:hAnsi="Calibri" w:cs="Calibri"/>
          <w:noProof/>
        </w:rPr>
        <w:t>1</w:t>
      </w:r>
      <w:r w:rsidR="003A6CBE" w:rsidRPr="003A6CBE">
        <w:rPr>
          <w:rFonts w:ascii="Calibri" w:hAnsi="Calibri" w:cs="Calibri"/>
        </w:rPr>
        <w:fldChar w:fldCharType="end"/>
      </w:r>
      <w:r w:rsidRPr="003A6CBE">
        <w:rPr>
          <w:rFonts w:ascii="Calibri" w:hAnsi="Calibri" w:cs="Calibri"/>
        </w:rPr>
        <w:t>.</w:t>
      </w:r>
    </w:p>
    <w:p w14:paraId="57E1F381" w14:textId="77777777" w:rsidR="00755D63" w:rsidRDefault="00755D63" w:rsidP="00755D63">
      <w:pPr>
        <w:rPr>
          <w:rFonts w:ascii="Arial Narrow" w:hAnsi="Arial Narrow"/>
          <w:b/>
          <w:bCs/>
          <w:sz w:val="20"/>
          <w:szCs w:val="20"/>
        </w:rPr>
      </w:pPr>
    </w:p>
    <w:p w14:paraId="11FCAAEE" w14:textId="1DB28F21" w:rsidR="007627BE" w:rsidRPr="003A6CBE" w:rsidRDefault="00755D63" w:rsidP="003A6CBE">
      <w:pPr>
        <w:keepNext/>
        <w:rPr>
          <w:rFonts w:ascii="Arial Narrow" w:hAnsi="Arial Narrow"/>
          <w:b/>
          <w:bCs/>
          <w:sz w:val="20"/>
          <w:szCs w:val="20"/>
        </w:rPr>
      </w:pPr>
      <w:bookmarkStart w:id="9" w:name="_Ref123516927"/>
      <w:bookmarkStart w:id="10" w:name="_Hlk133502607"/>
      <w:r w:rsidRPr="003A6CBE">
        <w:rPr>
          <w:rFonts w:ascii="Arial Narrow" w:hAnsi="Arial Narrow"/>
          <w:b/>
          <w:bCs/>
          <w:sz w:val="20"/>
          <w:szCs w:val="20"/>
        </w:rPr>
        <w:lastRenderedPageBreak/>
        <w:t xml:space="preserve">Figure </w:t>
      </w:r>
      <w:r w:rsidR="003A6CBE" w:rsidRPr="003A6CBE">
        <w:rPr>
          <w:rFonts w:ascii="Arial Narrow" w:hAnsi="Arial Narrow"/>
          <w:b/>
          <w:bCs/>
          <w:sz w:val="20"/>
          <w:szCs w:val="20"/>
        </w:rPr>
        <w:fldChar w:fldCharType="begin"/>
      </w:r>
      <w:r w:rsidR="003A6CBE" w:rsidRPr="003A6CBE">
        <w:rPr>
          <w:rFonts w:ascii="Arial Narrow" w:hAnsi="Arial Narrow"/>
          <w:b/>
          <w:bCs/>
          <w:sz w:val="20"/>
          <w:szCs w:val="20"/>
        </w:rPr>
        <w:instrText xml:space="preserve"> SEQ </w:instrText>
      </w:r>
      <w:r w:rsidR="003A6CBE">
        <w:rPr>
          <w:rFonts w:ascii="Arial Narrow" w:hAnsi="Arial Narrow"/>
          <w:b/>
          <w:bCs/>
          <w:sz w:val="20"/>
          <w:szCs w:val="20"/>
        </w:rPr>
        <w:instrText>Figure</w:instrText>
      </w:r>
      <w:r w:rsidR="003A6CBE" w:rsidRPr="003A6CBE">
        <w:rPr>
          <w:rFonts w:ascii="Arial Narrow" w:hAnsi="Arial Narrow"/>
          <w:b/>
          <w:bCs/>
          <w:sz w:val="20"/>
          <w:szCs w:val="20"/>
        </w:rPr>
        <w:instrText xml:space="preserve"> \* ARABIC </w:instrText>
      </w:r>
      <w:r w:rsidR="003A6CBE" w:rsidRPr="003A6CBE">
        <w:rPr>
          <w:rFonts w:ascii="Arial Narrow" w:hAnsi="Arial Narrow"/>
          <w:b/>
          <w:bCs/>
          <w:sz w:val="20"/>
          <w:szCs w:val="20"/>
        </w:rPr>
        <w:fldChar w:fldCharType="separate"/>
      </w:r>
      <w:r w:rsidR="00A9220E">
        <w:rPr>
          <w:rFonts w:ascii="Arial Narrow" w:hAnsi="Arial Narrow"/>
          <w:b/>
          <w:bCs/>
          <w:noProof/>
          <w:sz w:val="20"/>
          <w:szCs w:val="20"/>
        </w:rPr>
        <w:t>1</w:t>
      </w:r>
      <w:r w:rsidR="003A6CBE" w:rsidRPr="003A6CBE">
        <w:rPr>
          <w:rFonts w:ascii="Arial Narrow" w:hAnsi="Arial Narrow"/>
          <w:b/>
          <w:bCs/>
          <w:noProof/>
          <w:sz w:val="20"/>
          <w:szCs w:val="20"/>
        </w:rPr>
        <w:fldChar w:fldCharType="end"/>
      </w:r>
      <w:bookmarkEnd w:id="9"/>
      <w:r w:rsidRPr="005B6DD2">
        <w:rPr>
          <w:rFonts w:ascii="Arial Narrow" w:hAnsi="Arial Narrow"/>
          <w:b/>
          <w:bCs/>
          <w:sz w:val="20"/>
          <w:szCs w:val="20"/>
        </w:rPr>
        <w:t>: The causes of Cushing’s syndrome</w:t>
      </w:r>
    </w:p>
    <w:bookmarkEnd w:id="10"/>
    <w:p w14:paraId="4211B45C" w14:textId="1E60A5F4" w:rsidR="00755D63" w:rsidRDefault="00755D63" w:rsidP="003A6CBE">
      <w:pPr>
        <w:keepNext/>
      </w:pPr>
      <w:r>
        <w:rPr>
          <w:noProof/>
          <w:lang w:val="en-GB" w:eastAsia="en-GB"/>
        </w:rPr>
        <w:drawing>
          <wp:inline distT="0" distB="0" distL="0" distR="0" wp14:anchorId="46FB9DC2" wp14:editId="1EA00876">
            <wp:extent cx="4359364" cy="2057727"/>
            <wp:effectExtent l="0" t="0" r="3175" b="0"/>
            <wp:docPr id="1" name="Picture 1" descr="Figure 1: The causes of Cushing’s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causes of Cushing’s syndrome"/>
                    <pic:cNvPicPr/>
                  </pic:nvPicPr>
                  <pic:blipFill>
                    <a:blip r:embed="rId8"/>
                    <a:stretch>
                      <a:fillRect/>
                    </a:stretch>
                  </pic:blipFill>
                  <pic:spPr>
                    <a:xfrm>
                      <a:off x="0" y="0"/>
                      <a:ext cx="4406250" cy="2079859"/>
                    </a:xfrm>
                    <a:prstGeom prst="rect">
                      <a:avLst/>
                    </a:prstGeom>
                  </pic:spPr>
                </pic:pic>
              </a:graphicData>
            </a:graphic>
          </wp:inline>
        </w:drawing>
      </w:r>
    </w:p>
    <w:p w14:paraId="262AC23B" w14:textId="7E2A908E" w:rsidR="00755D63" w:rsidRPr="00755D63" w:rsidRDefault="00755D63" w:rsidP="003A6CBE">
      <w:pPr>
        <w:keepNext/>
        <w:spacing w:after="120"/>
        <w:rPr>
          <w:rFonts w:ascii="Arial Narrow" w:hAnsi="Arial Narrow"/>
          <w:sz w:val="18"/>
          <w:szCs w:val="18"/>
        </w:rPr>
      </w:pPr>
      <w:r w:rsidRPr="005B6DD2">
        <w:rPr>
          <w:rFonts w:ascii="Arial Narrow" w:hAnsi="Arial Narrow"/>
          <w:sz w:val="18"/>
          <w:szCs w:val="18"/>
        </w:rPr>
        <w:t>Source:</w:t>
      </w:r>
      <w:r w:rsidR="004B485D">
        <w:rPr>
          <w:rFonts w:ascii="Arial Narrow" w:hAnsi="Arial Narrow"/>
          <w:sz w:val="18"/>
          <w:szCs w:val="18"/>
        </w:rPr>
        <w:t xml:space="preserve"> </w:t>
      </w:r>
      <w:r w:rsidRPr="005B6DD2">
        <w:rPr>
          <w:rFonts w:ascii="Arial Narrow" w:hAnsi="Arial Narrow"/>
          <w:sz w:val="18"/>
          <w:szCs w:val="18"/>
        </w:rPr>
        <w:t>Figure 1.1-2, p10 of the submission.</w:t>
      </w:r>
    </w:p>
    <w:p w14:paraId="038D8A9E" w14:textId="760FF1AB" w:rsidR="00EA69E2" w:rsidRPr="00755D63" w:rsidRDefault="00755D63" w:rsidP="004E18E9">
      <w:pPr>
        <w:pStyle w:val="3-BodyText"/>
        <w:rPr>
          <w:color w:val="0066FF"/>
        </w:rPr>
      </w:pPr>
      <w:r>
        <w:t>The most common cause of adrenocorticotropic hormone (ACTH) dependent CS is a pituitary adenoma (approximately 70%), also known as Cushing’s disease.</w:t>
      </w:r>
      <w:r w:rsidR="004B485D">
        <w:t xml:space="preserve"> </w:t>
      </w:r>
      <w:r>
        <w:t>Ectopic ACTH syndromes represent a small portion of patients where the excessive release of ACTH arises from malignant or benign neuroendocrine tumours outside of the pituitary glands.</w:t>
      </w:r>
      <w:r w:rsidR="004B485D">
        <w:t xml:space="preserve"> </w:t>
      </w:r>
      <w:r>
        <w:t>The most common cause of ACTH-independent CS is a unilateral adrenal adenoma (10% - 22%) or carcinoma (5% - 7%).</w:t>
      </w:r>
      <w:r w:rsidR="004B485D">
        <w:t xml:space="preserve"> </w:t>
      </w:r>
      <w:r>
        <w:t>Bilateral adrenal causes of CS are rare.</w:t>
      </w:r>
      <w:r w:rsidR="004B485D">
        <w:t xml:space="preserve"> </w:t>
      </w:r>
      <w:r>
        <w:t>Irrespective of the origin, the result is hypersecretion of cortisol from the adrenal gland.</w:t>
      </w:r>
    </w:p>
    <w:p w14:paraId="476EACC0" w14:textId="418AD1BF" w:rsidR="00755D63" w:rsidRPr="009E5545" w:rsidRDefault="00755D63" w:rsidP="004E18E9">
      <w:pPr>
        <w:pStyle w:val="3-BodyText"/>
        <w:rPr>
          <w:color w:val="0066FF"/>
        </w:rPr>
      </w:pPr>
      <w:r>
        <w:t>The submission indicated that the most common clinical features include obesity or weight gain, hypertension</w:t>
      </w:r>
      <w:r w:rsidR="002D44FE">
        <w:t>,</w:t>
      </w:r>
      <w:r>
        <w:t xml:space="preserve"> as well as neuropsychiatric symptoms.</w:t>
      </w:r>
      <w:r w:rsidR="004B485D">
        <w:t xml:space="preserve"> </w:t>
      </w:r>
      <w:r>
        <w:t>The main comorbidities include cardiovascular disease, diabetes, infection and osteoporosis and impact on quality of life (QoL).</w:t>
      </w:r>
    </w:p>
    <w:p w14:paraId="3B6BFF13" w14:textId="595D6064" w:rsidR="009E5545" w:rsidRPr="00B22233" w:rsidRDefault="00463CC6" w:rsidP="004E18E9">
      <w:pPr>
        <w:pStyle w:val="3-BodyText"/>
      </w:pPr>
      <w:r w:rsidRPr="00236DA5">
        <w:rPr>
          <w:rFonts w:ascii="Calibri" w:hAnsi="Calibri" w:cs="Calibri"/>
          <w:color w:val="000000"/>
          <w:lang w:eastAsia="en-GB"/>
        </w:rPr>
        <w:t xml:space="preserve">The clinical features of Cushing's disease are due to excess cortisol </w:t>
      </w:r>
      <w:r w:rsidR="009E7BCB" w:rsidRPr="00236DA5">
        <w:rPr>
          <w:rFonts w:ascii="Calibri" w:hAnsi="Calibri" w:cs="Calibri"/>
          <w:color w:val="000000"/>
          <w:lang w:eastAsia="en-GB"/>
        </w:rPr>
        <w:t>secretion and</w:t>
      </w:r>
      <w:r w:rsidRPr="00236DA5">
        <w:rPr>
          <w:rFonts w:ascii="Calibri" w:hAnsi="Calibri" w:cs="Calibri"/>
          <w:color w:val="000000"/>
          <w:lang w:eastAsia="en-GB"/>
        </w:rPr>
        <w:t xml:space="preserve"> are indistinguishable from other causes of Cushing's syndrome (ectopic ACTH production and adrenal tumours). The ACTH-secreting pituitary adenomas are small, and do not alter the secretion of other pituitary </w:t>
      </w:r>
      <w:r w:rsidR="009E7BCB" w:rsidRPr="00236DA5">
        <w:rPr>
          <w:rFonts w:ascii="Calibri" w:hAnsi="Calibri" w:cs="Calibri"/>
          <w:color w:val="000000"/>
          <w:lang w:eastAsia="en-GB"/>
        </w:rPr>
        <w:t>hormones or</w:t>
      </w:r>
      <w:r w:rsidRPr="00236DA5">
        <w:rPr>
          <w:rFonts w:ascii="Calibri" w:hAnsi="Calibri" w:cs="Calibri"/>
          <w:color w:val="000000"/>
          <w:lang w:eastAsia="en-GB"/>
        </w:rPr>
        <w:t xml:space="preserve"> compress adjacent structures. The diagnostic process therefore begins with establishing that there is excess cortisol secretion, and then proceeds to distinguish the various </w:t>
      </w:r>
      <w:r w:rsidRPr="00B22233">
        <w:rPr>
          <w:rFonts w:ascii="Calibri" w:hAnsi="Calibri" w:cs="Calibri"/>
          <w:lang w:eastAsia="en-GB"/>
        </w:rPr>
        <w:t>specific causes. However, as the list of clinical features implies, Cushing's disease</w:t>
      </w:r>
      <w:r w:rsidR="001E6B46">
        <w:rPr>
          <w:rFonts w:ascii="Calibri" w:hAnsi="Calibri" w:cs="Calibri"/>
          <w:lang w:eastAsia="en-GB"/>
        </w:rPr>
        <w:t xml:space="preserve"> </w:t>
      </w:r>
      <w:r w:rsidRPr="00B22233">
        <w:rPr>
          <w:rFonts w:ascii="Calibri" w:hAnsi="Calibri" w:cs="Calibri"/>
          <w:lang w:eastAsia="en-GB"/>
        </w:rPr>
        <w:t xml:space="preserve">is a remote diagnostic possibility </w:t>
      </w:r>
      <w:r w:rsidR="001E6B46" w:rsidRPr="00B22233">
        <w:rPr>
          <w:rFonts w:ascii="Calibri" w:hAnsi="Calibri" w:cs="Calibri"/>
          <w:lang w:eastAsia="en-GB"/>
        </w:rPr>
        <w:t>in</w:t>
      </w:r>
      <w:r w:rsidR="001E6B46">
        <w:rPr>
          <w:rFonts w:ascii="Calibri" w:hAnsi="Calibri" w:cs="Calibri"/>
          <w:lang w:eastAsia="en-GB"/>
        </w:rPr>
        <w:t xml:space="preserve"> </w:t>
      </w:r>
      <w:r w:rsidR="001E6B46" w:rsidRPr="00B22233">
        <w:rPr>
          <w:rFonts w:ascii="Calibri" w:hAnsi="Calibri" w:cs="Calibri"/>
          <w:lang w:eastAsia="en-GB"/>
        </w:rPr>
        <w:t>many</w:t>
      </w:r>
      <w:r w:rsidR="001E6B46">
        <w:rPr>
          <w:rFonts w:ascii="Calibri" w:hAnsi="Calibri" w:cs="Calibri"/>
          <w:lang w:eastAsia="en-GB"/>
        </w:rPr>
        <w:t xml:space="preserve"> </w:t>
      </w:r>
      <w:r w:rsidRPr="00B22233">
        <w:rPr>
          <w:rFonts w:ascii="Calibri" w:hAnsi="Calibri" w:cs="Calibri"/>
          <w:lang w:eastAsia="en-GB"/>
        </w:rPr>
        <w:t>common</w:t>
      </w:r>
      <w:r w:rsidR="001E6B46">
        <w:rPr>
          <w:rFonts w:ascii="Calibri" w:hAnsi="Calibri" w:cs="Calibri"/>
          <w:lang w:eastAsia="en-GB"/>
        </w:rPr>
        <w:t xml:space="preserve"> </w:t>
      </w:r>
      <w:r w:rsidRPr="00B22233">
        <w:rPr>
          <w:rFonts w:ascii="Calibri" w:hAnsi="Calibri" w:cs="Calibri"/>
          <w:lang w:eastAsia="en-GB"/>
        </w:rPr>
        <w:t>clinical presentations.</w:t>
      </w:r>
      <w:r w:rsidR="001E6B46">
        <w:rPr>
          <w:rFonts w:ascii="Calibri" w:hAnsi="Calibri" w:cs="Calibri"/>
          <w:lang w:eastAsia="en-GB"/>
        </w:rPr>
        <w:t xml:space="preserve"> </w:t>
      </w:r>
      <w:r w:rsidRPr="00B22233">
        <w:rPr>
          <w:rFonts w:ascii="Calibri" w:hAnsi="Calibri" w:cs="Calibri"/>
          <w:lang w:eastAsia="en-GB"/>
        </w:rPr>
        <w:t>The</w:t>
      </w:r>
      <w:r w:rsidR="001E6B46">
        <w:rPr>
          <w:rFonts w:ascii="Calibri" w:hAnsi="Calibri" w:cs="Calibri"/>
          <w:lang w:eastAsia="en-GB"/>
        </w:rPr>
        <w:t xml:space="preserve"> </w:t>
      </w:r>
      <w:r w:rsidRPr="00B22233">
        <w:rPr>
          <w:rFonts w:ascii="Calibri" w:hAnsi="Calibri" w:cs="Calibri"/>
          <w:lang w:eastAsia="en-GB"/>
        </w:rPr>
        <w:t>pre-test probability</w:t>
      </w:r>
      <w:r w:rsidR="001E6B46">
        <w:rPr>
          <w:rFonts w:ascii="Calibri" w:hAnsi="Calibri" w:cs="Calibri"/>
          <w:lang w:eastAsia="en-GB"/>
        </w:rPr>
        <w:t xml:space="preserve"> </w:t>
      </w:r>
      <w:r w:rsidRPr="00B22233">
        <w:rPr>
          <w:rFonts w:ascii="Calibri" w:hAnsi="Calibri" w:cs="Calibri"/>
          <w:lang w:eastAsia="en-GB"/>
        </w:rPr>
        <w:t>is usually</w:t>
      </w:r>
      <w:r w:rsidR="001E6B46">
        <w:rPr>
          <w:rFonts w:ascii="Calibri" w:hAnsi="Calibri" w:cs="Calibri"/>
          <w:lang w:eastAsia="en-GB"/>
        </w:rPr>
        <w:t xml:space="preserve"> </w:t>
      </w:r>
      <w:r w:rsidRPr="00B22233">
        <w:rPr>
          <w:rFonts w:ascii="Calibri" w:hAnsi="Calibri" w:cs="Calibri"/>
          <w:lang w:eastAsia="en-GB"/>
        </w:rPr>
        <w:t xml:space="preserve">low, no single test has high sensitivity and specificity, </w:t>
      </w:r>
      <w:r w:rsidR="001E6B46" w:rsidRPr="00B22233">
        <w:rPr>
          <w:rFonts w:ascii="Calibri" w:hAnsi="Calibri" w:cs="Calibri"/>
          <w:lang w:eastAsia="en-GB"/>
        </w:rPr>
        <w:t>and</w:t>
      </w:r>
      <w:r w:rsidR="001E6B46">
        <w:rPr>
          <w:rFonts w:ascii="Calibri" w:hAnsi="Calibri" w:cs="Calibri"/>
          <w:lang w:eastAsia="en-GB"/>
        </w:rPr>
        <w:t xml:space="preserve"> </w:t>
      </w:r>
      <w:r w:rsidR="001E6B46" w:rsidRPr="00B22233">
        <w:rPr>
          <w:rFonts w:ascii="Calibri" w:hAnsi="Calibri" w:cs="Calibri"/>
          <w:lang w:eastAsia="en-GB"/>
        </w:rPr>
        <w:t>some</w:t>
      </w:r>
      <w:r w:rsidR="001E6B46">
        <w:rPr>
          <w:rFonts w:ascii="Calibri" w:hAnsi="Calibri" w:cs="Calibri"/>
          <w:lang w:eastAsia="en-GB"/>
        </w:rPr>
        <w:t xml:space="preserve"> </w:t>
      </w:r>
      <w:r w:rsidR="001E6B46" w:rsidRPr="00B22233">
        <w:rPr>
          <w:rFonts w:ascii="Calibri" w:hAnsi="Calibri" w:cs="Calibri"/>
          <w:lang w:eastAsia="en-GB"/>
        </w:rPr>
        <w:t>common</w:t>
      </w:r>
      <w:r w:rsidR="001E6B46">
        <w:rPr>
          <w:rFonts w:ascii="Calibri" w:hAnsi="Calibri" w:cs="Calibri"/>
          <w:lang w:eastAsia="en-GB"/>
        </w:rPr>
        <w:t xml:space="preserve"> </w:t>
      </w:r>
      <w:r w:rsidR="001E6B46" w:rsidRPr="00B22233">
        <w:rPr>
          <w:rFonts w:ascii="Calibri" w:hAnsi="Calibri" w:cs="Calibri"/>
          <w:lang w:eastAsia="en-GB"/>
        </w:rPr>
        <w:t>conditions</w:t>
      </w:r>
      <w:r w:rsidR="001E6B46">
        <w:rPr>
          <w:rFonts w:ascii="Calibri" w:hAnsi="Calibri" w:cs="Calibri"/>
          <w:lang w:eastAsia="en-GB"/>
        </w:rPr>
        <w:t xml:space="preserve"> </w:t>
      </w:r>
      <w:r w:rsidRPr="00B22233">
        <w:rPr>
          <w:rFonts w:ascii="Calibri" w:hAnsi="Calibri" w:cs="Calibri"/>
          <w:lang w:eastAsia="en-GB"/>
        </w:rPr>
        <w:t xml:space="preserve">whose clinical features may lead to a suspicion </w:t>
      </w:r>
      <w:r w:rsidR="001E6B46" w:rsidRPr="00B22233">
        <w:rPr>
          <w:rFonts w:ascii="Calibri" w:hAnsi="Calibri" w:cs="Calibri"/>
          <w:lang w:eastAsia="en-GB"/>
        </w:rPr>
        <w:t>of</w:t>
      </w:r>
      <w:r w:rsidR="001E6B46">
        <w:rPr>
          <w:rFonts w:ascii="Calibri" w:hAnsi="Calibri" w:cs="Calibri"/>
          <w:lang w:eastAsia="en-GB"/>
        </w:rPr>
        <w:t xml:space="preserve"> </w:t>
      </w:r>
      <w:r w:rsidRPr="00B22233">
        <w:rPr>
          <w:rFonts w:ascii="Calibri" w:hAnsi="Calibri" w:cs="Calibri"/>
          <w:lang w:eastAsia="en-GB"/>
        </w:rPr>
        <w:t xml:space="preserve">Cushing's </w:t>
      </w:r>
      <w:r w:rsidR="001E6B46" w:rsidRPr="00B22233">
        <w:rPr>
          <w:rFonts w:ascii="Calibri" w:hAnsi="Calibri" w:cs="Calibri"/>
          <w:lang w:eastAsia="en-GB"/>
        </w:rPr>
        <w:t>disease</w:t>
      </w:r>
      <w:r w:rsidR="001E6B46">
        <w:rPr>
          <w:rFonts w:ascii="Calibri" w:hAnsi="Calibri" w:cs="Calibri"/>
          <w:lang w:eastAsia="en-GB"/>
        </w:rPr>
        <w:t xml:space="preserve"> </w:t>
      </w:r>
      <w:r w:rsidRPr="00B22233">
        <w:rPr>
          <w:rFonts w:ascii="Calibri" w:hAnsi="Calibri" w:cs="Calibri"/>
          <w:lang w:eastAsia="en-GB"/>
        </w:rPr>
        <w:t xml:space="preserve">are associated with physiological increase in cortisol levels (severe obesity, major depressive disorder, alcohol abuse, etc). Establishing that there is excess cortisol secretion may, therefore, </w:t>
      </w:r>
      <w:r w:rsidR="001E6B46" w:rsidRPr="00B22233">
        <w:rPr>
          <w:rFonts w:ascii="Calibri" w:hAnsi="Calibri" w:cs="Calibri"/>
          <w:lang w:eastAsia="en-GB"/>
        </w:rPr>
        <w:t>be</w:t>
      </w:r>
      <w:r w:rsidR="001E6B46">
        <w:rPr>
          <w:rFonts w:ascii="Calibri" w:hAnsi="Calibri" w:cs="Calibri"/>
          <w:lang w:eastAsia="en-GB"/>
        </w:rPr>
        <w:t xml:space="preserve"> </w:t>
      </w:r>
      <w:r w:rsidRPr="00B22233">
        <w:rPr>
          <w:rFonts w:ascii="Calibri" w:hAnsi="Calibri" w:cs="Calibri"/>
          <w:lang w:eastAsia="en-GB"/>
        </w:rPr>
        <w:t>difficult</w:t>
      </w:r>
      <w:r w:rsidR="001E6B46" w:rsidRPr="00B22233">
        <w:rPr>
          <w:rFonts w:ascii="Calibri" w:hAnsi="Calibri" w:cs="Calibri"/>
          <w:lang w:eastAsia="en-GB"/>
        </w:rPr>
        <w:t>.</w:t>
      </w:r>
      <w:r w:rsidR="001E6B46">
        <w:rPr>
          <w:rFonts w:ascii="Calibri" w:hAnsi="Calibri" w:cs="Calibri"/>
          <w:lang w:eastAsia="en-GB"/>
        </w:rPr>
        <w:t xml:space="preserve"> </w:t>
      </w:r>
      <w:r w:rsidRPr="00B22233">
        <w:rPr>
          <w:rFonts w:ascii="Calibri" w:hAnsi="Calibri" w:cs="Calibri"/>
          <w:lang w:eastAsia="en-GB"/>
        </w:rPr>
        <w:t>Once the presence of excess cortisol secretion is established</w:t>
      </w:r>
      <w:r w:rsidR="001E6B46" w:rsidRPr="00B22233">
        <w:rPr>
          <w:rFonts w:ascii="Calibri" w:hAnsi="Calibri" w:cs="Calibri"/>
          <w:lang w:eastAsia="en-GB"/>
        </w:rPr>
        <w:t>,</w:t>
      </w:r>
      <w:r w:rsidR="001E6B46">
        <w:rPr>
          <w:rFonts w:ascii="Calibri" w:hAnsi="Calibri" w:cs="Calibri"/>
          <w:lang w:eastAsia="en-GB"/>
        </w:rPr>
        <w:t xml:space="preserve"> </w:t>
      </w:r>
      <w:r w:rsidRPr="00B22233">
        <w:rPr>
          <w:rFonts w:ascii="Calibri" w:hAnsi="Calibri" w:cs="Calibri"/>
          <w:lang w:eastAsia="en-GB"/>
        </w:rPr>
        <w:t xml:space="preserve">ACTH </w:t>
      </w:r>
      <w:r w:rsidR="001E6B46" w:rsidRPr="00B22233">
        <w:rPr>
          <w:rFonts w:ascii="Calibri" w:hAnsi="Calibri" w:cs="Calibri"/>
          <w:lang w:eastAsia="en-GB"/>
        </w:rPr>
        <w:t>measurement</w:t>
      </w:r>
      <w:r w:rsidR="001E6B46">
        <w:rPr>
          <w:rFonts w:ascii="Calibri" w:hAnsi="Calibri" w:cs="Calibri"/>
          <w:lang w:eastAsia="en-GB"/>
        </w:rPr>
        <w:t xml:space="preserve"> </w:t>
      </w:r>
      <w:r w:rsidRPr="00B22233">
        <w:rPr>
          <w:rFonts w:ascii="Calibri" w:hAnsi="Calibri" w:cs="Calibri"/>
          <w:lang w:eastAsia="en-GB"/>
        </w:rPr>
        <w:t xml:space="preserve">distinguishes ACTH-dependent (Cushing's disease or ectopic ACTH production) from ACTH-independent disease (adrenal tumour), and pituitary MRI and further biochemical testing establish the diagnosis of </w:t>
      </w:r>
      <w:r w:rsidR="001E6B46" w:rsidRPr="00B22233">
        <w:rPr>
          <w:rFonts w:ascii="Calibri" w:hAnsi="Calibri" w:cs="Calibri"/>
          <w:lang w:eastAsia="en-GB"/>
        </w:rPr>
        <w:t>Cushing's</w:t>
      </w:r>
      <w:r w:rsidR="001E6B46">
        <w:rPr>
          <w:rFonts w:ascii="Calibri" w:hAnsi="Calibri" w:cs="Calibri"/>
          <w:lang w:eastAsia="en-GB"/>
        </w:rPr>
        <w:t xml:space="preserve"> </w:t>
      </w:r>
      <w:r w:rsidRPr="00B22233">
        <w:rPr>
          <w:rFonts w:ascii="Calibri" w:hAnsi="Calibri" w:cs="Calibri"/>
          <w:lang w:eastAsia="en-GB"/>
        </w:rPr>
        <w:t>disease</w:t>
      </w:r>
      <w:r w:rsidRPr="00B22233">
        <w:t>.</w:t>
      </w:r>
    </w:p>
    <w:p w14:paraId="6DFFAB1F" w14:textId="37B6A0AE" w:rsidR="00CE30E5" w:rsidRPr="00B22233" w:rsidRDefault="00463CC6" w:rsidP="004E18E9">
      <w:pPr>
        <w:pStyle w:val="3-BodyText"/>
      </w:pPr>
      <w:r w:rsidRPr="00B22233">
        <w:rPr>
          <w:rFonts w:ascii="Calibri" w:hAnsi="Calibri" w:cs="Calibri"/>
          <w:lang w:eastAsia="en-GB"/>
        </w:rPr>
        <w:lastRenderedPageBreak/>
        <w:t xml:space="preserve">The treatment of choice for </w:t>
      </w:r>
      <w:r w:rsidR="001E6B46" w:rsidRPr="00B22233">
        <w:rPr>
          <w:rFonts w:ascii="Calibri" w:hAnsi="Calibri" w:cs="Calibri"/>
          <w:lang w:eastAsia="en-GB"/>
        </w:rPr>
        <w:t>Cushing's</w:t>
      </w:r>
      <w:r w:rsidR="001E6B46">
        <w:rPr>
          <w:rFonts w:ascii="Calibri" w:hAnsi="Calibri" w:cs="Calibri"/>
          <w:lang w:eastAsia="en-GB"/>
        </w:rPr>
        <w:t xml:space="preserve"> </w:t>
      </w:r>
      <w:r w:rsidR="001E6B46" w:rsidRPr="00B22233">
        <w:rPr>
          <w:rFonts w:ascii="Calibri" w:hAnsi="Calibri" w:cs="Calibri"/>
          <w:lang w:eastAsia="en-GB"/>
        </w:rPr>
        <w:t>disease</w:t>
      </w:r>
      <w:r w:rsidR="001E6B46">
        <w:rPr>
          <w:rFonts w:ascii="Calibri" w:hAnsi="Calibri" w:cs="Calibri"/>
          <w:lang w:eastAsia="en-GB"/>
        </w:rPr>
        <w:t xml:space="preserve"> </w:t>
      </w:r>
      <w:r w:rsidRPr="00B22233">
        <w:rPr>
          <w:rFonts w:ascii="Calibri" w:hAnsi="Calibri" w:cs="Calibri"/>
          <w:lang w:eastAsia="en-GB"/>
        </w:rPr>
        <w:t xml:space="preserve">in </w:t>
      </w:r>
      <w:r w:rsidR="001E6B46" w:rsidRPr="00B22233">
        <w:rPr>
          <w:rFonts w:ascii="Calibri" w:hAnsi="Calibri" w:cs="Calibri"/>
          <w:lang w:eastAsia="en-GB"/>
        </w:rPr>
        <w:t>adults</w:t>
      </w:r>
      <w:r w:rsidR="001E6B46">
        <w:rPr>
          <w:rFonts w:ascii="Calibri" w:hAnsi="Calibri" w:cs="Calibri"/>
          <w:lang w:eastAsia="en-GB"/>
        </w:rPr>
        <w:t xml:space="preserve"> </w:t>
      </w:r>
      <w:r w:rsidRPr="00B22233">
        <w:rPr>
          <w:rFonts w:ascii="Calibri" w:hAnsi="Calibri" w:cs="Calibri"/>
          <w:lang w:eastAsia="en-GB"/>
        </w:rPr>
        <w:t xml:space="preserve">is surgical removal of </w:t>
      </w:r>
      <w:r w:rsidR="001E6B46" w:rsidRPr="00B22233">
        <w:rPr>
          <w:rFonts w:ascii="Calibri" w:hAnsi="Calibri" w:cs="Calibri"/>
          <w:lang w:eastAsia="en-GB"/>
        </w:rPr>
        <w:t>the</w:t>
      </w:r>
      <w:r w:rsidR="001E6B46">
        <w:rPr>
          <w:rFonts w:ascii="Calibri" w:hAnsi="Calibri" w:cs="Calibri"/>
          <w:lang w:eastAsia="en-GB"/>
        </w:rPr>
        <w:t xml:space="preserve"> </w:t>
      </w:r>
      <w:r w:rsidR="001E6B46" w:rsidRPr="00B22233">
        <w:rPr>
          <w:rFonts w:ascii="Calibri" w:hAnsi="Calibri" w:cs="Calibri"/>
          <w:lang w:eastAsia="en-GB"/>
        </w:rPr>
        <w:t>pituitary</w:t>
      </w:r>
      <w:r w:rsidR="001E6B46">
        <w:rPr>
          <w:rFonts w:ascii="Calibri" w:hAnsi="Calibri" w:cs="Calibri"/>
          <w:lang w:eastAsia="en-GB"/>
        </w:rPr>
        <w:t xml:space="preserve"> </w:t>
      </w:r>
      <w:r w:rsidRPr="00B22233">
        <w:rPr>
          <w:rFonts w:ascii="Calibri" w:hAnsi="Calibri" w:cs="Calibri"/>
          <w:lang w:eastAsia="en-GB"/>
        </w:rPr>
        <w:t>adenoma</w:t>
      </w:r>
      <w:r w:rsidR="001E6B46" w:rsidRPr="00B22233">
        <w:rPr>
          <w:rFonts w:ascii="Calibri" w:hAnsi="Calibri" w:cs="Calibri"/>
          <w:lang w:eastAsia="en-GB"/>
        </w:rPr>
        <w:t>.</w:t>
      </w:r>
      <w:r w:rsidR="001E6B46">
        <w:rPr>
          <w:rFonts w:ascii="Calibri" w:hAnsi="Calibri" w:cs="Calibri"/>
          <w:lang w:eastAsia="en-GB"/>
        </w:rPr>
        <w:t xml:space="preserve"> </w:t>
      </w:r>
      <w:r w:rsidRPr="00B22233">
        <w:rPr>
          <w:rFonts w:ascii="Calibri" w:hAnsi="Calibri" w:cs="Calibri"/>
          <w:lang w:eastAsia="en-GB"/>
        </w:rPr>
        <w:t xml:space="preserve">Case series by </w:t>
      </w:r>
      <w:r w:rsidR="001E6B46" w:rsidRPr="00B22233">
        <w:rPr>
          <w:rFonts w:ascii="Calibri" w:hAnsi="Calibri" w:cs="Calibri"/>
          <w:lang w:eastAsia="en-GB"/>
        </w:rPr>
        <w:t>neurosurgeons</w:t>
      </w:r>
      <w:r w:rsidR="001E6B46">
        <w:rPr>
          <w:rFonts w:ascii="Calibri" w:hAnsi="Calibri" w:cs="Calibri"/>
          <w:lang w:eastAsia="en-GB"/>
        </w:rPr>
        <w:t xml:space="preserve"> </w:t>
      </w:r>
      <w:r w:rsidRPr="00B22233">
        <w:rPr>
          <w:rFonts w:ascii="Calibri" w:hAnsi="Calibri" w:cs="Calibri"/>
          <w:lang w:eastAsia="en-GB"/>
        </w:rPr>
        <w:t xml:space="preserve">specialising in pituitary </w:t>
      </w:r>
      <w:r w:rsidR="001E6B46" w:rsidRPr="00B22233">
        <w:rPr>
          <w:rFonts w:ascii="Calibri" w:hAnsi="Calibri" w:cs="Calibri"/>
          <w:lang w:eastAsia="en-GB"/>
        </w:rPr>
        <w:t>surgery</w:t>
      </w:r>
      <w:r w:rsidR="001E6B46">
        <w:rPr>
          <w:rFonts w:ascii="Calibri" w:hAnsi="Calibri" w:cs="Calibri"/>
          <w:lang w:eastAsia="en-GB"/>
        </w:rPr>
        <w:t xml:space="preserve"> </w:t>
      </w:r>
      <w:r w:rsidR="001E6B46" w:rsidRPr="00B22233">
        <w:rPr>
          <w:rFonts w:ascii="Calibri" w:hAnsi="Calibri" w:cs="Calibri"/>
          <w:lang w:eastAsia="en-GB"/>
        </w:rPr>
        <w:t>report</w:t>
      </w:r>
      <w:r w:rsidR="001E6B46">
        <w:rPr>
          <w:rFonts w:ascii="Calibri" w:hAnsi="Calibri" w:cs="Calibri"/>
          <w:lang w:eastAsia="en-GB"/>
        </w:rPr>
        <w:t xml:space="preserve"> </w:t>
      </w:r>
      <w:r w:rsidR="001E6B46" w:rsidRPr="00B22233">
        <w:rPr>
          <w:rFonts w:ascii="Calibri" w:hAnsi="Calibri" w:cs="Calibri"/>
          <w:lang w:eastAsia="en-GB"/>
        </w:rPr>
        <w:t>control</w:t>
      </w:r>
      <w:r w:rsidR="001E6B46">
        <w:rPr>
          <w:rFonts w:ascii="Calibri" w:hAnsi="Calibri" w:cs="Calibri"/>
          <w:lang w:eastAsia="en-GB"/>
        </w:rPr>
        <w:t xml:space="preserve"> </w:t>
      </w:r>
      <w:r w:rsidRPr="00B22233">
        <w:rPr>
          <w:rFonts w:ascii="Calibri" w:hAnsi="Calibri" w:cs="Calibri"/>
          <w:lang w:eastAsia="en-GB"/>
        </w:rPr>
        <w:t xml:space="preserve">of </w:t>
      </w:r>
      <w:r w:rsidR="001E6B46" w:rsidRPr="00B22233">
        <w:rPr>
          <w:rFonts w:ascii="Calibri" w:hAnsi="Calibri" w:cs="Calibri"/>
          <w:lang w:eastAsia="en-GB"/>
        </w:rPr>
        <w:t>hypercortisolism</w:t>
      </w:r>
      <w:r w:rsidR="001E6B46">
        <w:rPr>
          <w:rFonts w:ascii="Calibri" w:hAnsi="Calibri" w:cs="Calibri"/>
          <w:lang w:eastAsia="en-GB"/>
        </w:rPr>
        <w:t xml:space="preserve"> </w:t>
      </w:r>
      <w:r w:rsidR="00472DED" w:rsidRPr="00B22233">
        <w:rPr>
          <w:rFonts w:ascii="Calibri" w:hAnsi="Calibri" w:cs="Calibri"/>
          <w:lang w:eastAsia="en-GB"/>
        </w:rPr>
        <w:t>immediately</w:t>
      </w:r>
      <w:r w:rsidR="00472DED">
        <w:rPr>
          <w:rFonts w:ascii="Calibri" w:hAnsi="Calibri" w:cs="Calibri"/>
          <w:lang w:eastAsia="en-GB"/>
        </w:rPr>
        <w:t xml:space="preserve"> </w:t>
      </w:r>
      <w:r w:rsidRPr="00B22233">
        <w:rPr>
          <w:rFonts w:ascii="Calibri" w:hAnsi="Calibri" w:cs="Calibri"/>
          <w:lang w:eastAsia="en-GB"/>
        </w:rPr>
        <w:t xml:space="preserve">after </w:t>
      </w:r>
      <w:r w:rsidR="00472DED" w:rsidRPr="00B22233">
        <w:rPr>
          <w:rFonts w:ascii="Calibri" w:hAnsi="Calibri" w:cs="Calibri"/>
          <w:lang w:eastAsia="en-GB"/>
        </w:rPr>
        <w:t>surgery</w:t>
      </w:r>
      <w:r w:rsidR="00472DED">
        <w:rPr>
          <w:rFonts w:ascii="Calibri" w:hAnsi="Calibri" w:cs="Calibri"/>
          <w:lang w:eastAsia="en-GB"/>
        </w:rPr>
        <w:t xml:space="preserve"> </w:t>
      </w:r>
      <w:r w:rsidR="00472DED" w:rsidRPr="00B22233">
        <w:rPr>
          <w:rFonts w:ascii="Calibri" w:hAnsi="Calibri" w:cs="Calibri"/>
          <w:lang w:eastAsia="en-GB"/>
        </w:rPr>
        <w:t>in</w:t>
      </w:r>
      <w:r w:rsidR="00472DED">
        <w:rPr>
          <w:rFonts w:ascii="Calibri" w:hAnsi="Calibri" w:cs="Calibri"/>
          <w:lang w:eastAsia="en-GB"/>
        </w:rPr>
        <w:t xml:space="preserve"> </w:t>
      </w:r>
      <w:r w:rsidR="00472DED" w:rsidRPr="00B22233">
        <w:rPr>
          <w:rFonts w:ascii="Calibri" w:hAnsi="Calibri" w:cs="Calibri"/>
          <w:lang w:eastAsia="en-GB"/>
        </w:rPr>
        <w:t>about</w:t>
      </w:r>
      <w:r w:rsidR="00472DED">
        <w:rPr>
          <w:rFonts w:ascii="Calibri" w:hAnsi="Calibri" w:cs="Calibri"/>
          <w:lang w:eastAsia="en-GB"/>
        </w:rPr>
        <w:t xml:space="preserve"> </w:t>
      </w:r>
      <w:r w:rsidRPr="00B22233">
        <w:rPr>
          <w:rFonts w:ascii="Calibri" w:hAnsi="Calibri" w:cs="Calibri"/>
          <w:lang w:eastAsia="en-GB"/>
        </w:rPr>
        <w:t>80% of patients. Recurrence is not uncommon</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up to 25% after 10 years</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 xml:space="preserve">Patients who are not initially cured by surgery, or who </w:t>
      </w:r>
      <w:r w:rsidR="00472DED" w:rsidRPr="00B22233">
        <w:rPr>
          <w:rFonts w:ascii="Calibri" w:hAnsi="Calibri" w:cs="Calibri"/>
          <w:lang w:eastAsia="en-GB"/>
        </w:rPr>
        <w:t>have</w:t>
      </w:r>
      <w:r w:rsidR="00472DED">
        <w:rPr>
          <w:rFonts w:ascii="Calibri" w:hAnsi="Calibri" w:cs="Calibri"/>
          <w:lang w:eastAsia="en-GB"/>
        </w:rPr>
        <w:t xml:space="preserve"> </w:t>
      </w:r>
      <w:r w:rsidRPr="00B22233">
        <w:rPr>
          <w:rFonts w:ascii="Calibri" w:hAnsi="Calibri" w:cs="Calibri"/>
          <w:lang w:eastAsia="en-GB"/>
        </w:rPr>
        <w:t>recurrence, can have repeat surgery, pituitary irradiation or medical treatment</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 xml:space="preserve">Pituitary </w:t>
      </w:r>
      <w:r w:rsidR="00472DED" w:rsidRPr="00B22233">
        <w:rPr>
          <w:rFonts w:ascii="Calibri" w:hAnsi="Calibri" w:cs="Calibri"/>
          <w:lang w:eastAsia="en-GB"/>
        </w:rPr>
        <w:t>irradiation</w:t>
      </w:r>
      <w:r w:rsidR="00472DED">
        <w:rPr>
          <w:rFonts w:ascii="Calibri" w:hAnsi="Calibri" w:cs="Calibri"/>
          <w:lang w:eastAsia="en-GB"/>
        </w:rPr>
        <w:t xml:space="preserve"> </w:t>
      </w:r>
      <w:r w:rsidRPr="00B22233">
        <w:rPr>
          <w:rFonts w:ascii="Calibri" w:hAnsi="Calibri" w:cs="Calibri"/>
          <w:lang w:eastAsia="en-GB"/>
        </w:rPr>
        <w:t xml:space="preserve">may be used as primary treatment, </w:t>
      </w:r>
      <w:r w:rsidR="00472DED" w:rsidRPr="00B22233">
        <w:rPr>
          <w:rFonts w:ascii="Calibri" w:hAnsi="Calibri" w:cs="Calibri"/>
          <w:lang w:eastAsia="en-GB"/>
        </w:rPr>
        <w:t>especially</w:t>
      </w:r>
      <w:r w:rsidR="00472DED">
        <w:rPr>
          <w:rFonts w:ascii="Calibri" w:hAnsi="Calibri" w:cs="Calibri"/>
          <w:lang w:eastAsia="en-GB"/>
        </w:rPr>
        <w:t xml:space="preserve"> </w:t>
      </w:r>
      <w:r w:rsidRPr="00B22233">
        <w:rPr>
          <w:rFonts w:ascii="Calibri" w:hAnsi="Calibri" w:cs="Calibri"/>
          <w:lang w:eastAsia="en-GB"/>
        </w:rPr>
        <w:t>in children, in whom it results in cure in about 80%. Response is often delayed</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especially in adults</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and, while awaiting a response</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medical treatment is necessary to control hypercortisolism</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 xml:space="preserve">A trial of medical treatment </w:t>
      </w:r>
      <w:r w:rsidR="00472DED" w:rsidRPr="00B22233">
        <w:rPr>
          <w:rFonts w:ascii="Calibri" w:hAnsi="Calibri" w:cs="Calibri"/>
          <w:lang w:eastAsia="en-GB"/>
        </w:rPr>
        <w:t>to</w:t>
      </w:r>
      <w:r w:rsidR="00472DED">
        <w:rPr>
          <w:rFonts w:ascii="Calibri" w:hAnsi="Calibri" w:cs="Calibri"/>
          <w:lang w:eastAsia="en-GB"/>
        </w:rPr>
        <w:t xml:space="preserve"> </w:t>
      </w:r>
      <w:r w:rsidRPr="00B22233">
        <w:rPr>
          <w:rFonts w:ascii="Calibri" w:hAnsi="Calibri" w:cs="Calibri"/>
          <w:lang w:eastAsia="en-GB"/>
        </w:rPr>
        <w:t xml:space="preserve">establish that hypercortisolism can be </w:t>
      </w:r>
      <w:r w:rsidR="00472DED" w:rsidRPr="00B22233">
        <w:rPr>
          <w:rFonts w:ascii="Calibri" w:hAnsi="Calibri" w:cs="Calibri"/>
          <w:lang w:eastAsia="en-GB"/>
        </w:rPr>
        <w:t>controlled</w:t>
      </w:r>
      <w:r w:rsidR="00472DED">
        <w:rPr>
          <w:rFonts w:ascii="Calibri" w:hAnsi="Calibri" w:cs="Calibri"/>
          <w:lang w:eastAsia="en-GB"/>
        </w:rPr>
        <w:t xml:space="preserve"> </w:t>
      </w:r>
      <w:r w:rsidR="00472DED" w:rsidRPr="00B22233">
        <w:rPr>
          <w:rFonts w:ascii="Calibri" w:hAnsi="Calibri" w:cs="Calibri"/>
          <w:lang w:eastAsia="en-GB"/>
        </w:rPr>
        <w:t>may</w:t>
      </w:r>
      <w:r w:rsidR="00472DED">
        <w:rPr>
          <w:rFonts w:ascii="Calibri" w:hAnsi="Calibri" w:cs="Calibri"/>
          <w:lang w:eastAsia="en-GB"/>
        </w:rPr>
        <w:t xml:space="preserve"> </w:t>
      </w:r>
      <w:r w:rsidRPr="00B22233">
        <w:rPr>
          <w:rFonts w:ascii="Calibri" w:hAnsi="Calibri" w:cs="Calibri"/>
          <w:lang w:eastAsia="en-GB"/>
        </w:rPr>
        <w:t xml:space="preserve">be undertaken </w:t>
      </w:r>
      <w:r w:rsidR="00472DED" w:rsidRPr="00B22233">
        <w:rPr>
          <w:rFonts w:ascii="Calibri" w:hAnsi="Calibri" w:cs="Calibri"/>
          <w:lang w:eastAsia="en-GB"/>
        </w:rPr>
        <w:t>before</w:t>
      </w:r>
      <w:r w:rsidR="00472DED">
        <w:rPr>
          <w:rFonts w:ascii="Calibri" w:hAnsi="Calibri" w:cs="Calibri"/>
          <w:lang w:eastAsia="en-GB"/>
        </w:rPr>
        <w:t xml:space="preserve"> </w:t>
      </w:r>
      <w:r w:rsidRPr="00B22233">
        <w:rPr>
          <w:rFonts w:ascii="Calibri" w:hAnsi="Calibri" w:cs="Calibri"/>
          <w:lang w:eastAsia="en-GB"/>
        </w:rPr>
        <w:t>irradiation</w:t>
      </w:r>
      <w:r w:rsidRPr="00B22233">
        <w:t>.</w:t>
      </w:r>
    </w:p>
    <w:p w14:paraId="7430973F" w14:textId="5C5AC92F" w:rsidR="002D44FE" w:rsidRDefault="00463CC6" w:rsidP="004E18E9">
      <w:pPr>
        <w:pStyle w:val="3-BodyText"/>
      </w:pPr>
      <w:r w:rsidRPr="00B22233">
        <w:rPr>
          <w:rFonts w:ascii="Calibri" w:hAnsi="Calibri" w:cs="Calibri"/>
          <w:lang w:eastAsia="en-GB"/>
        </w:rPr>
        <w:t xml:space="preserve">The manifestations </w:t>
      </w:r>
      <w:r w:rsidR="00472DED" w:rsidRPr="00B22233">
        <w:rPr>
          <w:rFonts w:ascii="Calibri" w:hAnsi="Calibri" w:cs="Calibri"/>
          <w:lang w:eastAsia="en-GB"/>
        </w:rPr>
        <w:t>of</w:t>
      </w:r>
      <w:r w:rsidR="00472DED">
        <w:rPr>
          <w:rFonts w:ascii="Calibri" w:hAnsi="Calibri" w:cs="Calibri"/>
          <w:lang w:eastAsia="en-GB"/>
        </w:rPr>
        <w:t xml:space="preserve"> </w:t>
      </w:r>
      <w:r w:rsidRPr="00B22233">
        <w:rPr>
          <w:rFonts w:ascii="Calibri" w:hAnsi="Calibri" w:cs="Calibri"/>
          <w:lang w:eastAsia="en-GB"/>
        </w:rPr>
        <w:t xml:space="preserve">hypercortisolism improve over months to </w:t>
      </w:r>
      <w:r w:rsidR="00472DED" w:rsidRPr="00B22233">
        <w:rPr>
          <w:rFonts w:ascii="Calibri" w:hAnsi="Calibri" w:cs="Calibri"/>
          <w:lang w:eastAsia="en-GB"/>
        </w:rPr>
        <w:t>years</w:t>
      </w:r>
      <w:r w:rsidR="00472DED">
        <w:rPr>
          <w:rFonts w:ascii="Calibri" w:hAnsi="Calibri" w:cs="Calibri"/>
          <w:lang w:eastAsia="en-GB"/>
        </w:rPr>
        <w:t xml:space="preserve"> </w:t>
      </w:r>
      <w:r w:rsidRPr="00B22233">
        <w:rPr>
          <w:rFonts w:ascii="Calibri" w:hAnsi="Calibri" w:cs="Calibri"/>
          <w:lang w:eastAsia="en-GB"/>
        </w:rPr>
        <w:t>after successful treatment</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Hypertension</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obesity</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impaired glucose tolerance, and neuropsychiatric symptoms</w:t>
      </w:r>
      <w:r w:rsidR="00472DED">
        <w:rPr>
          <w:rFonts w:ascii="Calibri" w:hAnsi="Calibri" w:cs="Calibri"/>
          <w:lang w:eastAsia="en-GB"/>
        </w:rPr>
        <w:t xml:space="preserve"> </w:t>
      </w:r>
      <w:r w:rsidRPr="00B22233">
        <w:rPr>
          <w:rFonts w:ascii="Calibri" w:hAnsi="Calibri" w:cs="Calibri"/>
          <w:lang w:eastAsia="en-GB"/>
        </w:rPr>
        <w:t>improve but are often not cured</w:t>
      </w:r>
      <w:r w:rsidR="00472DED" w:rsidRPr="00B22233">
        <w:rPr>
          <w:rFonts w:ascii="Calibri" w:hAnsi="Calibri" w:cs="Calibri"/>
          <w:lang w:eastAsia="en-GB"/>
        </w:rPr>
        <w:t>.</w:t>
      </w:r>
      <w:r w:rsidR="00472DED">
        <w:rPr>
          <w:rFonts w:ascii="Calibri" w:hAnsi="Calibri" w:cs="Calibri"/>
          <w:lang w:eastAsia="en-GB"/>
        </w:rPr>
        <w:t xml:space="preserve"> </w:t>
      </w:r>
      <w:r w:rsidRPr="00B22233">
        <w:rPr>
          <w:rFonts w:ascii="Calibri" w:hAnsi="Calibri" w:cs="Calibri"/>
          <w:lang w:eastAsia="en-GB"/>
        </w:rPr>
        <w:t xml:space="preserve">Osteoporosis </w:t>
      </w:r>
      <w:r w:rsidR="00472DED" w:rsidRPr="00B22233">
        <w:rPr>
          <w:rFonts w:ascii="Calibri" w:hAnsi="Calibri" w:cs="Calibri"/>
          <w:lang w:eastAsia="en-GB"/>
        </w:rPr>
        <w:t>improves</w:t>
      </w:r>
      <w:r w:rsidR="00472DED">
        <w:rPr>
          <w:rFonts w:ascii="Calibri" w:hAnsi="Calibri" w:cs="Calibri"/>
          <w:lang w:eastAsia="en-GB"/>
        </w:rPr>
        <w:t xml:space="preserve"> </w:t>
      </w:r>
      <w:r w:rsidRPr="00B22233">
        <w:rPr>
          <w:rFonts w:ascii="Calibri" w:hAnsi="Calibri" w:cs="Calibri"/>
          <w:lang w:eastAsia="en-GB"/>
        </w:rPr>
        <w:t>over one to two years, but fractures caused by osteoporosis</w:t>
      </w:r>
      <w:r w:rsidR="00472DED">
        <w:rPr>
          <w:rFonts w:ascii="Calibri" w:hAnsi="Calibri" w:cs="Calibri"/>
          <w:lang w:eastAsia="en-GB"/>
        </w:rPr>
        <w:t xml:space="preserve"> </w:t>
      </w:r>
      <w:r w:rsidRPr="00B22233">
        <w:rPr>
          <w:rFonts w:ascii="Calibri" w:hAnsi="Calibri" w:cs="Calibri"/>
          <w:lang w:eastAsia="en-GB"/>
        </w:rPr>
        <w:t>are a common</w:t>
      </w:r>
      <w:r w:rsidR="00472DED">
        <w:rPr>
          <w:rFonts w:ascii="Calibri" w:hAnsi="Calibri" w:cs="Calibri"/>
          <w:lang w:eastAsia="en-GB"/>
        </w:rPr>
        <w:t xml:space="preserve"> </w:t>
      </w:r>
      <w:r w:rsidRPr="00B22233">
        <w:rPr>
          <w:rFonts w:ascii="Calibri" w:hAnsi="Calibri" w:cs="Calibri"/>
          <w:lang w:eastAsia="en-GB"/>
        </w:rPr>
        <w:t>cause</w:t>
      </w:r>
      <w:r w:rsidR="00472DED">
        <w:rPr>
          <w:rFonts w:ascii="Calibri" w:hAnsi="Calibri" w:cs="Calibri"/>
          <w:lang w:eastAsia="en-GB"/>
        </w:rPr>
        <w:t xml:space="preserve"> </w:t>
      </w:r>
      <w:r w:rsidRPr="00B22233">
        <w:rPr>
          <w:rFonts w:ascii="Calibri" w:hAnsi="Calibri" w:cs="Calibri"/>
          <w:lang w:eastAsia="en-GB"/>
        </w:rPr>
        <w:t>of</w:t>
      </w:r>
      <w:r w:rsidR="00472DED">
        <w:rPr>
          <w:rFonts w:ascii="Calibri" w:hAnsi="Calibri" w:cs="Calibri"/>
          <w:lang w:eastAsia="en-GB"/>
        </w:rPr>
        <w:t xml:space="preserve"> </w:t>
      </w:r>
      <w:r w:rsidRPr="00B22233">
        <w:rPr>
          <w:rFonts w:ascii="Calibri" w:hAnsi="Calibri" w:cs="Calibri"/>
          <w:lang w:eastAsia="en-GB"/>
        </w:rPr>
        <w:t xml:space="preserve">long-term </w:t>
      </w:r>
      <w:r w:rsidR="009E7BCB" w:rsidRPr="00B22233">
        <w:rPr>
          <w:rFonts w:ascii="Calibri" w:hAnsi="Calibri" w:cs="Calibri"/>
          <w:lang w:eastAsia="en-GB"/>
        </w:rPr>
        <w:t>disability and</w:t>
      </w:r>
      <w:r w:rsidRPr="00B22233">
        <w:rPr>
          <w:rFonts w:ascii="Calibri" w:hAnsi="Calibri" w:cs="Calibri"/>
          <w:lang w:eastAsia="en-GB"/>
        </w:rPr>
        <w:t xml:space="preserve"> preventing them is a reason to achieve control of hypercortisolism as soon as possible after diagnosis</w:t>
      </w:r>
      <w:r w:rsidRPr="00B22233">
        <w:t>.</w:t>
      </w:r>
    </w:p>
    <w:p w14:paraId="65D68620" w14:textId="696480B5" w:rsidR="00FE3B94" w:rsidRPr="00FE3B94" w:rsidDel="00195452" w:rsidRDefault="00FE3B94" w:rsidP="00FE3B94">
      <w:pPr>
        <w:pStyle w:val="3-BodyText"/>
        <w:numPr>
          <w:ilvl w:val="0"/>
          <w:numId w:val="0"/>
        </w:numPr>
        <w:ind w:left="720"/>
        <w:rPr>
          <w:i/>
          <w:iCs/>
        </w:rPr>
      </w:pPr>
      <w:r w:rsidRPr="00FE3B94">
        <w:rPr>
          <w:i/>
          <w:iCs/>
        </w:rPr>
        <w:t>For more detail on PBAC’s view, see section 7 PBAC outcome.</w:t>
      </w:r>
    </w:p>
    <w:p w14:paraId="51E5AE96" w14:textId="136A63B1" w:rsidR="00B50DB8" w:rsidRPr="00407F2D" w:rsidRDefault="00B50DB8" w:rsidP="004E18E9">
      <w:pPr>
        <w:pStyle w:val="2-SectionHeading"/>
      </w:pPr>
      <w:bookmarkStart w:id="11" w:name="_Toc124928094"/>
      <w:r w:rsidRPr="00407F2D">
        <w:t>Comparator</w:t>
      </w:r>
      <w:bookmarkEnd w:id="11"/>
    </w:p>
    <w:p w14:paraId="68ADB17D" w14:textId="3AE0280B" w:rsidR="00CF2C0C" w:rsidRPr="00E33B0A" w:rsidRDefault="00EA69E2" w:rsidP="00E33B0A">
      <w:pPr>
        <w:pStyle w:val="3-BodyText"/>
        <w:rPr>
          <w:snapToGrid/>
          <w:lang w:val="en-US"/>
        </w:rPr>
      </w:pPr>
      <w:r>
        <w:rPr>
          <w:bCs/>
          <w:iCs/>
        </w:rPr>
        <w:t>The submission nominated three comparators: placebo, metyrapone and ketoconazole.</w:t>
      </w:r>
      <w:r w:rsidR="004B485D">
        <w:rPr>
          <w:bCs/>
          <w:iCs/>
        </w:rPr>
        <w:t xml:space="preserve"> </w:t>
      </w:r>
      <w:r>
        <w:rPr>
          <w:bCs/>
          <w:iCs/>
        </w:rPr>
        <w:t>The submission stated that placebo was nominated as a comparator on the basis that there are no PBS-listed medicines that will be replaced by osilodrostat and the two additional comparators, metyrapone and ketoconazole, were nominated because they are the medicines most likely to be replaced by osilodrostat in clinical practice.</w:t>
      </w:r>
      <w:r w:rsidR="00D2745A">
        <w:rPr>
          <w:bCs/>
          <w:iCs/>
        </w:rPr>
        <w:t xml:space="preserve"> </w:t>
      </w:r>
    </w:p>
    <w:p w14:paraId="1BB03ECF" w14:textId="454A032A" w:rsidR="00EA69E2" w:rsidRPr="00070CDF" w:rsidRDefault="00EA69E2" w:rsidP="00882E3C">
      <w:pPr>
        <w:pStyle w:val="3-BodyText"/>
        <w:rPr>
          <w:snapToGrid/>
          <w:lang w:val="en-US"/>
        </w:rPr>
      </w:pPr>
      <w:r>
        <w:rPr>
          <w:bCs/>
          <w:iCs/>
        </w:rPr>
        <w:t>The submission indicated that based on informal discussions with clinicians as well as completed questionnaires, metyrapone and ketoconazole are the most used medicines in the treatment of endogenous CS in Australia.</w:t>
      </w:r>
      <w:r w:rsidR="004B485D">
        <w:rPr>
          <w:bCs/>
          <w:iCs/>
        </w:rPr>
        <w:t xml:space="preserve"> </w:t>
      </w:r>
      <w:r w:rsidRPr="00721D5A">
        <w:rPr>
          <w:bCs/>
        </w:rPr>
        <w:t>There were three questionnaires provided with the submission, all completed by individual clinicians, although one was identified as representative of</w:t>
      </w:r>
      <w:r w:rsidR="004B485D" w:rsidRPr="00721D5A">
        <w:rPr>
          <w:bCs/>
        </w:rPr>
        <w:t xml:space="preserve"> </w:t>
      </w:r>
      <w:r w:rsidRPr="00721D5A">
        <w:rPr>
          <w:bCs/>
        </w:rPr>
        <w:t>the views of the Endocrinology Society of Australia (ESA).</w:t>
      </w:r>
      <w:r w:rsidR="004B485D">
        <w:rPr>
          <w:bCs/>
          <w:iCs/>
        </w:rPr>
        <w:t xml:space="preserve"> </w:t>
      </w:r>
      <w:r w:rsidRPr="00721D5A">
        <w:rPr>
          <w:bCs/>
        </w:rPr>
        <w:t>The questionnaires from the individual clinicians identified the most common first-line treatment as fluconazole, ketoconazole, cabergoline, and metyrapone and ketoconazole if cabergoline fails.</w:t>
      </w:r>
      <w:r w:rsidR="004B485D" w:rsidRPr="00721D5A">
        <w:rPr>
          <w:bCs/>
        </w:rPr>
        <w:t xml:space="preserve"> </w:t>
      </w:r>
      <w:r w:rsidRPr="00721D5A">
        <w:rPr>
          <w:bCs/>
        </w:rPr>
        <w:t>The questionnaire from the ESA named ketoconazole (in 70% of patients) and metyrapone (in 20% of patients) as the most common first-line treatments.</w:t>
      </w:r>
      <w:r w:rsidR="004B485D">
        <w:rPr>
          <w:bCs/>
          <w:iCs/>
        </w:rPr>
        <w:t xml:space="preserve"> </w:t>
      </w:r>
      <w:r>
        <w:rPr>
          <w:bCs/>
          <w:iCs/>
        </w:rPr>
        <w:t>The submission noted that metyrapone is used off-label for the treatment of CS, and the oral form of ketoconazole was deregistered by the TGA in 2013 and requires importation from overseas.</w:t>
      </w:r>
    </w:p>
    <w:p w14:paraId="4368392D" w14:textId="0712B69C" w:rsidR="00070CDF" w:rsidRPr="006A15F1" w:rsidRDefault="00070CDF" w:rsidP="00882E3C">
      <w:pPr>
        <w:pStyle w:val="3-BodyText"/>
        <w:rPr>
          <w:snapToGrid/>
          <w:lang w:val="en-US"/>
        </w:rPr>
      </w:pPr>
      <w:r w:rsidRPr="00721D5A">
        <w:rPr>
          <w:bCs/>
        </w:rPr>
        <w:t xml:space="preserve">The submission did not indicate if patients accessed metyrapone and ketoconazole privately or through the Special Access Scheme (SAS), although </w:t>
      </w:r>
      <w:r w:rsidRPr="00721D5A">
        <w:rPr>
          <w:rFonts w:ascii="Calibri" w:hAnsi="Calibri" w:cs="Calibri"/>
          <w:iCs/>
          <w:color w:val="000000"/>
        </w:rPr>
        <w:t>SAS data indicates that between 2017 and 2021, approximately (a maximum of) 184 people were prescribed with ketoconazole, 33 with metyrapone, and three with osilodrostat.</w:t>
      </w:r>
    </w:p>
    <w:p w14:paraId="2580D907" w14:textId="446D092F" w:rsidR="006A15F1" w:rsidRPr="00D2745A" w:rsidRDefault="006A15F1" w:rsidP="00882E3C">
      <w:pPr>
        <w:pStyle w:val="3-BodyText"/>
        <w:rPr>
          <w:snapToGrid/>
          <w:lang w:val="en-US"/>
        </w:rPr>
      </w:pPr>
      <w:r w:rsidRPr="00721D5A">
        <w:rPr>
          <w:bCs/>
        </w:rPr>
        <w:lastRenderedPageBreak/>
        <w:t>Other relevant comparators include combined metyrapone and ketoconazole, which was included as a treatment option on the clinician questionnaires, and levoketoconazole, for which there is published evidence indicating benefit over 6 months and longer term (</w:t>
      </w:r>
      <w:r w:rsidR="004C23F9" w:rsidRPr="00721D5A">
        <w:rPr>
          <w:bCs/>
        </w:rPr>
        <w:t>Fleseriu 2019</w:t>
      </w:r>
      <w:r w:rsidR="004C23F9" w:rsidRPr="00721D5A">
        <w:rPr>
          <w:rStyle w:val="FootnoteReference"/>
          <w:bCs/>
        </w:rPr>
        <w:footnoteReference w:id="1"/>
      </w:r>
      <w:r w:rsidR="004C23F9" w:rsidRPr="00721D5A">
        <w:rPr>
          <w:bCs/>
        </w:rPr>
        <w:t>; Fleseriu 2021</w:t>
      </w:r>
      <w:r w:rsidR="004C23F9" w:rsidRPr="00721D5A">
        <w:rPr>
          <w:rStyle w:val="FootnoteReference"/>
          <w:bCs/>
        </w:rPr>
        <w:footnoteReference w:id="2"/>
      </w:r>
      <w:r w:rsidR="004C23F9" w:rsidRPr="00721D5A">
        <w:rPr>
          <w:bCs/>
        </w:rPr>
        <w:t>; Fleseriu 2022</w:t>
      </w:r>
      <w:r w:rsidR="00F40E37" w:rsidRPr="00721D5A">
        <w:rPr>
          <w:rStyle w:val="FootnoteReference"/>
          <w:bCs/>
        </w:rPr>
        <w:footnoteReference w:id="3"/>
      </w:r>
      <w:r w:rsidR="004C23F9" w:rsidRPr="00721D5A">
        <w:rPr>
          <w:bCs/>
        </w:rPr>
        <w:t xml:space="preserve">). </w:t>
      </w:r>
    </w:p>
    <w:p w14:paraId="26062C17" w14:textId="4FAA8907" w:rsidR="00D2745A" w:rsidRPr="00FE3B94" w:rsidRDefault="00D2745A" w:rsidP="00D2745A">
      <w:pPr>
        <w:pStyle w:val="3-BodyText"/>
        <w:rPr>
          <w:snapToGrid/>
          <w:lang w:val="en-US"/>
        </w:rPr>
      </w:pPr>
      <w:r w:rsidRPr="008C713C">
        <w:rPr>
          <w:bCs/>
          <w:iCs/>
        </w:rPr>
        <w:t>The</w:t>
      </w:r>
      <w:r w:rsidRPr="008C713C">
        <w:rPr>
          <w:bCs/>
        </w:rPr>
        <w:t xml:space="preserve"> ESC considered that placebo was an appropriate comparator </w:t>
      </w:r>
      <w:r w:rsidR="00C46BD3" w:rsidRPr="008C713C">
        <w:rPr>
          <w:bCs/>
        </w:rPr>
        <w:t xml:space="preserve">to assess comparative effectiveness </w:t>
      </w:r>
      <w:r w:rsidRPr="008C713C">
        <w:rPr>
          <w:bCs/>
        </w:rPr>
        <w:t>given other therapies are not approved for use in CS.</w:t>
      </w:r>
      <w:r w:rsidR="00C46BD3" w:rsidRPr="008C713C">
        <w:rPr>
          <w:bCs/>
        </w:rPr>
        <w:t xml:space="preserve"> </w:t>
      </w:r>
      <w:r w:rsidR="00340691" w:rsidRPr="008C713C">
        <w:rPr>
          <w:bCs/>
        </w:rPr>
        <w:t>M</w:t>
      </w:r>
      <w:r w:rsidR="00C46BD3" w:rsidRPr="008C713C">
        <w:rPr>
          <w:bCs/>
        </w:rPr>
        <w:t>etyrapone and ket</w:t>
      </w:r>
      <w:r w:rsidR="004149CD" w:rsidRPr="008C713C">
        <w:rPr>
          <w:bCs/>
        </w:rPr>
        <w:t>o</w:t>
      </w:r>
      <w:r w:rsidR="00C46BD3" w:rsidRPr="008C713C">
        <w:rPr>
          <w:bCs/>
        </w:rPr>
        <w:t>con</w:t>
      </w:r>
      <w:r w:rsidR="004149CD" w:rsidRPr="008C713C">
        <w:rPr>
          <w:bCs/>
        </w:rPr>
        <w:t>a</w:t>
      </w:r>
      <w:r w:rsidR="00C46BD3" w:rsidRPr="008C713C">
        <w:rPr>
          <w:bCs/>
        </w:rPr>
        <w:t xml:space="preserve">zole </w:t>
      </w:r>
      <w:r w:rsidR="00340691" w:rsidRPr="008C713C">
        <w:rPr>
          <w:bCs/>
        </w:rPr>
        <w:t>are relevant</w:t>
      </w:r>
      <w:r w:rsidR="00C46BD3" w:rsidRPr="008C713C">
        <w:rPr>
          <w:bCs/>
        </w:rPr>
        <w:t xml:space="preserve"> supplementary comparators given they are </w:t>
      </w:r>
      <w:r w:rsidR="00A36D59" w:rsidRPr="008C713C">
        <w:rPr>
          <w:bCs/>
        </w:rPr>
        <w:t xml:space="preserve">being </w:t>
      </w:r>
      <w:r w:rsidR="00C46BD3" w:rsidRPr="008C713C">
        <w:rPr>
          <w:bCs/>
        </w:rPr>
        <w:t>used in current clinical practice.</w:t>
      </w:r>
    </w:p>
    <w:p w14:paraId="5C57B340" w14:textId="3FEC236B" w:rsidR="00FE3B94" w:rsidRPr="00FE3B94" w:rsidRDefault="00FE3B94" w:rsidP="00FE3B94">
      <w:pPr>
        <w:pStyle w:val="3-BodyText"/>
        <w:numPr>
          <w:ilvl w:val="0"/>
          <w:numId w:val="0"/>
        </w:numPr>
        <w:ind w:left="720"/>
        <w:rPr>
          <w:i/>
          <w:iCs/>
          <w:snapToGrid/>
          <w:lang w:val="en-US"/>
        </w:rPr>
      </w:pPr>
      <w:r w:rsidRPr="00FE3B94">
        <w:rPr>
          <w:i/>
          <w:iCs/>
          <w:snapToGrid/>
          <w:lang w:val="en-US"/>
        </w:rPr>
        <w:t>For more detail on PBAC’s view, see section 7 PBAC outcome.</w:t>
      </w:r>
    </w:p>
    <w:p w14:paraId="7F9C27C8" w14:textId="77777777" w:rsidR="00223D5A" w:rsidRPr="00407F2D" w:rsidRDefault="00223D5A" w:rsidP="00223D5A">
      <w:pPr>
        <w:pStyle w:val="2-SectionHeading"/>
        <w:numPr>
          <w:ilvl w:val="0"/>
          <w:numId w:val="1"/>
        </w:numPr>
      </w:pPr>
      <w:bookmarkStart w:id="12" w:name="_Toc124928095"/>
      <w:bookmarkStart w:id="13" w:name="_Toc22897640"/>
      <w:r>
        <w:t>C</w:t>
      </w:r>
      <w:r w:rsidRPr="00407F2D">
        <w:t>onsideration of the evidence</w:t>
      </w:r>
      <w:bookmarkEnd w:id="12"/>
    </w:p>
    <w:p w14:paraId="0D854EC0" w14:textId="233BFD96" w:rsidR="00FE3B94" w:rsidRDefault="00FE3B94" w:rsidP="00AB08F8">
      <w:pPr>
        <w:pStyle w:val="4-SubsectionHeading"/>
        <w:rPr>
          <w:i w:val="0"/>
        </w:rPr>
      </w:pPr>
      <w:bookmarkStart w:id="14" w:name="_Toc124928096"/>
      <w:r>
        <w:rPr>
          <w:i w:val="0"/>
        </w:rPr>
        <w:t>Sponsor hearing</w:t>
      </w:r>
    </w:p>
    <w:p w14:paraId="4F7C286D" w14:textId="79E743BB" w:rsidR="00EC44AF" w:rsidRPr="00EC44AF" w:rsidRDefault="00EC44AF" w:rsidP="00EC44AF">
      <w:pPr>
        <w:pStyle w:val="3-BodyText"/>
      </w:pPr>
      <w:r w:rsidRPr="00EC44AF">
        <w:t>The sponsor requested a hearing for this item. The clinician highlighted the significant and severe morbidit</w:t>
      </w:r>
      <w:r w:rsidR="00C96FB6">
        <w:t>ies</w:t>
      </w:r>
      <w:r w:rsidRPr="00EC44AF">
        <w:t xml:space="preserve"> associated with CS, and the high clinical need for a long-term therapy. The clinician reiterated the limited therapeutic options for CS and highlighted that the benefits associated with treatment of CS were often gradual to accrue, for example, with radiation therapy, there was usually a delayed onset of response, with symptom improvement occurring after 12 months. The clinician further added that in clinical practice, partial response to treatment could also lead to important clinical benefits.</w:t>
      </w:r>
      <w:r w:rsidR="00374CA5">
        <w:t xml:space="preserve"> The PBAC </w:t>
      </w:r>
      <w:r w:rsidR="00374CA5" w:rsidRPr="00836F75">
        <w:rPr>
          <w:bCs/>
        </w:rPr>
        <w:t xml:space="preserve">considered that the hearing was informative as it provided a clinical perspective on </w:t>
      </w:r>
      <w:r w:rsidR="00374CA5">
        <w:rPr>
          <w:bCs/>
        </w:rPr>
        <w:t>the unmet clinical need for an effective PBS therapy for treating this</w:t>
      </w:r>
      <w:r w:rsidR="00374CA5" w:rsidRPr="00836F75">
        <w:rPr>
          <w:bCs/>
        </w:rPr>
        <w:t xml:space="preserve"> uncommon disease</w:t>
      </w:r>
      <w:r w:rsidR="00374CA5">
        <w:rPr>
          <w:bCs/>
        </w:rPr>
        <w:t>.</w:t>
      </w:r>
    </w:p>
    <w:p w14:paraId="48E20565" w14:textId="1B4B52CC" w:rsidR="00032516" w:rsidRDefault="00032516" w:rsidP="00C032BC">
      <w:pPr>
        <w:pStyle w:val="4-SubsectionHeading"/>
        <w:rPr>
          <w:i w:val="0"/>
          <w:iCs/>
        </w:rPr>
      </w:pPr>
      <w:r w:rsidRPr="00C032BC">
        <w:rPr>
          <w:i w:val="0"/>
          <w:iCs/>
        </w:rPr>
        <w:t>Consumer comments</w:t>
      </w:r>
    </w:p>
    <w:p w14:paraId="1EAF94B1" w14:textId="1A4ECE7E" w:rsidR="00EC44AF" w:rsidRPr="00B827F0" w:rsidRDefault="00EC44AF" w:rsidP="00EC44AF">
      <w:pPr>
        <w:pStyle w:val="3-BodyText"/>
        <w:rPr>
          <w:i/>
        </w:rPr>
      </w:pPr>
      <w:r w:rsidRPr="00836F75">
        <w:rPr>
          <w:bCs/>
        </w:rPr>
        <w:t xml:space="preserve">The </w:t>
      </w:r>
      <w:r>
        <w:rPr>
          <w:bCs/>
        </w:rPr>
        <w:t xml:space="preserve">PBAC noted and welcomed the input from </w:t>
      </w:r>
      <w:r w:rsidR="000B367E">
        <w:rPr>
          <w:bCs/>
        </w:rPr>
        <w:t xml:space="preserve">individuals (2), health professionals (1) and organisations (2) via the Consumer Comments facility on the PBS website. </w:t>
      </w:r>
      <w:r w:rsidR="00347E55" w:rsidRPr="00836F75">
        <w:rPr>
          <w:bCs/>
        </w:rPr>
        <w:t xml:space="preserve">The comments described a range of benefits of treatment with </w:t>
      </w:r>
      <w:r w:rsidR="00347E55">
        <w:rPr>
          <w:bCs/>
        </w:rPr>
        <w:t xml:space="preserve">osilodrostat as well as personal experiences of living with CS, including </w:t>
      </w:r>
      <w:r>
        <w:rPr>
          <w:bCs/>
        </w:rPr>
        <w:t xml:space="preserve">the limitations of current treatment options and the clinical need, the </w:t>
      </w:r>
      <w:r w:rsidR="00347E55">
        <w:rPr>
          <w:bCs/>
        </w:rPr>
        <w:t xml:space="preserve">quality of life </w:t>
      </w:r>
      <w:r>
        <w:rPr>
          <w:bCs/>
        </w:rPr>
        <w:t>benefits associated with osilodrostat, and the need for regular monitoring of side effects.</w:t>
      </w:r>
      <w:r w:rsidR="00374CA5">
        <w:rPr>
          <w:bCs/>
        </w:rPr>
        <w:t xml:space="preserve"> The PBAC noted the patient perspective provided valuable insight particularly given the limitations of the clinical trial</w:t>
      </w:r>
      <w:r w:rsidR="00347E55">
        <w:rPr>
          <w:bCs/>
        </w:rPr>
        <w:t>s</w:t>
      </w:r>
      <w:r w:rsidR="00374CA5">
        <w:rPr>
          <w:bCs/>
        </w:rPr>
        <w:t xml:space="preserve">. </w:t>
      </w:r>
    </w:p>
    <w:p w14:paraId="609C0765" w14:textId="4E2AC27D" w:rsidR="00B60939" w:rsidRPr="008C713C" w:rsidRDefault="00B60939" w:rsidP="00AB08F8">
      <w:pPr>
        <w:pStyle w:val="4-SubsectionHeading"/>
        <w:rPr>
          <w:i w:val="0"/>
        </w:rPr>
      </w:pPr>
      <w:r w:rsidRPr="008C713C">
        <w:rPr>
          <w:i w:val="0"/>
        </w:rPr>
        <w:lastRenderedPageBreak/>
        <w:t>Clinical trials</w:t>
      </w:r>
      <w:bookmarkEnd w:id="13"/>
      <w:r w:rsidR="00EA69E2" w:rsidRPr="008C713C">
        <w:rPr>
          <w:i w:val="0"/>
        </w:rPr>
        <w:t xml:space="preserve"> and studies</w:t>
      </w:r>
      <w:bookmarkEnd w:id="14"/>
    </w:p>
    <w:p w14:paraId="3E474AE2" w14:textId="37A53127" w:rsidR="00912F8B" w:rsidRPr="00912F8B" w:rsidRDefault="00912F8B" w:rsidP="002E4F02">
      <w:pPr>
        <w:pStyle w:val="3-BodyText"/>
      </w:pPr>
      <w:r>
        <w:t xml:space="preserve">The submission was based on </w:t>
      </w:r>
      <w:r w:rsidR="00A8203F">
        <w:t xml:space="preserve">3 </w:t>
      </w:r>
      <w:r>
        <w:t xml:space="preserve">osilodrostat trials, one metyrapone </w:t>
      </w:r>
      <w:r w:rsidR="0061454A">
        <w:t xml:space="preserve">study </w:t>
      </w:r>
      <w:r>
        <w:t xml:space="preserve">and </w:t>
      </w:r>
      <w:r w:rsidR="00A8203F">
        <w:t xml:space="preserve">2 </w:t>
      </w:r>
      <w:r>
        <w:t>ketoconazole studies.</w:t>
      </w:r>
    </w:p>
    <w:p w14:paraId="2B59ABAC" w14:textId="1E2BCBE0" w:rsidR="00862502" w:rsidRPr="00B50DB8" w:rsidRDefault="00A73134" w:rsidP="002E4F02">
      <w:pPr>
        <w:pStyle w:val="3-BodyText"/>
      </w:pPr>
      <w:r>
        <w:rPr>
          <w:snapToGrid/>
          <w:lang w:val="en-US"/>
        </w:rPr>
        <w:t>Details of the trials</w:t>
      </w:r>
      <w:r w:rsidR="00912F8B">
        <w:rPr>
          <w:snapToGrid/>
          <w:lang w:val="en-US"/>
        </w:rPr>
        <w:t xml:space="preserve"> and </w:t>
      </w:r>
      <w:r w:rsidR="00D5243B">
        <w:rPr>
          <w:snapToGrid/>
          <w:lang w:val="en-US"/>
        </w:rPr>
        <w:t>studies</w:t>
      </w:r>
      <w:r>
        <w:rPr>
          <w:snapToGrid/>
          <w:lang w:val="en-US"/>
        </w:rPr>
        <w:t xml:space="preserve"> presented in the submission are provided in </w:t>
      </w:r>
      <w:r w:rsidR="00696EF9">
        <w:rPr>
          <w:snapToGrid/>
          <w:lang w:val="en-US"/>
        </w:rPr>
        <w:fldChar w:fldCharType="begin"/>
      </w:r>
      <w:r w:rsidR="00696EF9">
        <w:rPr>
          <w:snapToGrid/>
          <w:lang w:val="en-US"/>
        </w:rPr>
        <w:instrText xml:space="preserve"> REF _Ref104803956 \h </w:instrText>
      </w:r>
      <w:r w:rsidR="00696EF9">
        <w:rPr>
          <w:snapToGrid/>
          <w:lang w:val="en-US"/>
        </w:rPr>
      </w:r>
      <w:r w:rsidR="00696EF9">
        <w:rPr>
          <w:snapToGrid/>
          <w:lang w:val="en-US"/>
        </w:rPr>
        <w:fldChar w:fldCharType="separate"/>
      </w:r>
      <w:r w:rsidR="00A9220E">
        <w:t xml:space="preserve">Table </w:t>
      </w:r>
      <w:r w:rsidR="00A9220E">
        <w:rPr>
          <w:noProof/>
        </w:rPr>
        <w:t>2</w:t>
      </w:r>
      <w:r w:rsidR="00696EF9">
        <w:rPr>
          <w:snapToGrid/>
          <w:lang w:val="en-US"/>
        </w:rPr>
        <w:fldChar w:fldCharType="end"/>
      </w:r>
      <w:r>
        <w:rPr>
          <w:snapToGrid/>
          <w:lang w:val="en-US"/>
        </w:rPr>
        <w:t>.</w:t>
      </w:r>
      <w:r w:rsidR="00BC591F">
        <w:rPr>
          <w:snapToGrid/>
          <w:lang w:val="en-US"/>
        </w:rPr>
        <w:t xml:space="preserve"> </w:t>
      </w:r>
    </w:p>
    <w:p w14:paraId="7DE3A286" w14:textId="49C44F35" w:rsidR="008E0D3C" w:rsidRPr="002E4F02" w:rsidRDefault="00696EF9" w:rsidP="002E4F02">
      <w:pPr>
        <w:pStyle w:val="TableFigureHeading"/>
        <w:rPr>
          <w:rStyle w:val="CommentReference"/>
          <w:b/>
          <w:szCs w:val="24"/>
        </w:rPr>
      </w:pPr>
      <w:bookmarkStart w:id="15" w:name="_Ref104803956"/>
      <w:r>
        <w:t xml:space="preserve">Table </w:t>
      </w:r>
      <w:fldSimple w:instr=" SEQ Table \* ARABIC ">
        <w:r w:rsidR="00A9220E">
          <w:rPr>
            <w:noProof/>
          </w:rPr>
          <w:t>2</w:t>
        </w:r>
      </w:fldSimple>
      <w:bookmarkEnd w:id="15"/>
      <w:r>
        <w:t>:</w:t>
      </w:r>
      <w:r w:rsidR="00BC591F" w:rsidRPr="002E4F02">
        <w:rPr>
          <w:rStyle w:val="CommentReference"/>
          <w:b/>
          <w:szCs w:val="24"/>
        </w:rPr>
        <w:t xml:space="preserve"> </w:t>
      </w:r>
      <w:r w:rsidR="008E0D3C"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EA69E2" w:rsidRPr="00B41614" w14:paraId="133626B3" w14:textId="77777777" w:rsidTr="001F545B">
        <w:trPr>
          <w:tblHeader/>
        </w:trPr>
        <w:tc>
          <w:tcPr>
            <w:tcW w:w="796" w:type="pct"/>
            <w:tcBorders>
              <w:bottom w:val="single" w:sz="4" w:space="0" w:color="auto"/>
            </w:tcBorders>
            <w:vAlign w:val="center"/>
          </w:tcPr>
          <w:p w14:paraId="3F48B18F" w14:textId="77777777" w:rsidR="00EA69E2" w:rsidRPr="00B41614" w:rsidRDefault="00EA69E2" w:rsidP="001F545B">
            <w:pPr>
              <w:pStyle w:val="In-tableHeading"/>
            </w:pPr>
            <w:r w:rsidRPr="00B41614">
              <w:t>Trial ID</w:t>
            </w:r>
          </w:p>
        </w:tc>
        <w:tc>
          <w:tcPr>
            <w:tcW w:w="3027" w:type="pct"/>
            <w:tcBorders>
              <w:bottom w:val="single" w:sz="4" w:space="0" w:color="auto"/>
            </w:tcBorders>
            <w:vAlign w:val="center"/>
          </w:tcPr>
          <w:p w14:paraId="62D0996F" w14:textId="77777777" w:rsidR="00EA69E2" w:rsidRPr="00B41614" w:rsidRDefault="00EA69E2" w:rsidP="001F545B">
            <w:pPr>
              <w:pStyle w:val="In-tableHeading"/>
            </w:pPr>
            <w:r w:rsidRPr="00B41614">
              <w:t>Protocol title/ Publication title</w:t>
            </w:r>
          </w:p>
        </w:tc>
        <w:tc>
          <w:tcPr>
            <w:tcW w:w="1177" w:type="pct"/>
            <w:tcBorders>
              <w:bottom w:val="single" w:sz="4" w:space="0" w:color="auto"/>
            </w:tcBorders>
            <w:vAlign w:val="center"/>
          </w:tcPr>
          <w:p w14:paraId="779B1309" w14:textId="77777777" w:rsidR="00EA69E2" w:rsidRPr="00B41614" w:rsidRDefault="00EA69E2" w:rsidP="001F545B">
            <w:pPr>
              <w:pStyle w:val="In-tableHeading"/>
            </w:pPr>
            <w:r w:rsidRPr="00B41614">
              <w:t>Publication citation</w:t>
            </w:r>
          </w:p>
        </w:tc>
      </w:tr>
      <w:tr w:rsidR="00764455" w14:paraId="320A886D" w14:textId="77777777" w:rsidTr="001F545B">
        <w:tc>
          <w:tcPr>
            <w:tcW w:w="796" w:type="pct"/>
            <w:tcBorders>
              <w:bottom w:val="nil"/>
            </w:tcBorders>
            <w:vAlign w:val="center"/>
          </w:tcPr>
          <w:p w14:paraId="7564F9A4" w14:textId="05CD2C33" w:rsidR="00764455" w:rsidRDefault="00764455" w:rsidP="001F545B">
            <w:pPr>
              <w:pStyle w:val="TableText0"/>
            </w:pPr>
            <w:r>
              <w:t>Osilodrostat trials</w:t>
            </w:r>
          </w:p>
        </w:tc>
        <w:tc>
          <w:tcPr>
            <w:tcW w:w="3027" w:type="pct"/>
            <w:tcBorders>
              <w:bottom w:val="nil"/>
            </w:tcBorders>
            <w:vAlign w:val="center"/>
          </w:tcPr>
          <w:p w14:paraId="3DCA10A6" w14:textId="77777777" w:rsidR="00764455" w:rsidRPr="00BB282D" w:rsidRDefault="00764455" w:rsidP="001F545B">
            <w:pPr>
              <w:pStyle w:val="TableText0"/>
              <w:rPr>
                <w:rFonts w:cs="Arial"/>
                <w:szCs w:val="20"/>
              </w:rPr>
            </w:pPr>
          </w:p>
        </w:tc>
        <w:tc>
          <w:tcPr>
            <w:tcW w:w="1177" w:type="pct"/>
            <w:tcBorders>
              <w:bottom w:val="nil"/>
            </w:tcBorders>
            <w:vAlign w:val="center"/>
          </w:tcPr>
          <w:p w14:paraId="0BED84C1" w14:textId="77777777" w:rsidR="00764455" w:rsidRDefault="00764455" w:rsidP="001F545B">
            <w:pPr>
              <w:pStyle w:val="TableText0"/>
            </w:pPr>
          </w:p>
        </w:tc>
      </w:tr>
      <w:tr w:rsidR="00EA69E2" w14:paraId="46637094" w14:textId="77777777" w:rsidTr="001F545B">
        <w:tc>
          <w:tcPr>
            <w:tcW w:w="796" w:type="pct"/>
            <w:tcBorders>
              <w:bottom w:val="nil"/>
            </w:tcBorders>
            <w:vAlign w:val="center"/>
          </w:tcPr>
          <w:p w14:paraId="1F776032" w14:textId="77777777" w:rsidR="00EA69E2" w:rsidRDefault="00EA69E2" w:rsidP="001F545B">
            <w:pPr>
              <w:pStyle w:val="TableText0"/>
            </w:pPr>
            <w:r>
              <w:t>LINC 3</w:t>
            </w:r>
          </w:p>
          <w:p w14:paraId="41B2165C" w14:textId="77777777" w:rsidR="00EA69E2" w:rsidRPr="00CB38A8" w:rsidRDefault="00EA69E2" w:rsidP="001F545B">
            <w:pPr>
              <w:pStyle w:val="TableText0"/>
            </w:pPr>
            <w:r>
              <w:t>NCT02180217</w:t>
            </w:r>
          </w:p>
        </w:tc>
        <w:tc>
          <w:tcPr>
            <w:tcW w:w="3027" w:type="pct"/>
            <w:tcBorders>
              <w:bottom w:val="nil"/>
            </w:tcBorders>
            <w:vAlign w:val="center"/>
          </w:tcPr>
          <w:p w14:paraId="6810AA1A" w14:textId="77777777" w:rsidR="00EA69E2" w:rsidRPr="00E34A35" w:rsidRDefault="00EA69E2" w:rsidP="001F545B">
            <w:pPr>
              <w:pStyle w:val="TableText0"/>
              <w:rPr>
                <w:szCs w:val="18"/>
              </w:rPr>
            </w:pPr>
            <w:r w:rsidRPr="00BB282D">
              <w:rPr>
                <w:rFonts w:cs="Arial"/>
                <w:szCs w:val="20"/>
              </w:rPr>
              <w:t>A Phase III, multi</w:t>
            </w:r>
            <w:r w:rsidRPr="00BB282D">
              <w:rPr>
                <w:rFonts w:cs="Arial"/>
                <w:szCs w:val="20"/>
              </w:rPr>
              <w:noBreakHyphen/>
              <w:t>center, double</w:t>
            </w:r>
            <w:r w:rsidRPr="00BB282D">
              <w:rPr>
                <w:rFonts w:cs="Arial"/>
                <w:szCs w:val="20"/>
              </w:rPr>
              <w:noBreakHyphen/>
              <w:t>blind, randomised withdrawal study of LCI699 following a 24 week, single</w:t>
            </w:r>
            <w:r w:rsidRPr="00BB282D">
              <w:rPr>
                <w:rFonts w:cs="Arial"/>
                <w:szCs w:val="20"/>
              </w:rPr>
              <w:noBreakHyphen/>
              <w:t>arm, open</w:t>
            </w:r>
            <w:r w:rsidRPr="00BB282D">
              <w:rPr>
                <w:rFonts w:cs="Arial"/>
                <w:szCs w:val="20"/>
              </w:rPr>
              <w:noBreakHyphen/>
              <w:t>label dose titration and treatment period to evaluate the safety and efficacy of LCI699 for the treatment of patients with Cushing’s disease</w:t>
            </w:r>
          </w:p>
        </w:tc>
        <w:tc>
          <w:tcPr>
            <w:tcW w:w="1177" w:type="pct"/>
            <w:tcBorders>
              <w:bottom w:val="nil"/>
            </w:tcBorders>
            <w:vAlign w:val="center"/>
          </w:tcPr>
          <w:p w14:paraId="625A89C0" w14:textId="77777777" w:rsidR="00EA69E2" w:rsidRDefault="00EA69E2" w:rsidP="001F545B">
            <w:pPr>
              <w:pStyle w:val="TableText0"/>
            </w:pPr>
            <w:r>
              <w:t>September 2018; May 2020</w:t>
            </w:r>
          </w:p>
        </w:tc>
      </w:tr>
      <w:tr w:rsidR="00EA69E2" w14:paraId="3FDBA9E3" w14:textId="77777777" w:rsidTr="001F545B">
        <w:tc>
          <w:tcPr>
            <w:tcW w:w="796" w:type="pct"/>
            <w:tcBorders>
              <w:top w:val="nil"/>
              <w:bottom w:val="nil"/>
            </w:tcBorders>
            <w:vAlign w:val="center"/>
          </w:tcPr>
          <w:p w14:paraId="6FE2B1D5" w14:textId="77777777" w:rsidR="00EA69E2" w:rsidRDefault="00EA69E2" w:rsidP="001F545B">
            <w:pPr>
              <w:pStyle w:val="TableText0"/>
            </w:pPr>
          </w:p>
        </w:tc>
        <w:tc>
          <w:tcPr>
            <w:tcW w:w="3027" w:type="pct"/>
            <w:tcBorders>
              <w:top w:val="nil"/>
              <w:bottom w:val="nil"/>
            </w:tcBorders>
            <w:vAlign w:val="center"/>
          </w:tcPr>
          <w:p w14:paraId="66CD30F0" w14:textId="77777777" w:rsidR="00EA69E2" w:rsidRPr="00BB282D" w:rsidRDefault="00EA69E2" w:rsidP="001F545B">
            <w:pPr>
              <w:pStyle w:val="TableText0"/>
              <w:rPr>
                <w:rFonts w:cs="Arial"/>
                <w:szCs w:val="20"/>
              </w:rPr>
            </w:pPr>
            <w:r w:rsidRPr="00BB282D">
              <w:rPr>
                <w:rFonts w:cs="Arial"/>
                <w:szCs w:val="20"/>
              </w:rPr>
              <w:t>Pivonello R, Fleseriu M, Newell</w:t>
            </w:r>
            <w:r w:rsidRPr="00BB282D">
              <w:rPr>
                <w:rFonts w:cs="Arial"/>
                <w:szCs w:val="20"/>
              </w:rPr>
              <w:noBreakHyphen/>
              <w:t>Price J, Bertagna X</w:t>
            </w:r>
            <w:r>
              <w:rPr>
                <w:rFonts w:cs="Arial"/>
                <w:szCs w:val="20"/>
              </w:rPr>
              <w:t xml:space="preserve"> et al </w:t>
            </w:r>
            <w:r w:rsidRPr="00BB282D">
              <w:rPr>
                <w:rFonts w:cs="Arial"/>
                <w:szCs w:val="20"/>
              </w:rPr>
              <w:t>2020. Efficacy and safety of osilodrostat in patients with Cushing's disease (LINC 3): a multicentre phase III study with a double</w:t>
            </w:r>
            <w:r w:rsidRPr="00BB282D">
              <w:rPr>
                <w:rFonts w:cs="Arial"/>
                <w:szCs w:val="20"/>
              </w:rPr>
              <w:noBreakHyphen/>
              <w:t>blind, randomised withdrawal phase.</w:t>
            </w:r>
          </w:p>
        </w:tc>
        <w:tc>
          <w:tcPr>
            <w:tcW w:w="1177" w:type="pct"/>
            <w:tcBorders>
              <w:top w:val="nil"/>
              <w:bottom w:val="nil"/>
            </w:tcBorders>
            <w:vAlign w:val="center"/>
          </w:tcPr>
          <w:p w14:paraId="68DB4B11" w14:textId="77777777" w:rsidR="00EA69E2" w:rsidRDefault="00EA69E2" w:rsidP="001F545B">
            <w:pPr>
              <w:pStyle w:val="TableText0"/>
            </w:pPr>
            <w:r w:rsidRPr="00721D5A">
              <w:rPr>
                <w:iCs/>
              </w:rPr>
              <w:t>Lancet Diabetes Endocrinol</w:t>
            </w:r>
            <w:r>
              <w:t xml:space="preserve"> </w:t>
            </w:r>
            <w:r>
              <w:rPr>
                <w:rFonts w:cs="Arial"/>
                <w:szCs w:val="20"/>
              </w:rPr>
              <w:t>2020;</w:t>
            </w:r>
            <w:r w:rsidRPr="00BB282D">
              <w:rPr>
                <w:rFonts w:cs="Arial"/>
                <w:szCs w:val="20"/>
              </w:rPr>
              <w:t xml:space="preserve"> 8</w:t>
            </w:r>
            <w:r>
              <w:rPr>
                <w:rFonts w:cs="Arial"/>
                <w:szCs w:val="20"/>
              </w:rPr>
              <w:t>:</w:t>
            </w:r>
            <w:r w:rsidRPr="00BB282D">
              <w:rPr>
                <w:rFonts w:cs="Arial"/>
                <w:szCs w:val="20"/>
              </w:rPr>
              <w:t>748</w:t>
            </w:r>
            <w:r w:rsidRPr="00BB282D">
              <w:rPr>
                <w:rFonts w:cs="Arial"/>
                <w:szCs w:val="20"/>
              </w:rPr>
              <w:noBreakHyphen/>
              <w:t>761</w:t>
            </w:r>
            <w:r>
              <w:rPr>
                <w:rFonts w:cs="Arial"/>
                <w:szCs w:val="20"/>
              </w:rPr>
              <w:t>.</w:t>
            </w:r>
          </w:p>
        </w:tc>
      </w:tr>
      <w:tr w:rsidR="00EA69E2" w14:paraId="536151F3" w14:textId="77777777" w:rsidTr="001F545B">
        <w:tc>
          <w:tcPr>
            <w:tcW w:w="796" w:type="pct"/>
            <w:tcBorders>
              <w:top w:val="nil"/>
              <w:bottom w:val="single" w:sz="4" w:space="0" w:color="auto"/>
            </w:tcBorders>
            <w:vAlign w:val="center"/>
          </w:tcPr>
          <w:p w14:paraId="691133B7" w14:textId="77777777" w:rsidR="00EA69E2" w:rsidRDefault="00EA69E2" w:rsidP="001F545B">
            <w:pPr>
              <w:pStyle w:val="TableText0"/>
            </w:pPr>
          </w:p>
        </w:tc>
        <w:tc>
          <w:tcPr>
            <w:tcW w:w="3027" w:type="pct"/>
            <w:tcBorders>
              <w:top w:val="nil"/>
              <w:bottom w:val="single" w:sz="4" w:space="0" w:color="auto"/>
            </w:tcBorders>
            <w:vAlign w:val="center"/>
          </w:tcPr>
          <w:p w14:paraId="53F9F3E8" w14:textId="77777777" w:rsidR="00EA69E2" w:rsidRPr="00BB282D" w:rsidRDefault="00EA69E2" w:rsidP="001F545B">
            <w:pPr>
              <w:pStyle w:val="TableText0"/>
              <w:rPr>
                <w:rFonts w:cs="Arial"/>
                <w:szCs w:val="20"/>
              </w:rPr>
            </w:pPr>
            <w:r w:rsidRPr="00BB282D">
              <w:rPr>
                <w:szCs w:val="20"/>
              </w:rPr>
              <w:t>Fleseriu M, Newell-Price J, Pivonello R, Shimatu A</w:t>
            </w:r>
            <w:r>
              <w:rPr>
                <w:szCs w:val="20"/>
              </w:rPr>
              <w:t xml:space="preserve"> et al</w:t>
            </w:r>
            <w:r w:rsidRPr="00BB282D">
              <w:rPr>
                <w:szCs w:val="20"/>
              </w:rPr>
              <w:t>.</w:t>
            </w:r>
            <w:r w:rsidRPr="00BB282D">
              <w:rPr>
                <w:noProof/>
                <w:szCs w:val="20"/>
              </w:rPr>
              <w:t xml:space="preserve"> Long-term outcomes of osilodrostat in Cushing's disease: LINC 3 study extension.</w:t>
            </w:r>
          </w:p>
        </w:tc>
        <w:tc>
          <w:tcPr>
            <w:tcW w:w="1177" w:type="pct"/>
            <w:tcBorders>
              <w:top w:val="nil"/>
              <w:bottom w:val="single" w:sz="4" w:space="0" w:color="auto"/>
            </w:tcBorders>
            <w:vAlign w:val="center"/>
          </w:tcPr>
          <w:p w14:paraId="370EF1DC" w14:textId="77777777" w:rsidR="00EA69E2" w:rsidRDefault="00EA69E2" w:rsidP="001F545B">
            <w:pPr>
              <w:pStyle w:val="TableText0"/>
            </w:pPr>
            <w:r w:rsidRPr="00721D5A">
              <w:rPr>
                <w:iCs/>
                <w:noProof/>
                <w:szCs w:val="20"/>
              </w:rPr>
              <w:t>Eur J Endocrinol</w:t>
            </w:r>
            <w:r>
              <w:rPr>
                <w:noProof/>
                <w:szCs w:val="20"/>
              </w:rPr>
              <w:t xml:space="preserve"> 2022; 187: 531-541.</w:t>
            </w:r>
          </w:p>
        </w:tc>
      </w:tr>
      <w:tr w:rsidR="00EA69E2" w:rsidRPr="005D6815" w14:paraId="1F533288" w14:textId="77777777" w:rsidTr="001F545B">
        <w:tc>
          <w:tcPr>
            <w:tcW w:w="796" w:type="pct"/>
            <w:tcBorders>
              <w:bottom w:val="nil"/>
            </w:tcBorders>
            <w:vAlign w:val="center"/>
          </w:tcPr>
          <w:p w14:paraId="5791A6A0" w14:textId="77777777" w:rsidR="00EA69E2" w:rsidRDefault="00EA69E2" w:rsidP="001F545B">
            <w:pPr>
              <w:pStyle w:val="TableText0"/>
            </w:pPr>
            <w:r>
              <w:t>LINC 4</w:t>
            </w:r>
          </w:p>
          <w:p w14:paraId="09B22FAE" w14:textId="77777777" w:rsidR="00EA69E2" w:rsidRDefault="00EA69E2" w:rsidP="001F545B">
            <w:pPr>
              <w:pStyle w:val="TableText0"/>
            </w:pPr>
            <w:r>
              <w:t>NCT02697734</w:t>
            </w:r>
          </w:p>
        </w:tc>
        <w:tc>
          <w:tcPr>
            <w:tcW w:w="3027" w:type="pct"/>
            <w:tcBorders>
              <w:bottom w:val="nil"/>
            </w:tcBorders>
            <w:vAlign w:val="center"/>
          </w:tcPr>
          <w:p w14:paraId="13DBDABD" w14:textId="77777777" w:rsidR="00EA69E2" w:rsidRPr="00BB282D" w:rsidRDefault="00EA69E2" w:rsidP="001F545B">
            <w:pPr>
              <w:pStyle w:val="TableText0"/>
              <w:rPr>
                <w:szCs w:val="20"/>
              </w:rPr>
            </w:pPr>
            <w:r w:rsidRPr="00736461">
              <w:rPr>
                <w:rFonts w:cs="Arial"/>
                <w:szCs w:val="20"/>
              </w:rPr>
              <w:t>A Phase III, multi</w:t>
            </w:r>
            <w:r w:rsidRPr="00736461">
              <w:rPr>
                <w:rFonts w:cs="Arial"/>
                <w:szCs w:val="20"/>
              </w:rPr>
              <w:noBreakHyphen/>
              <w:t>center, randomised, double</w:t>
            </w:r>
            <w:r w:rsidRPr="00736461">
              <w:rPr>
                <w:rFonts w:cs="Arial"/>
                <w:szCs w:val="20"/>
              </w:rPr>
              <w:noBreakHyphen/>
              <w:t>blind, 48</w:t>
            </w:r>
            <w:r w:rsidRPr="00736461">
              <w:rPr>
                <w:rFonts w:cs="Arial"/>
                <w:szCs w:val="20"/>
              </w:rPr>
              <w:noBreakHyphen/>
              <w:t>week study with an initial 12</w:t>
            </w:r>
            <w:r w:rsidRPr="00736461">
              <w:rPr>
                <w:rFonts w:cs="Arial"/>
                <w:szCs w:val="20"/>
              </w:rPr>
              <w:noBreakHyphen/>
              <w:t>week placebo</w:t>
            </w:r>
            <w:r w:rsidRPr="00736461">
              <w:rPr>
                <w:rFonts w:cs="Arial"/>
                <w:szCs w:val="20"/>
              </w:rPr>
              <w:noBreakHyphen/>
              <w:t>controlled period to evaluate the safety and efficacy of osilodrostat in patients with Cushing’s disease</w:t>
            </w:r>
            <w:r>
              <w:rPr>
                <w:rFonts w:cs="Arial"/>
                <w:szCs w:val="20"/>
              </w:rPr>
              <w:t>.</w:t>
            </w:r>
          </w:p>
        </w:tc>
        <w:tc>
          <w:tcPr>
            <w:tcW w:w="1177" w:type="pct"/>
            <w:tcBorders>
              <w:bottom w:val="nil"/>
            </w:tcBorders>
            <w:vAlign w:val="center"/>
          </w:tcPr>
          <w:p w14:paraId="746344CC" w14:textId="77777777" w:rsidR="00EA69E2" w:rsidRPr="005D6815" w:rsidRDefault="00EA69E2" w:rsidP="001F545B">
            <w:pPr>
              <w:pStyle w:val="TableText0"/>
              <w:rPr>
                <w:noProof/>
                <w:szCs w:val="20"/>
              </w:rPr>
            </w:pPr>
            <w:r>
              <w:rPr>
                <w:noProof/>
                <w:szCs w:val="20"/>
              </w:rPr>
              <w:t>September 2020; July 2021</w:t>
            </w:r>
          </w:p>
        </w:tc>
      </w:tr>
      <w:tr w:rsidR="00EA69E2" w:rsidRPr="001A22AE" w14:paraId="54091CCC" w14:textId="77777777" w:rsidTr="001F545B">
        <w:tc>
          <w:tcPr>
            <w:tcW w:w="796" w:type="pct"/>
            <w:tcBorders>
              <w:top w:val="nil"/>
              <w:bottom w:val="single" w:sz="4" w:space="0" w:color="auto"/>
            </w:tcBorders>
            <w:vAlign w:val="center"/>
          </w:tcPr>
          <w:p w14:paraId="55C65EF3" w14:textId="77777777" w:rsidR="00EA69E2" w:rsidRDefault="00EA69E2" w:rsidP="001F545B">
            <w:pPr>
              <w:pStyle w:val="TableText0"/>
            </w:pPr>
          </w:p>
        </w:tc>
        <w:tc>
          <w:tcPr>
            <w:tcW w:w="3027" w:type="pct"/>
            <w:tcBorders>
              <w:top w:val="nil"/>
              <w:bottom w:val="single" w:sz="4" w:space="0" w:color="auto"/>
            </w:tcBorders>
            <w:vAlign w:val="center"/>
          </w:tcPr>
          <w:p w14:paraId="36357E6C" w14:textId="77777777" w:rsidR="00EA69E2" w:rsidRPr="00BB282D" w:rsidRDefault="00EA69E2" w:rsidP="001F545B">
            <w:pPr>
              <w:pStyle w:val="TableText0"/>
              <w:rPr>
                <w:szCs w:val="20"/>
              </w:rPr>
            </w:pPr>
            <w:r w:rsidRPr="00151268">
              <w:rPr>
                <w:rFonts w:cs="Arial"/>
                <w:szCs w:val="20"/>
              </w:rPr>
              <w:t xml:space="preserve">Gadelha M, Bex M, Feelders RA, Heaney AP et al. </w:t>
            </w:r>
            <w:r>
              <w:rPr>
                <w:rFonts w:cs="Arial"/>
                <w:szCs w:val="20"/>
              </w:rPr>
              <w:t>Randomized t</w:t>
            </w:r>
            <w:r w:rsidRPr="00151268">
              <w:rPr>
                <w:rFonts w:cs="Arial"/>
                <w:szCs w:val="20"/>
              </w:rPr>
              <w:t>rial of osilodrostat for the treatment of Cushing's disease.</w:t>
            </w:r>
          </w:p>
        </w:tc>
        <w:tc>
          <w:tcPr>
            <w:tcW w:w="1177" w:type="pct"/>
            <w:tcBorders>
              <w:top w:val="nil"/>
              <w:bottom w:val="single" w:sz="4" w:space="0" w:color="auto"/>
            </w:tcBorders>
            <w:vAlign w:val="center"/>
          </w:tcPr>
          <w:p w14:paraId="3D3FCF86" w14:textId="77777777" w:rsidR="00EA69E2" w:rsidRPr="001A22AE" w:rsidRDefault="00EA69E2" w:rsidP="001F545B">
            <w:pPr>
              <w:pStyle w:val="TableText0"/>
              <w:rPr>
                <w:noProof/>
                <w:szCs w:val="20"/>
              </w:rPr>
            </w:pPr>
            <w:r w:rsidRPr="00721D5A">
              <w:rPr>
                <w:rFonts w:cs="Arial"/>
                <w:iCs/>
                <w:szCs w:val="20"/>
              </w:rPr>
              <w:t xml:space="preserve">J Clin Endocrinol Metab </w:t>
            </w:r>
            <w:r w:rsidRPr="00151268">
              <w:rPr>
                <w:rFonts w:cs="Arial"/>
                <w:szCs w:val="20"/>
              </w:rPr>
              <w:t>2022; 107(7): e2882-e2895.</w:t>
            </w:r>
          </w:p>
        </w:tc>
      </w:tr>
      <w:tr w:rsidR="00EA69E2" w:rsidRPr="00CB38A8" w14:paraId="773605CE" w14:textId="77777777" w:rsidTr="001F545B">
        <w:tc>
          <w:tcPr>
            <w:tcW w:w="796" w:type="pct"/>
            <w:tcBorders>
              <w:top w:val="single" w:sz="4" w:space="0" w:color="auto"/>
              <w:bottom w:val="nil"/>
            </w:tcBorders>
            <w:vAlign w:val="center"/>
          </w:tcPr>
          <w:p w14:paraId="7CA2A522" w14:textId="77777777" w:rsidR="00EA69E2" w:rsidRDefault="00EA69E2" w:rsidP="001F545B">
            <w:pPr>
              <w:pStyle w:val="TableText0"/>
            </w:pPr>
            <w:r>
              <w:t>C1201</w:t>
            </w:r>
          </w:p>
          <w:p w14:paraId="06A60031" w14:textId="77777777" w:rsidR="00EA69E2" w:rsidRPr="00CB38A8" w:rsidRDefault="00EA69E2" w:rsidP="001F545B">
            <w:pPr>
              <w:pStyle w:val="TableText0"/>
            </w:pPr>
            <w:r>
              <w:t>NCT02468193</w:t>
            </w:r>
          </w:p>
        </w:tc>
        <w:tc>
          <w:tcPr>
            <w:tcW w:w="3027" w:type="pct"/>
            <w:tcBorders>
              <w:top w:val="single" w:sz="4" w:space="0" w:color="auto"/>
              <w:bottom w:val="nil"/>
            </w:tcBorders>
            <w:vAlign w:val="center"/>
          </w:tcPr>
          <w:p w14:paraId="29620E93" w14:textId="77777777" w:rsidR="00EA69E2" w:rsidRPr="00AB6248" w:rsidRDefault="00EA69E2" w:rsidP="001F545B">
            <w:pPr>
              <w:pStyle w:val="TableText0"/>
              <w:rPr>
                <w:szCs w:val="18"/>
              </w:rPr>
            </w:pPr>
            <w:r w:rsidRPr="00151268">
              <w:rPr>
                <w:rFonts w:cs="Arial"/>
                <w:szCs w:val="20"/>
              </w:rPr>
              <w:t>A Phase II, open</w:t>
            </w:r>
            <w:r w:rsidRPr="00151268">
              <w:rPr>
                <w:rFonts w:cs="Arial"/>
                <w:szCs w:val="20"/>
              </w:rPr>
              <w:noBreakHyphen/>
              <w:t>label, dose titration, multi</w:t>
            </w:r>
            <w:r w:rsidRPr="00151268">
              <w:rPr>
                <w:rFonts w:cs="Arial"/>
                <w:szCs w:val="20"/>
              </w:rPr>
              <w:noBreakHyphen/>
              <w:t>center study to assess the safety/tolerability and efficacy of osilodrostat in patients with all types of endogenous Cushing’s syndrome except Cushing’s disease.</w:t>
            </w:r>
          </w:p>
        </w:tc>
        <w:tc>
          <w:tcPr>
            <w:tcW w:w="1177" w:type="pct"/>
            <w:tcBorders>
              <w:top w:val="single" w:sz="4" w:space="0" w:color="auto"/>
              <w:bottom w:val="nil"/>
            </w:tcBorders>
            <w:vAlign w:val="center"/>
          </w:tcPr>
          <w:p w14:paraId="31D5EEC7" w14:textId="77777777" w:rsidR="00EA69E2" w:rsidRPr="00CB38A8" w:rsidRDefault="00EA69E2" w:rsidP="001F545B">
            <w:pPr>
              <w:pStyle w:val="TableText0"/>
            </w:pPr>
            <w:r>
              <w:t>October 2018; June 2019</w:t>
            </w:r>
          </w:p>
        </w:tc>
      </w:tr>
      <w:tr w:rsidR="00EA69E2" w:rsidRPr="00E34A35" w14:paraId="7706B8D8" w14:textId="77777777" w:rsidTr="001F545B">
        <w:tc>
          <w:tcPr>
            <w:tcW w:w="796" w:type="pct"/>
            <w:tcBorders>
              <w:top w:val="nil"/>
              <w:bottom w:val="single" w:sz="4" w:space="0" w:color="auto"/>
            </w:tcBorders>
            <w:vAlign w:val="center"/>
          </w:tcPr>
          <w:p w14:paraId="6E89B4E8" w14:textId="77777777" w:rsidR="00EA69E2" w:rsidRPr="00CB38A8" w:rsidRDefault="00EA69E2" w:rsidP="001F545B">
            <w:pPr>
              <w:pStyle w:val="TableText0"/>
            </w:pPr>
          </w:p>
        </w:tc>
        <w:tc>
          <w:tcPr>
            <w:tcW w:w="3027" w:type="pct"/>
            <w:tcBorders>
              <w:top w:val="nil"/>
              <w:bottom w:val="single" w:sz="4" w:space="0" w:color="auto"/>
            </w:tcBorders>
            <w:vAlign w:val="center"/>
          </w:tcPr>
          <w:p w14:paraId="33EE18E6" w14:textId="77777777" w:rsidR="00EA69E2" w:rsidRPr="00E34A35" w:rsidRDefault="00EA69E2" w:rsidP="001F545B">
            <w:pPr>
              <w:pStyle w:val="TableText0"/>
              <w:rPr>
                <w:szCs w:val="18"/>
              </w:rPr>
            </w:pPr>
            <w:r w:rsidRPr="00151268">
              <w:rPr>
                <w:rFonts w:cs="Arial"/>
                <w:szCs w:val="20"/>
                <w:lang w:val="pl-PL"/>
              </w:rPr>
              <w:t xml:space="preserve">Tanaka T, Satoh F, Ujihara M, Midorikawa S et al. </w:t>
            </w:r>
            <w:r w:rsidRPr="00151268">
              <w:rPr>
                <w:rFonts w:cs="Arial"/>
                <w:szCs w:val="20"/>
              </w:rPr>
              <w:t>A multicentre, phase 2 study to evaluate the efficacy and safety of osilodrostat, a new 11β</w:t>
            </w:r>
            <w:r w:rsidRPr="00151268">
              <w:rPr>
                <w:rFonts w:cs="Arial"/>
                <w:szCs w:val="20"/>
              </w:rPr>
              <w:noBreakHyphen/>
              <w:t>hydroxylase inhibitor, in Japanese patients with endogenous Cushing’s syndrome other than Cushing’s disease.</w:t>
            </w:r>
          </w:p>
        </w:tc>
        <w:tc>
          <w:tcPr>
            <w:tcW w:w="1177" w:type="pct"/>
            <w:tcBorders>
              <w:top w:val="nil"/>
              <w:bottom w:val="single" w:sz="4" w:space="0" w:color="auto"/>
            </w:tcBorders>
            <w:vAlign w:val="center"/>
          </w:tcPr>
          <w:p w14:paraId="503E09B1" w14:textId="77777777" w:rsidR="00EA69E2" w:rsidRPr="00E34A35" w:rsidRDefault="00EA69E2" w:rsidP="001F545B">
            <w:pPr>
              <w:pStyle w:val="TableText0"/>
              <w:rPr>
                <w:szCs w:val="18"/>
              </w:rPr>
            </w:pPr>
            <w:r w:rsidRPr="00721D5A">
              <w:rPr>
                <w:rFonts w:cs="Arial"/>
                <w:iCs/>
                <w:szCs w:val="20"/>
              </w:rPr>
              <w:t>Endocr J</w:t>
            </w:r>
            <w:r w:rsidRPr="00151268">
              <w:rPr>
                <w:rFonts w:cs="Arial"/>
                <w:szCs w:val="20"/>
              </w:rPr>
              <w:t xml:space="preserve"> 2020; 67:841</w:t>
            </w:r>
            <w:r w:rsidRPr="00151268">
              <w:rPr>
                <w:rFonts w:cs="Arial"/>
                <w:szCs w:val="20"/>
              </w:rPr>
              <w:noBreakHyphen/>
              <w:t>852.</w:t>
            </w:r>
          </w:p>
        </w:tc>
      </w:tr>
      <w:tr w:rsidR="00764455" w:rsidRPr="004A2558" w14:paraId="253DDA11" w14:textId="77777777" w:rsidTr="001F545B">
        <w:tc>
          <w:tcPr>
            <w:tcW w:w="796" w:type="pct"/>
            <w:tcBorders>
              <w:bottom w:val="nil"/>
            </w:tcBorders>
            <w:vAlign w:val="center"/>
          </w:tcPr>
          <w:p w14:paraId="1A380676" w14:textId="059D633C" w:rsidR="00764455" w:rsidRDefault="00764455" w:rsidP="001F545B">
            <w:pPr>
              <w:pStyle w:val="TableText0"/>
            </w:pPr>
            <w:r>
              <w:t xml:space="preserve">Metyrapone </w:t>
            </w:r>
            <w:r w:rsidR="00104F39">
              <w:t>study</w:t>
            </w:r>
          </w:p>
        </w:tc>
        <w:tc>
          <w:tcPr>
            <w:tcW w:w="3027" w:type="pct"/>
            <w:tcBorders>
              <w:bottom w:val="nil"/>
            </w:tcBorders>
            <w:vAlign w:val="center"/>
          </w:tcPr>
          <w:p w14:paraId="725CA0D3" w14:textId="77777777" w:rsidR="00764455" w:rsidRPr="00092F3E" w:rsidRDefault="00764455" w:rsidP="001F545B">
            <w:pPr>
              <w:rPr>
                <w:rFonts w:ascii="Arial Narrow" w:hAnsi="Arial Narrow"/>
                <w:sz w:val="20"/>
                <w:szCs w:val="20"/>
              </w:rPr>
            </w:pPr>
          </w:p>
        </w:tc>
        <w:tc>
          <w:tcPr>
            <w:tcW w:w="1177" w:type="pct"/>
            <w:tcBorders>
              <w:bottom w:val="nil"/>
            </w:tcBorders>
            <w:vAlign w:val="center"/>
          </w:tcPr>
          <w:p w14:paraId="6692B530" w14:textId="77777777" w:rsidR="00764455" w:rsidRDefault="00764455" w:rsidP="001F545B">
            <w:pPr>
              <w:pStyle w:val="TableText0"/>
            </w:pPr>
          </w:p>
        </w:tc>
      </w:tr>
      <w:tr w:rsidR="00EA69E2" w:rsidRPr="004A2558" w14:paraId="369C53EE" w14:textId="77777777" w:rsidTr="001F545B">
        <w:tc>
          <w:tcPr>
            <w:tcW w:w="796" w:type="pct"/>
            <w:tcBorders>
              <w:bottom w:val="nil"/>
            </w:tcBorders>
            <w:vAlign w:val="center"/>
          </w:tcPr>
          <w:p w14:paraId="57EE25BC" w14:textId="77777777" w:rsidR="00EA69E2" w:rsidRDefault="00EA69E2" w:rsidP="001F545B">
            <w:pPr>
              <w:pStyle w:val="TableText0"/>
            </w:pPr>
            <w:r>
              <w:t>PROMPT</w:t>
            </w:r>
          </w:p>
          <w:p w14:paraId="662A9375" w14:textId="77777777" w:rsidR="00EA69E2" w:rsidRPr="00CB38A8" w:rsidRDefault="00EA69E2" w:rsidP="001F545B">
            <w:pPr>
              <w:pStyle w:val="TableText0"/>
            </w:pPr>
            <w:r>
              <w:t>NCT02297945</w:t>
            </w:r>
          </w:p>
        </w:tc>
        <w:tc>
          <w:tcPr>
            <w:tcW w:w="3027" w:type="pct"/>
            <w:tcBorders>
              <w:bottom w:val="nil"/>
            </w:tcBorders>
            <w:vAlign w:val="center"/>
          </w:tcPr>
          <w:p w14:paraId="0A67DA81" w14:textId="77777777" w:rsidR="00EA69E2" w:rsidRPr="00263C63" w:rsidRDefault="00EA69E2" w:rsidP="001F545B">
            <w:pPr>
              <w:rPr>
                <w:rFonts w:ascii="Arial Narrow" w:hAnsi="Arial Narrow"/>
                <w:sz w:val="20"/>
                <w:szCs w:val="20"/>
              </w:rPr>
            </w:pPr>
            <w:r w:rsidRPr="00092F3E">
              <w:rPr>
                <w:rFonts w:ascii="Arial Narrow" w:hAnsi="Arial Narrow"/>
                <w:sz w:val="20"/>
                <w:szCs w:val="20"/>
              </w:rPr>
              <w:t>Prospective, single arm, open-label, multicenter, international study to assess the effects of metyrapone in patients with endogenous Cushing’s syndrome during a 12-week treatment period followed by an extension period of 24 weeks.</w:t>
            </w:r>
          </w:p>
        </w:tc>
        <w:tc>
          <w:tcPr>
            <w:tcW w:w="1177" w:type="pct"/>
            <w:tcBorders>
              <w:bottom w:val="nil"/>
            </w:tcBorders>
            <w:vAlign w:val="center"/>
          </w:tcPr>
          <w:p w14:paraId="4D364906" w14:textId="77777777" w:rsidR="00EA69E2" w:rsidRPr="004A2558" w:rsidRDefault="00EA69E2" w:rsidP="001F545B">
            <w:pPr>
              <w:pStyle w:val="TableText0"/>
            </w:pPr>
            <w:r>
              <w:t>August 2021</w:t>
            </w:r>
          </w:p>
        </w:tc>
      </w:tr>
      <w:tr w:rsidR="00EA69E2" w:rsidRPr="004A2558" w14:paraId="57D51535" w14:textId="77777777" w:rsidTr="001F545B">
        <w:tc>
          <w:tcPr>
            <w:tcW w:w="796" w:type="pct"/>
            <w:tcBorders>
              <w:top w:val="nil"/>
              <w:bottom w:val="nil"/>
            </w:tcBorders>
            <w:vAlign w:val="center"/>
          </w:tcPr>
          <w:p w14:paraId="264CA8C1" w14:textId="77777777" w:rsidR="00EA69E2" w:rsidRDefault="00EA69E2" w:rsidP="001F545B">
            <w:pPr>
              <w:pStyle w:val="TableText0"/>
            </w:pPr>
          </w:p>
        </w:tc>
        <w:tc>
          <w:tcPr>
            <w:tcW w:w="3027" w:type="pct"/>
            <w:tcBorders>
              <w:top w:val="nil"/>
              <w:bottom w:val="nil"/>
            </w:tcBorders>
            <w:vAlign w:val="center"/>
          </w:tcPr>
          <w:p w14:paraId="65F2BF0A" w14:textId="77777777" w:rsidR="00EA69E2" w:rsidRPr="00E34A35" w:rsidRDefault="00EA69E2" w:rsidP="001F545B">
            <w:pPr>
              <w:pStyle w:val="TableText0"/>
              <w:rPr>
                <w:szCs w:val="18"/>
              </w:rPr>
            </w:pPr>
            <w:r w:rsidRPr="000D6A53">
              <w:rPr>
                <w:rFonts w:cs="Arial"/>
                <w:szCs w:val="20"/>
              </w:rPr>
              <w:t>Conference abstract: Nieman LK, Boscaro M, Scaroni CM, Deutschbein T et al. Metyrapone treatment in endogenous Cushing’s syndrome: Results at week 12 From PROMPT, a prospective international multicenter, open</w:t>
            </w:r>
            <w:r w:rsidRPr="000D6A53">
              <w:rPr>
                <w:rFonts w:cs="Arial"/>
                <w:szCs w:val="20"/>
              </w:rPr>
              <w:noBreakHyphen/>
              <w:t>label, phase III/IV study.</w:t>
            </w:r>
          </w:p>
        </w:tc>
        <w:tc>
          <w:tcPr>
            <w:tcW w:w="1177" w:type="pct"/>
            <w:tcBorders>
              <w:top w:val="nil"/>
              <w:bottom w:val="nil"/>
            </w:tcBorders>
            <w:vAlign w:val="center"/>
          </w:tcPr>
          <w:p w14:paraId="2C97D50D" w14:textId="77777777" w:rsidR="00EA69E2" w:rsidRPr="004A2558" w:rsidRDefault="00EA69E2" w:rsidP="001F545B">
            <w:pPr>
              <w:pStyle w:val="TableText0"/>
            </w:pPr>
            <w:r w:rsidRPr="00721D5A">
              <w:rPr>
                <w:rFonts w:cs="Arial"/>
                <w:iCs/>
                <w:szCs w:val="20"/>
              </w:rPr>
              <w:t>J Endocr Soc</w:t>
            </w:r>
            <w:r w:rsidRPr="000D6A53">
              <w:rPr>
                <w:rFonts w:cs="Arial"/>
                <w:szCs w:val="20"/>
              </w:rPr>
              <w:t xml:space="preserve"> 2021; 5:A515</w:t>
            </w:r>
            <w:r w:rsidRPr="000D6A53">
              <w:rPr>
                <w:rFonts w:cs="Arial"/>
                <w:szCs w:val="20"/>
              </w:rPr>
              <w:noBreakHyphen/>
              <w:t>A515</w:t>
            </w:r>
            <w:r>
              <w:rPr>
                <w:rFonts w:cs="Arial"/>
                <w:szCs w:val="20"/>
              </w:rPr>
              <w:t>.</w:t>
            </w:r>
          </w:p>
        </w:tc>
      </w:tr>
      <w:tr w:rsidR="00EA69E2" w:rsidRPr="004A2558" w14:paraId="2A82066A" w14:textId="77777777" w:rsidTr="001F545B">
        <w:tc>
          <w:tcPr>
            <w:tcW w:w="796" w:type="pct"/>
            <w:tcBorders>
              <w:top w:val="nil"/>
              <w:bottom w:val="nil"/>
            </w:tcBorders>
            <w:vAlign w:val="center"/>
          </w:tcPr>
          <w:p w14:paraId="249B8904" w14:textId="77777777" w:rsidR="00EA69E2" w:rsidRDefault="00EA69E2" w:rsidP="001F545B">
            <w:pPr>
              <w:pStyle w:val="TableText0"/>
            </w:pPr>
          </w:p>
        </w:tc>
        <w:tc>
          <w:tcPr>
            <w:tcW w:w="3027" w:type="pct"/>
            <w:tcBorders>
              <w:top w:val="nil"/>
              <w:bottom w:val="nil"/>
            </w:tcBorders>
            <w:vAlign w:val="center"/>
          </w:tcPr>
          <w:p w14:paraId="7DE43478" w14:textId="77777777" w:rsidR="00EA69E2" w:rsidRPr="000D6A53" w:rsidRDefault="00EA69E2" w:rsidP="001F545B">
            <w:pPr>
              <w:pStyle w:val="TableText0"/>
              <w:rPr>
                <w:rFonts w:cs="Arial"/>
                <w:szCs w:val="20"/>
              </w:rPr>
            </w:pPr>
            <w:r w:rsidRPr="000D6A53">
              <w:rPr>
                <w:rFonts w:cs="Arial"/>
                <w:szCs w:val="20"/>
              </w:rPr>
              <w:t>Nieman L, Boscaro M, Carla S, Deutschbein T et al. Metyrapone treatment in endogenous Cushing’s syndrome. Long term efficacy and safety results of the extension of the phase III/IV study PROMPT. Presented at Society for Endocrinology ECE2021.</w:t>
            </w:r>
          </w:p>
        </w:tc>
        <w:tc>
          <w:tcPr>
            <w:tcW w:w="1177" w:type="pct"/>
            <w:tcBorders>
              <w:top w:val="nil"/>
              <w:bottom w:val="nil"/>
            </w:tcBorders>
            <w:vAlign w:val="center"/>
          </w:tcPr>
          <w:p w14:paraId="36BDCD84" w14:textId="77777777" w:rsidR="00EA69E2" w:rsidRPr="004A2558" w:rsidRDefault="00EA69E2" w:rsidP="001F545B">
            <w:pPr>
              <w:pStyle w:val="TableText0"/>
            </w:pPr>
            <w:r w:rsidRPr="00721D5A">
              <w:rPr>
                <w:rFonts w:cs="Arial"/>
                <w:iCs/>
                <w:szCs w:val="20"/>
              </w:rPr>
              <w:t>Endocrine Abstracts</w:t>
            </w:r>
            <w:r w:rsidRPr="000D6A53">
              <w:rPr>
                <w:rFonts w:cs="Arial"/>
                <w:szCs w:val="20"/>
              </w:rPr>
              <w:t xml:space="preserve"> 2021; 73</w:t>
            </w:r>
            <w:r>
              <w:rPr>
                <w:rFonts w:cs="Arial"/>
                <w:szCs w:val="20"/>
              </w:rPr>
              <w:t xml:space="preserve"> OC3.3</w:t>
            </w:r>
            <w:r w:rsidRPr="000D6A53">
              <w:rPr>
                <w:rFonts w:cs="Arial"/>
                <w:szCs w:val="20"/>
              </w:rPr>
              <w:t>.</w:t>
            </w:r>
          </w:p>
        </w:tc>
      </w:tr>
      <w:tr w:rsidR="00EA69E2" w:rsidRPr="004A2558" w14:paraId="694F070F" w14:textId="77777777" w:rsidTr="001F545B">
        <w:tc>
          <w:tcPr>
            <w:tcW w:w="796" w:type="pct"/>
            <w:tcBorders>
              <w:top w:val="nil"/>
              <w:bottom w:val="single" w:sz="4" w:space="0" w:color="auto"/>
            </w:tcBorders>
            <w:vAlign w:val="center"/>
          </w:tcPr>
          <w:p w14:paraId="593CD298" w14:textId="77777777" w:rsidR="00EA69E2" w:rsidRDefault="00EA69E2" w:rsidP="001F545B">
            <w:pPr>
              <w:pStyle w:val="TableText0"/>
            </w:pPr>
          </w:p>
        </w:tc>
        <w:tc>
          <w:tcPr>
            <w:tcW w:w="3027" w:type="pct"/>
            <w:tcBorders>
              <w:top w:val="nil"/>
              <w:bottom w:val="single" w:sz="4" w:space="0" w:color="auto"/>
            </w:tcBorders>
            <w:vAlign w:val="center"/>
          </w:tcPr>
          <w:p w14:paraId="0D67F301" w14:textId="77777777" w:rsidR="00EA69E2" w:rsidRPr="000D6A53" w:rsidRDefault="00EA69E2" w:rsidP="001F545B">
            <w:pPr>
              <w:pStyle w:val="TableText0"/>
              <w:rPr>
                <w:rFonts w:cs="Arial"/>
                <w:szCs w:val="20"/>
              </w:rPr>
            </w:pPr>
            <w:r w:rsidRPr="00D32E84">
              <w:rPr>
                <w:rFonts w:cs="Arial"/>
                <w:szCs w:val="20"/>
              </w:rPr>
              <w:t>Poster presentation: Nieman LK, Akinci B, Beckers A, Bolanowski M et al. PROMPT: a prospective study to assess efficacy and safety of metyrapone in endogenous Cushing's syndrome</w:t>
            </w:r>
            <w:r>
              <w:rPr>
                <w:rFonts w:cs="Arial"/>
                <w:szCs w:val="20"/>
              </w:rPr>
              <w:t>.</w:t>
            </w:r>
          </w:p>
        </w:tc>
        <w:tc>
          <w:tcPr>
            <w:tcW w:w="1177" w:type="pct"/>
            <w:tcBorders>
              <w:top w:val="nil"/>
              <w:bottom w:val="single" w:sz="4" w:space="0" w:color="auto"/>
            </w:tcBorders>
            <w:vAlign w:val="center"/>
          </w:tcPr>
          <w:p w14:paraId="67E22269" w14:textId="77777777" w:rsidR="00EA69E2" w:rsidRPr="004A2558" w:rsidRDefault="00EA69E2" w:rsidP="001F545B">
            <w:pPr>
              <w:pStyle w:val="TableText0"/>
            </w:pPr>
            <w:r w:rsidRPr="00D32E84">
              <w:rPr>
                <w:rFonts w:cs="Arial"/>
                <w:szCs w:val="20"/>
              </w:rPr>
              <w:t>20</w:t>
            </w:r>
            <w:r w:rsidRPr="00D32E84">
              <w:rPr>
                <w:rFonts w:cs="Arial"/>
                <w:szCs w:val="20"/>
                <w:vertAlign w:val="superscript"/>
              </w:rPr>
              <w:t>th</w:t>
            </w:r>
            <w:r w:rsidRPr="00D32E84">
              <w:rPr>
                <w:rFonts w:cs="Arial"/>
                <w:szCs w:val="20"/>
              </w:rPr>
              <w:t xml:space="preserve"> European Congress of Endocrinology, Barcelona Spain 2018; poster P859.</w:t>
            </w:r>
          </w:p>
        </w:tc>
      </w:tr>
      <w:tr w:rsidR="00764455" w:rsidRPr="00F03C7A" w14:paraId="2494BD8B" w14:textId="77777777" w:rsidTr="00764455">
        <w:tc>
          <w:tcPr>
            <w:tcW w:w="3823" w:type="pct"/>
            <w:gridSpan w:val="2"/>
            <w:tcBorders>
              <w:bottom w:val="nil"/>
            </w:tcBorders>
            <w:vAlign w:val="center"/>
          </w:tcPr>
          <w:p w14:paraId="5BA12CCA" w14:textId="64E9840C" w:rsidR="00764455" w:rsidRPr="00AF4A78" w:rsidRDefault="00061458" w:rsidP="001F545B">
            <w:pPr>
              <w:pStyle w:val="TableText0"/>
              <w:rPr>
                <w:rFonts w:cs="Arial"/>
                <w:szCs w:val="20"/>
              </w:rPr>
            </w:pPr>
            <w:r>
              <w:t>Ketoconazole</w:t>
            </w:r>
            <w:r w:rsidR="00764455">
              <w:t xml:space="preserve"> studies</w:t>
            </w:r>
          </w:p>
        </w:tc>
        <w:tc>
          <w:tcPr>
            <w:tcW w:w="1177" w:type="pct"/>
            <w:tcBorders>
              <w:bottom w:val="nil"/>
            </w:tcBorders>
            <w:vAlign w:val="center"/>
          </w:tcPr>
          <w:p w14:paraId="5140233D" w14:textId="77777777" w:rsidR="00764455" w:rsidRPr="00721D5A" w:rsidRDefault="00764455" w:rsidP="001F545B">
            <w:pPr>
              <w:pStyle w:val="TableText0"/>
              <w:rPr>
                <w:iCs/>
                <w:noProof/>
                <w:szCs w:val="20"/>
              </w:rPr>
            </w:pPr>
          </w:p>
        </w:tc>
      </w:tr>
      <w:tr w:rsidR="00EA69E2" w:rsidRPr="00F03C7A" w14:paraId="7357BD14" w14:textId="77777777" w:rsidTr="001F545B">
        <w:tc>
          <w:tcPr>
            <w:tcW w:w="796" w:type="pct"/>
            <w:tcBorders>
              <w:bottom w:val="nil"/>
            </w:tcBorders>
            <w:vAlign w:val="center"/>
          </w:tcPr>
          <w:p w14:paraId="17CEC064" w14:textId="38AE6735" w:rsidR="00EA69E2" w:rsidRDefault="00EA69E2" w:rsidP="001F545B">
            <w:pPr>
              <w:pStyle w:val="TableText0"/>
            </w:pPr>
            <w:r>
              <w:t>Castinetti 2008</w:t>
            </w:r>
          </w:p>
        </w:tc>
        <w:tc>
          <w:tcPr>
            <w:tcW w:w="3027" w:type="pct"/>
            <w:tcBorders>
              <w:bottom w:val="nil"/>
            </w:tcBorders>
            <w:vAlign w:val="center"/>
          </w:tcPr>
          <w:p w14:paraId="71B76C0E" w14:textId="77777777" w:rsidR="00EA69E2" w:rsidRPr="00D32E84" w:rsidRDefault="00EA69E2" w:rsidP="001F545B">
            <w:pPr>
              <w:pStyle w:val="TableText0"/>
              <w:rPr>
                <w:rFonts w:cs="Arial"/>
                <w:szCs w:val="20"/>
              </w:rPr>
            </w:pPr>
            <w:r w:rsidRPr="00AF4A78">
              <w:rPr>
                <w:rFonts w:cs="Arial"/>
                <w:szCs w:val="20"/>
              </w:rPr>
              <w:t>Castinetti F, Morange I, Jaquet P, Conte-Devolx B, Brue T. Ketoconazole revisited: A preoperative or postoperative treatment in Cushing's disease.</w:t>
            </w:r>
          </w:p>
        </w:tc>
        <w:tc>
          <w:tcPr>
            <w:tcW w:w="1177" w:type="pct"/>
            <w:tcBorders>
              <w:bottom w:val="nil"/>
            </w:tcBorders>
            <w:vAlign w:val="center"/>
          </w:tcPr>
          <w:p w14:paraId="24B949FA" w14:textId="77777777" w:rsidR="00EA69E2" w:rsidRPr="00F03C7A" w:rsidRDefault="00EA69E2" w:rsidP="001F545B">
            <w:pPr>
              <w:pStyle w:val="TableText0"/>
              <w:rPr>
                <w:rFonts w:cs="Arial"/>
                <w:szCs w:val="20"/>
              </w:rPr>
            </w:pPr>
            <w:r w:rsidRPr="00721D5A">
              <w:rPr>
                <w:iCs/>
                <w:noProof/>
                <w:szCs w:val="20"/>
              </w:rPr>
              <w:t>Eur J Endocrinol</w:t>
            </w:r>
            <w:r>
              <w:rPr>
                <w:noProof/>
                <w:szCs w:val="20"/>
              </w:rPr>
              <w:t xml:space="preserve"> 2008; </w:t>
            </w:r>
            <w:r w:rsidRPr="00AF4A78">
              <w:rPr>
                <w:rFonts w:cs="Arial"/>
                <w:szCs w:val="20"/>
              </w:rPr>
              <w:t>158</w:t>
            </w:r>
            <w:r>
              <w:rPr>
                <w:rFonts w:cs="Arial"/>
                <w:szCs w:val="20"/>
              </w:rPr>
              <w:t>:</w:t>
            </w:r>
            <w:r w:rsidRPr="00AF4A78">
              <w:rPr>
                <w:rFonts w:cs="Arial"/>
                <w:szCs w:val="20"/>
              </w:rPr>
              <w:t xml:space="preserve"> 91-99.</w:t>
            </w:r>
          </w:p>
        </w:tc>
      </w:tr>
      <w:tr w:rsidR="00EA69E2" w:rsidRPr="00F03C7A" w14:paraId="62199F6B" w14:textId="77777777" w:rsidTr="001F545B">
        <w:tc>
          <w:tcPr>
            <w:tcW w:w="796" w:type="pct"/>
            <w:tcBorders>
              <w:top w:val="nil"/>
            </w:tcBorders>
            <w:vAlign w:val="center"/>
          </w:tcPr>
          <w:p w14:paraId="07FDB07D" w14:textId="77777777" w:rsidR="00EA69E2" w:rsidRDefault="00EA69E2" w:rsidP="001F545B">
            <w:pPr>
              <w:pStyle w:val="TableText0"/>
            </w:pPr>
            <w:r>
              <w:t>Castinetti 2014</w:t>
            </w:r>
          </w:p>
        </w:tc>
        <w:tc>
          <w:tcPr>
            <w:tcW w:w="3027" w:type="pct"/>
            <w:tcBorders>
              <w:top w:val="nil"/>
            </w:tcBorders>
            <w:vAlign w:val="center"/>
          </w:tcPr>
          <w:p w14:paraId="2A686794" w14:textId="77777777" w:rsidR="00EA69E2" w:rsidRPr="00D32E84" w:rsidRDefault="00EA69E2" w:rsidP="001F545B">
            <w:pPr>
              <w:pStyle w:val="TableText0"/>
              <w:rPr>
                <w:rFonts w:cs="Arial"/>
                <w:szCs w:val="20"/>
              </w:rPr>
            </w:pPr>
            <w:r w:rsidRPr="00AF4A78">
              <w:rPr>
                <w:rFonts w:cs="Arial"/>
                <w:szCs w:val="20"/>
              </w:rPr>
              <w:t>Castinetti F, Guignat L, Giraud P, Muller M et al. Ketoconazole in Cushing's disease: Is it worth a try?</w:t>
            </w:r>
          </w:p>
        </w:tc>
        <w:tc>
          <w:tcPr>
            <w:tcW w:w="1177" w:type="pct"/>
            <w:tcBorders>
              <w:top w:val="nil"/>
            </w:tcBorders>
            <w:vAlign w:val="center"/>
          </w:tcPr>
          <w:p w14:paraId="025A6D24" w14:textId="77777777" w:rsidR="00EA69E2" w:rsidRPr="00F03C7A" w:rsidRDefault="00EA69E2" w:rsidP="001F545B">
            <w:pPr>
              <w:pStyle w:val="TableText0"/>
              <w:rPr>
                <w:rFonts w:cs="Arial"/>
                <w:szCs w:val="20"/>
              </w:rPr>
            </w:pPr>
            <w:r w:rsidRPr="00721D5A">
              <w:rPr>
                <w:rFonts w:cs="Arial"/>
                <w:iCs/>
                <w:szCs w:val="20"/>
              </w:rPr>
              <w:t>J Clin Endocrinol Metab</w:t>
            </w:r>
            <w:r>
              <w:rPr>
                <w:rFonts w:cs="Arial"/>
                <w:szCs w:val="20"/>
              </w:rPr>
              <w:t xml:space="preserve"> 2014;</w:t>
            </w:r>
            <w:r w:rsidRPr="00AF4A78">
              <w:rPr>
                <w:rFonts w:cs="Arial"/>
                <w:szCs w:val="20"/>
              </w:rPr>
              <w:t xml:space="preserve"> 99</w:t>
            </w:r>
            <w:r>
              <w:rPr>
                <w:rFonts w:cs="Arial"/>
                <w:szCs w:val="20"/>
              </w:rPr>
              <w:t>:</w:t>
            </w:r>
            <w:r w:rsidRPr="00AF4A78">
              <w:rPr>
                <w:rFonts w:cs="Arial"/>
                <w:szCs w:val="20"/>
              </w:rPr>
              <w:t>1623-1630</w:t>
            </w:r>
            <w:r>
              <w:rPr>
                <w:rFonts w:cs="Arial"/>
                <w:szCs w:val="20"/>
              </w:rPr>
              <w:t>.</w:t>
            </w:r>
          </w:p>
        </w:tc>
      </w:tr>
    </w:tbl>
    <w:p w14:paraId="52A9DA38" w14:textId="5478C8D4" w:rsidR="00EA69E2" w:rsidRDefault="00EA69E2" w:rsidP="00EC5836">
      <w:pPr>
        <w:pStyle w:val="FooterTableFigure"/>
      </w:pPr>
      <w:r>
        <w:t xml:space="preserve">Source: </w:t>
      </w:r>
      <w:r w:rsidRPr="00AB08F8">
        <w:t>Table 2.2-7, p82-84; Table 2.8-9, p212-213 of the submission</w:t>
      </w:r>
    </w:p>
    <w:p w14:paraId="1DD06D7D" w14:textId="7A3C4A7F" w:rsidR="007F1017" w:rsidRPr="00EC5836" w:rsidRDefault="008F120A" w:rsidP="00EC5836">
      <w:pPr>
        <w:pStyle w:val="3-BodyText"/>
        <w:rPr>
          <w:color w:val="0066FF"/>
        </w:rPr>
      </w:pPr>
      <w:r w:rsidRPr="00B50DB8">
        <w:lastRenderedPageBreak/>
        <w:t>The key features of the trials</w:t>
      </w:r>
      <w:r w:rsidR="00EA69E2">
        <w:t xml:space="preserve"> and </w:t>
      </w:r>
      <w:r w:rsidR="007170DA">
        <w:t>studies</w:t>
      </w:r>
      <w:r w:rsidR="00EA69E2">
        <w:t xml:space="preserve"> presented by the submission </w:t>
      </w:r>
      <w:r w:rsidRPr="00B50DB8">
        <w:t>are summarised in</w:t>
      </w:r>
      <w:r w:rsidR="00D6076E">
        <w:t xml:space="preserve"> </w:t>
      </w:r>
      <w:r w:rsidR="00D6076E">
        <w:fldChar w:fldCharType="begin"/>
      </w:r>
      <w:r w:rsidR="00D6076E">
        <w:instrText xml:space="preserve"> REF _Ref104804098 \h  \* MERGEFORMAT </w:instrText>
      </w:r>
      <w:r w:rsidR="00D6076E">
        <w:fldChar w:fldCharType="separate"/>
      </w:r>
      <w:r w:rsidR="00A9220E" w:rsidRPr="00A9220E">
        <w:t>Table 3</w:t>
      </w:r>
      <w:r w:rsidR="00D6076E">
        <w:fldChar w:fldCharType="end"/>
      </w:r>
      <w:r w:rsidRPr="00B50DB8">
        <w:t>.</w:t>
      </w:r>
      <w:r w:rsidR="004B485D">
        <w:t xml:space="preserve"> </w:t>
      </w:r>
      <w:r w:rsidR="00FB104F">
        <w:t xml:space="preserve">The same osilodrostat trials (LINC 3, LINC 4, C1201) were used across the three comparisons (placebo, metyrapone, ketoconazole), with one metyrapone </w:t>
      </w:r>
      <w:r w:rsidR="00104F39">
        <w:t xml:space="preserve">study </w:t>
      </w:r>
      <w:r w:rsidR="00FB104F">
        <w:t xml:space="preserve">(PROMPT) and two ketoconazole </w:t>
      </w:r>
      <w:r w:rsidR="00104F39">
        <w:t xml:space="preserve">studies </w:t>
      </w:r>
      <w:r w:rsidR="00FB104F">
        <w:t>used (Castinetti 2008; Castinetti 2014), although Castinetti 2014 was not included in the indirect comparison.</w:t>
      </w:r>
    </w:p>
    <w:p w14:paraId="355E2F15" w14:textId="300CFE93" w:rsidR="007F1017" w:rsidRPr="00D6076E" w:rsidRDefault="00696EF9" w:rsidP="00D6076E">
      <w:pPr>
        <w:pStyle w:val="Caption"/>
        <w:rPr>
          <w:rStyle w:val="CommentReference"/>
          <w:rFonts w:eastAsiaTheme="majorEastAsia" w:cstheme="majorBidi"/>
          <w:b/>
          <w:szCs w:val="24"/>
        </w:rPr>
      </w:pPr>
      <w:bookmarkStart w:id="16"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9220E">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16"/>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8"/>
        <w:gridCol w:w="968"/>
        <w:gridCol w:w="1309"/>
        <w:gridCol w:w="653"/>
        <w:gridCol w:w="2433"/>
        <w:gridCol w:w="1383"/>
        <w:gridCol w:w="1513"/>
      </w:tblGrid>
      <w:tr w:rsidR="00FB104F" w:rsidRPr="00B41614" w14:paraId="1735DAA7" w14:textId="77777777" w:rsidTr="00D119A2">
        <w:trPr>
          <w:cantSplit/>
          <w:tblHeader/>
        </w:trPr>
        <w:tc>
          <w:tcPr>
            <w:tcW w:w="420" w:type="pct"/>
            <w:shd w:val="clear" w:color="auto" w:fill="auto"/>
            <w:vAlign w:val="center"/>
          </w:tcPr>
          <w:p w14:paraId="76869AD1" w14:textId="77777777" w:rsidR="00FB104F" w:rsidRPr="00B41614" w:rsidRDefault="00FB104F" w:rsidP="001F545B">
            <w:pPr>
              <w:pStyle w:val="In-tableHeading"/>
              <w:keepNext w:val="0"/>
              <w:widowControl w:val="0"/>
            </w:pPr>
            <w:r w:rsidRPr="00B41614">
              <w:t>Trial</w:t>
            </w:r>
          </w:p>
        </w:tc>
        <w:tc>
          <w:tcPr>
            <w:tcW w:w="537" w:type="pct"/>
            <w:shd w:val="clear" w:color="auto" w:fill="auto"/>
            <w:vAlign w:val="center"/>
          </w:tcPr>
          <w:p w14:paraId="24EE3CF0" w14:textId="77777777" w:rsidR="00FB104F" w:rsidRPr="00B41614" w:rsidRDefault="00FB104F" w:rsidP="001F545B">
            <w:pPr>
              <w:pStyle w:val="In-tableHeading"/>
              <w:keepNext w:val="0"/>
              <w:widowControl w:val="0"/>
              <w:jc w:val="center"/>
            </w:pPr>
            <w:r w:rsidRPr="00B41614">
              <w:t>N</w:t>
            </w:r>
          </w:p>
        </w:tc>
        <w:tc>
          <w:tcPr>
            <w:tcW w:w="726" w:type="pct"/>
            <w:shd w:val="clear" w:color="auto" w:fill="auto"/>
            <w:vAlign w:val="center"/>
          </w:tcPr>
          <w:p w14:paraId="62A48426" w14:textId="77777777" w:rsidR="00FB104F" w:rsidRDefault="00FB104F" w:rsidP="001F545B">
            <w:pPr>
              <w:pStyle w:val="In-tableHeading"/>
              <w:keepNext w:val="0"/>
              <w:widowControl w:val="0"/>
              <w:jc w:val="center"/>
            </w:pPr>
            <w:r w:rsidRPr="00B41614">
              <w:t xml:space="preserve">Design/ </w:t>
            </w:r>
          </w:p>
          <w:p w14:paraId="5C6E9226" w14:textId="77777777" w:rsidR="00FB104F" w:rsidRPr="00B41614" w:rsidRDefault="00FB104F" w:rsidP="001F545B">
            <w:pPr>
              <w:pStyle w:val="In-tableHeading"/>
              <w:keepNext w:val="0"/>
              <w:widowControl w:val="0"/>
              <w:jc w:val="center"/>
            </w:pPr>
            <w:r w:rsidRPr="00B41614">
              <w:t>duration</w:t>
            </w:r>
          </w:p>
        </w:tc>
        <w:tc>
          <w:tcPr>
            <w:tcW w:w="362" w:type="pct"/>
            <w:shd w:val="clear" w:color="auto" w:fill="auto"/>
            <w:vAlign w:val="center"/>
          </w:tcPr>
          <w:p w14:paraId="18E9AEAC" w14:textId="77777777" w:rsidR="00FB104F" w:rsidRPr="00B41614" w:rsidRDefault="00FB104F" w:rsidP="001F545B">
            <w:pPr>
              <w:pStyle w:val="In-tableHeading"/>
              <w:keepNext w:val="0"/>
              <w:widowControl w:val="0"/>
              <w:jc w:val="center"/>
            </w:pPr>
            <w:r w:rsidRPr="00B41614">
              <w:t>Risk of bias</w:t>
            </w:r>
          </w:p>
        </w:tc>
        <w:tc>
          <w:tcPr>
            <w:tcW w:w="1349" w:type="pct"/>
            <w:shd w:val="clear" w:color="auto" w:fill="auto"/>
            <w:vAlign w:val="center"/>
          </w:tcPr>
          <w:p w14:paraId="57DEC16B" w14:textId="77777777" w:rsidR="00FB104F" w:rsidRPr="00B41614" w:rsidRDefault="00FB104F" w:rsidP="001F545B">
            <w:pPr>
              <w:pStyle w:val="In-tableHeading"/>
              <w:keepNext w:val="0"/>
              <w:widowControl w:val="0"/>
              <w:jc w:val="center"/>
            </w:pPr>
            <w:r w:rsidRPr="00B41614">
              <w:t>Patient population</w:t>
            </w:r>
          </w:p>
        </w:tc>
        <w:tc>
          <w:tcPr>
            <w:tcW w:w="767" w:type="pct"/>
            <w:shd w:val="clear" w:color="auto" w:fill="auto"/>
            <w:vAlign w:val="center"/>
          </w:tcPr>
          <w:p w14:paraId="17AF03E9" w14:textId="77777777" w:rsidR="00FB104F" w:rsidRPr="00B41614" w:rsidRDefault="00FB104F" w:rsidP="001F545B">
            <w:pPr>
              <w:pStyle w:val="In-tableHeading"/>
              <w:keepNext w:val="0"/>
              <w:widowControl w:val="0"/>
              <w:jc w:val="center"/>
            </w:pPr>
            <w:r w:rsidRPr="00B41614">
              <w:t>Outcome(s)</w:t>
            </w:r>
          </w:p>
        </w:tc>
        <w:tc>
          <w:tcPr>
            <w:tcW w:w="838" w:type="pct"/>
            <w:shd w:val="clear" w:color="auto" w:fill="auto"/>
            <w:vAlign w:val="center"/>
          </w:tcPr>
          <w:p w14:paraId="3035B38C" w14:textId="77777777" w:rsidR="00FB104F" w:rsidRPr="00B41614" w:rsidRDefault="00FB104F" w:rsidP="001F545B">
            <w:pPr>
              <w:pStyle w:val="In-tableHeading"/>
              <w:keepNext w:val="0"/>
              <w:widowControl w:val="0"/>
              <w:jc w:val="center"/>
            </w:pPr>
            <w:r w:rsidRPr="00B41614">
              <w:t xml:space="preserve">Use in </w:t>
            </w:r>
            <w:r>
              <w:t>trial-based</w:t>
            </w:r>
            <w:r w:rsidRPr="00B41614">
              <w:t xml:space="preserve"> evaluation</w:t>
            </w:r>
          </w:p>
        </w:tc>
      </w:tr>
      <w:tr w:rsidR="00FB104F" w:rsidRPr="00430160" w14:paraId="340468F3" w14:textId="77777777" w:rsidTr="001F545B">
        <w:trPr>
          <w:cantSplit/>
        </w:trPr>
        <w:tc>
          <w:tcPr>
            <w:tcW w:w="5000" w:type="pct"/>
            <w:gridSpan w:val="7"/>
            <w:shd w:val="clear" w:color="auto" w:fill="auto"/>
            <w:vAlign w:val="center"/>
          </w:tcPr>
          <w:p w14:paraId="0811F583" w14:textId="77777777" w:rsidR="00FB104F" w:rsidRPr="00430160" w:rsidRDefault="00FB104F" w:rsidP="001F545B">
            <w:pPr>
              <w:pStyle w:val="TableText0"/>
              <w:keepNext w:val="0"/>
              <w:widowControl w:val="0"/>
              <w:rPr>
                <w:b/>
                <w:bCs w:val="0"/>
                <w:lang w:val="en-US"/>
              </w:rPr>
            </w:pPr>
            <w:r>
              <w:rPr>
                <w:b/>
                <w:bCs w:val="0"/>
                <w:lang w:val="en-US"/>
              </w:rPr>
              <w:t>Osilodrostat vs. placebo</w:t>
            </w:r>
          </w:p>
        </w:tc>
      </w:tr>
      <w:tr w:rsidR="00D119A2" w:rsidRPr="00E2771E" w14:paraId="0974D96F" w14:textId="77777777" w:rsidTr="00D119A2">
        <w:trPr>
          <w:cantSplit/>
        </w:trPr>
        <w:tc>
          <w:tcPr>
            <w:tcW w:w="5000" w:type="pct"/>
            <w:gridSpan w:val="7"/>
            <w:shd w:val="clear" w:color="auto" w:fill="auto"/>
            <w:vAlign w:val="center"/>
          </w:tcPr>
          <w:p w14:paraId="40940446" w14:textId="3D59A952" w:rsidR="00D119A2" w:rsidRDefault="00D119A2" w:rsidP="001F545B">
            <w:pPr>
              <w:pStyle w:val="TableText0"/>
              <w:keepNext w:val="0"/>
              <w:widowControl w:val="0"/>
              <w:rPr>
                <w:lang w:val="en-US"/>
              </w:rPr>
            </w:pPr>
            <w:r>
              <w:rPr>
                <w:lang w:val="en-US"/>
              </w:rPr>
              <w:t>LINC 3 and LINC 4 osilodrostat vs. placebo; C1201 included in pooled comparison in trial-based economic evaluation</w:t>
            </w:r>
          </w:p>
        </w:tc>
      </w:tr>
      <w:tr w:rsidR="00FB104F" w:rsidRPr="00E2771E" w14:paraId="7C2EBAC7" w14:textId="77777777" w:rsidTr="00D119A2">
        <w:trPr>
          <w:cantSplit/>
        </w:trPr>
        <w:tc>
          <w:tcPr>
            <w:tcW w:w="420" w:type="pct"/>
            <w:shd w:val="clear" w:color="auto" w:fill="auto"/>
            <w:vAlign w:val="center"/>
          </w:tcPr>
          <w:p w14:paraId="283AFB42"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LINC 3</w:t>
            </w:r>
          </w:p>
        </w:tc>
        <w:tc>
          <w:tcPr>
            <w:tcW w:w="537" w:type="pct"/>
            <w:shd w:val="clear" w:color="auto" w:fill="auto"/>
            <w:vAlign w:val="center"/>
          </w:tcPr>
          <w:p w14:paraId="19167D11" w14:textId="56308104"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137</w:t>
            </w:r>
            <w:r w:rsidR="00B33311">
              <w:rPr>
                <w:rFonts w:eastAsiaTheme="minorHAnsi" w:cstheme="minorBidi"/>
                <w:szCs w:val="22"/>
                <w:lang w:eastAsia="en-US"/>
              </w:rPr>
              <w:t xml:space="preserve"> (OL)</w:t>
            </w:r>
          </w:p>
          <w:p w14:paraId="79C5E9AA" w14:textId="4F347685" w:rsidR="00B33311" w:rsidRDefault="00B33311"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71 (RW)</w:t>
            </w:r>
          </w:p>
        </w:tc>
        <w:tc>
          <w:tcPr>
            <w:tcW w:w="726" w:type="pct"/>
            <w:shd w:val="clear" w:color="auto" w:fill="auto"/>
            <w:vAlign w:val="center"/>
          </w:tcPr>
          <w:p w14:paraId="38A22508" w14:textId="283B6735"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OL single arm 2</w:t>
            </w:r>
            <w:r w:rsidR="00595A52">
              <w:rPr>
                <w:rFonts w:ascii="Arial Narrow" w:eastAsiaTheme="minorHAnsi" w:hAnsi="Arial Narrow" w:cstheme="minorBidi"/>
                <w:sz w:val="20"/>
                <w:szCs w:val="22"/>
                <w:lang w:eastAsia="en-US"/>
              </w:rPr>
              <w:t>6</w:t>
            </w:r>
            <w:r>
              <w:rPr>
                <w:rFonts w:ascii="Arial Narrow" w:eastAsiaTheme="minorHAnsi" w:hAnsi="Arial Narrow" w:cstheme="minorBidi"/>
                <w:sz w:val="20"/>
                <w:szCs w:val="22"/>
                <w:lang w:eastAsia="en-US"/>
              </w:rPr>
              <w:t xml:space="preserve"> wks then R, DB to 34 wks then OL osi to 48 wks</w:t>
            </w:r>
          </w:p>
        </w:tc>
        <w:tc>
          <w:tcPr>
            <w:tcW w:w="362" w:type="pct"/>
            <w:shd w:val="clear" w:color="auto" w:fill="auto"/>
            <w:vAlign w:val="center"/>
          </w:tcPr>
          <w:p w14:paraId="3F736A90" w14:textId="77777777" w:rsidR="00FB104F" w:rsidRPr="006210ED" w:rsidRDefault="00FB104F" w:rsidP="001F545B">
            <w:pPr>
              <w:pStyle w:val="TableText0"/>
              <w:keepNext w:val="0"/>
              <w:widowControl w:val="0"/>
              <w:jc w:val="center"/>
              <w:rPr>
                <w:iCs/>
                <w:lang w:val="en-US"/>
              </w:rPr>
            </w:pPr>
            <w:r>
              <w:rPr>
                <w:iCs/>
                <w:lang w:val="en-US"/>
              </w:rPr>
              <w:t>High</w:t>
            </w:r>
          </w:p>
        </w:tc>
        <w:tc>
          <w:tcPr>
            <w:tcW w:w="1349" w:type="pct"/>
            <w:shd w:val="clear" w:color="auto" w:fill="auto"/>
            <w:vAlign w:val="center"/>
          </w:tcPr>
          <w:p w14:paraId="49CBFB2A"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Adults with CD with persistent or recurrent hypercortisolism after surgery and/or radiation or patients who were not candidates for surgery</w:t>
            </w:r>
          </w:p>
          <w:p w14:paraId="316F66D5"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mUFC &gt; 1.5 × ULN</w:t>
            </w:r>
          </w:p>
        </w:tc>
        <w:tc>
          <w:tcPr>
            <w:tcW w:w="767" w:type="pct"/>
            <w:vMerge w:val="restart"/>
            <w:shd w:val="clear" w:color="auto" w:fill="auto"/>
            <w:vAlign w:val="center"/>
          </w:tcPr>
          <w:p w14:paraId="19C8B46D" w14:textId="2A499191" w:rsidR="00FB104F" w:rsidRPr="00E2771E" w:rsidRDefault="00FB104F" w:rsidP="001F545B">
            <w:pPr>
              <w:pStyle w:val="TableText0"/>
              <w:keepNext w:val="0"/>
              <w:widowControl w:val="0"/>
              <w:rPr>
                <w:lang w:val="en-US"/>
              </w:rPr>
            </w:pPr>
            <w:r>
              <w:rPr>
                <w:lang w:val="en-US"/>
              </w:rPr>
              <w:t>Complete, partial, overall response</w:t>
            </w:r>
            <w:r w:rsidR="00A701FB" w:rsidRPr="00A701FB">
              <w:rPr>
                <w:vertAlign w:val="superscript"/>
                <w:lang w:val="en-US"/>
              </w:rPr>
              <w:t>a</w:t>
            </w:r>
            <w:r>
              <w:rPr>
                <w:lang w:val="en-US"/>
              </w:rPr>
              <w:t>; time to escape;</w:t>
            </w:r>
            <w:r w:rsidR="004B485D">
              <w:rPr>
                <w:lang w:val="en-US"/>
              </w:rPr>
              <w:t xml:space="preserve"> </w:t>
            </w:r>
            <w:r>
              <w:rPr>
                <w:lang w:val="en-US"/>
              </w:rPr>
              <w:t xml:space="preserve">QoL; safety </w:t>
            </w:r>
          </w:p>
        </w:tc>
        <w:tc>
          <w:tcPr>
            <w:tcW w:w="838" w:type="pct"/>
            <w:shd w:val="clear" w:color="auto" w:fill="auto"/>
            <w:vAlign w:val="center"/>
          </w:tcPr>
          <w:p w14:paraId="43BE722B" w14:textId="77777777" w:rsidR="00FB104F" w:rsidRPr="00E2771E" w:rsidRDefault="00FB104F" w:rsidP="001F545B">
            <w:pPr>
              <w:pStyle w:val="TableText0"/>
              <w:keepNext w:val="0"/>
              <w:widowControl w:val="0"/>
              <w:rPr>
                <w:lang w:val="en-US"/>
              </w:rPr>
            </w:pPr>
            <w:r>
              <w:rPr>
                <w:lang w:val="en-US"/>
              </w:rPr>
              <w:t>Sensitivity analysis only (complete responders)</w:t>
            </w:r>
          </w:p>
        </w:tc>
      </w:tr>
      <w:tr w:rsidR="00FB104F" w:rsidRPr="00E2771E" w14:paraId="744261F8" w14:textId="77777777" w:rsidTr="00D119A2">
        <w:trPr>
          <w:cantSplit/>
        </w:trPr>
        <w:tc>
          <w:tcPr>
            <w:tcW w:w="420" w:type="pct"/>
            <w:shd w:val="clear" w:color="auto" w:fill="auto"/>
            <w:vAlign w:val="center"/>
          </w:tcPr>
          <w:p w14:paraId="27C0585C"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LINC 4</w:t>
            </w:r>
          </w:p>
        </w:tc>
        <w:tc>
          <w:tcPr>
            <w:tcW w:w="537" w:type="pct"/>
            <w:shd w:val="clear" w:color="auto" w:fill="auto"/>
            <w:vAlign w:val="center"/>
          </w:tcPr>
          <w:p w14:paraId="190A82D6" w14:textId="77777777"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73</w:t>
            </w:r>
          </w:p>
        </w:tc>
        <w:tc>
          <w:tcPr>
            <w:tcW w:w="726" w:type="pct"/>
            <w:shd w:val="clear" w:color="auto" w:fill="auto"/>
            <w:vAlign w:val="center"/>
          </w:tcPr>
          <w:p w14:paraId="434A152C" w14:textId="77777777"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R, DB 12 wks then OL osi wk 12 to 48</w:t>
            </w:r>
          </w:p>
        </w:tc>
        <w:tc>
          <w:tcPr>
            <w:tcW w:w="362" w:type="pct"/>
            <w:shd w:val="clear" w:color="auto" w:fill="auto"/>
            <w:vAlign w:val="center"/>
          </w:tcPr>
          <w:p w14:paraId="0C1B1320" w14:textId="0B4065DB" w:rsidR="00FB104F" w:rsidRPr="006210ED" w:rsidRDefault="0001642B" w:rsidP="001F545B">
            <w:pPr>
              <w:pStyle w:val="TableText0"/>
              <w:keepNext w:val="0"/>
              <w:widowControl w:val="0"/>
              <w:jc w:val="center"/>
              <w:rPr>
                <w:iCs/>
                <w:lang w:val="en-US"/>
              </w:rPr>
            </w:pPr>
            <w:r>
              <w:rPr>
                <w:iCs/>
                <w:lang w:val="en-US"/>
              </w:rPr>
              <w:t>Low</w:t>
            </w:r>
          </w:p>
        </w:tc>
        <w:tc>
          <w:tcPr>
            <w:tcW w:w="1349" w:type="pct"/>
            <w:shd w:val="clear" w:color="auto" w:fill="auto"/>
            <w:vAlign w:val="center"/>
          </w:tcPr>
          <w:p w14:paraId="05B979D0"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 xml:space="preserve">As for LINC 3 except: </w:t>
            </w:r>
          </w:p>
          <w:p w14:paraId="3782C31B"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mUFC &gt;1.3 × ULN with ≥2 of UFC values being &gt; 1.3 × ULN</w:t>
            </w:r>
          </w:p>
        </w:tc>
        <w:tc>
          <w:tcPr>
            <w:tcW w:w="767" w:type="pct"/>
            <w:vMerge/>
            <w:shd w:val="clear" w:color="auto" w:fill="auto"/>
            <w:vAlign w:val="center"/>
          </w:tcPr>
          <w:p w14:paraId="2E83B289" w14:textId="77777777" w:rsidR="00FB104F" w:rsidRPr="00E2771E" w:rsidRDefault="00FB104F" w:rsidP="001F545B">
            <w:pPr>
              <w:pStyle w:val="TableText0"/>
              <w:keepNext w:val="0"/>
              <w:widowControl w:val="0"/>
              <w:jc w:val="center"/>
              <w:rPr>
                <w:lang w:val="en-US"/>
              </w:rPr>
            </w:pPr>
          </w:p>
        </w:tc>
        <w:tc>
          <w:tcPr>
            <w:tcW w:w="838" w:type="pct"/>
            <w:shd w:val="clear" w:color="auto" w:fill="auto"/>
            <w:vAlign w:val="center"/>
          </w:tcPr>
          <w:p w14:paraId="0D64EF70" w14:textId="77777777" w:rsidR="00FB104F" w:rsidRPr="00E2771E" w:rsidRDefault="00FB104F" w:rsidP="001F545B">
            <w:pPr>
              <w:pStyle w:val="TableText0"/>
              <w:keepNext w:val="0"/>
              <w:widowControl w:val="0"/>
              <w:rPr>
                <w:lang w:val="en-US"/>
              </w:rPr>
            </w:pPr>
            <w:r>
              <w:rPr>
                <w:lang w:val="en-US"/>
              </w:rPr>
              <w:t>Complete responders</w:t>
            </w:r>
          </w:p>
        </w:tc>
      </w:tr>
      <w:tr w:rsidR="00FB104F" w:rsidRPr="00E2771E" w14:paraId="784E0D3F" w14:textId="77777777" w:rsidTr="00D119A2">
        <w:trPr>
          <w:cantSplit/>
        </w:trPr>
        <w:tc>
          <w:tcPr>
            <w:tcW w:w="420" w:type="pct"/>
            <w:shd w:val="clear" w:color="auto" w:fill="auto"/>
            <w:vAlign w:val="center"/>
          </w:tcPr>
          <w:p w14:paraId="31B54F78"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C1201</w:t>
            </w:r>
          </w:p>
        </w:tc>
        <w:tc>
          <w:tcPr>
            <w:tcW w:w="537" w:type="pct"/>
            <w:shd w:val="clear" w:color="auto" w:fill="auto"/>
            <w:vAlign w:val="center"/>
          </w:tcPr>
          <w:p w14:paraId="13B6897C" w14:textId="77777777"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9</w:t>
            </w:r>
          </w:p>
        </w:tc>
        <w:tc>
          <w:tcPr>
            <w:tcW w:w="726" w:type="pct"/>
            <w:shd w:val="clear" w:color="auto" w:fill="auto"/>
            <w:vAlign w:val="center"/>
          </w:tcPr>
          <w:p w14:paraId="5CC51A2F" w14:textId="77777777"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OL single arm 48 wks</w:t>
            </w:r>
          </w:p>
        </w:tc>
        <w:tc>
          <w:tcPr>
            <w:tcW w:w="362" w:type="pct"/>
            <w:shd w:val="clear" w:color="auto" w:fill="auto"/>
            <w:vAlign w:val="center"/>
          </w:tcPr>
          <w:p w14:paraId="108A6980" w14:textId="77777777" w:rsidR="00FB104F" w:rsidRPr="006210ED" w:rsidRDefault="00FB104F" w:rsidP="001F545B">
            <w:pPr>
              <w:pStyle w:val="TableText0"/>
              <w:keepNext w:val="0"/>
              <w:widowControl w:val="0"/>
              <w:jc w:val="center"/>
              <w:rPr>
                <w:iCs/>
                <w:lang w:val="en-US"/>
              </w:rPr>
            </w:pPr>
            <w:r>
              <w:rPr>
                <w:iCs/>
                <w:lang w:val="en-US"/>
              </w:rPr>
              <w:t>High</w:t>
            </w:r>
          </w:p>
        </w:tc>
        <w:tc>
          <w:tcPr>
            <w:tcW w:w="1349" w:type="pct"/>
            <w:shd w:val="clear" w:color="auto" w:fill="auto"/>
            <w:vAlign w:val="center"/>
          </w:tcPr>
          <w:p w14:paraId="28FE009C"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Adult Japanese patients with endogenous CS other than CD</w:t>
            </w:r>
          </w:p>
        </w:tc>
        <w:tc>
          <w:tcPr>
            <w:tcW w:w="767" w:type="pct"/>
            <w:shd w:val="clear" w:color="auto" w:fill="auto"/>
            <w:vAlign w:val="center"/>
          </w:tcPr>
          <w:p w14:paraId="336A217C" w14:textId="77777777" w:rsidR="00FB104F" w:rsidRPr="00E2771E" w:rsidRDefault="00FB104F" w:rsidP="001F545B">
            <w:pPr>
              <w:pStyle w:val="TableText0"/>
              <w:keepNext w:val="0"/>
              <w:widowControl w:val="0"/>
              <w:rPr>
                <w:lang w:val="en-US"/>
              </w:rPr>
            </w:pPr>
            <w:r>
              <w:rPr>
                <w:lang w:val="en-US"/>
              </w:rPr>
              <w:t>Response rate; QoL</w:t>
            </w:r>
          </w:p>
        </w:tc>
        <w:tc>
          <w:tcPr>
            <w:tcW w:w="838" w:type="pct"/>
            <w:shd w:val="clear" w:color="auto" w:fill="auto"/>
            <w:vAlign w:val="center"/>
          </w:tcPr>
          <w:p w14:paraId="09937076" w14:textId="77777777" w:rsidR="00FB104F" w:rsidRPr="00E2771E" w:rsidRDefault="00FB104F" w:rsidP="001F545B">
            <w:pPr>
              <w:pStyle w:val="TableText0"/>
              <w:keepNext w:val="0"/>
              <w:widowControl w:val="0"/>
              <w:rPr>
                <w:lang w:val="en-US"/>
              </w:rPr>
            </w:pPr>
            <w:r>
              <w:rPr>
                <w:lang w:val="en-US"/>
              </w:rPr>
              <w:t>Sensitivity analysis only (complete responders)</w:t>
            </w:r>
          </w:p>
        </w:tc>
      </w:tr>
      <w:tr w:rsidR="00FB104F" w:rsidRPr="00EE0EE2" w14:paraId="0B9FCB8E" w14:textId="77777777" w:rsidTr="001F545B">
        <w:trPr>
          <w:cantSplit/>
        </w:trPr>
        <w:tc>
          <w:tcPr>
            <w:tcW w:w="5000" w:type="pct"/>
            <w:gridSpan w:val="7"/>
            <w:shd w:val="clear" w:color="auto" w:fill="auto"/>
            <w:vAlign w:val="center"/>
          </w:tcPr>
          <w:p w14:paraId="655F146F" w14:textId="77777777" w:rsidR="00FB104F" w:rsidRPr="00EE0EE2" w:rsidRDefault="00FB104F" w:rsidP="001F545B">
            <w:pPr>
              <w:pStyle w:val="TableText0"/>
              <w:keepNext w:val="0"/>
              <w:widowControl w:val="0"/>
              <w:rPr>
                <w:b/>
                <w:bCs w:val="0"/>
                <w:lang w:val="en-US"/>
              </w:rPr>
            </w:pPr>
            <w:r>
              <w:rPr>
                <w:b/>
                <w:bCs w:val="0"/>
                <w:lang w:val="en-US"/>
              </w:rPr>
              <w:t>Osilodrostat vs. metyrapone</w:t>
            </w:r>
          </w:p>
        </w:tc>
      </w:tr>
      <w:tr w:rsidR="00FB104F" w:rsidRPr="00E2771E" w14:paraId="12464F3C" w14:textId="77777777" w:rsidTr="001F545B">
        <w:trPr>
          <w:cantSplit/>
        </w:trPr>
        <w:tc>
          <w:tcPr>
            <w:tcW w:w="5000" w:type="pct"/>
            <w:gridSpan w:val="7"/>
            <w:shd w:val="clear" w:color="auto" w:fill="auto"/>
            <w:vAlign w:val="center"/>
          </w:tcPr>
          <w:p w14:paraId="0C50C947" w14:textId="56CA9BD7" w:rsidR="00FB104F" w:rsidRPr="00E2771E" w:rsidRDefault="00FB104F" w:rsidP="001F545B">
            <w:pPr>
              <w:pStyle w:val="TableText0"/>
              <w:keepNext w:val="0"/>
              <w:widowControl w:val="0"/>
              <w:rPr>
                <w:lang w:val="en-US"/>
              </w:rPr>
            </w:pPr>
            <w:r>
              <w:rPr>
                <w:lang w:val="en-US"/>
              </w:rPr>
              <w:t>LINC 3, LINC 4, C1201 for osilodrostat; PROMPT for metyrapone</w:t>
            </w:r>
          </w:p>
        </w:tc>
      </w:tr>
      <w:tr w:rsidR="00FB104F" w:rsidRPr="00E2771E" w14:paraId="77DAC989" w14:textId="77777777" w:rsidTr="00D119A2">
        <w:trPr>
          <w:cantSplit/>
        </w:trPr>
        <w:tc>
          <w:tcPr>
            <w:tcW w:w="420" w:type="pct"/>
            <w:shd w:val="clear" w:color="auto" w:fill="auto"/>
            <w:vAlign w:val="center"/>
          </w:tcPr>
          <w:p w14:paraId="2E5A6B3E"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PROMPT</w:t>
            </w:r>
          </w:p>
        </w:tc>
        <w:tc>
          <w:tcPr>
            <w:tcW w:w="537" w:type="pct"/>
            <w:shd w:val="clear" w:color="auto" w:fill="auto"/>
            <w:vAlign w:val="center"/>
          </w:tcPr>
          <w:p w14:paraId="5DD0F713" w14:textId="77777777"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49</w:t>
            </w:r>
          </w:p>
        </w:tc>
        <w:tc>
          <w:tcPr>
            <w:tcW w:w="726" w:type="pct"/>
            <w:shd w:val="clear" w:color="auto" w:fill="auto"/>
            <w:vAlign w:val="center"/>
          </w:tcPr>
          <w:p w14:paraId="34A36DAB" w14:textId="77777777"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OL metyrapone to 12 weeks then optional extension phase to Week 36</w:t>
            </w:r>
          </w:p>
        </w:tc>
        <w:tc>
          <w:tcPr>
            <w:tcW w:w="362" w:type="pct"/>
            <w:shd w:val="clear" w:color="auto" w:fill="auto"/>
            <w:vAlign w:val="center"/>
          </w:tcPr>
          <w:p w14:paraId="7CB303D2" w14:textId="77777777" w:rsidR="00FB104F" w:rsidRPr="006210ED" w:rsidRDefault="00FB104F" w:rsidP="001F545B">
            <w:pPr>
              <w:pStyle w:val="TableText0"/>
              <w:keepNext w:val="0"/>
              <w:widowControl w:val="0"/>
              <w:jc w:val="center"/>
              <w:rPr>
                <w:iCs/>
                <w:lang w:val="en-US"/>
              </w:rPr>
            </w:pPr>
            <w:r>
              <w:rPr>
                <w:iCs/>
                <w:lang w:val="en-US"/>
              </w:rPr>
              <w:t>High</w:t>
            </w:r>
          </w:p>
        </w:tc>
        <w:tc>
          <w:tcPr>
            <w:tcW w:w="1349" w:type="pct"/>
            <w:shd w:val="clear" w:color="auto" w:fill="auto"/>
            <w:vAlign w:val="center"/>
          </w:tcPr>
          <w:p w14:paraId="7AA69329"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Adults with persistent or recurrent CD after surgery or who are newly diagnosed but unsuitable for surgery; ectopic ACTH syndrome; CS from adrenal causes who are unsuitable or wish to defer surgery</w:t>
            </w:r>
          </w:p>
          <w:p w14:paraId="6368801B"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mUFC ≥1.5 × ULN on 3 samples</w:t>
            </w:r>
          </w:p>
        </w:tc>
        <w:tc>
          <w:tcPr>
            <w:tcW w:w="767" w:type="pct"/>
            <w:shd w:val="clear" w:color="auto" w:fill="auto"/>
            <w:vAlign w:val="center"/>
          </w:tcPr>
          <w:p w14:paraId="3B078186" w14:textId="4A30855E" w:rsidR="00FB104F" w:rsidRPr="00E2771E" w:rsidRDefault="00FB104F" w:rsidP="001F545B">
            <w:pPr>
              <w:pStyle w:val="TableText0"/>
              <w:keepNext w:val="0"/>
              <w:widowControl w:val="0"/>
              <w:rPr>
                <w:lang w:val="en-US"/>
              </w:rPr>
            </w:pPr>
            <w:r>
              <w:rPr>
                <w:lang w:val="en-US"/>
              </w:rPr>
              <w:t>Complete response;</w:t>
            </w:r>
            <w:r w:rsidR="004B485D">
              <w:rPr>
                <w:lang w:val="en-US"/>
              </w:rPr>
              <w:t xml:space="preserve"> </w:t>
            </w:r>
            <w:r>
              <w:rPr>
                <w:lang w:val="en-US"/>
              </w:rPr>
              <w:t>QoL; safety</w:t>
            </w:r>
          </w:p>
        </w:tc>
        <w:tc>
          <w:tcPr>
            <w:tcW w:w="838" w:type="pct"/>
            <w:shd w:val="clear" w:color="auto" w:fill="auto"/>
            <w:vAlign w:val="center"/>
          </w:tcPr>
          <w:p w14:paraId="2A00B2DE" w14:textId="77777777" w:rsidR="00FB104F" w:rsidRPr="00E2771E" w:rsidRDefault="00FB104F" w:rsidP="001F545B">
            <w:pPr>
              <w:pStyle w:val="TableText0"/>
              <w:keepNext w:val="0"/>
              <w:widowControl w:val="0"/>
              <w:rPr>
                <w:lang w:val="en-US"/>
              </w:rPr>
            </w:pPr>
            <w:r>
              <w:rPr>
                <w:lang w:val="en-US"/>
              </w:rPr>
              <w:t>Sensitivity analysis only (complete responders)</w:t>
            </w:r>
          </w:p>
        </w:tc>
      </w:tr>
      <w:tr w:rsidR="00FB104F" w:rsidRPr="00EE0EE2" w14:paraId="04BD0A7E" w14:textId="77777777" w:rsidTr="001F545B">
        <w:trPr>
          <w:cantSplit/>
        </w:trPr>
        <w:tc>
          <w:tcPr>
            <w:tcW w:w="5000" w:type="pct"/>
            <w:gridSpan w:val="7"/>
            <w:shd w:val="clear" w:color="auto" w:fill="auto"/>
            <w:vAlign w:val="center"/>
          </w:tcPr>
          <w:p w14:paraId="1F727346" w14:textId="77777777" w:rsidR="00FB104F" w:rsidRPr="00EE0EE2" w:rsidRDefault="00FB104F" w:rsidP="001F545B">
            <w:pPr>
              <w:pStyle w:val="TableText0"/>
              <w:keepNext w:val="0"/>
              <w:widowControl w:val="0"/>
              <w:rPr>
                <w:b/>
                <w:bCs w:val="0"/>
                <w:lang w:val="en-US"/>
              </w:rPr>
            </w:pPr>
            <w:r>
              <w:rPr>
                <w:b/>
                <w:bCs w:val="0"/>
                <w:lang w:val="en-US"/>
              </w:rPr>
              <w:t>Osilodrostat vs. ketoconazole</w:t>
            </w:r>
          </w:p>
        </w:tc>
      </w:tr>
      <w:tr w:rsidR="00FB104F" w:rsidRPr="00E2771E" w14:paraId="63880EEA" w14:textId="77777777" w:rsidTr="001F545B">
        <w:trPr>
          <w:cantSplit/>
        </w:trPr>
        <w:tc>
          <w:tcPr>
            <w:tcW w:w="5000" w:type="pct"/>
            <w:gridSpan w:val="7"/>
            <w:shd w:val="clear" w:color="auto" w:fill="auto"/>
            <w:vAlign w:val="center"/>
          </w:tcPr>
          <w:p w14:paraId="634830E1" w14:textId="35C95E9F" w:rsidR="00FB104F" w:rsidRPr="00E2771E" w:rsidRDefault="00FB104F" w:rsidP="001F545B">
            <w:pPr>
              <w:pStyle w:val="TableText0"/>
              <w:keepNext w:val="0"/>
              <w:widowControl w:val="0"/>
              <w:rPr>
                <w:lang w:val="en-US"/>
              </w:rPr>
            </w:pPr>
            <w:r>
              <w:rPr>
                <w:lang w:val="en-US"/>
              </w:rPr>
              <w:t>LINC 3, LINC 4, C1201 for osilodrostat; Castinetti 2008 and Castinetti 2014 for ketoconazole</w:t>
            </w:r>
          </w:p>
        </w:tc>
      </w:tr>
      <w:tr w:rsidR="00FB104F" w:rsidRPr="00E2771E" w14:paraId="795AAD6B" w14:textId="77777777" w:rsidTr="00D119A2">
        <w:trPr>
          <w:cantSplit/>
        </w:trPr>
        <w:tc>
          <w:tcPr>
            <w:tcW w:w="420" w:type="pct"/>
            <w:shd w:val="clear" w:color="auto" w:fill="auto"/>
            <w:vAlign w:val="center"/>
          </w:tcPr>
          <w:p w14:paraId="75B1056A"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Castinetti 2008</w:t>
            </w:r>
          </w:p>
        </w:tc>
        <w:tc>
          <w:tcPr>
            <w:tcW w:w="537" w:type="pct"/>
            <w:shd w:val="clear" w:color="auto" w:fill="auto"/>
            <w:vAlign w:val="center"/>
          </w:tcPr>
          <w:p w14:paraId="2329AE9E" w14:textId="77777777"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33</w:t>
            </w:r>
          </w:p>
        </w:tc>
        <w:tc>
          <w:tcPr>
            <w:tcW w:w="726" w:type="pct"/>
            <w:shd w:val="clear" w:color="auto" w:fill="auto"/>
            <w:vAlign w:val="center"/>
          </w:tcPr>
          <w:p w14:paraId="111CA7A9" w14:textId="77777777"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Retrospective, observational, single centre</w:t>
            </w:r>
          </w:p>
        </w:tc>
        <w:tc>
          <w:tcPr>
            <w:tcW w:w="362" w:type="pct"/>
            <w:shd w:val="clear" w:color="auto" w:fill="auto"/>
            <w:vAlign w:val="center"/>
          </w:tcPr>
          <w:p w14:paraId="1358C415" w14:textId="77777777" w:rsidR="00FB104F" w:rsidRPr="006210ED" w:rsidRDefault="00FB104F" w:rsidP="001F545B">
            <w:pPr>
              <w:pStyle w:val="TableText0"/>
              <w:keepNext w:val="0"/>
              <w:widowControl w:val="0"/>
              <w:jc w:val="center"/>
              <w:rPr>
                <w:iCs/>
                <w:lang w:val="en-US"/>
              </w:rPr>
            </w:pPr>
            <w:r>
              <w:rPr>
                <w:iCs/>
                <w:lang w:val="en-US"/>
              </w:rPr>
              <w:t>High</w:t>
            </w:r>
          </w:p>
        </w:tc>
        <w:tc>
          <w:tcPr>
            <w:tcW w:w="1349" w:type="pct"/>
            <w:shd w:val="clear" w:color="auto" w:fill="auto"/>
            <w:vAlign w:val="center"/>
          </w:tcPr>
          <w:p w14:paraId="4F670A42"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Active CD treated with ketoconazole between 1995 and 2005; for most, surgery not curative or not a candidate for surgery</w:t>
            </w:r>
          </w:p>
        </w:tc>
        <w:tc>
          <w:tcPr>
            <w:tcW w:w="767" w:type="pct"/>
            <w:shd w:val="clear" w:color="auto" w:fill="auto"/>
            <w:vAlign w:val="center"/>
          </w:tcPr>
          <w:p w14:paraId="3F015B65" w14:textId="77777777" w:rsidR="00FB104F" w:rsidRPr="00E2771E" w:rsidRDefault="00FB104F" w:rsidP="001F545B">
            <w:pPr>
              <w:pStyle w:val="TableText0"/>
              <w:keepNext w:val="0"/>
              <w:widowControl w:val="0"/>
              <w:rPr>
                <w:lang w:val="en-US"/>
              </w:rPr>
            </w:pPr>
            <w:r>
              <w:rPr>
                <w:lang w:val="en-US"/>
              </w:rPr>
              <w:t>Complete response</w:t>
            </w:r>
          </w:p>
        </w:tc>
        <w:tc>
          <w:tcPr>
            <w:tcW w:w="838" w:type="pct"/>
            <w:shd w:val="clear" w:color="auto" w:fill="auto"/>
            <w:vAlign w:val="center"/>
          </w:tcPr>
          <w:p w14:paraId="321C0E3B" w14:textId="77777777" w:rsidR="00FB104F" w:rsidRPr="00E2771E" w:rsidRDefault="00FB104F" w:rsidP="001F545B">
            <w:pPr>
              <w:pStyle w:val="TableText0"/>
              <w:keepNext w:val="0"/>
              <w:widowControl w:val="0"/>
              <w:rPr>
                <w:lang w:val="en-US"/>
              </w:rPr>
            </w:pPr>
            <w:r>
              <w:rPr>
                <w:lang w:val="en-US"/>
              </w:rPr>
              <w:t>Sensitivity analysis only (complete responders)</w:t>
            </w:r>
          </w:p>
        </w:tc>
      </w:tr>
      <w:tr w:rsidR="00FB104F" w:rsidRPr="00E2771E" w14:paraId="3F7E375A" w14:textId="77777777" w:rsidTr="00D119A2">
        <w:trPr>
          <w:cantSplit/>
        </w:trPr>
        <w:tc>
          <w:tcPr>
            <w:tcW w:w="420" w:type="pct"/>
            <w:shd w:val="clear" w:color="auto" w:fill="auto"/>
            <w:vAlign w:val="center"/>
          </w:tcPr>
          <w:p w14:paraId="26BBE6B9"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Castinetti 2014</w:t>
            </w:r>
          </w:p>
        </w:tc>
        <w:tc>
          <w:tcPr>
            <w:tcW w:w="537" w:type="pct"/>
            <w:shd w:val="clear" w:color="auto" w:fill="auto"/>
            <w:vAlign w:val="center"/>
          </w:tcPr>
          <w:p w14:paraId="118EFCA2" w14:textId="77777777" w:rsidR="00FB104F" w:rsidRDefault="00FB104F" w:rsidP="001F545B">
            <w:pPr>
              <w:pStyle w:val="TableText0"/>
              <w:keepNext w:val="0"/>
              <w:widowControl w:val="0"/>
              <w:jc w:val="center"/>
              <w:rPr>
                <w:rFonts w:eastAsiaTheme="minorHAnsi" w:cstheme="minorBidi"/>
                <w:szCs w:val="22"/>
                <w:lang w:eastAsia="en-US"/>
              </w:rPr>
            </w:pPr>
            <w:r>
              <w:rPr>
                <w:rFonts w:eastAsiaTheme="minorHAnsi" w:cstheme="minorBidi"/>
                <w:szCs w:val="22"/>
                <w:lang w:eastAsia="en-US"/>
              </w:rPr>
              <w:t>200</w:t>
            </w:r>
          </w:p>
        </w:tc>
        <w:tc>
          <w:tcPr>
            <w:tcW w:w="726" w:type="pct"/>
            <w:shd w:val="clear" w:color="auto" w:fill="auto"/>
            <w:vAlign w:val="center"/>
          </w:tcPr>
          <w:p w14:paraId="357E99E2" w14:textId="77777777" w:rsidR="00FB104F" w:rsidRPr="00A70DBB" w:rsidRDefault="00FB104F" w:rsidP="001F545B">
            <w:pPr>
              <w:widowControl w:val="0"/>
              <w:jc w:val="left"/>
              <w:rPr>
                <w:rFonts w:ascii="Arial Narrow" w:eastAsiaTheme="minorHAnsi" w:hAnsi="Arial Narrow" w:cstheme="minorBidi"/>
                <w:sz w:val="20"/>
                <w:szCs w:val="22"/>
                <w:lang w:eastAsia="en-US"/>
              </w:rPr>
            </w:pPr>
            <w:r>
              <w:rPr>
                <w:rFonts w:ascii="Arial Narrow" w:eastAsiaTheme="minorHAnsi" w:hAnsi="Arial Narrow" w:cstheme="minorBidi"/>
                <w:sz w:val="20"/>
                <w:szCs w:val="22"/>
                <w:lang w:eastAsia="en-US"/>
              </w:rPr>
              <w:t>Retrospective, observational, multicentre</w:t>
            </w:r>
          </w:p>
        </w:tc>
        <w:tc>
          <w:tcPr>
            <w:tcW w:w="362" w:type="pct"/>
            <w:shd w:val="clear" w:color="auto" w:fill="auto"/>
            <w:vAlign w:val="center"/>
          </w:tcPr>
          <w:p w14:paraId="54E2546F" w14:textId="77777777" w:rsidR="00FB104F" w:rsidRPr="006210ED" w:rsidRDefault="00FB104F" w:rsidP="001F545B">
            <w:pPr>
              <w:pStyle w:val="TableText0"/>
              <w:keepNext w:val="0"/>
              <w:widowControl w:val="0"/>
              <w:jc w:val="center"/>
              <w:rPr>
                <w:iCs/>
                <w:lang w:val="en-US"/>
              </w:rPr>
            </w:pPr>
            <w:r>
              <w:rPr>
                <w:iCs/>
                <w:lang w:val="en-US"/>
              </w:rPr>
              <w:t>High</w:t>
            </w:r>
          </w:p>
        </w:tc>
        <w:tc>
          <w:tcPr>
            <w:tcW w:w="1349" w:type="pct"/>
            <w:shd w:val="clear" w:color="auto" w:fill="auto"/>
            <w:vAlign w:val="center"/>
          </w:tcPr>
          <w:p w14:paraId="09CDFE4B" w14:textId="77777777" w:rsidR="00FB104F" w:rsidRDefault="00FB104F" w:rsidP="001F545B">
            <w:pPr>
              <w:pStyle w:val="TableText0"/>
              <w:keepNext w:val="0"/>
              <w:widowControl w:val="0"/>
              <w:rPr>
                <w:rFonts w:eastAsiaTheme="minorHAnsi" w:cstheme="minorBidi"/>
                <w:szCs w:val="22"/>
                <w:lang w:eastAsia="en-US"/>
              </w:rPr>
            </w:pPr>
            <w:r>
              <w:rPr>
                <w:rFonts w:eastAsiaTheme="minorHAnsi" w:cstheme="minorBidi"/>
                <w:szCs w:val="22"/>
                <w:lang w:eastAsia="en-US"/>
              </w:rPr>
              <w:t>Active CD treated with ketoconazole between 1995 and 2012; for most, surgery not curative or not a candidate for surgery</w:t>
            </w:r>
          </w:p>
        </w:tc>
        <w:tc>
          <w:tcPr>
            <w:tcW w:w="767" w:type="pct"/>
            <w:shd w:val="clear" w:color="auto" w:fill="auto"/>
            <w:vAlign w:val="center"/>
          </w:tcPr>
          <w:p w14:paraId="3EA1402A" w14:textId="77777777" w:rsidR="00FB104F" w:rsidRPr="00E2771E" w:rsidRDefault="00FB104F" w:rsidP="001F545B">
            <w:pPr>
              <w:pStyle w:val="TableText0"/>
              <w:keepNext w:val="0"/>
              <w:widowControl w:val="0"/>
              <w:rPr>
                <w:lang w:val="en-US"/>
              </w:rPr>
            </w:pPr>
            <w:r>
              <w:rPr>
                <w:lang w:val="en-US"/>
              </w:rPr>
              <w:t>Complete response; safety</w:t>
            </w:r>
          </w:p>
        </w:tc>
        <w:tc>
          <w:tcPr>
            <w:tcW w:w="838" w:type="pct"/>
            <w:shd w:val="clear" w:color="auto" w:fill="auto"/>
            <w:vAlign w:val="center"/>
          </w:tcPr>
          <w:p w14:paraId="4B275895" w14:textId="77777777" w:rsidR="00FB104F" w:rsidRPr="00E2771E" w:rsidRDefault="00FB104F" w:rsidP="001F545B">
            <w:pPr>
              <w:pStyle w:val="TableText0"/>
              <w:keepNext w:val="0"/>
              <w:widowControl w:val="0"/>
              <w:rPr>
                <w:lang w:val="en-US"/>
              </w:rPr>
            </w:pPr>
            <w:r>
              <w:rPr>
                <w:lang w:val="en-US"/>
              </w:rPr>
              <w:t>Not used</w:t>
            </w:r>
          </w:p>
        </w:tc>
      </w:tr>
    </w:tbl>
    <w:p w14:paraId="09DE687D" w14:textId="44EC8596" w:rsidR="00FB104F" w:rsidRDefault="00FB104F" w:rsidP="00FB104F">
      <w:pPr>
        <w:pStyle w:val="TableFigureFooter"/>
        <w:spacing w:after="0"/>
      </w:pPr>
      <w:r w:rsidRPr="00715CDB">
        <w:t>Source</w:t>
      </w:r>
      <w:r w:rsidRPr="00AB08F8">
        <w:t xml:space="preserve">: </w:t>
      </w:r>
      <w:r w:rsidR="00A5536E" w:rsidRPr="00AB08F8">
        <w:t xml:space="preserve">Table 2.4-1, p100; </w:t>
      </w:r>
      <w:r w:rsidRPr="00AB08F8">
        <w:t>Table 2.4-9, p119</w:t>
      </w:r>
      <w:r w:rsidR="00A5536E" w:rsidRPr="00AB08F8">
        <w:t xml:space="preserve">; </w:t>
      </w:r>
      <w:r w:rsidR="00715CDB" w:rsidRPr="00AB08F8">
        <w:t>Table 2.8-14, p222-223; Table 2.8-23, p233</w:t>
      </w:r>
      <w:r w:rsidRPr="00AB08F8">
        <w:t xml:space="preserve"> of the submission.</w:t>
      </w:r>
    </w:p>
    <w:p w14:paraId="06776524" w14:textId="4174EFF5" w:rsidR="00FB104F" w:rsidRDefault="00FB104F" w:rsidP="00FB104F">
      <w:pPr>
        <w:pStyle w:val="FooterTableFigure"/>
      </w:pPr>
      <w:r>
        <w:rPr>
          <w:szCs w:val="18"/>
          <w:lang w:eastAsia="en-US"/>
        </w:rPr>
        <w:t>CD = Cushing’s disease; CS = Cushing’s syndrome; DB = double-blind; mUFC = mean urinary free cortisol</w:t>
      </w:r>
      <w:r w:rsidRPr="0057688D">
        <w:rPr>
          <w:szCs w:val="18"/>
          <w:lang w:eastAsia="en-US"/>
        </w:rPr>
        <w:t xml:space="preserve">; </w:t>
      </w:r>
      <w:r>
        <w:rPr>
          <w:szCs w:val="18"/>
          <w:lang w:eastAsia="en-US"/>
        </w:rPr>
        <w:t>OL</w:t>
      </w:r>
      <w:r w:rsidRPr="0057688D">
        <w:rPr>
          <w:szCs w:val="18"/>
          <w:lang w:eastAsia="en-US"/>
        </w:rPr>
        <w:t xml:space="preserve"> = </w:t>
      </w:r>
      <w:r>
        <w:rPr>
          <w:szCs w:val="18"/>
          <w:lang w:eastAsia="en-US"/>
        </w:rPr>
        <w:t>open-label</w:t>
      </w:r>
      <w:r w:rsidRPr="0057688D">
        <w:rPr>
          <w:szCs w:val="18"/>
          <w:lang w:eastAsia="en-US"/>
        </w:rPr>
        <w:t xml:space="preserve">; </w:t>
      </w:r>
      <w:r>
        <w:rPr>
          <w:szCs w:val="18"/>
          <w:lang w:eastAsia="en-US"/>
        </w:rPr>
        <w:t xml:space="preserve">osi = osilodrostat; </w:t>
      </w:r>
      <w:r w:rsidRPr="0057688D">
        <w:rPr>
          <w:szCs w:val="18"/>
          <w:lang w:eastAsia="en-US"/>
        </w:rPr>
        <w:t>R = randomised</w:t>
      </w:r>
      <w:r>
        <w:rPr>
          <w:szCs w:val="18"/>
          <w:lang w:eastAsia="en-US"/>
        </w:rPr>
        <w:t xml:space="preserve">; </w:t>
      </w:r>
      <w:r w:rsidR="00B33311">
        <w:rPr>
          <w:szCs w:val="18"/>
          <w:lang w:eastAsia="en-US"/>
        </w:rPr>
        <w:t xml:space="preserve">RW = randomised withdrawal; </w:t>
      </w:r>
      <w:r>
        <w:t>QoL = quality of life; ULN = upper limit of normal; wks = weeks</w:t>
      </w:r>
    </w:p>
    <w:p w14:paraId="0206F75E" w14:textId="7561D339" w:rsidR="00A701FB" w:rsidRDefault="00A701FB" w:rsidP="00EA7F88">
      <w:pPr>
        <w:pStyle w:val="FooterTableFigure"/>
        <w:tabs>
          <w:tab w:val="left" w:pos="142"/>
        </w:tabs>
        <w:ind w:left="142" w:hanging="142"/>
      </w:pPr>
      <w:r w:rsidRPr="00A701FB">
        <w:rPr>
          <w:vertAlign w:val="superscript"/>
        </w:rPr>
        <w:t>a</w:t>
      </w:r>
      <w:r>
        <w:tab/>
        <w:t>Complete response was defined as mUFC ≤ ULN; partial response was defined as</w:t>
      </w:r>
      <w:r w:rsidR="00EA7F88">
        <w:t xml:space="preserve"> patients with a mUFC &gt; ULN but who achieved ≥50% improvement from baseline; and overall response was defined as patients who achieved either a complete or partial response.</w:t>
      </w:r>
    </w:p>
    <w:p w14:paraId="44F11AC2" w14:textId="0FC62ED9" w:rsidR="00EA649F" w:rsidRPr="00E2767C" w:rsidRDefault="00EA649F" w:rsidP="00EA649F">
      <w:pPr>
        <w:pStyle w:val="3-BodyText"/>
      </w:pPr>
      <w:r w:rsidRPr="00721D5A">
        <w:rPr>
          <w:iCs/>
        </w:rPr>
        <w:lastRenderedPageBreak/>
        <w:t>Given that LINC 3 started with an open label period</w:t>
      </w:r>
      <w:r w:rsidR="00B33311" w:rsidRPr="00721D5A">
        <w:rPr>
          <w:iCs/>
        </w:rPr>
        <w:t xml:space="preserve"> (N=137)</w:t>
      </w:r>
      <w:r w:rsidRPr="00721D5A">
        <w:rPr>
          <w:iCs/>
        </w:rPr>
        <w:t xml:space="preserve"> of 26 weeks and only patients responding to osilodrostat treatment were randomised at that point</w:t>
      </w:r>
      <w:r w:rsidR="00B33311" w:rsidRPr="00721D5A">
        <w:rPr>
          <w:iCs/>
        </w:rPr>
        <w:t xml:space="preserve"> (N=71)</w:t>
      </w:r>
      <w:r w:rsidRPr="00721D5A">
        <w:rPr>
          <w:iCs/>
        </w:rPr>
        <w:t>, this trial must be considered at high risk of bias given only responding patients were randomised. The selection bias in LINC 3 means that any estimate of effect size was likely to be overestimated. LINC 4 had a low risk of bias for efficacy and safety outcomes although patient-reported outcomes would have a high</w:t>
      </w:r>
      <w:r w:rsidR="003B68B3" w:rsidRPr="00721D5A">
        <w:rPr>
          <w:iCs/>
        </w:rPr>
        <w:t>er</w:t>
      </w:r>
      <w:r w:rsidRPr="00721D5A">
        <w:rPr>
          <w:iCs/>
        </w:rPr>
        <w:t xml:space="preserve"> risk of </w:t>
      </w:r>
      <w:r w:rsidR="003B68B3" w:rsidRPr="00721D5A">
        <w:rPr>
          <w:iCs/>
        </w:rPr>
        <w:t xml:space="preserve">performance </w:t>
      </w:r>
      <w:r w:rsidRPr="00721D5A">
        <w:rPr>
          <w:iCs/>
        </w:rPr>
        <w:t xml:space="preserve">bias. The remaining </w:t>
      </w:r>
      <w:r w:rsidR="009A6BAE" w:rsidRPr="00721D5A">
        <w:rPr>
          <w:iCs/>
        </w:rPr>
        <w:t xml:space="preserve">studies (PROMPT; Castinetti 2008; Castinetti 2014) </w:t>
      </w:r>
      <w:r w:rsidRPr="00721D5A">
        <w:rPr>
          <w:iCs/>
        </w:rPr>
        <w:t>were non-randomised</w:t>
      </w:r>
      <w:r w:rsidR="009A6BAE" w:rsidRPr="00721D5A">
        <w:rPr>
          <w:iCs/>
        </w:rPr>
        <w:t xml:space="preserve">, single-arm studies </w:t>
      </w:r>
      <w:r w:rsidRPr="00721D5A">
        <w:rPr>
          <w:iCs/>
        </w:rPr>
        <w:t>and all were at a</w:t>
      </w:r>
      <w:r w:rsidR="00066DF4" w:rsidRPr="00721D5A">
        <w:rPr>
          <w:iCs/>
        </w:rPr>
        <w:t>n</w:t>
      </w:r>
      <w:r w:rsidRPr="00721D5A">
        <w:rPr>
          <w:iCs/>
        </w:rPr>
        <w:t xml:space="preserve"> </w:t>
      </w:r>
      <w:r w:rsidR="00CE0931" w:rsidRPr="00721D5A">
        <w:rPr>
          <w:iCs/>
        </w:rPr>
        <w:t xml:space="preserve">overall </w:t>
      </w:r>
      <w:r w:rsidRPr="00721D5A">
        <w:rPr>
          <w:iCs/>
        </w:rPr>
        <w:t>high risk of bias, even with some efficacy outcomes objectively measured.</w:t>
      </w:r>
    </w:p>
    <w:p w14:paraId="4A4FE085" w14:textId="1C5613CC" w:rsidR="00B60939" w:rsidRPr="008C713C" w:rsidRDefault="00B60939" w:rsidP="00AB08F8">
      <w:pPr>
        <w:pStyle w:val="4-SubsectionHeading"/>
        <w:rPr>
          <w:i w:val="0"/>
        </w:rPr>
      </w:pPr>
      <w:bookmarkStart w:id="17" w:name="_Toc22897641"/>
      <w:bookmarkStart w:id="18" w:name="_Toc124928097"/>
      <w:r w:rsidRPr="008C713C">
        <w:rPr>
          <w:i w:val="0"/>
        </w:rPr>
        <w:t>Comparative effectiveness</w:t>
      </w:r>
      <w:bookmarkEnd w:id="17"/>
      <w:bookmarkEnd w:id="18"/>
    </w:p>
    <w:p w14:paraId="4CC95FA8" w14:textId="10F40059" w:rsidR="002A73E9" w:rsidRPr="002A73E9" w:rsidRDefault="002A73E9" w:rsidP="002A73E9">
      <w:pPr>
        <w:rPr>
          <w:b/>
          <w:bCs/>
        </w:rPr>
      </w:pPr>
      <w:r w:rsidRPr="002A73E9">
        <w:rPr>
          <w:b/>
          <w:bCs/>
        </w:rPr>
        <w:t>Osilodrostat vs. placebo</w:t>
      </w:r>
    </w:p>
    <w:p w14:paraId="28593FB8" w14:textId="22164A3C" w:rsidR="002C2775" w:rsidRPr="00A52391" w:rsidRDefault="00A52391" w:rsidP="00EC5836">
      <w:pPr>
        <w:pStyle w:val="3-BodyText"/>
      </w:pPr>
      <w:r w:rsidRPr="00A52391">
        <w:t>The comparison of osilodrostat and placebo for complete response rate</w:t>
      </w:r>
      <w:r>
        <w:t xml:space="preserve"> is provided in </w:t>
      </w:r>
      <w:r>
        <w:fldChar w:fldCharType="begin"/>
      </w:r>
      <w:r>
        <w:instrText xml:space="preserve"> REF _Ref123595143 \h </w:instrText>
      </w:r>
      <w:r>
        <w:fldChar w:fldCharType="separate"/>
      </w:r>
      <w:r w:rsidR="00A9220E">
        <w:t xml:space="preserve">Table </w:t>
      </w:r>
      <w:r w:rsidR="00A9220E">
        <w:rPr>
          <w:noProof/>
        </w:rPr>
        <w:t>4</w:t>
      </w:r>
      <w:r>
        <w:fldChar w:fldCharType="end"/>
      </w:r>
      <w:r>
        <w:t>.</w:t>
      </w:r>
    </w:p>
    <w:p w14:paraId="312F0965" w14:textId="67CE7D0E" w:rsidR="005D26B4" w:rsidRPr="00EC5836" w:rsidRDefault="00D6076E" w:rsidP="00D6076E">
      <w:pPr>
        <w:pStyle w:val="TableFigureHeading"/>
        <w:rPr>
          <w:rStyle w:val="CommentReference"/>
          <w:b/>
          <w:szCs w:val="24"/>
        </w:rPr>
      </w:pPr>
      <w:bookmarkStart w:id="19" w:name="_Ref123595143"/>
      <w:r>
        <w:t xml:space="preserve">Table </w:t>
      </w:r>
      <w:fldSimple w:instr=" SEQ Table \* ARABIC ">
        <w:r w:rsidR="00A9220E">
          <w:rPr>
            <w:noProof/>
          </w:rPr>
          <w:t>4</w:t>
        </w:r>
      </w:fldSimple>
      <w:bookmarkEnd w:id="19"/>
      <w:r>
        <w:t>:</w:t>
      </w:r>
      <w:r w:rsidR="005D26B4" w:rsidRPr="00EC5836">
        <w:rPr>
          <w:rStyle w:val="CommentReference"/>
          <w:b/>
          <w:szCs w:val="24"/>
        </w:rPr>
        <w:t xml:space="preserve"> </w:t>
      </w:r>
      <w:r w:rsidR="00FB104F">
        <w:rPr>
          <w:rStyle w:val="CommentReference"/>
          <w:b/>
          <w:szCs w:val="24"/>
        </w:rPr>
        <w:t>Osilodrostat vs. placebo: complete response rate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32"/>
        <w:gridCol w:w="3158"/>
        <w:gridCol w:w="2837"/>
      </w:tblGrid>
      <w:tr w:rsidR="00FB104F" w:rsidRPr="00B84117" w14:paraId="501785E3" w14:textId="77777777" w:rsidTr="001F545B">
        <w:trPr>
          <w:tblHeader/>
        </w:trPr>
        <w:tc>
          <w:tcPr>
            <w:tcW w:w="1642" w:type="pct"/>
            <w:vAlign w:val="center"/>
          </w:tcPr>
          <w:p w14:paraId="17A0782D" w14:textId="77777777" w:rsidR="00FB104F" w:rsidRPr="00B84117" w:rsidRDefault="00FB104F" w:rsidP="001F545B">
            <w:pPr>
              <w:pStyle w:val="In-tableHeading"/>
              <w:keepNext w:val="0"/>
              <w:widowControl w:val="0"/>
              <w:tabs>
                <w:tab w:val="left" w:pos="102"/>
              </w:tabs>
            </w:pPr>
            <w:r>
              <w:t>Trial/ outcome</w:t>
            </w:r>
          </w:p>
        </w:tc>
        <w:tc>
          <w:tcPr>
            <w:tcW w:w="1769" w:type="pct"/>
            <w:vAlign w:val="center"/>
          </w:tcPr>
          <w:p w14:paraId="022F0A47" w14:textId="77777777" w:rsidR="00FB104F" w:rsidRPr="00B84117" w:rsidRDefault="00FB104F" w:rsidP="001F545B">
            <w:pPr>
              <w:pStyle w:val="In-tableHeading"/>
              <w:keepNext w:val="0"/>
              <w:widowControl w:val="0"/>
              <w:jc w:val="center"/>
            </w:pPr>
            <w:r>
              <w:t>Osilodrostat</w:t>
            </w:r>
          </w:p>
        </w:tc>
        <w:tc>
          <w:tcPr>
            <w:tcW w:w="1589" w:type="pct"/>
            <w:vAlign w:val="center"/>
          </w:tcPr>
          <w:p w14:paraId="61A9F48C" w14:textId="77777777" w:rsidR="00FB104F" w:rsidRPr="00B84117" w:rsidRDefault="00FB104F" w:rsidP="001F545B">
            <w:pPr>
              <w:pStyle w:val="In-tableHeading"/>
              <w:keepNext w:val="0"/>
              <w:widowControl w:val="0"/>
              <w:jc w:val="center"/>
            </w:pPr>
            <w:r>
              <w:t>Placebo</w:t>
            </w:r>
          </w:p>
        </w:tc>
      </w:tr>
      <w:tr w:rsidR="00FB104F" w:rsidRPr="00C92790" w14:paraId="6CC6BD78" w14:textId="77777777" w:rsidTr="001F545B">
        <w:tc>
          <w:tcPr>
            <w:tcW w:w="5000" w:type="pct"/>
            <w:gridSpan w:val="3"/>
            <w:vAlign w:val="center"/>
          </w:tcPr>
          <w:p w14:paraId="31783CF1" w14:textId="2B05D475" w:rsidR="00FB104F" w:rsidRPr="00C92790" w:rsidRDefault="00FB104F" w:rsidP="001F545B">
            <w:pPr>
              <w:pStyle w:val="TableText0"/>
              <w:keepNext w:val="0"/>
              <w:widowControl w:val="0"/>
              <w:tabs>
                <w:tab w:val="left" w:pos="102"/>
              </w:tabs>
              <w:rPr>
                <w:b/>
                <w:bCs w:val="0"/>
              </w:rPr>
            </w:pPr>
            <w:r>
              <w:rPr>
                <w:b/>
                <w:bCs w:val="0"/>
              </w:rPr>
              <w:t>L</w:t>
            </w:r>
            <w:r>
              <w:rPr>
                <w:b/>
              </w:rPr>
              <w:t>INC 3 – Week 34</w:t>
            </w:r>
            <w:r w:rsidR="00595A52">
              <w:rPr>
                <w:b/>
              </w:rPr>
              <w:t xml:space="preserve"> (randomisation of responders at 26 weeks)</w:t>
            </w:r>
          </w:p>
        </w:tc>
      </w:tr>
      <w:tr w:rsidR="00FB104F" w:rsidRPr="00B1011F" w14:paraId="485B0314" w14:textId="77777777" w:rsidTr="001F545B">
        <w:tc>
          <w:tcPr>
            <w:tcW w:w="1642" w:type="pct"/>
            <w:vAlign w:val="center"/>
          </w:tcPr>
          <w:p w14:paraId="1F5F8F38" w14:textId="77777777" w:rsidR="00FB104F" w:rsidRPr="00B1011F" w:rsidRDefault="00FB104F" w:rsidP="001F545B">
            <w:pPr>
              <w:pStyle w:val="TableText0"/>
              <w:keepNext w:val="0"/>
              <w:widowControl w:val="0"/>
              <w:tabs>
                <w:tab w:val="left" w:pos="102"/>
              </w:tabs>
            </w:pPr>
            <w:r>
              <w:tab/>
              <w:t>N</w:t>
            </w:r>
          </w:p>
        </w:tc>
        <w:tc>
          <w:tcPr>
            <w:tcW w:w="1769" w:type="pct"/>
            <w:vAlign w:val="center"/>
          </w:tcPr>
          <w:p w14:paraId="30061D1A" w14:textId="77777777" w:rsidR="00FB104F" w:rsidRPr="00B1011F" w:rsidRDefault="00FB104F" w:rsidP="001F545B">
            <w:pPr>
              <w:pStyle w:val="TableText0"/>
              <w:keepNext w:val="0"/>
              <w:widowControl w:val="0"/>
              <w:jc w:val="center"/>
            </w:pPr>
            <w:r>
              <w:t>N=36</w:t>
            </w:r>
          </w:p>
        </w:tc>
        <w:tc>
          <w:tcPr>
            <w:tcW w:w="1589" w:type="pct"/>
            <w:vAlign w:val="center"/>
          </w:tcPr>
          <w:p w14:paraId="75974C67" w14:textId="77777777" w:rsidR="00FB104F" w:rsidRPr="00B1011F" w:rsidRDefault="00FB104F" w:rsidP="001F545B">
            <w:pPr>
              <w:pStyle w:val="TableText0"/>
              <w:keepNext w:val="0"/>
              <w:widowControl w:val="0"/>
              <w:jc w:val="center"/>
            </w:pPr>
            <w:r>
              <w:t>N=34</w:t>
            </w:r>
          </w:p>
        </w:tc>
      </w:tr>
      <w:tr w:rsidR="00FB104F" w:rsidRPr="00B1011F" w14:paraId="0F622CA6" w14:textId="77777777" w:rsidTr="001F545B">
        <w:tc>
          <w:tcPr>
            <w:tcW w:w="1642" w:type="pct"/>
            <w:vAlign w:val="center"/>
          </w:tcPr>
          <w:p w14:paraId="6691F340" w14:textId="77777777" w:rsidR="00FB104F" w:rsidRPr="00B1011F" w:rsidRDefault="00FB104F" w:rsidP="001F545B">
            <w:pPr>
              <w:pStyle w:val="TableText0"/>
              <w:keepNext w:val="0"/>
              <w:widowControl w:val="0"/>
              <w:tabs>
                <w:tab w:val="left" w:pos="102"/>
              </w:tabs>
            </w:pPr>
            <w:r>
              <w:tab/>
              <w:t xml:space="preserve">Complete response, n (%) </w:t>
            </w:r>
          </w:p>
        </w:tc>
        <w:tc>
          <w:tcPr>
            <w:tcW w:w="1769" w:type="pct"/>
            <w:vAlign w:val="center"/>
          </w:tcPr>
          <w:p w14:paraId="082DC80D" w14:textId="77777777" w:rsidR="00FB104F" w:rsidRPr="00B1011F" w:rsidRDefault="00FB104F" w:rsidP="001F545B">
            <w:pPr>
              <w:pStyle w:val="TableText0"/>
              <w:keepNext w:val="0"/>
              <w:widowControl w:val="0"/>
              <w:jc w:val="center"/>
            </w:pPr>
            <w:r>
              <w:t>31 (86.1%)</w:t>
            </w:r>
          </w:p>
        </w:tc>
        <w:tc>
          <w:tcPr>
            <w:tcW w:w="1589" w:type="pct"/>
            <w:vAlign w:val="center"/>
          </w:tcPr>
          <w:p w14:paraId="5F60607B" w14:textId="77777777" w:rsidR="00FB104F" w:rsidRPr="00B1011F" w:rsidRDefault="00FB104F" w:rsidP="001F545B">
            <w:pPr>
              <w:pStyle w:val="TableText0"/>
              <w:keepNext w:val="0"/>
              <w:widowControl w:val="0"/>
              <w:jc w:val="center"/>
            </w:pPr>
            <w:r>
              <w:t>10 (29.4%)</w:t>
            </w:r>
          </w:p>
        </w:tc>
      </w:tr>
      <w:tr w:rsidR="00FB104F" w:rsidRPr="00AA6712" w14:paraId="3697F15F" w14:textId="77777777" w:rsidTr="001F545B">
        <w:tc>
          <w:tcPr>
            <w:tcW w:w="1642" w:type="pct"/>
            <w:vAlign w:val="center"/>
          </w:tcPr>
          <w:p w14:paraId="4457873D" w14:textId="77777777" w:rsidR="00FB104F" w:rsidRPr="00B1011F" w:rsidRDefault="00FB104F" w:rsidP="001F545B">
            <w:pPr>
              <w:pStyle w:val="TableText0"/>
              <w:keepNext w:val="0"/>
              <w:widowControl w:val="0"/>
              <w:tabs>
                <w:tab w:val="left" w:pos="102"/>
              </w:tabs>
            </w:pPr>
            <w:r>
              <w:tab/>
              <w:t>OR (95% CI)</w:t>
            </w:r>
          </w:p>
        </w:tc>
        <w:tc>
          <w:tcPr>
            <w:tcW w:w="3358" w:type="pct"/>
            <w:gridSpan w:val="2"/>
            <w:vAlign w:val="center"/>
          </w:tcPr>
          <w:p w14:paraId="6CEC0C12" w14:textId="77777777" w:rsidR="00FB104F" w:rsidRPr="00AA6712" w:rsidRDefault="00FB104F" w:rsidP="001F545B">
            <w:pPr>
              <w:pStyle w:val="TableText0"/>
              <w:keepNext w:val="0"/>
              <w:widowControl w:val="0"/>
              <w:jc w:val="center"/>
              <w:rPr>
                <w:b/>
                <w:bCs w:val="0"/>
              </w:rPr>
            </w:pPr>
            <w:r w:rsidRPr="00AA6712">
              <w:rPr>
                <w:b/>
                <w:bCs w:val="0"/>
              </w:rPr>
              <w:t>13.7 (3.7, 53.4)</w:t>
            </w:r>
          </w:p>
        </w:tc>
      </w:tr>
      <w:tr w:rsidR="00FB104F" w:rsidRPr="0033428C" w14:paraId="500D20C9" w14:textId="77777777" w:rsidTr="001F545B">
        <w:tc>
          <w:tcPr>
            <w:tcW w:w="5000" w:type="pct"/>
            <w:gridSpan w:val="3"/>
            <w:vAlign w:val="center"/>
          </w:tcPr>
          <w:p w14:paraId="7E139376" w14:textId="77777777" w:rsidR="00FB104F" w:rsidRPr="0033428C" w:rsidRDefault="00FB104F" w:rsidP="001F545B">
            <w:pPr>
              <w:pStyle w:val="TableText0"/>
              <w:keepNext w:val="0"/>
              <w:widowControl w:val="0"/>
              <w:rPr>
                <w:b/>
                <w:bCs w:val="0"/>
              </w:rPr>
            </w:pPr>
            <w:r>
              <w:rPr>
                <w:b/>
                <w:bCs w:val="0"/>
              </w:rPr>
              <w:t>L</w:t>
            </w:r>
            <w:r>
              <w:rPr>
                <w:b/>
              </w:rPr>
              <w:t>INC 4 – Week 12</w:t>
            </w:r>
          </w:p>
        </w:tc>
      </w:tr>
      <w:tr w:rsidR="00FB104F" w:rsidRPr="00B1011F" w14:paraId="74957F90" w14:textId="77777777" w:rsidTr="001F545B">
        <w:tc>
          <w:tcPr>
            <w:tcW w:w="1642" w:type="pct"/>
            <w:vAlign w:val="center"/>
          </w:tcPr>
          <w:p w14:paraId="22AF8FDF" w14:textId="77777777" w:rsidR="00FB104F" w:rsidRPr="00B1011F" w:rsidRDefault="00FB104F" w:rsidP="001F545B">
            <w:pPr>
              <w:pStyle w:val="TableText0"/>
              <w:keepNext w:val="0"/>
              <w:widowControl w:val="0"/>
              <w:tabs>
                <w:tab w:val="left" w:pos="102"/>
              </w:tabs>
            </w:pPr>
            <w:r>
              <w:tab/>
              <w:t>N</w:t>
            </w:r>
          </w:p>
        </w:tc>
        <w:tc>
          <w:tcPr>
            <w:tcW w:w="1769" w:type="pct"/>
            <w:vAlign w:val="center"/>
          </w:tcPr>
          <w:p w14:paraId="442F111D" w14:textId="77777777" w:rsidR="00FB104F" w:rsidRPr="00B1011F" w:rsidRDefault="00FB104F" w:rsidP="001F545B">
            <w:pPr>
              <w:pStyle w:val="TableText0"/>
              <w:keepNext w:val="0"/>
              <w:widowControl w:val="0"/>
              <w:jc w:val="center"/>
            </w:pPr>
            <w:r>
              <w:t>N=48</w:t>
            </w:r>
          </w:p>
        </w:tc>
        <w:tc>
          <w:tcPr>
            <w:tcW w:w="1589" w:type="pct"/>
            <w:vAlign w:val="center"/>
          </w:tcPr>
          <w:p w14:paraId="5CB05ABA" w14:textId="77777777" w:rsidR="00FB104F" w:rsidRPr="00B1011F" w:rsidRDefault="00FB104F" w:rsidP="001F545B">
            <w:pPr>
              <w:pStyle w:val="TableText0"/>
              <w:keepNext w:val="0"/>
              <w:widowControl w:val="0"/>
              <w:jc w:val="center"/>
            </w:pPr>
            <w:r>
              <w:t>N=25</w:t>
            </w:r>
          </w:p>
        </w:tc>
      </w:tr>
      <w:tr w:rsidR="00FB104F" w:rsidRPr="00B1011F" w14:paraId="4B70F692" w14:textId="77777777" w:rsidTr="001F545B">
        <w:tc>
          <w:tcPr>
            <w:tcW w:w="1642" w:type="pct"/>
            <w:vAlign w:val="center"/>
          </w:tcPr>
          <w:p w14:paraId="264BAA08" w14:textId="77777777" w:rsidR="00FB104F" w:rsidRPr="00B1011F" w:rsidRDefault="00FB104F" w:rsidP="001F545B">
            <w:pPr>
              <w:pStyle w:val="TableText0"/>
              <w:keepNext w:val="0"/>
              <w:widowControl w:val="0"/>
              <w:tabs>
                <w:tab w:val="left" w:pos="102"/>
              </w:tabs>
            </w:pPr>
            <w:r>
              <w:tab/>
              <w:t xml:space="preserve">Complete response, n (%) </w:t>
            </w:r>
          </w:p>
        </w:tc>
        <w:tc>
          <w:tcPr>
            <w:tcW w:w="1769" w:type="pct"/>
            <w:vAlign w:val="center"/>
          </w:tcPr>
          <w:p w14:paraId="3FC6ABFB" w14:textId="77777777" w:rsidR="00FB104F" w:rsidRPr="00B1011F" w:rsidRDefault="00FB104F" w:rsidP="001F545B">
            <w:pPr>
              <w:pStyle w:val="TableText0"/>
              <w:keepNext w:val="0"/>
              <w:widowControl w:val="0"/>
              <w:jc w:val="center"/>
            </w:pPr>
            <w:r>
              <w:t>37 (77.1%)</w:t>
            </w:r>
          </w:p>
        </w:tc>
        <w:tc>
          <w:tcPr>
            <w:tcW w:w="1589" w:type="pct"/>
            <w:vAlign w:val="center"/>
          </w:tcPr>
          <w:p w14:paraId="43C08311" w14:textId="77777777" w:rsidR="00FB104F" w:rsidRPr="00B1011F" w:rsidRDefault="00FB104F" w:rsidP="001F545B">
            <w:pPr>
              <w:pStyle w:val="TableText0"/>
              <w:keepNext w:val="0"/>
              <w:widowControl w:val="0"/>
              <w:jc w:val="center"/>
            </w:pPr>
            <w:r>
              <w:t>2 (8.0%)</w:t>
            </w:r>
          </w:p>
        </w:tc>
      </w:tr>
      <w:tr w:rsidR="00FB104F" w:rsidRPr="00497D34" w14:paraId="33B65B3E" w14:textId="77777777" w:rsidTr="001F545B">
        <w:tc>
          <w:tcPr>
            <w:tcW w:w="1642" w:type="pct"/>
            <w:vAlign w:val="center"/>
          </w:tcPr>
          <w:p w14:paraId="47B01F3F" w14:textId="77777777" w:rsidR="00FB104F" w:rsidRPr="00B1011F" w:rsidRDefault="00FB104F" w:rsidP="001F545B">
            <w:pPr>
              <w:pStyle w:val="TableText0"/>
              <w:keepNext w:val="0"/>
              <w:widowControl w:val="0"/>
              <w:tabs>
                <w:tab w:val="left" w:pos="102"/>
              </w:tabs>
            </w:pPr>
            <w:r>
              <w:tab/>
              <w:t>OR (95% CI)</w:t>
            </w:r>
          </w:p>
        </w:tc>
        <w:tc>
          <w:tcPr>
            <w:tcW w:w="3358" w:type="pct"/>
            <w:gridSpan w:val="2"/>
            <w:vAlign w:val="center"/>
          </w:tcPr>
          <w:p w14:paraId="4AAB966B" w14:textId="77777777" w:rsidR="00FB104F" w:rsidRPr="00497D34" w:rsidRDefault="00FB104F" w:rsidP="001F545B">
            <w:pPr>
              <w:pStyle w:val="TableText0"/>
              <w:keepNext w:val="0"/>
              <w:widowControl w:val="0"/>
              <w:jc w:val="center"/>
              <w:rPr>
                <w:b/>
                <w:bCs w:val="0"/>
              </w:rPr>
            </w:pPr>
            <w:r>
              <w:rPr>
                <w:b/>
                <w:bCs w:val="0"/>
              </w:rPr>
              <w:t>43.4</w:t>
            </w:r>
            <w:r w:rsidRPr="00497D34">
              <w:rPr>
                <w:b/>
                <w:bCs w:val="0"/>
              </w:rPr>
              <w:t xml:space="preserve"> (</w:t>
            </w:r>
            <w:r>
              <w:rPr>
                <w:b/>
                <w:bCs w:val="0"/>
              </w:rPr>
              <w:t>7.06</w:t>
            </w:r>
            <w:r w:rsidRPr="00497D34">
              <w:rPr>
                <w:b/>
                <w:bCs w:val="0"/>
              </w:rPr>
              <w:t xml:space="preserve">, </w:t>
            </w:r>
            <w:r w:rsidRPr="00FB104F">
              <w:rPr>
                <w:b/>
                <w:bCs w:val="0"/>
              </w:rPr>
              <w:t>343.19)</w:t>
            </w:r>
          </w:p>
        </w:tc>
      </w:tr>
      <w:tr w:rsidR="00FB104F" w:rsidRPr="000615D2" w14:paraId="57051359" w14:textId="77777777" w:rsidTr="001F545B">
        <w:tc>
          <w:tcPr>
            <w:tcW w:w="1642" w:type="pct"/>
            <w:vAlign w:val="center"/>
          </w:tcPr>
          <w:p w14:paraId="75D7213A" w14:textId="77777777" w:rsidR="00FB104F" w:rsidRDefault="00FB104F" w:rsidP="001F545B">
            <w:pPr>
              <w:pStyle w:val="TableText0"/>
              <w:keepNext w:val="0"/>
              <w:widowControl w:val="0"/>
              <w:tabs>
                <w:tab w:val="left" w:pos="102"/>
              </w:tabs>
            </w:pPr>
            <w:r>
              <w:tab/>
              <w:t>Partial response, n (%)</w:t>
            </w:r>
          </w:p>
        </w:tc>
        <w:tc>
          <w:tcPr>
            <w:tcW w:w="1769" w:type="pct"/>
            <w:vAlign w:val="center"/>
          </w:tcPr>
          <w:p w14:paraId="5922A7C1" w14:textId="77777777" w:rsidR="00FB104F" w:rsidRPr="000615D2" w:rsidRDefault="00FB104F" w:rsidP="001F545B">
            <w:pPr>
              <w:pStyle w:val="TableText0"/>
              <w:keepNext w:val="0"/>
              <w:widowControl w:val="0"/>
              <w:jc w:val="center"/>
            </w:pPr>
            <w:r w:rsidRPr="000615D2">
              <w:t>2 (4.2%)</w:t>
            </w:r>
          </w:p>
        </w:tc>
        <w:tc>
          <w:tcPr>
            <w:tcW w:w="1589" w:type="pct"/>
            <w:vAlign w:val="center"/>
          </w:tcPr>
          <w:p w14:paraId="218A705B" w14:textId="77777777" w:rsidR="00FB104F" w:rsidRPr="000615D2" w:rsidRDefault="00FB104F" w:rsidP="001F545B">
            <w:pPr>
              <w:pStyle w:val="TableText0"/>
              <w:keepNext w:val="0"/>
              <w:widowControl w:val="0"/>
              <w:jc w:val="center"/>
            </w:pPr>
            <w:r>
              <w:t>2 (8.0%)</w:t>
            </w:r>
          </w:p>
        </w:tc>
      </w:tr>
      <w:tr w:rsidR="00FB104F" w:rsidRPr="000615D2" w14:paraId="7945F6F2" w14:textId="77777777" w:rsidTr="001F545B">
        <w:tc>
          <w:tcPr>
            <w:tcW w:w="1642" w:type="pct"/>
            <w:vAlign w:val="center"/>
          </w:tcPr>
          <w:p w14:paraId="78C41153" w14:textId="77777777" w:rsidR="00FB104F" w:rsidRDefault="00FB104F" w:rsidP="001F545B">
            <w:pPr>
              <w:pStyle w:val="TableText0"/>
              <w:keepNext w:val="0"/>
              <w:widowControl w:val="0"/>
              <w:tabs>
                <w:tab w:val="left" w:pos="102"/>
              </w:tabs>
            </w:pPr>
            <w:r>
              <w:tab/>
              <w:t>OR, RD, RR (95% CI)</w:t>
            </w:r>
          </w:p>
        </w:tc>
        <w:tc>
          <w:tcPr>
            <w:tcW w:w="3358" w:type="pct"/>
            <w:gridSpan w:val="2"/>
            <w:vAlign w:val="center"/>
          </w:tcPr>
          <w:p w14:paraId="14D98EBF" w14:textId="77777777" w:rsidR="00FB104F" w:rsidRPr="000615D2" w:rsidRDefault="00FB104F" w:rsidP="001F545B">
            <w:pPr>
              <w:pStyle w:val="TableText0"/>
              <w:keepNext w:val="0"/>
              <w:widowControl w:val="0"/>
              <w:jc w:val="center"/>
            </w:pPr>
            <w:r>
              <w:t>OR = 0.50 (0.07, 3.78); RD = -0.04 (-0.16, 0.08); RR = 0.52 (0.08, 3.48)</w:t>
            </w:r>
          </w:p>
        </w:tc>
      </w:tr>
      <w:tr w:rsidR="00FB104F" w:rsidRPr="000615D2" w14:paraId="3FE35347" w14:textId="77777777" w:rsidTr="001F545B">
        <w:tc>
          <w:tcPr>
            <w:tcW w:w="1642" w:type="pct"/>
            <w:vAlign w:val="center"/>
          </w:tcPr>
          <w:p w14:paraId="0C1F9FA6" w14:textId="77777777" w:rsidR="00FB104F" w:rsidRDefault="00FB104F" w:rsidP="001F545B">
            <w:pPr>
              <w:pStyle w:val="TableText0"/>
              <w:keepNext w:val="0"/>
              <w:widowControl w:val="0"/>
              <w:tabs>
                <w:tab w:val="left" w:pos="102"/>
              </w:tabs>
            </w:pPr>
            <w:r>
              <w:tab/>
              <w:t>Overall response, n (%)</w:t>
            </w:r>
          </w:p>
        </w:tc>
        <w:tc>
          <w:tcPr>
            <w:tcW w:w="1769" w:type="pct"/>
            <w:vAlign w:val="center"/>
          </w:tcPr>
          <w:p w14:paraId="343C4EFD" w14:textId="77777777" w:rsidR="00FB104F" w:rsidRPr="000615D2" w:rsidRDefault="00FB104F" w:rsidP="001F545B">
            <w:pPr>
              <w:pStyle w:val="TableText0"/>
              <w:keepNext w:val="0"/>
              <w:widowControl w:val="0"/>
              <w:jc w:val="center"/>
            </w:pPr>
            <w:r>
              <w:t>39 (81.3%)</w:t>
            </w:r>
          </w:p>
        </w:tc>
        <w:tc>
          <w:tcPr>
            <w:tcW w:w="1589" w:type="pct"/>
            <w:vAlign w:val="center"/>
          </w:tcPr>
          <w:p w14:paraId="08AF15C8" w14:textId="77777777" w:rsidR="00FB104F" w:rsidRPr="000615D2" w:rsidRDefault="00FB104F" w:rsidP="001F545B">
            <w:pPr>
              <w:pStyle w:val="TableText0"/>
              <w:keepNext w:val="0"/>
              <w:widowControl w:val="0"/>
              <w:jc w:val="center"/>
            </w:pPr>
            <w:r>
              <w:t>4 (16.0%)</w:t>
            </w:r>
          </w:p>
        </w:tc>
      </w:tr>
      <w:tr w:rsidR="00FB104F" w:rsidRPr="000615D2" w14:paraId="6357FDE4" w14:textId="77777777" w:rsidTr="001F545B">
        <w:tc>
          <w:tcPr>
            <w:tcW w:w="1642" w:type="pct"/>
            <w:vAlign w:val="center"/>
          </w:tcPr>
          <w:p w14:paraId="0EFE986C" w14:textId="77777777" w:rsidR="00FB104F" w:rsidRDefault="00FB104F" w:rsidP="001F545B">
            <w:pPr>
              <w:pStyle w:val="TableText0"/>
              <w:keepNext w:val="0"/>
              <w:widowControl w:val="0"/>
              <w:tabs>
                <w:tab w:val="left" w:pos="102"/>
              </w:tabs>
            </w:pPr>
            <w:r>
              <w:tab/>
              <w:t>OR, RD, RR (95% CI)</w:t>
            </w:r>
          </w:p>
        </w:tc>
        <w:tc>
          <w:tcPr>
            <w:tcW w:w="3358" w:type="pct"/>
            <w:gridSpan w:val="2"/>
            <w:vAlign w:val="center"/>
          </w:tcPr>
          <w:p w14:paraId="582A219A" w14:textId="77777777" w:rsidR="00FB104F" w:rsidRPr="000615D2" w:rsidRDefault="00FB104F" w:rsidP="001F545B">
            <w:pPr>
              <w:pStyle w:val="TableText0"/>
              <w:keepNext w:val="0"/>
              <w:widowControl w:val="0"/>
              <w:jc w:val="center"/>
            </w:pPr>
            <w:r>
              <w:t xml:space="preserve">OR = </w:t>
            </w:r>
            <w:r w:rsidRPr="000615D2">
              <w:rPr>
                <w:b/>
                <w:bCs w:val="0"/>
              </w:rPr>
              <w:t>22.75 (6.25, 82.79</w:t>
            </w:r>
            <w:r>
              <w:t xml:space="preserve">); RD = </w:t>
            </w:r>
            <w:r w:rsidRPr="00A633A2">
              <w:rPr>
                <w:b/>
                <w:bCs w:val="0"/>
              </w:rPr>
              <w:t>0.65 (0.47, 0.83)</w:t>
            </w:r>
            <w:r>
              <w:t xml:space="preserve">; RR = </w:t>
            </w:r>
            <w:r w:rsidRPr="00A633A2">
              <w:rPr>
                <w:b/>
                <w:bCs w:val="0"/>
              </w:rPr>
              <w:t>5.08 (2.05, 12.60)</w:t>
            </w:r>
          </w:p>
        </w:tc>
      </w:tr>
    </w:tbl>
    <w:p w14:paraId="2F00BD3C" w14:textId="059D4382" w:rsidR="00FB104F" w:rsidRDefault="00FB104F" w:rsidP="00FB104F">
      <w:pPr>
        <w:pStyle w:val="FooterTableFigure"/>
      </w:pPr>
      <w:r>
        <w:t xml:space="preserve">Source: </w:t>
      </w:r>
      <w:r w:rsidRPr="00AB08F8">
        <w:t>Table 2.5-1, p124; Table 2.5-12, p138; Table 2.5-13, p138 of the submission.</w:t>
      </w:r>
    </w:p>
    <w:p w14:paraId="7D3393DC" w14:textId="5CF8CD74" w:rsidR="00054CBD" w:rsidRPr="00B1011F" w:rsidRDefault="00054CBD" w:rsidP="00FB104F">
      <w:pPr>
        <w:pStyle w:val="FooterTableFigure"/>
        <w:rPr>
          <w:sz w:val="20"/>
        </w:rPr>
      </w:pPr>
      <w:r>
        <w:t xml:space="preserve">Complete response: mUFC ≤ ULN; partial response: mUFC &gt; ULN but ≥50% reduction from baseline; </w:t>
      </w:r>
      <w:r w:rsidR="00263715">
        <w:t>o</w:t>
      </w:r>
      <w:r>
        <w:t>verall response: either a complete or partial response.</w:t>
      </w:r>
    </w:p>
    <w:p w14:paraId="114B035C" w14:textId="7BB7B648" w:rsidR="00B83739" w:rsidRPr="00FB104F" w:rsidRDefault="00FB104F" w:rsidP="00D86231">
      <w:pPr>
        <w:pStyle w:val="FooterTableFigure"/>
      </w:pPr>
      <w:r w:rsidRPr="00B40358">
        <w:rPr>
          <w:rFonts w:eastAsia="Calibri"/>
        </w:rPr>
        <w:t xml:space="preserve">CI = confidence interval; </w:t>
      </w:r>
      <w:r>
        <w:rPr>
          <w:rFonts w:eastAsia="Calibri"/>
        </w:rPr>
        <w:t xml:space="preserve">OR = odds ratio; RD = risk difference; RR = relative risk; </w:t>
      </w:r>
      <w:r w:rsidRPr="00AA6712">
        <w:rPr>
          <w:rFonts w:eastAsia="Calibri"/>
          <w:b/>
          <w:bCs/>
        </w:rPr>
        <w:t>bold</w:t>
      </w:r>
      <w:r>
        <w:rPr>
          <w:rFonts w:eastAsia="Calibri"/>
        </w:rPr>
        <w:t xml:space="preserve"> = statistically significant</w:t>
      </w:r>
    </w:p>
    <w:p w14:paraId="4B69C81D" w14:textId="2CCDB836" w:rsidR="00D86231" w:rsidRPr="008C713C" w:rsidRDefault="00F018CE" w:rsidP="00FB104F">
      <w:pPr>
        <w:pStyle w:val="3-BodyText"/>
        <w:rPr>
          <w:lang w:val="en-US"/>
        </w:rPr>
      </w:pPr>
      <w:r>
        <w:t>The proportion of patients with complete response</w:t>
      </w:r>
      <w:r w:rsidR="00066DF4">
        <w:t xml:space="preserve"> was</w:t>
      </w:r>
      <w:r>
        <w:t xml:space="preserve"> used by the submission as the basis of the economic evaluation</w:t>
      </w:r>
      <w:r w:rsidR="00066DF4">
        <w:t>.</w:t>
      </w:r>
      <w:r>
        <w:t xml:space="preserve"> </w:t>
      </w:r>
      <w:r w:rsidR="00066DF4" w:rsidRPr="00721D5A">
        <w:rPr>
          <w:iCs/>
        </w:rPr>
        <w:t>Although the outcome was</w:t>
      </w:r>
      <w:r w:rsidRPr="00721D5A">
        <w:rPr>
          <w:iCs/>
        </w:rPr>
        <w:t xml:space="preserve"> statistically significant in favour of osilodrostat,</w:t>
      </w:r>
      <w:r w:rsidR="00066DF4" w:rsidRPr="00721D5A">
        <w:rPr>
          <w:iCs/>
        </w:rPr>
        <w:t xml:space="preserve"> the</w:t>
      </w:r>
      <w:r w:rsidRPr="00721D5A">
        <w:rPr>
          <w:iCs/>
        </w:rPr>
        <w:t xml:space="preserve"> 95% confidence intervals</w:t>
      </w:r>
      <w:r w:rsidR="00066DF4" w:rsidRPr="00721D5A">
        <w:rPr>
          <w:iCs/>
        </w:rPr>
        <w:t xml:space="preserve"> were very wide</w:t>
      </w:r>
      <w:r w:rsidRPr="00721D5A">
        <w:rPr>
          <w:iCs/>
        </w:rPr>
        <w:t>, particularly in LINC 4 (7.06 to 343.19).</w:t>
      </w:r>
      <w:r w:rsidR="004B485D" w:rsidRPr="00721D5A">
        <w:rPr>
          <w:iCs/>
        </w:rPr>
        <w:t xml:space="preserve"> </w:t>
      </w:r>
      <w:r w:rsidRPr="004149CD">
        <w:rPr>
          <w:iCs/>
        </w:rPr>
        <w:t xml:space="preserve">Acknowledging the reasonably small sample size of LINC 4 (N=73), the wide confidence interval </w:t>
      </w:r>
      <w:r w:rsidR="0076111F" w:rsidRPr="004149CD">
        <w:rPr>
          <w:iCs/>
        </w:rPr>
        <w:t xml:space="preserve">suggests low precision and values with low credibility, and therefore </w:t>
      </w:r>
      <w:r w:rsidR="00450F56" w:rsidRPr="004149CD">
        <w:rPr>
          <w:iCs/>
        </w:rPr>
        <w:t xml:space="preserve">uncertainty </w:t>
      </w:r>
      <w:r w:rsidR="00A52391" w:rsidRPr="004149CD">
        <w:rPr>
          <w:iCs/>
        </w:rPr>
        <w:t>in the</w:t>
      </w:r>
      <w:r w:rsidR="00450F56" w:rsidRPr="004149CD">
        <w:rPr>
          <w:iCs/>
        </w:rPr>
        <w:t xml:space="preserve"> estimate of</w:t>
      </w:r>
      <w:r w:rsidR="00A52391" w:rsidRPr="004149CD">
        <w:rPr>
          <w:iCs/>
        </w:rPr>
        <w:t xml:space="preserve"> benefit</w:t>
      </w:r>
      <w:r w:rsidR="00CA1927">
        <w:rPr>
          <w:iCs/>
        </w:rPr>
        <w:t>.</w:t>
      </w:r>
    </w:p>
    <w:p w14:paraId="7A5BC6DF" w14:textId="015161F2" w:rsidR="007006EE" w:rsidRPr="004149CD" w:rsidRDefault="007006EE" w:rsidP="00FB104F">
      <w:pPr>
        <w:pStyle w:val="3-BodyText"/>
        <w:rPr>
          <w:lang w:val="en-US"/>
        </w:rPr>
      </w:pPr>
      <w:r w:rsidRPr="004149CD">
        <w:rPr>
          <w:iCs/>
          <w:lang w:val="en-US"/>
        </w:rPr>
        <w:t xml:space="preserve">Comparisons of osilodrostat and placebo at Week 12 for </w:t>
      </w:r>
      <w:r w:rsidRPr="004149CD">
        <w:rPr>
          <w:iCs/>
        </w:rPr>
        <w:t xml:space="preserve">cardiovascular and metabolic parameters and physical features </w:t>
      </w:r>
      <w:r w:rsidR="00450F56" w:rsidRPr="004149CD">
        <w:rPr>
          <w:iCs/>
        </w:rPr>
        <w:t>showed</w:t>
      </w:r>
      <w:r w:rsidR="008854F0" w:rsidRPr="004149CD">
        <w:rPr>
          <w:iCs/>
        </w:rPr>
        <w:t xml:space="preserve"> </w:t>
      </w:r>
      <w:r w:rsidRPr="004149CD">
        <w:rPr>
          <w:iCs/>
        </w:rPr>
        <w:t>mixed results</w:t>
      </w:r>
      <w:r w:rsidRPr="004149CD">
        <w:t>.</w:t>
      </w:r>
      <w:r w:rsidR="004B485D" w:rsidRPr="004149CD">
        <w:t xml:space="preserve"> </w:t>
      </w:r>
      <w:r w:rsidRPr="004149CD">
        <w:t>There was a statistically significant greater improvement for osilodrostat-treated patients compared to placebo for HbA1c, cholesterol, LDL, cholesterol, and supine blood pressure.</w:t>
      </w:r>
      <w:r w:rsidR="004B485D" w:rsidRPr="004149CD">
        <w:t xml:space="preserve"> </w:t>
      </w:r>
      <w:r w:rsidRPr="004149CD">
        <w:t>There was also a statistically significant greater reduction in HDL cholesterol for osilodrostat-treated patients, although as acknowledged by the submission, a reduction in HDL cholesterol may be undesirable.</w:t>
      </w:r>
      <w:r w:rsidR="004B485D" w:rsidRPr="004149CD">
        <w:t xml:space="preserve"> </w:t>
      </w:r>
      <w:r w:rsidRPr="004149CD">
        <w:t xml:space="preserve">There were no differences between osilodrostat and </w:t>
      </w:r>
      <w:r w:rsidRPr="004149CD">
        <w:lastRenderedPageBreak/>
        <w:t>placebo for fasting glucose, triglycerides, standing blood pressure, body weight, waist circumference and improvements in physical features.</w:t>
      </w:r>
    </w:p>
    <w:p w14:paraId="1E5B9094" w14:textId="381E65C1" w:rsidR="00977E71" w:rsidRPr="008C713C" w:rsidRDefault="00BF0F19" w:rsidP="00FB104F">
      <w:pPr>
        <w:pStyle w:val="3-BodyText"/>
        <w:rPr>
          <w:lang w:val="en-US"/>
        </w:rPr>
      </w:pPr>
      <w:r w:rsidRPr="00BF0F19">
        <w:rPr>
          <w:lang w:val="en-US"/>
        </w:rPr>
        <w:t>The submission provided longer-term</w:t>
      </w:r>
      <w:r>
        <w:rPr>
          <w:lang w:val="en-US"/>
        </w:rPr>
        <w:t xml:space="preserve"> response data for the LINC 4 trial, with complete, partial and overall response at Week 36 and Week 48. </w:t>
      </w:r>
      <w:r w:rsidR="00977E71" w:rsidRPr="008C713C">
        <w:rPr>
          <w:lang w:val="en-US"/>
        </w:rPr>
        <w:t>In LINC 4, from Week 12 to 48 all patients received osilodrostat, and then responding patients could enter the extension phase of the trial. As can be seen in Table 5, response decreased over time, in both osilodrostat, and placebo + osilodrostat-treated patients.</w:t>
      </w:r>
    </w:p>
    <w:p w14:paraId="05BEC07D" w14:textId="07281860" w:rsidR="005A05A3" w:rsidRPr="00B70BF5" w:rsidRDefault="00BF0F19" w:rsidP="005A05A3">
      <w:pPr>
        <w:rPr>
          <w:bCs/>
          <w:lang w:val="en-US"/>
        </w:rPr>
      </w:pPr>
      <w:bookmarkStart w:id="20" w:name="_Ref124672717"/>
      <w:r w:rsidRPr="00B70BF5">
        <w:rPr>
          <w:rFonts w:ascii="Arial Narrow" w:hAnsi="Arial Narrow"/>
          <w:b/>
          <w:iCs/>
          <w:sz w:val="20"/>
          <w:szCs w:val="20"/>
        </w:rPr>
        <w:t xml:space="preserve">Table </w:t>
      </w:r>
      <w:r w:rsidRPr="00B70BF5">
        <w:rPr>
          <w:rFonts w:ascii="Arial Narrow" w:hAnsi="Arial Narrow"/>
          <w:b/>
          <w:iCs/>
          <w:sz w:val="20"/>
          <w:szCs w:val="20"/>
        </w:rPr>
        <w:fldChar w:fldCharType="begin"/>
      </w:r>
      <w:r w:rsidRPr="00B70BF5">
        <w:rPr>
          <w:rFonts w:ascii="Arial Narrow" w:hAnsi="Arial Narrow"/>
          <w:b/>
          <w:iCs/>
          <w:sz w:val="20"/>
          <w:szCs w:val="20"/>
        </w:rPr>
        <w:instrText xml:space="preserve"> SEQ Table \* ARABIC </w:instrText>
      </w:r>
      <w:r w:rsidRPr="00B70BF5">
        <w:rPr>
          <w:rFonts w:ascii="Arial Narrow" w:hAnsi="Arial Narrow"/>
          <w:b/>
          <w:iCs/>
          <w:sz w:val="20"/>
          <w:szCs w:val="20"/>
        </w:rPr>
        <w:fldChar w:fldCharType="separate"/>
      </w:r>
      <w:r w:rsidR="00A9220E">
        <w:rPr>
          <w:rFonts w:ascii="Arial Narrow" w:hAnsi="Arial Narrow"/>
          <w:b/>
          <w:iCs/>
          <w:noProof/>
          <w:sz w:val="20"/>
          <w:szCs w:val="20"/>
        </w:rPr>
        <w:t>5</w:t>
      </w:r>
      <w:r w:rsidRPr="00B70BF5">
        <w:rPr>
          <w:rFonts w:ascii="Arial Narrow" w:hAnsi="Arial Narrow"/>
          <w:b/>
          <w:iCs/>
          <w:noProof/>
          <w:sz w:val="20"/>
          <w:szCs w:val="20"/>
        </w:rPr>
        <w:fldChar w:fldCharType="end"/>
      </w:r>
      <w:bookmarkEnd w:id="20"/>
      <w:r w:rsidRPr="00B70BF5">
        <w:rPr>
          <w:b/>
          <w:iCs/>
        </w:rPr>
        <w:t>:</w:t>
      </w:r>
      <w:r w:rsidRPr="00B70BF5">
        <w:rPr>
          <w:rStyle w:val="CommentReference"/>
          <w:bCs/>
          <w:szCs w:val="24"/>
        </w:rPr>
        <w:t xml:space="preserve"> </w:t>
      </w:r>
      <w:r w:rsidR="005A05A3" w:rsidRPr="00B70BF5">
        <w:rPr>
          <w:rStyle w:val="CommentReference"/>
          <w:bCs/>
          <w:iCs/>
          <w:szCs w:val="24"/>
        </w:rPr>
        <w:t>Complete response in LINC 4 – Week 48 to Week 96</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32"/>
        <w:gridCol w:w="3158"/>
        <w:gridCol w:w="2837"/>
      </w:tblGrid>
      <w:tr w:rsidR="00F05A3B" w:rsidRPr="005624FC" w14:paraId="493D808C" w14:textId="77777777" w:rsidTr="003F39A4">
        <w:trPr>
          <w:tblHeader/>
        </w:trPr>
        <w:tc>
          <w:tcPr>
            <w:tcW w:w="1642" w:type="pct"/>
            <w:vMerge w:val="restart"/>
            <w:vAlign w:val="center"/>
          </w:tcPr>
          <w:p w14:paraId="01EB2766" w14:textId="77777777" w:rsidR="005A05A3" w:rsidRPr="008C713C" w:rsidRDefault="005A05A3" w:rsidP="003F39A4">
            <w:pPr>
              <w:pStyle w:val="In-tableHeading"/>
              <w:tabs>
                <w:tab w:val="left" w:pos="102"/>
              </w:tabs>
              <w:rPr>
                <w:iCs/>
              </w:rPr>
            </w:pPr>
          </w:p>
        </w:tc>
        <w:tc>
          <w:tcPr>
            <w:tcW w:w="3358" w:type="pct"/>
            <w:gridSpan w:val="2"/>
            <w:vAlign w:val="center"/>
          </w:tcPr>
          <w:p w14:paraId="35531912" w14:textId="77777777" w:rsidR="005A05A3" w:rsidRPr="00721D5A" w:rsidRDefault="005A05A3" w:rsidP="003F39A4">
            <w:pPr>
              <w:pStyle w:val="In-tableHeading"/>
              <w:jc w:val="center"/>
              <w:rPr>
                <w:b w:val="0"/>
                <w:iCs/>
              </w:rPr>
            </w:pPr>
            <w:r w:rsidRPr="00721D5A">
              <w:rPr>
                <w:b w:val="0"/>
                <w:iCs/>
              </w:rPr>
              <w:t>Complete response n/N (%)</w:t>
            </w:r>
          </w:p>
        </w:tc>
      </w:tr>
      <w:tr w:rsidR="00F05A3B" w:rsidRPr="005624FC" w14:paraId="338095D3" w14:textId="77777777" w:rsidTr="003F39A4">
        <w:trPr>
          <w:tblHeader/>
        </w:trPr>
        <w:tc>
          <w:tcPr>
            <w:tcW w:w="1642" w:type="pct"/>
            <w:vMerge/>
            <w:vAlign w:val="center"/>
          </w:tcPr>
          <w:p w14:paraId="1BB040C3" w14:textId="77777777" w:rsidR="005A05A3" w:rsidRPr="008C713C" w:rsidRDefault="005A05A3" w:rsidP="003F39A4">
            <w:pPr>
              <w:pStyle w:val="In-tableHeading"/>
              <w:tabs>
                <w:tab w:val="left" w:pos="102"/>
              </w:tabs>
              <w:rPr>
                <w:iCs/>
              </w:rPr>
            </w:pPr>
          </w:p>
        </w:tc>
        <w:tc>
          <w:tcPr>
            <w:tcW w:w="1769" w:type="pct"/>
            <w:vAlign w:val="center"/>
          </w:tcPr>
          <w:p w14:paraId="53B1426B" w14:textId="77777777" w:rsidR="005A05A3" w:rsidRPr="008C713C" w:rsidRDefault="005A05A3" w:rsidP="003F39A4">
            <w:pPr>
              <w:pStyle w:val="In-tableHeading"/>
              <w:jc w:val="center"/>
              <w:rPr>
                <w:iCs/>
              </w:rPr>
            </w:pPr>
            <w:r w:rsidRPr="00721D5A">
              <w:rPr>
                <w:b w:val="0"/>
                <w:iCs/>
              </w:rPr>
              <w:t xml:space="preserve">Osilodrostat </w:t>
            </w:r>
          </w:p>
        </w:tc>
        <w:tc>
          <w:tcPr>
            <w:tcW w:w="1589" w:type="pct"/>
            <w:vAlign w:val="center"/>
          </w:tcPr>
          <w:p w14:paraId="524DEAF2" w14:textId="0A69F4E4" w:rsidR="005A05A3" w:rsidRPr="00721D5A" w:rsidRDefault="005A05A3" w:rsidP="003F39A4">
            <w:pPr>
              <w:pStyle w:val="In-tableHeading"/>
              <w:jc w:val="center"/>
              <w:rPr>
                <w:b w:val="0"/>
                <w:iCs/>
              </w:rPr>
            </w:pPr>
            <w:r w:rsidRPr="00721D5A">
              <w:rPr>
                <w:b w:val="0"/>
                <w:iCs/>
              </w:rPr>
              <w:t xml:space="preserve">Placebo </w:t>
            </w:r>
            <w:r w:rsidR="009C6EAC">
              <w:rPr>
                <w:b w:val="0"/>
                <w:iCs/>
              </w:rPr>
              <w:t>+ osilodrostat</w:t>
            </w:r>
          </w:p>
        </w:tc>
      </w:tr>
      <w:tr w:rsidR="00F05A3B" w:rsidRPr="005624FC" w14:paraId="5CEFCD16" w14:textId="77777777" w:rsidTr="003F39A4">
        <w:tc>
          <w:tcPr>
            <w:tcW w:w="1642" w:type="pct"/>
            <w:vAlign w:val="center"/>
          </w:tcPr>
          <w:p w14:paraId="02F5CD01" w14:textId="77777777" w:rsidR="005A05A3" w:rsidRPr="008C713C" w:rsidRDefault="005A05A3" w:rsidP="003F39A4">
            <w:pPr>
              <w:pStyle w:val="TableText0"/>
              <w:tabs>
                <w:tab w:val="left" w:pos="102"/>
              </w:tabs>
              <w:rPr>
                <w:iCs/>
              </w:rPr>
            </w:pPr>
            <w:r w:rsidRPr="00721D5A">
              <w:rPr>
                <w:iCs/>
              </w:rPr>
              <w:tab/>
              <w:t xml:space="preserve">Week 48 </w:t>
            </w:r>
          </w:p>
        </w:tc>
        <w:tc>
          <w:tcPr>
            <w:tcW w:w="1769" w:type="pct"/>
          </w:tcPr>
          <w:p w14:paraId="2AC641AF" w14:textId="77777777" w:rsidR="005A05A3" w:rsidRPr="008C713C" w:rsidRDefault="005A05A3" w:rsidP="003F39A4">
            <w:pPr>
              <w:pStyle w:val="TableText0"/>
              <w:jc w:val="center"/>
              <w:rPr>
                <w:iCs/>
              </w:rPr>
            </w:pPr>
            <w:r w:rsidRPr="00721D5A">
              <w:rPr>
                <w:iCs/>
              </w:rPr>
              <w:t>34/48 (70.8%)</w:t>
            </w:r>
          </w:p>
        </w:tc>
        <w:tc>
          <w:tcPr>
            <w:tcW w:w="1589" w:type="pct"/>
          </w:tcPr>
          <w:p w14:paraId="12D29166" w14:textId="77777777" w:rsidR="005A05A3" w:rsidRPr="00721D5A" w:rsidRDefault="005A05A3" w:rsidP="003F39A4">
            <w:pPr>
              <w:pStyle w:val="TableText0"/>
              <w:jc w:val="center"/>
              <w:rPr>
                <w:iCs/>
              </w:rPr>
            </w:pPr>
            <w:r w:rsidRPr="00721D5A">
              <w:rPr>
                <w:iCs/>
              </w:rPr>
              <w:t>16/25 (64.0%)</w:t>
            </w:r>
          </w:p>
        </w:tc>
      </w:tr>
      <w:tr w:rsidR="00F05A3B" w:rsidRPr="005624FC" w14:paraId="5E95C81E" w14:textId="77777777" w:rsidTr="003F39A4">
        <w:tc>
          <w:tcPr>
            <w:tcW w:w="1642" w:type="pct"/>
            <w:vAlign w:val="center"/>
          </w:tcPr>
          <w:p w14:paraId="08288BAB" w14:textId="77777777" w:rsidR="005A05A3" w:rsidRPr="008C713C" w:rsidRDefault="005A05A3" w:rsidP="003F39A4">
            <w:pPr>
              <w:pStyle w:val="TableText0"/>
              <w:tabs>
                <w:tab w:val="left" w:pos="102"/>
              </w:tabs>
              <w:rPr>
                <w:iCs/>
              </w:rPr>
            </w:pPr>
            <w:r w:rsidRPr="00721D5A">
              <w:rPr>
                <w:iCs/>
              </w:rPr>
              <w:tab/>
              <w:t>Week 60</w:t>
            </w:r>
          </w:p>
        </w:tc>
        <w:tc>
          <w:tcPr>
            <w:tcW w:w="1769" w:type="pct"/>
          </w:tcPr>
          <w:p w14:paraId="1682C629" w14:textId="77777777" w:rsidR="005A05A3" w:rsidRPr="008C713C" w:rsidRDefault="005A05A3" w:rsidP="003F39A4">
            <w:pPr>
              <w:pStyle w:val="TableText0"/>
              <w:jc w:val="center"/>
              <w:rPr>
                <w:iCs/>
              </w:rPr>
            </w:pPr>
            <w:r w:rsidRPr="00721D5A">
              <w:rPr>
                <w:iCs/>
              </w:rPr>
              <w:t>25/44 (56.8%)</w:t>
            </w:r>
          </w:p>
        </w:tc>
        <w:tc>
          <w:tcPr>
            <w:tcW w:w="1589" w:type="pct"/>
          </w:tcPr>
          <w:p w14:paraId="31F8DEB9" w14:textId="77777777" w:rsidR="005A05A3" w:rsidRPr="00721D5A" w:rsidRDefault="005A05A3" w:rsidP="003F39A4">
            <w:pPr>
              <w:pStyle w:val="TableText0"/>
              <w:jc w:val="center"/>
              <w:rPr>
                <w:iCs/>
              </w:rPr>
            </w:pPr>
            <w:r w:rsidRPr="00721D5A">
              <w:rPr>
                <w:iCs/>
              </w:rPr>
              <w:t>16/24 (66.7%)</w:t>
            </w:r>
          </w:p>
        </w:tc>
      </w:tr>
      <w:tr w:rsidR="00F05A3B" w:rsidRPr="005624FC" w14:paraId="198D0965" w14:textId="77777777" w:rsidTr="003F39A4">
        <w:tc>
          <w:tcPr>
            <w:tcW w:w="1642" w:type="pct"/>
            <w:tcBorders>
              <w:bottom w:val="single" w:sz="4" w:space="0" w:color="auto"/>
            </w:tcBorders>
            <w:vAlign w:val="center"/>
          </w:tcPr>
          <w:p w14:paraId="17E1DEEF" w14:textId="77777777" w:rsidR="005A05A3" w:rsidRPr="008C713C" w:rsidRDefault="005A05A3" w:rsidP="003F39A4">
            <w:pPr>
              <w:pStyle w:val="TableText0"/>
              <w:tabs>
                <w:tab w:val="left" w:pos="102"/>
              </w:tabs>
              <w:rPr>
                <w:iCs/>
              </w:rPr>
            </w:pPr>
            <w:r w:rsidRPr="00721D5A">
              <w:rPr>
                <w:iCs/>
              </w:rPr>
              <w:tab/>
              <w:t>Week 72</w:t>
            </w:r>
          </w:p>
        </w:tc>
        <w:tc>
          <w:tcPr>
            <w:tcW w:w="1769" w:type="pct"/>
            <w:tcBorders>
              <w:bottom w:val="single" w:sz="4" w:space="0" w:color="auto"/>
            </w:tcBorders>
          </w:tcPr>
          <w:p w14:paraId="4F32255B" w14:textId="77777777" w:rsidR="005A05A3" w:rsidRPr="008C713C" w:rsidRDefault="005A05A3" w:rsidP="003F39A4">
            <w:pPr>
              <w:pStyle w:val="TableText0"/>
              <w:jc w:val="center"/>
              <w:rPr>
                <w:iCs/>
              </w:rPr>
            </w:pPr>
            <w:r w:rsidRPr="00721D5A">
              <w:rPr>
                <w:iCs/>
              </w:rPr>
              <w:t>25/41 (61.0%)</w:t>
            </w:r>
          </w:p>
        </w:tc>
        <w:tc>
          <w:tcPr>
            <w:tcW w:w="1589" w:type="pct"/>
            <w:tcBorders>
              <w:bottom w:val="single" w:sz="4" w:space="0" w:color="auto"/>
            </w:tcBorders>
          </w:tcPr>
          <w:p w14:paraId="51CFE62E" w14:textId="77777777" w:rsidR="005A05A3" w:rsidRPr="00721D5A" w:rsidRDefault="005A05A3" w:rsidP="003F39A4">
            <w:pPr>
              <w:pStyle w:val="TableText0"/>
              <w:jc w:val="center"/>
              <w:rPr>
                <w:iCs/>
              </w:rPr>
            </w:pPr>
            <w:r w:rsidRPr="00721D5A">
              <w:rPr>
                <w:iCs/>
              </w:rPr>
              <w:t>15/24 (62.5%)</w:t>
            </w:r>
          </w:p>
        </w:tc>
      </w:tr>
      <w:tr w:rsidR="00F05A3B" w:rsidRPr="005624FC" w14:paraId="11C06540" w14:textId="77777777" w:rsidTr="003F39A4">
        <w:tc>
          <w:tcPr>
            <w:tcW w:w="1642" w:type="pct"/>
            <w:tcBorders>
              <w:bottom w:val="single" w:sz="4" w:space="0" w:color="auto"/>
            </w:tcBorders>
            <w:vAlign w:val="center"/>
          </w:tcPr>
          <w:p w14:paraId="32FE89B9" w14:textId="77777777" w:rsidR="005A05A3" w:rsidRPr="008C713C" w:rsidRDefault="005A05A3" w:rsidP="003F39A4">
            <w:pPr>
              <w:pStyle w:val="TableText0"/>
              <w:tabs>
                <w:tab w:val="left" w:pos="102"/>
              </w:tabs>
              <w:rPr>
                <w:iCs/>
              </w:rPr>
            </w:pPr>
            <w:r w:rsidRPr="00721D5A">
              <w:rPr>
                <w:iCs/>
              </w:rPr>
              <w:tab/>
              <w:t>Week 84</w:t>
            </w:r>
          </w:p>
        </w:tc>
        <w:tc>
          <w:tcPr>
            <w:tcW w:w="1769" w:type="pct"/>
            <w:tcBorders>
              <w:bottom w:val="single" w:sz="4" w:space="0" w:color="auto"/>
            </w:tcBorders>
          </w:tcPr>
          <w:p w14:paraId="69F64C35" w14:textId="77777777" w:rsidR="005A05A3" w:rsidRPr="008C713C" w:rsidRDefault="005A05A3" w:rsidP="003F39A4">
            <w:pPr>
              <w:pStyle w:val="TableText0"/>
              <w:jc w:val="center"/>
              <w:rPr>
                <w:iCs/>
              </w:rPr>
            </w:pPr>
            <w:r w:rsidRPr="00721D5A">
              <w:rPr>
                <w:iCs/>
              </w:rPr>
              <w:t>18/38 (47.4%)</w:t>
            </w:r>
          </w:p>
        </w:tc>
        <w:tc>
          <w:tcPr>
            <w:tcW w:w="1589" w:type="pct"/>
            <w:tcBorders>
              <w:bottom w:val="single" w:sz="4" w:space="0" w:color="auto"/>
            </w:tcBorders>
          </w:tcPr>
          <w:p w14:paraId="28D66A77" w14:textId="77777777" w:rsidR="005A05A3" w:rsidRPr="00721D5A" w:rsidRDefault="005A05A3" w:rsidP="003F39A4">
            <w:pPr>
              <w:pStyle w:val="TableText0"/>
              <w:jc w:val="center"/>
              <w:rPr>
                <w:iCs/>
              </w:rPr>
            </w:pPr>
            <w:r w:rsidRPr="00721D5A">
              <w:rPr>
                <w:iCs/>
              </w:rPr>
              <w:t>13/23 (56.5%)</w:t>
            </w:r>
          </w:p>
        </w:tc>
      </w:tr>
      <w:tr w:rsidR="00F05A3B" w:rsidRPr="005624FC" w14:paraId="49A6A411" w14:textId="77777777" w:rsidTr="003F39A4">
        <w:tc>
          <w:tcPr>
            <w:tcW w:w="1642" w:type="pct"/>
            <w:tcBorders>
              <w:bottom w:val="single" w:sz="4" w:space="0" w:color="auto"/>
            </w:tcBorders>
            <w:vAlign w:val="center"/>
          </w:tcPr>
          <w:p w14:paraId="7590D3CB" w14:textId="77777777" w:rsidR="005A05A3" w:rsidRPr="008C713C" w:rsidRDefault="005A05A3" w:rsidP="003F39A4">
            <w:pPr>
              <w:pStyle w:val="TableText0"/>
              <w:tabs>
                <w:tab w:val="left" w:pos="102"/>
              </w:tabs>
              <w:rPr>
                <w:iCs/>
              </w:rPr>
            </w:pPr>
            <w:r w:rsidRPr="00721D5A">
              <w:rPr>
                <w:iCs/>
              </w:rPr>
              <w:tab/>
              <w:t>Week 96</w:t>
            </w:r>
          </w:p>
        </w:tc>
        <w:tc>
          <w:tcPr>
            <w:tcW w:w="1769" w:type="pct"/>
            <w:tcBorders>
              <w:bottom w:val="single" w:sz="4" w:space="0" w:color="auto"/>
            </w:tcBorders>
          </w:tcPr>
          <w:p w14:paraId="501A1831" w14:textId="77777777" w:rsidR="005A05A3" w:rsidRPr="008C713C" w:rsidRDefault="005A05A3" w:rsidP="003F39A4">
            <w:pPr>
              <w:pStyle w:val="TableText0"/>
              <w:jc w:val="center"/>
              <w:rPr>
                <w:iCs/>
              </w:rPr>
            </w:pPr>
            <w:r w:rsidRPr="00721D5A">
              <w:rPr>
                <w:iCs/>
              </w:rPr>
              <w:t>4/19 (21.1%)</w:t>
            </w:r>
          </w:p>
        </w:tc>
        <w:tc>
          <w:tcPr>
            <w:tcW w:w="1589" w:type="pct"/>
            <w:tcBorders>
              <w:bottom w:val="single" w:sz="4" w:space="0" w:color="auto"/>
            </w:tcBorders>
          </w:tcPr>
          <w:p w14:paraId="141EFCF9" w14:textId="77777777" w:rsidR="005A05A3" w:rsidRPr="00721D5A" w:rsidRDefault="005A05A3" w:rsidP="003F39A4">
            <w:pPr>
              <w:pStyle w:val="TableText0"/>
              <w:jc w:val="center"/>
              <w:rPr>
                <w:iCs/>
              </w:rPr>
            </w:pPr>
            <w:r w:rsidRPr="00721D5A">
              <w:rPr>
                <w:iCs/>
              </w:rPr>
              <w:t>6/13 (46.2%)</w:t>
            </w:r>
          </w:p>
        </w:tc>
      </w:tr>
    </w:tbl>
    <w:p w14:paraId="1CEACA6F" w14:textId="77777777" w:rsidR="005A05A3" w:rsidRPr="009D06A5" w:rsidRDefault="005A05A3" w:rsidP="005A05A3">
      <w:pPr>
        <w:pStyle w:val="FooterTableFigure"/>
        <w:rPr>
          <w:lang w:val="en-US"/>
        </w:rPr>
      </w:pPr>
      <w:r w:rsidRPr="005624FC">
        <w:t xml:space="preserve">Source: </w:t>
      </w:r>
      <w:r w:rsidRPr="00AB08F8">
        <w:t>Table 14.2-3.1, p109-114 of the LINC 4 CSR.</w:t>
      </w:r>
    </w:p>
    <w:p w14:paraId="48003755" w14:textId="4713BA25" w:rsidR="0025498C" w:rsidRPr="0025498C" w:rsidRDefault="002A2E8F" w:rsidP="002A2E8F">
      <w:pPr>
        <w:pStyle w:val="3-BodyText"/>
        <w:rPr>
          <w:iCs/>
        </w:rPr>
      </w:pPr>
      <w:bookmarkStart w:id="21" w:name="_Ref130470325"/>
      <w:r w:rsidRPr="002A2E8F">
        <w:rPr>
          <w:iCs/>
        </w:rPr>
        <w:t>There were no statistical comparisons provided of the Week 48, or longer-term extension phase data, but the proportions of complete responders show a decrease for osilodrostat (21.1% at Week 96), and placebo + osilodrostat-treated patients (46.2% at Week 96). This calls into question the durability of response with osilodrostat. While the submission provides a trial-based evaluation based on Week 12 data for its economic evaluation (see below), the available LINC 4 evidence indicates response was not maintained. The</w:t>
      </w:r>
      <w:r w:rsidR="00892584">
        <w:rPr>
          <w:iCs/>
        </w:rPr>
        <w:t xml:space="preserve"> Pre-Sub-Committee Response</w:t>
      </w:r>
      <w:r w:rsidRPr="002A2E8F">
        <w:rPr>
          <w:iCs/>
        </w:rPr>
        <w:t xml:space="preserve"> </w:t>
      </w:r>
      <w:r w:rsidR="00892584">
        <w:rPr>
          <w:iCs/>
        </w:rPr>
        <w:t>(</w:t>
      </w:r>
      <w:r w:rsidRPr="002A2E8F">
        <w:rPr>
          <w:iCs/>
        </w:rPr>
        <w:t>PSCR</w:t>
      </w:r>
      <w:r w:rsidR="00892584">
        <w:rPr>
          <w:iCs/>
        </w:rPr>
        <w:t>)</w:t>
      </w:r>
      <w:r w:rsidRPr="002A2E8F">
        <w:rPr>
          <w:iCs/>
        </w:rPr>
        <w:t xml:space="preserve"> stated that the apparent differences in response rates were an artifact of missing data due to discontinuation of the treatment or due to the COVID-19 pandemic, and non-responder imputation during the optional extension phase. The PSCR indicated that the lower response rates in the osilodrostat group reflected greater missing data than in the placebo group. The PSCR goes on further to argue that rather than the analysis by time point in the extension phase of LINC 4, the End of Treatment (EOT) analysis provides a more meaningful estimate of the response rate. The EOT analysis considers the response of patients at their last available response assessment. In the EOT analysis, 73.7% (28/38) patients in the osilodrostat group and 70.0% (14/20) of patients in the placebo group had a complete response, noting that all patients were treated with osilodrostat at this time (LINC 4 Final</w:t>
      </w:r>
      <w:r w:rsidR="00554AC8">
        <w:rPr>
          <w:iCs/>
        </w:rPr>
        <w:t xml:space="preserve"> Clinical Study Report</w:t>
      </w:r>
      <w:r w:rsidRPr="002A2E8F">
        <w:rPr>
          <w:iCs/>
        </w:rPr>
        <w:t xml:space="preserve"> </w:t>
      </w:r>
      <w:r w:rsidR="00554AC8">
        <w:rPr>
          <w:iCs/>
        </w:rPr>
        <w:t>[</w:t>
      </w:r>
      <w:r w:rsidRPr="002A2E8F">
        <w:rPr>
          <w:iCs/>
        </w:rPr>
        <w:t>CSR</w:t>
      </w:r>
      <w:r w:rsidR="00554AC8">
        <w:rPr>
          <w:iCs/>
        </w:rPr>
        <w:t>]</w:t>
      </w:r>
      <w:r w:rsidRPr="002A2E8F">
        <w:rPr>
          <w:iCs/>
        </w:rPr>
        <w:t xml:space="preserve">, Table 11-1, p47-48). </w:t>
      </w:r>
      <w:r w:rsidR="005A05A3" w:rsidRPr="002A2E8F">
        <w:rPr>
          <w:iCs/>
        </w:rPr>
        <w:t>The</w:t>
      </w:r>
      <w:r w:rsidR="0057688C" w:rsidRPr="002A2E8F">
        <w:rPr>
          <w:iCs/>
        </w:rPr>
        <w:t xml:space="preserve"> proportions of complete responders show</w:t>
      </w:r>
      <w:r w:rsidR="006E5C06" w:rsidRPr="002A2E8F">
        <w:rPr>
          <w:iCs/>
        </w:rPr>
        <w:t>ed</w:t>
      </w:r>
      <w:r w:rsidR="0057688C" w:rsidRPr="002A2E8F">
        <w:rPr>
          <w:iCs/>
        </w:rPr>
        <w:t xml:space="preserve"> a decrease for osilodrostat (21.1% at Week 96), and placebo + osilodrostat-treated patients (46.2% at Week 96), which showed that the response was not maintained. </w:t>
      </w:r>
      <w:r w:rsidR="0057688C" w:rsidRPr="004B7BFD">
        <w:t xml:space="preserve">The PSCR stated that </w:t>
      </w:r>
      <w:r w:rsidR="004B7BFD" w:rsidRPr="002A2E8F">
        <w:rPr>
          <w:szCs w:val="22"/>
        </w:rPr>
        <w:t>the low response rate was a result of non-responder imputation and missing data due to the COVID-19 pandemic or discontinuation of treatment during the optional extension phase rather than loss of response.</w:t>
      </w:r>
      <w:r w:rsidR="004B7BFD" w:rsidRPr="004B7BFD">
        <w:t xml:space="preserve"> The PSCR added</w:t>
      </w:r>
      <w:r w:rsidR="00AE1B16">
        <w:t xml:space="preserve"> that</w:t>
      </w:r>
      <w:r w:rsidR="004B7BFD" w:rsidRPr="004B7BFD">
        <w:t xml:space="preserve"> </w:t>
      </w:r>
      <w:r w:rsidR="004B7BFD" w:rsidRPr="002A2E8F">
        <w:rPr>
          <w:szCs w:val="22"/>
        </w:rPr>
        <w:t>the End of Treatment (EOT) analysis which consider</w:t>
      </w:r>
      <w:r w:rsidR="006E5C06" w:rsidRPr="002A2E8F">
        <w:rPr>
          <w:szCs w:val="22"/>
        </w:rPr>
        <w:t>ed</w:t>
      </w:r>
      <w:r w:rsidR="004B7BFD" w:rsidRPr="002A2E8F">
        <w:rPr>
          <w:szCs w:val="22"/>
        </w:rPr>
        <w:t xml:space="preserve"> the response at the last available response assessment provide</w:t>
      </w:r>
      <w:r w:rsidR="006E5C06" w:rsidRPr="002A2E8F">
        <w:rPr>
          <w:szCs w:val="22"/>
        </w:rPr>
        <w:t>d</w:t>
      </w:r>
      <w:r w:rsidR="004B7BFD" w:rsidRPr="002A2E8F">
        <w:rPr>
          <w:szCs w:val="22"/>
        </w:rPr>
        <w:t xml:space="preserve"> a more meaningful estimate of the response rate. In the EOT analysis, 73.7% (28/38) patients in the osilodrostat group and 70.0% (14/20) of </w:t>
      </w:r>
      <w:r w:rsidR="004B7BFD" w:rsidRPr="002A2E8F">
        <w:rPr>
          <w:szCs w:val="22"/>
        </w:rPr>
        <w:lastRenderedPageBreak/>
        <w:t xml:space="preserve">patients in the placebo group had a complete response, noting that all patients were treated with osilodrostat at this time. </w:t>
      </w:r>
    </w:p>
    <w:p w14:paraId="4F93DCD4" w14:textId="3EE87DAC" w:rsidR="0058237D" w:rsidRPr="0025498C" w:rsidRDefault="004B7BFD" w:rsidP="00A817AD">
      <w:pPr>
        <w:pStyle w:val="3-BodyText"/>
        <w:rPr>
          <w:iCs/>
        </w:rPr>
      </w:pPr>
      <w:bookmarkStart w:id="22" w:name="_Ref130473495"/>
      <w:r w:rsidRPr="0025498C">
        <w:rPr>
          <w:szCs w:val="22"/>
        </w:rPr>
        <w:t xml:space="preserve">The pre-PBAC response considered that </w:t>
      </w:r>
      <w:r w:rsidR="00AE1B16" w:rsidRPr="0025498C">
        <w:rPr>
          <w:szCs w:val="22"/>
        </w:rPr>
        <w:t>the durability of response was better reflected in LINC 3, which showed complete response rate of 66.4% (91/137) at Week 48 and 81.1% (86/106) at Week 60 and Week 72.</w:t>
      </w:r>
      <w:bookmarkEnd w:id="21"/>
      <w:r w:rsidR="0058237D" w:rsidRPr="0025498C">
        <w:rPr>
          <w:szCs w:val="22"/>
        </w:rPr>
        <w:t xml:space="preserve">The pre-PBAC response </w:t>
      </w:r>
      <w:r w:rsidR="0025498C">
        <w:rPr>
          <w:szCs w:val="22"/>
        </w:rPr>
        <w:t xml:space="preserve">also </w:t>
      </w:r>
      <w:r w:rsidR="0058237D" w:rsidRPr="0025498C">
        <w:rPr>
          <w:szCs w:val="22"/>
        </w:rPr>
        <w:t>included the figure below to illustrate the durability of response with osilodrostat, based on 204 weeks of follow up from LINC 3.</w:t>
      </w:r>
      <w:bookmarkEnd w:id="22"/>
    </w:p>
    <w:p w14:paraId="4A65A15C" w14:textId="32F1F531" w:rsidR="0058237D" w:rsidRPr="0058237D" w:rsidRDefault="0058237D" w:rsidP="0058237D">
      <w:pPr>
        <w:rPr>
          <w:rStyle w:val="CommentReference"/>
          <w:bCs/>
          <w:szCs w:val="24"/>
        </w:rPr>
      </w:pPr>
      <w:r w:rsidRPr="0058237D">
        <w:rPr>
          <w:rStyle w:val="CommentReference"/>
          <w:bCs/>
          <w:szCs w:val="24"/>
        </w:rPr>
        <w:t xml:space="preserve">Figure </w:t>
      </w:r>
      <w:r>
        <w:rPr>
          <w:rStyle w:val="CommentReference"/>
          <w:bCs/>
          <w:szCs w:val="24"/>
        </w:rPr>
        <w:t>2:</w:t>
      </w:r>
      <w:r w:rsidRPr="0058237D">
        <w:rPr>
          <w:rStyle w:val="CommentReference"/>
          <w:bCs/>
          <w:szCs w:val="24"/>
        </w:rPr>
        <w:t xml:space="preserve"> The mean mUFC over 204 weeks in LINC 3</w:t>
      </w:r>
    </w:p>
    <w:p w14:paraId="34E48CD4" w14:textId="21AF683F" w:rsidR="0058237D" w:rsidRDefault="0058237D" w:rsidP="0058237D">
      <w:pPr>
        <w:pStyle w:val="3-BodyText"/>
        <w:numPr>
          <w:ilvl w:val="0"/>
          <w:numId w:val="0"/>
        </w:numPr>
        <w:ind w:left="720"/>
        <w:rPr>
          <w:iCs/>
        </w:rPr>
      </w:pPr>
      <w:r w:rsidRPr="000B04D1">
        <w:rPr>
          <w:noProof/>
          <w:szCs w:val="22"/>
        </w:rPr>
        <w:drawing>
          <wp:inline distT="0" distB="0" distL="0" distR="0" wp14:anchorId="4D2F9D10" wp14:editId="7A69A572">
            <wp:extent cx="4176000" cy="2359424"/>
            <wp:effectExtent l="0" t="0" r="0" b="3175"/>
            <wp:docPr id="3" name="Picture 3" descr="Figure 2: The mean mUFC over 204 weeks in LIN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The mean mUFC over 204 weeks in LINC 3"/>
                    <pic:cNvPicPr/>
                  </pic:nvPicPr>
                  <pic:blipFill rotWithShape="1">
                    <a:blip r:embed="rId9"/>
                    <a:srcRect l="2945"/>
                    <a:stretch/>
                  </pic:blipFill>
                  <pic:spPr bwMode="auto">
                    <a:xfrm>
                      <a:off x="0" y="0"/>
                      <a:ext cx="4176000" cy="2359424"/>
                    </a:xfrm>
                    <a:prstGeom prst="rect">
                      <a:avLst/>
                    </a:prstGeom>
                    <a:ln>
                      <a:noFill/>
                    </a:ln>
                    <a:extLst>
                      <a:ext uri="{53640926-AAD7-44D8-BBD7-CCE9431645EC}">
                        <a14:shadowObscured xmlns:a14="http://schemas.microsoft.com/office/drawing/2010/main"/>
                      </a:ext>
                    </a:extLst>
                  </pic:spPr>
                </pic:pic>
              </a:graphicData>
            </a:graphic>
          </wp:inline>
        </w:drawing>
      </w:r>
    </w:p>
    <w:p w14:paraId="34D5E58D" w14:textId="77777777" w:rsidR="0058237D" w:rsidRPr="009912C6" w:rsidRDefault="0058237D" w:rsidP="0058237D">
      <w:pPr>
        <w:rPr>
          <w:sz w:val="18"/>
          <w:szCs w:val="18"/>
        </w:rPr>
      </w:pPr>
      <w:r w:rsidRPr="009912C6">
        <w:rPr>
          <w:sz w:val="18"/>
          <w:szCs w:val="18"/>
        </w:rPr>
        <w:t xml:space="preserve">Shaded area indicates the core phase of LINC 3. The </w:t>
      </w:r>
      <w:r>
        <w:rPr>
          <w:sz w:val="18"/>
          <w:szCs w:val="18"/>
        </w:rPr>
        <w:t>horizontal reference</w:t>
      </w:r>
      <w:r w:rsidRPr="009912C6">
        <w:rPr>
          <w:sz w:val="18"/>
          <w:szCs w:val="18"/>
        </w:rPr>
        <w:t xml:space="preserve"> line indicates the upper limit of normal </w:t>
      </w:r>
      <w:r w:rsidRPr="00C74EBF">
        <w:rPr>
          <w:sz w:val="18"/>
          <w:szCs w:val="18"/>
        </w:rPr>
        <w:t>mean 24-h urinary free cortisol</w:t>
      </w:r>
      <w:r>
        <w:rPr>
          <w:sz w:val="18"/>
          <w:szCs w:val="18"/>
        </w:rPr>
        <w:t xml:space="preserve">. Black lines indicate mean UFC. The dashed lines indicate the median average osilodrostat dose. </w:t>
      </w:r>
    </w:p>
    <w:p w14:paraId="0CD4240C" w14:textId="17511D32" w:rsidR="0058237D" w:rsidRPr="009912C6" w:rsidRDefault="0058237D" w:rsidP="007078B8">
      <w:pPr>
        <w:spacing w:after="120"/>
        <w:rPr>
          <w:sz w:val="18"/>
          <w:szCs w:val="18"/>
        </w:rPr>
      </w:pPr>
      <w:r w:rsidRPr="009912C6">
        <w:rPr>
          <w:sz w:val="18"/>
          <w:szCs w:val="18"/>
        </w:rPr>
        <w:t xml:space="preserve">Source: </w:t>
      </w:r>
      <w:r>
        <w:rPr>
          <w:sz w:val="18"/>
          <w:szCs w:val="18"/>
        </w:rPr>
        <w:fldChar w:fldCharType="begin">
          <w:fldData xml:space="preserve">PEVuZE5vdGU+PENpdGUgQXV0aG9yWWVhcj0iMSI+PEF1dGhvcj5GbGVzZXJpdTwvQXV0aG9yPjxZ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</w:fldData>
        </w:fldChar>
      </w:r>
      <w:r>
        <w:rPr>
          <w:sz w:val="18"/>
          <w:szCs w:val="18"/>
        </w:rPr>
        <w:instrText xml:space="preserve"> ADDIN EN.CITE </w:instrText>
      </w:r>
      <w:r>
        <w:rPr>
          <w:sz w:val="18"/>
          <w:szCs w:val="18"/>
        </w:rPr>
        <w:fldChar w:fldCharType="begin">
          <w:fldData xml:space="preserve">PEVuZE5vdGU+PENpdGUgQXV0aG9yWWVhcj0iMSI+PEF1dGhvcj5GbGVzZXJpdTwvQXV0aG9yPjxZ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Fleseriu et al. (2022)</w:t>
      </w:r>
      <w:r>
        <w:rPr>
          <w:sz w:val="18"/>
          <w:szCs w:val="18"/>
        </w:rPr>
        <w:fldChar w:fldCharType="end"/>
      </w:r>
      <w:r w:rsidRPr="001D0C92">
        <w:rPr>
          <w:sz w:val="18"/>
          <w:szCs w:val="18"/>
        </w:rPr>
        <w:t xml:space="preserve"> Figure 2B p 535</w:t>
      </w:r>
      <w:r>
        <w:rPr>
          <w:sz w:val="18"/>
          <w:szCs w:val="18"/>
        </w:rPr>
        <w:t>; Pre-PBAC response, p1.</w:t>
      </w:r>
    </w:p>
    <w:p w14:paraId="3D05FFC9" w14:textId="0DBBD48F" w:rsidR="005A05A3" w:rsidRPr="008C713C" w:rsidRDefault="005A05A3" w:rsidP="007078B8">
      <w:pPr>
        <w:pStyle w:val="3-BodyText"/>
        <w:rPr>
          <w:iCs/>
          <w:lang w:val="en-US"/>
        </w:rPr>
      </w:pPr>
      <w:r w:rsidRPr="005A05A3">
        <w:rPr>
          <w:lang w:val="en-US"/>
        </w:rPr>
        <w:t xml:space="preserve">The results of the single arm C1201 osilodrostat trial for complete response at Week 12 were included as part of the pooled osilodrostat data used in sensitivity analyses of the trial-based economic evaluation. The proportion of patients with complete, partial and overall response in C1201 are provided in </w:t>
      </w:r>
      <w:r w:rsidRPr="005A05A3">
        <w:rPr>
          <w:rFonts w:ascii="Calibri" w:hAnsi="Calibri" w:cs="Calibri"/>
          <w:lang w:val="en-US"/>
        </w:rPr>
        <w:fldChar w:fldCharType="begin"/>
      </w:r>
      <w:r w:rsidRPr="005A05A3">
        <w:rPr>
          <w:rFonts w:ascii="Calibri" w:hAnsi="Calibri" w:cs="Calibri"/>
          <w:lang w:val="en-US"/>
        </w:rPr>
        <w:instrText xml:space="preserve"> REF _Ref124598535 \h  \* MERGEFORMAT </w:instrText>
      </w:r>
      <w:r w:rsidRPr="005A05A3">
        <w:rPr>
          <w:rFonts w:ascii="Calibri" w:hAnsi="Calibri" w:cs="Calibri"/>
          <w:lang w:val="en-US"/>
        </w:rPr>
      </w:r>
      <w:r w:rsidRPr="005A05A3">
        <w:rPr>
          <w:rFonts w:ascii="Calibri" w:hAnsi="Calibri" w:cs="Calibri"/>
          <w:lang w:val="en-US"/>
        </w:rPr>
        <w:fldChar w:fldCharType="separate"/>
      </w:r>
      <w:r w:rsidR="00A9220E" w:rsidRPr="00A9220E">
        <w:rPr>
          <w:rFonts w:ascii="Calibri" w:hAnsi="Calibri" w:cs="Calibri"/>
        </w:rPr>
        <w:t xml:space="preserve">Table </w:t>
      </w:r>
      <w:r w:rsidR="00A9220E" w:rsidRPr="00A9220E">
        <w:rPr>
          <w:rFonts w:ascii="Calibri" w:hAnsi="Calibri" w:cs="Calibri"/>
          <w:noProof/>
        </w:rPr>
        <w:t>6</w:t>
      </w:r>
      <w:r w:rsidRPr="005A05A3">
        <w:rPr>
          <w:rFonts w:ascii="Calibri" w:hAnsi="Calibri" w:cs="Calibri"/>
          <w:lang w:val="en-US"/>
        </w:rPr>
        <w:fldChar w:fldCharType="end"/>
      </w:r>
      <w:r w:rsidR="00963C64">
        <w:rPr>
          <w:rFonts w:ascii="Calibri" w:hAnsi="Calibri" w:cs="Calibri"/>
          <w:lang w:val="en-US"/>
        </w:rPr>
        <w:t>.</w:t>
      </w:r>
    </w:p>
    <w:p w14:paraId="32AD911D" w14:textId="52EF7AA9" w:rsidR="009D06A5" w:rsidRDefault="009D06A5" w:rsidP="009D06A5">
      <w:pPr>
        <w:rPr>
          <w:lang w:val="en-US"/>
        </w:rPr>
      </w:pPr>
      <w:bookmarkStart w:id="23" w:name="_Ref124598535"/>
      <w:r w:rsidRPr="009D06A5">
        <w:rPr>
          <w:rFonts w:ascii="Arial Narrow" w:hAnsi="Arial Narrow"/>
          <w:b/>
          <w:bCs/>
          <w:sz w:val="20"/>
          <w:szCs w:val="20"/>
        </w:rPr>
        <w:t xml:space="preserve">Table </w:t>
      </w:r>
      <w:r w:rsidRPr="009D06A5">
        <w:rPr>
          <w:rFonts w:ascii="Arial Narrow" w:hAnsi="Arial Narrow"/>
          <w:b/>
          <w:bCs/>
          <w:sz w:val="20"/>
          <w:szCs w:val="20"/>
        </w:rPr>
        <w:fldChar w:fldCharType="begin"/>
      </w:r>
      <w:r w:rsidRPr="009D06A5">
        <w:rPr>
          <w:rFonts w:ascii="Arial Narrow" w:hAnsi="Arial Narrow"/>
          <w:b/>
          <w:bCs/>
          <w:sz w:val="20"/>
          <w:szCs w:val="20"/>
        </w:rPr>
        <w:instrText xml:space="preserve"> SEQ Table \* ARABIC </w:instrText>
      </w:r>
      <w:r w:rsidRPr="009D06A5">
        <w:rPr>
          <w:rFonts w:ascii="Arial Narrow" w:hAnsi="Arial Narrow"/>
          <w:b/>
          <w:bCs/>
          <w:sz w:val="20"/>
          <w:szCs w:val="20"/>
        </w:rPr>
        <w:fldChar w:fldCharType="separate"/>
      </w:r>
      <w:r w:rsidR="00A9220E">
        <w:rPr>
          <w:rFonts w:ascii="Arial Narrow" w:hAnsi="Arial Narrow"/>
          <w:b/>
          <w:bCs/>
          <w:noProof/>
          <w:sz w:val="20"/>
          <w:szCs w:val="20"/>
        </w:rPr>
        <w:t>6</w:t>
      </w:r>
      <w:r w:rsidRPr="009D06A5">
        <w:rPr>
          <w:rFonts w:ascii="Arial Narrow" w:hAnsi="Arial Narrow"/>
          <w:b/>
          <w:bCs/>
          <w:noProof/>
          <w:sz w:val="20"/>
          <w:szCs w:val="20"/>
        </w:rPr>
        <w:fldChar w:fldCharType="end"/>
      </w:r>
      <w:bookmarkEnd w:id="23"/>
      <w:r>
        <w:t>:</w:t>
      </w:r>
      <w:r w:rsidRPr="00EC5836">
        <w:rPr>
          <w:rStyle w:val="CommentReference"/>
          <w:szCs w:val="24"/>
        </w:rPr>
        <w:t xml:space="preserve"> </w:t>
      </w:r>
      <w:r>
        <w:rPr>
          <w:rStyle w:val="CommentReference"/>
          <w:szCs w:val="24"/>
        </w:rPr>
        <w:t>Complete, partial and overall response rate in C1201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3243"/>
        <w:gridCol w:w="1619"/>
        <w:gridCol w:w="1618"/>
      </w:tblGrid>
      <w:tr w:rsidR="00F05A3B" w:rsidRPr="00CC2FEF" w14:paraId="3D6E06D1" w14:textId="77777777" w:rsidTr="00237061">
        <w:tc>
          <w:tcPr>
            <w:tcW w:w="1407" w:type="pct"/>
            <w:vMerge w:val="restart"/>
            <w:tcBorders>
              <w:top w:val="single" w:sz="4" w:space="0" w:color="auto"/>
            </w:tcBorders>
            <w:vAlign w:val="center"/>
          </w:tcPr>
          <w:p w14:paraId="1C167B9F" w14:textId="77777777" w:rsidR="00054CBD" w:rsidRDefault="00054CBD" w:rsidP="00FA6D49">
            <w:pPr>
              <w:pStyle w:val="TableText0"/>
              <w:tabs>
                <w:tab w:val="left" w:pos="164"/>
              </w:tabs>
              <w:rPr>
                <w:b/>
                <w:bCs w:val="0"/>
              </w:rPr>
            </w:pPr>
          </w:p>
        </w:tc>
        <w:tc>
          <w:tcPr>
            <w:tcW w:w="3593" w:type="pct"/>
            <w:gridSpan w:val="3"/>
            <w:tcBorders>
              <w:top w:val="single" w:sz="4" w:space="0" w:color="auto"/>
            </w:tcBorders>
            <w:vAlign w:val="center"/>
          </w:tcPr>
          <w:p w14:paraId="2591527D" w14:textId="77777777" w:rsidR="00054CBD" w:rsidRPr="00CC2FEF" w:rsidRDefault="00054CBD" w:rsidP="00FA6D49">
            <w:pPr>
              <w:pStyle w:val="TableText0"/>
              <w:jc w:val="center"/>
              <w:rPr>
                <w:b/>
                <w:bCs w:val="0"/>
              </w:rPr>
            </w:pPr>
            <w:r>
              <w:rPr>
                <w:b/>
                <w:bCs w:val="0"/>
              </w:rPr>
              <w:t>C1201</w:t>
            </w:r>
          </w:p>
        </w:tc>
      </w:tr>
      <w:tr w:rsidR="00F05A3B" w:rsidRPr="00CC2FEF" w14:paraId="4DA6234E" w14:textId="77777777" w:rsidTr="00237061">
        <w:tc>
          <w:tcPr>
            <w:tcW w:w="1407" w:type="pct"/>
            <w:vMerge/>
            <w:vAlign w:val="center"/>
          </w:tcPr>
          <w:p w14:paraId="18181C8D" w14:textId="77777777" w:rsidR="00054CBD" w:rsidRDefault="00054CBD" w:rsidP="00FA6D49">
            <w:pPr>
              <w:pStyle w:val="TableText0"/>
              <w:tabs>
                <w:tab w:val="left" w:pos="164"/>
              </w:tabs>
            </w:pPr>
          </w:p>
        </w:tc>
        <w:tc>
          <w:tcPr>
            <w:tcW w:w="1798" w:type="pct"/>
            <w:tcBorders>
              <w:top w:val="single" w:sz="4" w:space="0" w:color="auto"/>
            </w:tcBorders>
            <w:vAlign w:val="center"/>
          </w:tcPr>
          <w:p w14:paraId="700C0F3B" w14:textId="77777777" w:rsidR="00054CBD" w:rsidRPr="00CC2FEF" w:rsidRDefault="00054CBD" w:rsidP="00FA6D49">
            <w:pPr>
              <w:pStyle w:val="TableText0"/>
              <w:jc w:val="center"/>
              <w:rPr>
                <w:b/>
                <w:bCs w:val="0"/>
              </w:rPr>
            </w:pPr>
            <w:r w:rsidRPr="00CC2FEF">
              <w:rPr>
                <w:b/>
                <w:bCs w:val="0"/>
              </w:rPr>
              <w:t>Week 12 (N=9)</w:t>
            </w:r>
          </w:p>
        </w:tc>
        <w:tc>
          <w:tcPr>
            <w:tcW w:w="898" w:type="pct"/>
            <w:tcBorders>
              <w:top w:val="single" w:sz="4" w:space="0" w:color="auto"/>
            </w:tcBorders>
            <w:vAlign w:val="center"/>
          </w:tcPr>
          <w:p w14:paraId="19B14B9D" w14:textId="77777777" w:rsidR="00054CBD" w:rsidRPr="00CC2FEF" w:rsidRDefault="00054CBD" w:rsidP="00FA6D49">
            <w:pPr>
              <w:pStyle w:val="TableText0"/>
              <w:jc w:val="center"/>
              <w:rPr>
                <w:b/>
                <w:bCs w:val="0"/>
              </w:rPr>
            </w:pPr>
            <w:r w:rsidRPr="00CC2FEF">
              <w:rPr>
                <w:b/>
                <w:bCs w:val="0"/>
              </w:rPr>
              <w:t>Week 24 (N=3)</w:t>
            </w:r>
          </w:p>
        </w:tc>
        <w:tc>
          <w:tcPr>
            <w:tcW w:w="897" w:type="pct"/>
            <w:tcBorders>
              <w:top w:val="single" w:sz="4" w:space="0" w:color="auto"/>
            </w:tcBorders>
            <w:vAlign w:val="center"/>
          </w:tcPr>
          <w:p w14:paraId="41AE7F35" w14:textId="77777777" w:rsidR="00054CBD" w:rsidRPr="00CC2FEF" w:rsidRDefault="00054CBD" w:rsidP="00FA6D49">
            <w:pPr>
              <w:pStyle w:val="TableText0"/>
              <w:jc w:val="center"/>
              <w:rPr>
                <w:b/>
                <w:bCs w:val="0"/>
              </w:rPr>
            </w:pPr>
            <w:r w:rsidRPr="00CC2FEF">
              <w:rPr>
                <w:b/>
                <w:bCs w:val="0"/>
              </w:rPr>
              <w:t>Week 48 (N=2)</w:t>
            </w:r>
          </w:p>
        </w:tc>
      </w:tr>
      <w:tr w:rsidR="00F05A3B" w:rsidRPr="00B1011F" w14:paraId="525ED8B8" w14:textId="77777777" w:rsidTr="00237061">
        <w:tc>
          <w:tcPr>
            <w:tcW w:w="1407" w:type="pct"/>
            <w:vAlign w:val="center"/>
          </w:tcPr>
          <w:p w14:paraId="2C2C1B6C" w14:textId="77777777" w:rsidR="00054CBD" w:rsidRPr="00B1011F" w:rsidRDefault="00054CBD" w:rsidP="00FA6D49">
            <w:pPr>
              <w:pStyle w:val="TableText0"/>
              <w:tabs>
                <w:tab w:val="left" w:pos="164"/>
              </w:tabs>
            </w:pPr>
            <w:r>
              <w:tab/>
              <w:t>Complete response, n (%)</w:t>
            </w:r>
          </w:p>
        </w:tc>
        <w:tc>
          <w:tcPr>
            <w:tcW w:w="1798" w:type="pct"/>
            <w:vAlign w:val="center"/>
          </w:tcPr>
          <w:p w14:paraId="3324C292" w14:textId="77777777" w:rsidR="00054CBD" w:rsidRPr="00B1011F" w:rsidRDefault="00054CBD" w:rsidP="00FA6D49">
            <w:pPr>
              <w:pStyle w:val="TableText0"/>
              <w:jc w:val="center"/>
            </w:pPr>
            <w:r w:rsidRPr="007A0C3F">
              <w:rPr>
                <w:rFonts w:eastAsia="Calibri" w:cs="Calibri"/>
                <w:szCs w:val="20"/>
              </w:rPr>
              <w:t>6 (66.7</w:t>
            </w:r>
            <w:r>
              <w:rPr>
                <w:rFonts w:eastAsia="Calibri" w:cs="Calibri"/>
                <w:szCs w:val="20"/>
              </w:rPr>
              <w:t>%</w:t>
            </w:r>
            <w:r w:rsidRPr="007A0C3F">
              <w:rPr>
                <w:rFonts w:eastAsia="Calibri" w:cs="Calibri"/>
                <w:szCs w:val="20"/>
              </w:rPr>
              <w:t xml:space="preserve">) </w:t>
            </w:r>
          </w:p>
        </w:tc>
        <w:tc>
          <w:tcPr>
            <w:tcW w:w="898" w:type="pct"/>
            <w:vAlign w:val="center"/>
          </w:tcPr>
          <w:p w14:paraId="244927B1" w14:textId="77777777" w:rsidR="00054CBD" w:rsidRPr="00B1011F" w:rsidRDefault="00054CBD" w:rsidP="00FA6D49">
            <w:pPr>
              <w:pStyle w:val="TableText0"/>
              <w:jc w:val="center"/>
            </w:pPr>
            <w:r w:rsidRPr="007A0C3F">
              <w:rPr>
                <w:rFonts w:eastAsia="Calibri" w:cs="Calibri"/>
                <w:szCs w:val="20"/>
              </w:rPr>
              <w:t>2 (66.7</w:t>
            </w:r>
            <w:r>
              <w:rPr>
                <w:rFonts w:eastAsia="Calibri" w:cs="Calibri"/>
                <w:szCs w:val="20"/>
              </w:rPr>
              <w:t>%</w:t>
            </w:r>
            <w:r w:rsidRPr="007A0C3F">
              <w:rPr>
                <w:rFonts w:eastAsia="Calibri" w:cs="Calibri"/>
                <w:szCs w:val="20"/>
              </w:rPr>
              <w:t xml:space="preserve">) </w:t>
            </w:r>
          </w:p>
        </w:tc>
        <w:tc>
          <w:tcPr>
            <w:tcW w:w="897" w:type="pct"/>
            <w:vAlign w:val="center"/>
          </w:tcPr>
          <w:p w14:paraId="2584842C" w14:textId="77777777" w:rsidR="00054CBD" w:rsidRPr="00B1011F" w:rsidRDefault="00054CBD" w:rsidP="00FA6D49">
            <w:pPr>
              <w:pStyle w:val="TableText0"/>
              <w:jc w:val="center"/>
            </w:pPr>
            <w:r w:rsidRPr="007A0C3F">
              <w:rPr>
                <w:rFonts w:eastAsia="Calibri" w:cs="Calibri"/>
                <w:szCs w:val="20"/>
              </w:rPr>
              <w:t>1 (50.0</w:t>
            </w:r>
            <w:r>
              <w:rPr>
                <w:rFonts w:eastAsia="Calibri" w:cs="Calibri"/>
                <w:szCs w:val="20"/>
              </w:rPr>
              <w:t>%</w:t>
            </w:r>
            <w:r w:rsidRPr="007A0C3F">
              <w:rPr>
                <w:rFonts w:eastAsia="Calibri" w:cs="Calibri"/>
                <w:szCs w:val="20"/>
              </w:rPr>
              <w:t xml:space="preserve">) </w:t>
            </w:r>
          </w:p>
        </w:tc>
      </w:tr>
      <w:tr w:rsidR="00F05A3B" w:rsidRPr="00B1011F" w14:paraId="27BCB31D" w14:textId="77777777" w:rsidTr="00237061">
        <w:tc>
          <w:tcPr>
            <w:tcW w:w="1407" w:type="pct"/>
            <w:vAlign w:val="center"/>
          </w:tcPr>
          <w:p w14:paraId="19E6E84F" w14:textId="77777777" w:rsidR="00054CBD" w:rsidRPr="00B1011F" w:rsidRDefault="00054CBD" w:rsidP="00FA6D49">
            <w:pPr>
              <w:pStyle w:val="TableText0"/>
              <w:tabs>
                <w:tab w:val="left" w:pos="164"/>
              </w:tabs>
            </w:pPr>
            <w:r>
              <w:tab/>
              <w:t>Partial response, n (%)</w:t>
            </w:r>
          </w:p>
        </w:tc>
        <w:tc>
          <w:tcPr>
            <w:tcW w:w="1798" w:type="pct"/>
            <w:vAlign w:val="center"/>
          </w:tcPr>
          <w:p w14:paraId="4A6AF072" w14:textId="77777777" w:rsidR="00054CBD" w:rsidRPr="00B1011F" w:rsidRDefault="00054CBD" w:rsidP="00FA6D49">
            <w:pPr>
              <w:pStyle w:val="TableText0"/>
              <w:jc w:val="center"/>
            </w:pPr>
            <w:r w:rsidRPr="007A0C3F">
              <w:rPr>
                <w:rFonts w:eastAsia="Calibri" w:cs="Calibri"/>
                <w:szCs w:val="20"/>
              </w:rPr>
              <w:t>1 (11.1</w:t>
            </w:r>
            <w:r>
              <w:rPr>
                <w:rFonts w:eastAsia="Calibri" w:cs="Calibri"/>
                <w:szCs w:val="20"/>
              </w:rPr>
              <w:t>%</w:t>
            </w:r>
            <w:r w:rsidRPr="007A0C3F">
              <w:rPr>
                <w:rFonts w:eastAsia="Calibri" w:cs="Calibri"/>
                <w:szCs w:val="20"/>
              </w:rPr>
              <w:t xml:space="preserve">) </w:t>
            </w:r>
          </w:p>
        </w:tc>
        <w:tc>
          <w:tcPr>
            <w:tcW w:w="898" w:type="pct"/>
            <w:vAlign w:val="center"/>
          </w:tcPr>
          <w:p w14:paraId="039725C7" w14:textId="77777777" w:rsidR="00054CBD" w:rsidRPr="00B1011F" w:rsidRDefault="00054CBD" w:rsidP="00FA6D49">
            <w:pPr>
              <w:pStyle w:val="TableText0"/>
              <w:jc w:val="center"/>
            </w:pPr>
            <w:r w:rsidRPr="007A0C3F">
              <w:rPr>
                <w:rFonts w:eastAsia="Calibri" w:cs="Calibri"/>
                <w:szCs w:val="20"/>
              </w:rPr>
              <w:t>1 (33.3</w:t>
            </w:r>
            <w:r>
              <w:rPr>
                <w:rFonts w:eastAsia="Calibri" w:cs="Calibri"/>
                <w:szCs w:val="20"/>
              </w:rPr>
              <w:t>%</w:t>
            </w:r>
            <w:r w:rsidRPr="007A0C3F">
              <w:rPr>
                <w:rFonts w:eastAsia="Calibri" w:cs="Calibri"/>
                <w:szCs w:val="20"/>
              </w:rPr>
              <w:t xml:space="preserve">) </w:t>
            </w:r>
          </w:p>
        </w:tc>
        <w:tc>
          <w:tcPr>
            <w:tcW w:w="897" w:type="pct"/>
            <w:vAlign w:val="center"/>
          </w:tcPr>
          <w:p w14:paraId="5890E708" w14:textId="77777777" w:rsidR="00054CBD" w:rsidRPr="00B1011F" w:rsidRDefault="00054CBD" w:rsidP="00FA6D49">
            <w:pPr>
              <w:pStyle w:val="TableText0"/>
              <w:jc w:val="center"/>
            </w:pPr>
            <w:r w:rsidRPr="007A0C3F">
              <w:rPr>
                <w:rFonts w:eastAsia="Calibri" w:cs="Calibri"/>
                <w:szCs w:val="20"/>
              </w:rPr>
              <w:t>1 (50.0</w:t>
            </w:r>
            <w:r>
              <w:rPr>
                <w:rFonts w:eastAsia="Calibri" w:cs="Calibri"/>
                <w:szCs w:val="20"/>
              </w:rPr>
              <w:t>%</w:t>
            </w:r>
            <w:r w:rsidRPr="007A0C3F">
              <w:rPr>
                <w:rFonts w:eastAsia="Calibri" w:cs="Calibri"/>
                <w:szCs w:val="20"/>
              </w:rPr>
              <w:t>)</w:t>
            </w:r>
          </w:p>
        </w:tc>
      </w:tr>
      <w:tr w:rsidR="00F05A3B" w:rsidRPr="00B1011F" w14:paraId="38B9B18A" w14:textId="77777777" w:rsidTr="00237061">
        <w:tc>
          <w:tcPr>
            <w:tcW w:w="1407" w:type="pct"/>
            <w:vAlign w:val="center"/>
          </w:tcPr>
          <w:p w14:paraId="660DE182" w14:textId="77777777" w:rsidR="00054CBD" w:rsidRPr="00B1011F" w:rsidRDefault="00054CBD" w:rsidP="00FA6D49">
            <w:pPr>
              <w:pStyle w:val="TableText0"/>
              <w:tabs>
                <w:tab w:val="left" w:pos="164"/>
              </w:tabs>
            </w:pPr>
            <w:r>
              <w:tab/>
              <w:t>Overall response, n (%)</w:t>
            </w:r>
          </w:p>
        </w:tc>
        <w:tc>
          <w:tcPr>
            <w:tcW w:w="1798" w:type="pct"/>
            <w:vAlign w:val="center"/>
          </w:tcPr>
          <w:p w14:paraId="3D912ADE" w14:textId="77777777" w:rsidR="00054CBD" w:rsidRPr="00B1011F" w:rsidRDefault="00054CBD" w:rsidP="00FA6D49">
            <w:pPr>
              <w:pStyle w:val="TableText0"/>
              <w:jc w:val="center"/>
            </w:pPr>
            <w:r w:rsidRPr="007A0C3F">
              <w:rPr>
                <w:rFonts w:eastAsia="Calibri" w:cs="Calibri"/>
                <w:szCs w:val="20"/>
              </w:rPr>
              <w:t>7 (77.8</w:t>
            </w:r>
            <w:r>
              <w:rPr>
                <w:rFonts w:eastAsia="Calibri" w:cs="Calibri"/>
                <w:szCs w:val="20"/>
              </w:rPr>
              <w:t>%</w:t>
            </w:r>
            <w:r w:rsidRPr="007A0C3F">
              <w:rPr>
                <w:rFonts w:eastAsia="Calibri" w:cs="Calibri"/>
                <w:szCs w:val="20"/>
              </w:rPr>
              <w:t xml:space="preserve">) </w:t>
            </w:r>
          </w:p>
        </w:tc>
        <w:tc>
          <w:tcPr>
            <w:tcW w:w="898" w:type="pct"/>
            <w:vAlign w:val="center"/>
          </w:tcPr>
          <w:p w14:paraId="05265D0B" w14:textId="77777777" w:rsidR="00054CBD" w:rsidRPr="00B1011F" w:rsidRDefault="00054CBD" w:rsidP="00FA6D49">
            <w:pPr>
              <w:pStyle w:val="TableText0"/>
              <w:jc w:val="center"/>
            </w:pPr>
            <w:r w:rsidRPr="007A0C3F">
              <w:rPr>
                <w:rFonts w:eastAsia="Calibri" w:cs="Calibri"/>
                <w:szCs w:val="20"/>
              </w:rPr>
              <w:t>3 (100</w:t>
            </w:r>
            <w:r>
              <w:rPr>
                <w:rFonts w:eastAsia="Calibri" w:cs="Calibri"/>
                <w:szCs w:val="20"/>
              </w:rPr>
              <w:t>%</w:t>
            </w:r>
            <w:r w:rsidRPr="007A0C3F">
              <w:rPr>
                <w:rFonts w:eastAsia="Calibri" w:cs="Calibri"/>
                <w:szCs w:val="20"/>
              </w:rPr>
              <w:t xml:space="preserve">) </w:t>
            </w:r>
          </w:p>
        </w:tc>
        <w:tc>
          <w:tcPr>
            <w:tcW w:w="897" w:type="pct"/>
            <w:vAlign w:val="center"/>
          </w:tcPr>
          <w:p w14:paraId="2BCC3308" w14:textId="77777777" w:rsidR="00054CBD" w:rsidRPr="00B1011F" w:rsidRDefault="00054CBD" w:rsidP="00FA6D49">
            <w:pPr>
              <w:pStyle w:val="TableText0"/>
              <w:jc w:val="center"/>
            </w:pPr>
            <w:r w:rsidRPr="007A0C3F">
              <w:rPr>
                <w:rFonts w:eastAsia="Calibri" w:cs="Calibri"/>
                <w:szCs w:val="20"/>
              </w:rPr>
              <w:t>2 (100</w:t>
            </w:r>
            <w:r>
              <w:rPr>
                <w:rFonts w:eastAsia="Calibri" w:cs="Calibri"/>
                <w:szCs w:val="20"/>
              </w:rPr>
              <w:t>%</w:t>
            </w:r>
            <w:r w:rsidRPr="007A0C3F">
              <w:rPr>
                <w:rFonts w:eastAsia="Calibri" w:cs="Calibri"/>
                <w:szCs w:val="20"/>
              </w:rPr>
              <w:t xml:space="preserve">) </w:t>
            </w:r>
          </w:p>
        </w:tc>
      </w:tr>
    </w:tbl>
    <w:p w14:paraId="0A1C99DD" w14:textId="4CC4126A" w:rsidR="009D06A5" w:rsidRPr="007006EE" w:rsidRDefault="00054CBD" w:rsidP="00054CBD">
      <w:pPr>
        <w:pStyle w:val="FooterTableFigure"/>
        <w:rPr>
          <w:lang w:val="en-US"/>
        </w:rPr>
      </w:pPr>
      <w:r>
        <w:rPr>
          <w:lang w:val="en-US"/>
        </w:rPr>
        <w:t xml:space="preserve">Source: </w:t>
      </w:r>
      <w:r w:rsidRPr="00AB08F8">
        <w:rPr>
          <w:lang w:val="en-US"/>
        </w:rPr>
        <w:t>Table 2.5-31, p157 of the submission.</w:t>
      </w:r>
    </w:p>
    <w:p w14:paraId="57DFB12F" w14:textId="37F31590" w:rsidR="00F018CE" w:rsidRPr="00056ECF" w:rsidRDefault="007006EE" w:rsidP="00FB104F">
      <w:pPr>
        <w:pStyle w:val="3-BodyText"/>
        <w:rPr>
          <w:lang w:val="en-US"/>
        </w:rPr>
      </w:pPr>
      <w:r>
        <w:t>Results for quality of life (QoL) outcomes showed no statistically significant advantages for osilodrostat</w:t>
      </w:r>
      <w:r w:rsidR="002A73E9">
        <w:t xml:space="preserve"> compared to placebo</w:t>
      </w:r>
      <w:r>
        <w:t xml:space="preserve">, </w:t>
      </w:r>
      <w:r w:rsidR="002A73E9">
        <w:t>although there was greater improvement on the Beck Depression Inventory (BDI-II) for placebo-treated patients</w:t>
      </w:r>
      <w:r w:rsidR="00F018CE">
        <w:t>.</w:t>
      </w:r>
      <w:r w:rsidR="004B485D">
        <w:t xml:space="preserve"> </w:t>
      </w:r>
      <w:r w:rsidR="009836F1" w:rsidRPr="009836F1">
        <w:rPr>
          <w:rFonts w:ascii="Calibri" w:hAnsi="Calibri" w:cs="Calibri"/>
          <w:b/>
          <w:bCs/>
        </w:rPr>
        <w:fldChar w:fldCharType="begin"/>
      </w:r>
      <w:r w:rsidR="009836F1" w:rsidRPr="009836F1">
        <w:rPr>
          <w:rFonts w:ascii="Calibri" w:hAnsi="Calibri" w:cs="Calibri"/>
          <w:b/>
          <w:bCs/>
        </w:rPr>
        <w:instrText xml:space="preserve"> REF _Ref123595871 \h  \* MERGEFORMAT </w:instrText>
      </w:r>
      <w:r w:rsidR="009836F1" w:rsidRPr="009836F1">
        <w:rPr>
          <w:rFonts w:ascii="Calibri" w:hAnsi="Calibri" w:cs="Calibri"/>
          <w:b/>
          <w:bCs/>
        </w:rPr>
      </w:r>
      <w:r w:rsidR="009836F1" w:rsidRPr="009836F1">
        <w:rPr>
          <w:rFonts w:ascii="Calibri" w:hAnsi="Calibri" w:cs="Calibri"/>
          <w:b/>
          <w:bCs/>
        </w:rPr>
        <w:fldChar w:fldCharType="separate"/>
      </w:r>
      <w:r w:rsidR="00A9220E" w:rsidRPr="00A9220E">
        <w:rPr>
          <w:rStyle w:val="CommentReference"/>
          <w:rFonts w:ascii="Calibri" w:eastAsiaTheme="majorEastAsia" w:hAnsi="Calibri" w:cs="Calibri"/>
          <w:b w:val="0"/>
          <w:bCs/>
          <w:sz w:val="24"/>
          <w:szCs w:val="24"/>
        </w:rPr>
        <w:t xml:space="preserve">Table </w:t>
      </w:r>
      <w:r w:rsidR="00A9220E" w:rsidRPr="00A9220E">
        <w:rPr>
          <w:rStyle w:val="CommentReference"/>
          <w:rFonts w:ascii="Calibri" w:eastAsiaTheme="majorEastAsia" w:hAnsi="Calibri" w:cs="Calibri"/>
          <w:b w:val="0"/>
          <w:bCs/>
          <w:noProof/>
          <w:sz w:val="24"/>
          <w:szCs w:val="24"/>
        </w:rPr>
        <w:t>7</w:t>
      </w:r>
      <w:r w:rsidR="009836F1" w:rsidRPr="009836F1">
        <w:rPr>
          <w:rFonts w:ascii="Calibri" w:hAnsi="Calibri" w:cs="Calibri"/>
          <w:b/>
          <w:bCs/>
        </w:rPr>
        <w:fldChar w:fldCharType="end"/>
      </w:r>
      <w:r>
        <w:t xml:space="preserve"> provides a summary of these comparisons.</w:t>
      </w:r>
      <w:r w:rsidR="004B485D">
        <w:t xml:space="preserve"> </w:t>
      </w:r>
    </w:p>
    <w:p w14:paraId="4F5B3351" w14:textId="7B819B8F" w:rsidR="0061549B" w:rsidRPr="00D6076E" w:rsidRDefault="00D6076E" w:rsidP="00D6076E">
      <w:pPr>
        <w:pStyle w:val="Caption"/>
        <w:rPr>
          <w:rStyle w:val="CommentReference"/>
          <w:rFonts w:eastAsiaTheme="majorEastAsia" w:cstheme="majorBidi"/>
          <w:b/>
          <w:szCs w:val="24"/>
        </w:rPr>
      </w:pPr>
      <w:bookmarkStart w:id="24" w:name="_Ref123595871"/>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9220E">
        <w:rPr>
          <w:rStyle w:val="CommentReference"/>
          <w:rFonts w:eastAsiaTheme="majorEastAsia" w:cstheme="majorBidi"/>
          <w:b/>
          <w:noProof/>
          <w:szCs w:val="24"/>
        </w:rPr>
        <w:t>7</w:t>
      </w:r>
      <w:r w:rsidRPr="00D6076E">
        <w:rPr>
          <w:rStyle w:val="CommentReference"/>
          <w:rFonts w:eastAsiaTheme="majorEastAsia" w:cstheme="majorBidi"/>
          <w:b/>
          <w:szCs w:val="24"/>
        </w:rPr>
        <w:fldChar w:fldCharType="end"/>
      </w:r>
      <w:bookmarkEnd w:id="24"/>
      <w:r w:rsidRPr="00D6076E">
        <w:rPr>
          <w:rStyle w:val="CommentReference"/>
          <w:rFonts w:eastAsiaTheme="majorEastAsia" w:cstheme="majorBidi"/>
          <w:b/>
          <w:szCs w:val="24"/>
        </w:rPr>
        <w:t xml:space="preserve">: </w:t>
      </w:r>
      <w:r w:rsidR="00F018CE">
        <w:rPr>
          <w:rStyle w:val="CommentReference"/>
          <w:b/>
          <w:szCs w:val="24"/>
        </w:rPr>
        <w:t>Change from baseline to Week 12 for QoL data in LINC 4: osilodrostat vs. placebo comparisons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1"/>
        <w:gridCol w:w="1339"/>
        <w:gridCol w:w="1339"/>
        <w:gridCol w:w="1337"/>
        <w:gridCol w:w="1337"/>
      </w:tblGrid>
      <w:tr w:rsidR="00F018CE" w:rsidRPr="00B84117" w14:paraId="056DB96D" w14:textId="77777777" w:rsidTr="001F545B">
        <w:trPr>
          <w:tblHeader/>
        </w:trPr>
        <w:tc>
          <w:tcPr>
            <w:tcW w:w="2038" w:type="pct"/>
            <w:vAlign w:val="center"/>
          </w:tcPr>
          <w:p w14:paraId="546240B7" w14:textId="77777777" w:rsidR="00F018CE" w:rsidRPr="00B84117" w:rsidRDefault="00F018CE" w:rsidP="00C86F74">
            <w:pPr>
              <w:pStyle w:val="In-tableHeading"/>
              <w:tabs>
                <w:tab w:val="left" w:pos="102"/>
              </w:tabs>
            </w:pPr>
            <w:r>
              <w:t>Scale/ outcome</w:t>
            </w:r>
          </w:p>
        </w:tc>
        <w:tc>
          <w:tcPr>
            <w:tcW w:w="1482" w:type="pct"/>
            <w:gridSpan w:val="2"/>
            <w:vAlign w:val="center"/>
          </w:tcPr>
          <w:p w14:paraId="585996A7" w14:textId="77777777" w:rsidR="00F018CE" w:rsidRPr="00B84117" w:rsidRDefault="00F018CE" w:rsidP="00C86F74">
            <w:pPr>
              <w:pStyle w:val="In-tableHeading"/>
              <w:jc w:val="center"/>
            </w:pPr>
            <w:r>
              <w:t>Osilodrostat</w:t>
            </w:r>
          </w:p>
        </w:tc>
        <w:tc>
          <w:tcPr>
            <w:tcW w:w="1480" w:type="pct"/>
            <w:gridSpan w:val="2"/>
            <w:vAlign w:val="center"/>
          </w:tcPr>
          <w:p w14:paraId="7FF56D44" w14:textId="77777777" w:rsidR="00F018CE" w:rsidRPr="00B84117" w:rsidRDefault="00F018CE" w:rsidP="00C86F74">
            <w:pPr>
              <w:pStyle w:val="In-tableHeading"/>
              <w:jc w:val="center"/>
            </w:pPr>
            <w:r>
              <w:t>Placebo</w:t>
            </w:r>
          </w:p>
        </w:tc>
      </w:tr>
      <w:tr w:rsidR="00F018CE" w:rsidRPr="00C92790" w14:paraId="0EB03BF5" w14:textId="77777777" w:rsidTr="001F545B">
        <w:tc>
          <w:tcPr>
            <w:tcW w:w="5000" w:type="pct"/>
            <w:gridSpan w:val="5"/>
            <w:vAlign w:val="center"/>
          </w:tcPr>
          <w:p w14:paraId="5D6F377A" w14:textId="75043B50" w:rsidR="00F018CE" w:rsidRPr="00C92790" w:rsidRDefault="00F018CE" w:rsidP="00C86F74">
            <w:pPr>
              <w:pStyle w:val="TableText0"/>
              <w:tabs>
                <w:tab w:val="left" w:pos="102"/>
              </w:tabs>
              <w:rPr>
                <w:b/>
                <w:bCs w:val="0"/>
              </w:rPr>
            </w:pPr>
            <w:r>
              <w:rPr>
                <w:b/>
                <w:bCs w:val="0"/>
              </w:rPr>
              <w:t>C</w:t>
            </w:r>
            <w:r>
              <w:rPr>
                <w:b/>
              </w:rPr>
              <w:t>ushing QoL</w:t>
            </w:r>
          </w:p>
        </w:tc>
      </w:tr>
      <w:tr w:rsidR="00F018CE" w:rsidRPr="00B1011F" w14:paraId="2FB160E7" w14:textId="77777777" w:rsidTr="001F545B">
        <w:tc>
          <w:tcPr>
            <w:tcW w:w="2038" w:type="pct"/>
            <w:vAlign w:val="center"/>
          </w:tcPr>
          <w:p w14:paraId="19F8EA6B" w14:textId="77777777" w:rsidR="00F018CE" w:rsidRPr="00B1011F" w:rsidRDefault="00F018CE" w:rsidP="00C86F74">
            <w:pPr>
              <w:pStyle w:val="TableText0"/>
              <w:tabs>
                <w:tab w:val="left" w:pos="102"/>
              </w:tabs>
            </w:pPr>
            <w:r>
              <w:tab/>
              <w:t>N</w:t>
            </w:r>
          </w:p>
        </w:tc>
        <w:tc>
          <w:tcPr>
            <w:tcW w:w="1482" w:type="pct"/>
            <w:gridSpan w:val="2"/>
            <w:vAlign w:val="center"/>
          </w:tcPr>
          <w:p w14:paraId="7D45B820" w14:textId="77777777" w:rsidR="00F018CE" w:rsidRPr="00B1011F" w:rsidRDefault="00F018CE" w:rsidP="00C86F74">
            <w:pPr>
              <w:pStyle w:val="TableText0"/>
              <w:jc w:val="center"/>
            </w:pPr>
            <w:r>
              <w:t>N=48</w:t>
            </w:r>
          </w:p>
        </w:tc>
        <w:tc>
          <w:tcPr>
            <w:tcW w:w="1480" w:type="pct"/>
            <w:gridSpan w:val="2"/>
            <w:vAlign w:val="center"/>
          </w:tcPr>
          <w:p w14:paraId="76B598BC" w14:textId="77777777" w:rsidR="00F018CE" w:rsidRPr="00B1011F" w:rsidRDefault="00F018CE" w:rsidP="00C86F74">
            <w:pPr>
              <w:pStyle w:val="TableText0"/>
              <w:jc w:val="center"/>
            </w:pPr>
            <w:r>
              <w:t>N=25</w:t>
            </w:r>
          </w:p>
        </w:tc>
      </w:tr>
      <w:tr w:rsidR="00F018CE" w:rsidRPr="00B1011F" w14:paraId="04BAC9B1" w14:textId="77777777" w:rsidTr="001F545B">
        <w:tc>
          <w:tcPr>
            <w:tcW w:w="2038" w:type="pct"/>
            <w:vAlign w:val="center"/>
          </w:tcPr>
          <w:p w14:paraId="42DF5A74" w14:textId="77777777" w:rsidR="00F018CE" w:rsidRPr="00B1011F" w:rsidRDefault="00F018CE" w:rsidP="00C86F74">
            <w:pPr>
              <w:pStyle w:val="TableText0"/>
              <w:tabs>
                <w:tab w:val="left" w:pos="102"/>
              </w:tabs>
            </w:pPr>
            <w:r>
              <w:tab/>
              <w:t>Baseline, mean (SD)</w:t>
            </w:r>
          </w:p>
        </w:tc>
        <w:tc>
          <w:tcPr>
            <w:tcW w:w="1482" w:type="pct"/>
            <w:gridSpan w:val="2"/>
            <w:vAlign w:val="center"/>
          </w:tcPr>
          <w:p w14:paraId="0D9DFA7F" w14:textId="77777777" w:rsidR="00F018CE" w:rsidRPr="00B1011F" w:rsidRDefault="00F018CE" w:rsidP="00C86F74">
            <w:pPr>
              <w:pStyle w:val="TableText0"/>
              <w:jc w:val="center"/>
            </w:pPr>
            <w:r>
              <w:t>49.1 (19.60)</w:t>
            </w:r>
          </w:p>
        </w:tc>
        <w:tc>
          <w:tcPr>
            <w:tcW w:w="1480" w:type="pct"/>
            <w:gridSpan w:val="2"/>
            <w:vAlign w:val="center"/>
          </w:tcPr>
          <w:p w14:paraId="009F9243" w14:textId="77777777" w:rsidR="00F018CE" w:rsidRPr="00B1011F" w:rsidRDefault="00F018CE" w:rsidP="00C86F74">
            <w:pPr>
              <w:pStyle w:val="TableText0"/>
              <w:jc w:val="center"/>
            </w:pPr>
            <w:r>
              <w:t>56.9 (18.99)</w:t>
            </w:r>
          </w:p>
        </w:tc>
      </w:tr>
      <w:tr w:rsidR="00F018CE" w:rsidRPr="00B1011F" w14:paraId="5BDFD529" w14:textId="77777777" w:rsidTr="001F545B">
        <w:tc>
          <w:tcPr>
            <w:tcW w:w="2038" w:type="pct"/>
            <w:vAlign w:val="center"/>
          </w:tcPr>
          <w:p w14:paraId="0CD84B5E" w14:textId="77777777" w:rsidR="00F018CE" w:rsidRPr="00B1011F" w:rsidRDefault="00F018CE" w:rsidP="00C86F74">
            <w:pPr>
              <w:pStyle w:val="TableText0"/>
              <w:tabs>
                <w:tab w:val="left" w:pos="102"/>
              </w:tabs>
            </w:pPr>
            <w:r>
              <w:tab/>
              <w:t>Week 12, mean (SD)</w:t>
            </w:r>
          </w:p>
        </w:tc>
        <w:tc>
          <w:tcPr>
            <w:tcW w:w="1482" w:type="pct"/>
            <w:gridSpan w:val="2"/>
            <w:vAlign w:val="center"/>
          </w:tcPr>
          <w:p w14:paraId="60D01FBC" w14:textId="77777777" w:rsidR="00F018CE" w:rsidRPr="00B1011F" w:rsidRDefault="00F018CE" w:rsidP="00C86F74">
            <w:pPr>
              <w:pStyle w:val="TableText0"/>
              <w:jc w:val="center"/>
            </w:pPr>
            <w:r>
              <w:t>55.1 (22.18)</w:t>
            </w:r>
          </w:p>
        </w:tc>
        <w:tc>
          <w:tcPr>
            <w:tcW w:w="1480" w:type="pct"/>
            <w:gridSpan w:val="2"/>
            <w:vAlign w:val="center"/>
          </w:tcPr>
          <w:p w14:paraId="2B5E4DEA" w14:textId="77777777" w:rsidR="00F018CE" w:rsidRPr="00B1011F" w:rsidRDefault="00F018CE" w:rsidP="00C86F74">
            <w:pPr>
              <w:pStyle w:val="TableText0"/>
              <w:jc w:val="center"/>
            </w:pPr>
            <w:r>
              <w:t>65.6 (17.26)</w:t>
            </w:r>
          </w:p>
        </w:tc>
      </w:tr>
      <w:tr w:rsidR="00F018CE" w:rsidRPr="008A5A88" w14:paraId="6344BD88" w14:textId="77777777" w:rsidTr="001F545B">
        <w:tc>
          <w:tcPr>
            <w:tcW w:w="2038" w:type="pct"/>
            <w:vAlign w:val="center"/>
          </w:tcPr>
          <w:p w14:paraId="350166DA" w14:textId="77777777" w:rsidR="00F018CE" w:rsidRPr="00B1011F" w:rsidRDefault="00F018CE" w:rsidP="00C86F74">
            <w:pPr>
              <w:pStyle w:val="TableText0"/>
              <w:tabs>
                <w:tab w:val="left" w:pos="102"/>
              </w:tabs>
            </w:pPr>
            <w:r>
              <w:tab/>
              <w:t>Adjusted change from baseline (95% CI)</w:t>
            </w:r>
          </w:p>
        </w:tc>
        <w:tc>
          <w:tcPr>
            <w:tcW w:w="1482" w:type="pct"/>
            <w:gridSpan w:val="2"/>
            <w:vAlign w:val="center"/>
          </w:tcPr>
          <w:p w14:paraId="11D394B0" w14:textId="77777777" w:rsidR="00F018CE" w:rsidRPr="008A5A88" w:rsidRDefault="00F018CE" w:rsidP="00C86F74">
            <w:pPr>
              <w:pStyle w:val="TableText0"/>
              <w:jc w:val="center"/>
              <w:rPr>
                <w:b/>
                <w:bCs w:val="0"/>
              </w:rPr>
            </w:pPr>
            <w:r w:rsidRPr="008A5A88">
              <w:rPr>
                <w:b/>
                <w:bCs w:val="0"/>
              </w:rPr>
              <w:t>5.65 (2.18, 9.13)</w:t>
            </w:r>
          </w:p>
        </w:tc>
        <w:tc>
          <w:tcPr>
            <w:tcW w:w="1480" w:type="pct"/>
            <w:gridSpan w:val="2"/>
            <w:vAlign w:val="center"/>
          </w:tcPr>
          <w:p w14:paraId="7CFBCF18" w14:textId="77777777" w:rsidR="00F018CE" w:rsidRPr="008A5A88" w:rsidRDefault="00F018CE" w:rsidP="00C86F74">
            <w:pPr>
              <w:pStyle w:val="TableText0"/>
              <w:jc w:val="center"/>
              <w:rPr>
                <w:b/>
                <w:bCs w:val="0"/>
              </w:rPr>
            </w:pPr>
            <w:r w:rsidRPr="008A5A88">
              <w:rPr>
                <w:b/>
                <w:bCs w:val="0"/>
              </w:rPr>
              <w:t>9.42 (4.59, 14.25)</w:t>
            </w:r>
          </w:p>
        </w:tc>
      </w:tr>
      <w:tr w:rsidR="00F018CE" w:rsidRPr="00B1011F" w14:paraId="1E63DA2C" w14:textId="77777777" w:rsidTr="001F545B">
        <w:tc>
          <w:tcPr>
            <w:tcW w:w="2038" w:type="pct"/>
            <w:vAlign w:val="center"/>
          </w:tcPr>
          <w:p w14:paraId="5F28074F" w14:textId="77777777" w:rsidR="00F018CE" w:rsidRPr="00B1011F" w:rsidRDefault="00F018CE" w:rsidP="00C86F74">
            <w:pPr>
              <w:pStyle w:val="TableText0"/>
              <w:tabs>
                <w:tab w:val="left" w:pos="102"/>
              </w:tabs>
            </w:pPr>
            <w:r>
              <w:tab/>
              <w:t>Osilodrostat vs. placebo (95% CI)</w:t>
            </w:r>
          </w:p>
        </w:tc>
        <w:tc>
          <w:tcPr>
            <w:tcW w:w="2962" w:type="pct"/>
            <w:gridSpan w:val="4"/>
            <w:vAlign w:val="center"/>
          </w:tcPr>
          <w:p w14:paraId="1DAD5A09" w14:textId="77777777" w:rsidR="00F018CE" w:rsidRPr="00B1011F" w:rsidRDefault="00F018CE" w:rsidP="00C86F74">
            <w:pPr>
              <w:pStyle w:val="TableText0"/>
              <w:jc w:val="center"/>
            </w:pPr>
            <w:r>
              <w:t>-3.77 (-9.75, 2.21)</w:t>
            </w:r>
          </w:p>
        </w:tc>
      </w:tr>
      <w:tr w:rsidR="00F018CE" w:rsidRPr="0033428C" w14:paraId="0A24B7D3" w14:textId="77777777" w:rsidTr="001F545B">
        <w:tc>
          <w:tcPr>
            <w:tcW w:w="5000" w:type="pct"/>
            <w:gridSpan w:val="5"/>
            <w:vAlign w:val="center"/>
          </w:tcPr>
          <w:p w14:paraId="77B587B9" w14:textId="77777777" w:rsidR="00F018CE" w:rsidRPr="0033428C" w:rsidRDefault="00F018CE" w:rsidP="00C86F74">
            <w:pPr>
              <w:pStyle w:val="TableText0"/>
              <w:rPr>
                <w:b/>
                <w:bCs w:val="0"/>
              </w:rPr>
            </w:pPr>
            <w:r>
              <w:rPr>
                <w:b/>
                <w:bCs w:val="0"/>
              </w:rPr>
              <w:t>BDI-II</w:t>
            </w:r>
          </w:p>
        </w:tc>
      </w:tr>
      <w:tr w:rsidR="00F018CE" w:rsidRPr="00B1011F" w14:paraId="76BDE1A1" w14:textId="77777777" w:rsidTr="001F545B">
        <w:tc>
          <w:tcPr>
            <w:tcW w:w="2038" w:type="pct"/>
            <w:vAlign w:val="center"/>
          </w:tcPr>
          <w:p w14:paraId="3DACD79E" w14:textId="77777777" w:rsidR="00F018CE" w:rsidRPr="00B1011F" w:rsidRDefault="00F018CE" w:rsidP="00C86F74">
            <w:pPr>
              <w:pStyle w:val="TableText0"/>
              <w:tabs>
                <w:tab w:val="left" w:pos="102"/>
              </w:tabs>
            </w:pPr>
            <w:r>
              <w:tab/>
              <w:t>N</w:t>
            </w:r>
          </w:p>
        </w:tc>
        <w:tc>
          <w:tcPr>
            <w:tcW w:w="1482" w:type="pct"/>
            <w:gridSpan w:val="2"/>
            <w:vAlign w:val="center"/>
          </w:tcPr>
          <w:p w14:paraId="2AD8AA8E" w14:textId="77777777" w:rsidR="00F018CE" w:rsidRPr="00B1011F" w:rsidRDefault="00F018CE" w:rsidP="00C86F74">
            <w:pPr>
              <w:pStyle w:val="TableText0"/>
              <w:jc w:val="center"/>
            </w:pPr>
            <w:r>
              <w:t>N=48</w:t>
            </w:r>
          </w:p>
        </w:tc>
        <w:tc>
          <w:tcPr>
            <w:tcW w:w="1480" w:type="pct"/>
            <w:gridSpan w:val="2"/>
            <w:vAlign w:val="center"/>
          </w:tcPr>
          <w:p w14:paraId="5513E17A" w14:textId="77777777" w:rsidR="00F018CE" w:rsidRPr="00B1011F" w:rsidRDefault="00F018CE" w:rsidP="00C86F74">
            <w:pPr>
              <w:pStyle w:val="TableText0"/>
              <w:jc w:val="center"/>
            </w:pPr>
            <w:r>
              <w:t>N=25</w:t>
            </w:r>
          </w:p>
        </w:tc>
      </w:tr>
      <w:tr w:rsidR="00F018CE" w:rsidRPr="00B1011F" w14:paraId="10C60B1D" w14:textId="77777777" w:rsidTr="001F545B">
        <w:tc>
          <w:tcPr>
            <w:tcW w:w="2038" w:type="pct"/>
            <w:vAlign w:val="center"/>
          </w:tcPr>
          <w:p w14:paraId="6D85D54C" w14:textId="77777777" w:rsidR="00F018CE" w:rsidRPr="00B1011F" w:rsidRDefault="00F018CE" w:rsidP="00C86F74">
            <w:pPr>
              <w:pStyle w:val="TableText0"/>
              <w:tabs>
                <w:tab w:val="left" w:pos="102"/>
              </w:tabs>
            </w:pPr>
            <w:r>
              <w:tab/>
              <w:t>Baseline, mean (SD)</w:t>
            </w:r>
          </w:p>
        </w:tc>
        <w:tc>
          <w:tcPr>
            <w:tcW w:w="1482" w:type="pct"/>
            <w:gridSpan w:val="2"/>
            <w:vAlign w:val="center"/>
          </w:tcPr>
          <w:p w14:paraId="4254AF88" w14:textId="77777777" w:rsidR="00F018CE" w:rsidRPr="00B1011F" w:rsidRDefault="00F018CE" w:rsidP="00C86F74">
            <w:pPr>
              <w:pStyle w:val="TableText0"/>
              <w:jc w:val="center"/>
            </w:pPr>
            <w:r>
              <w:t>12.2 (10.22)</w:t>
            </w:r>
          </w:p>
        </w:tc>
        <w:tc>
          <w:tcPr>
            <w:tcW w:w="1480" w:type="pct"/>
            <w:gridSpan w:val="2"/>
            <w:vAlign w:val="center"/>
          </w:tcPr>
          <w:p w14:paraId="45DED60A" w14:textId="77777777" w:rsidR="00F018CE" w:rsidRPr="00B1011F" w:rsidRDefault="00F018CE" w:rsidP="00C86F74">
            <w:pPr>
              <w:pStyle w:val="TableText0"/>
              <w:jc w:val="center"/>
            </w:pPr>
            <w:r>
              <w:t>8.4 (7.82)</w:t>
            </w:r>
          </w:p>
        </w:tc>
      </w:tr>
      <w:tr w:rsidR="00F018CE" w:rsidRPr="00B1011F" w14:paraId="43745799" w14:textId="77777777" w:rsidTr="001F545B">
        <w:tc>
          <w:tcPr>
            <w:tcW w:w="2038" w:type="pct"/>
            <w:vAlign w:val="center"/>
          </w:tcPr>
          <w:p w14:paraId="18A503F8" w14:textId="77777777" w:rsidR="00F018CE" w:rsidRPr="00B1011F" w:rsidRDefault="00F018CE" w:rsidP="00C86F74">
            <w:pPr>
              <w:pStyle w:val="TableText0"/>
              <w:tabs>
                <w:tab w:val="left" w:pos="102"/>
              </w:tabs>
            </w:pPr>
            <w:r>
              <w:tab/>
              <w:t>Week 12, mean (SD)</w:t>
            </w:r>
          </w:p>
        </w:tc>
        <w:tc>
          <w:tcPr>
            <w:tcW w:w="1482" w:type="pct"/>
            <w:gridSpan w:val="2"/>
            <w:vAlign w:val="center"/>
          </w:tcPr>
          <w:p w14:paraId="0D960FEC" w14:textId="77777777" w:rsidR="00F018CE" w:rsidRPr="00B1011F" w:rsidRDefault="00F018CE" w:rsidP="00C86F74">
            <w:pPr>
              <w:pStyle w:val="TableText0"/>
              <w:jc w:val="center"/>
            </w:pPr>
            <w:r>
              <w:t>10.6 (8.38)</w:t>
            </w:r>
          </w:p>
        </w:tc>
        <w:tc>
          <w:tcPr>
            <w:tcW w:w="1480" w:type="pct"/>
            <w:gridSpan w:val="2"/>
            <w:vAlign w:val="center"/>
          </w:tcPr>
          <w:p w14:paraId="50ED8782" w14:textId="77777777" w:rsidR="00F018CE" w:rsidRPr="00B1011F" w:rsidRDefault="00F018CE" w:rsidP="00C86F74">
            <w:pPr>
              <w:pStyle w:val="TableText0"/>
              <w:jc w:val="center"/>
            </w:pPr>
            <w:r>
              <w:t>4.6 (5.99)</w:t>
            </w:r>
          </w:p>
        </w:tc>
      </w:tr>
      <w:tr w:rsidR="00F018CE" w:rsidRPr="00497D34" w14:paraId="3A9E82E2" w14:textId="77777777" w:rsidTr="001F545B">
        <w:tc>
          <w:tcPr>
            <w:tcW w:w="2038" w:type="pct"/>
            <w:vAlign w:val="center"/>
          </w:tcPr>
          <w:p w14:paraId="61516C76" w14:textId="77777777" w:rsidR="00F018CE" w:rsidRPr="00B1011F" w:rsidRDefault="00F018CE" w:rsidP="00C86F74">
            <w:pPr>
              <w:pStyle w:val="TableText0"/>
              <w:tabs>
                <w:tab w:val="left" w:pos="102"/>
              </w:tabs>
            </w:pPr>
            <w:r>
              <w:tab/>
              <w:t>Adjusted change from baseline (95%CI)</w:t>
            </w:r>
          </w:p>
        </w:tc>
        <w:tc>
          <w:tcPr>
            <w:tcW w:w="1482" w:type="pct"/>
            <w:gridSpan w:val="2"/>
            <w:vAlign w:val="center"/>
          </w:tcPr>
          <w:p w14:paraId="0BBAC994" w14:textId="77777777" w:rsidR="00F018CE" w:rsidRPr="00B1011F" w:rsidRDefault="00F018CE" w:rsidP="00C86F74">
            <w:pPr>
              <w:pStyle w:val="TableText0"/>
              <w:jc w:val="center"/>
            </w:pPr>
            <w:r>
              <w:t>-1.10 (-2.68, 0.49)</w:t>
            </w:r>
          </w:p>
        </w:tc>
        <w:tc>
          <w:tcPr>
            <w:tcW w:w="1480" w:type="pct"/>
            <w:gridSpan w:val="2"/>
            <w:vAlign w:val="center"/>
          </w:tcPr>
          <w:p w14:paraId="17D3FD06" w14:textId="77777777" w:rsidR="00F018CE" w:rsidRPr="00497D34" w:rsidRDefault="00F018CE" w:rsidP="00C86F74">
            <w:pPr>
              <w:pStyle w:val="TableText0"/>
              <w:jc w:val="center"/>
              <w:rPr>
                <w:b/>
                <w:bCs w:val="0"/>
              </w:rPr>
            </w:pPr>
            <w:r w:rsidRPr="00497D34">
              <w:rPr>
                <w:b/>
                <w:bCs w:val="0"/>
              </w:rPr>
              <w:t>-4.74 (-6.94, -2.54)</w:t>
            </w:r>
          </w:p>
        </w:tc>
      </w:tr>
      <w:tr w:rsidR="00F018CE" w:rsidRPr="00497D34" w14:paraId="6BB5F97D" w14:textId="77777777" w:rsidTr="001F545B">
        <w:tc>
          <w:tcPr>
            <w:tcW w:w="2038" w:type="pct"/>
            <w:vAlign w:val="center"/>
          </w:tcPr>
          <w:p w14:paraId="6E0FD850" w14:textId="77777777" w:rsidR="00F018CE" w:rsidRPr="00B1011F" w:rsidRDefault="00F018CE" w:rsidP="00C86F74">
            <w:pPr>
              <w:pStyle w:val="TableText0"/>
              <w:tabs>
                <w:tab w:val="left" w:pos="102"/>
              </w:tabs>
            </w:pPr>
            <w:r>
              <w:tab/>
              <w:t>Osilodrostat vs. placebo (95% CI)</w:t>
            </w:r>
          </w:p>
        </w:tc>
        <w:tc>
          <w:tcPr>
            <w:tcW w:w="2962" w:type="pct"/>
            <w:gridSpan w:val="4"/>
            <w:vAlign w:val="center"/>
          </w:tcPr>
          <w:p w14:paraId="70EA6873" w14:textId="77777777" w:rsidR="00F018CE" w:rsidRPr="002A73E9" w:rsidRDefault="00F018CE" w:rsidP="00C86F74">
            <w:pPr>
              <w:pStyle w:val="TableText0"/>
              <w:jc w:val="center"/>
            </w:pPr>
            <w:r w:rsidRPr="002A73E9">
              <w:t>3.64 (0.92, 6.37)</w:t>
            </w:r>
          </w:p>
        </w:tc>
      </w:tr>
      <w:tr w:rsidR="00F018CE" w:rsidRPr="00E3395E" w14:paraId="22047E0D" w14:textId="77777777" w:rsidTr="001F545B">
        <w:tc>
          <w:tcPr>
            <w:tcW w:w="2038" w:type="pct"/>
            <w:vMerge w:val="restart"/>
            <w:vAlign w:val="center"/>
          </w:tcPr>
          <w:p w14:paraId="3F311809" w14:textId="77777777" w:rsidR="00F018CE" w:rsidRPr="00E3395E" w:rsidRDefault="00F018CE" w:rsidP="00C86F74">
            <w:pPr>
              <w:pStyle w:val="TableText0"/>
              <w:tabs>
                <w:tab w:val="left" w:pos="102"/>
              </w:tabs>
              <w:rPr>
                <w:b/>
                <w:bCs w:val="0"/>
              </w:rPr>
            </w:pPr>
            <w:r w:rsidRPr="00E3395E">
              <w:rPr>
                <w:b/>
                <w:bCs w:val="0"/>
              </w:rPr>
              <w:t>EQ-5D-5L</w:t>
            </w:r>
          </w:p>
        </w:tc>
        <w:tc>
          <w:tcPr>
            <w:tcW w:w="1482" w:type="pct"/>
            <w:gridSpan w:val="2"/>
            <w:vAlign w:val="center"/>
          </w:tcPr>
          <w:p w14:paraId="5973F333" w14:textId="77777777" w:rsidR="00F018CE" w:rsidRPr="00E3395E" w:rsidRDefault="00F018CE" w:rsidP="00C86F74">
            <w:pPr>
              <w:pStyle w:val="TableText0"/>
              <w:jc w:val="center"/>
              <w:rPr>
                <w:b/>
                <w:bCs w:val="0"/>
              </w:rPr>
            </w:pPr>
            <w:r w:rsidRPr="00E3395E">
              <w:rPr>
                <w:b/>
                <w:bCs w:val="0"/>
              </w:rPr>
              <w:t>Utility index</w:t>
            </w:r>
          </w:p>
        </w:tc>
        <w:tc>
          <w:tcPr>
            <w:tcW w:w="1480" w:type="pct"/>
            <w:gridSpan w:val="2"/>
            <w:vAlign w:val="center"/>
          </w:tcPr>
          <w:p w14:paraId="5045D4E0" w14:textId="77777777" w:rsidR="00F018CE" w:rsidRPr="00E3395E" w:rsidRDefault="00F018CE" w:rsidP="00C86F74">
            <w:pPr>
              <w:pStyle w:val="TableText0"/>
              <w:jc w:val="center"/>
              <w:rPr>
                <w:b/>
                <w:bCs w:val="0"/>
              </w:rPr>
            </w:pPr>
            <w:r w:rsidRPr="00E3395E">
              <w:rPr>
                <w:b/>
                <w:bCs w:val="0"/>
              </w:rPr>
              <w:t>VAS</w:t>
            </w:r>
          </w:p>
        </w:tc>
      </w:tr>
      <w:tr w:rsidR="00F018CE" w:rsidRPr="00B1011F" w14:paraId="663E3332" w14:textId="77777777" w:rsidTr="001F545B">
        <w:tc>
          <w:tcPr>
            <w:tcW w:w="2038" w:type="pct"/>
            <w:vMerge/>
            <w:vAlign w:val="center"/>
          </w:tcPr>
          <w:p w14:paraId="2164890C" w14:textId="77777777" w:rsidR="00F018CE" w:rsidRDefault="00F018CE" w:rsidP="00C86F74">
            <w:pPr>
              <w:pStyle w:val="TableText0"/>
              <w:tabs>
                <w:tab w:val="left" w:pos="102"/>
              </w:tabs>
            </w:pPr>
          </w:p>
        </w:tc>
        <w:tc>
          <w:tcPr>
            <w:tcW w:w="741" w:type="pct"/>
            <w:vAlign w:val="center"/>
          </w:tcPr>
          <w:p w14:paraId="28EA6069" w14:textId="77777777" w:rsidR="00F018CE" w:rsidRPr="00E3395E" w:rsidRDefault="00F018CE" w:rsidP="00C86F74">
            <w:pPr>
              <w:pStyle w:val="TableText0"/>
              <w:jc w:val="center"/>
              <w:rPr>
                <w:b/>
                <w:bCs w:val="0"/>
              </w:rPr>
            </w:pPr>
            <w:r w:rsidRPr="00E3395E">
              <w:rPr>
                <w:b/>
                <w:bCs w:val="0"/>
              </w:rPr>
              <w:t>Osilodrostat</w:t>
            </w:r>
          </w:p>
        </w:tc>
        <w:tc>
          <w:tcPr>
            <w:tcW w:w="741" w:type="pct"/>
            <w:vAlign w:val="center"/>
          </w:tcPr>
          <w:p w14:paraId="428167D3" w14:textId="77777777" w:rsidR="00F018CE" w:rsidRPr="00E3395E" w:rsidRDefault="00F018CE" w:rsidP="00C86F74">
            <w:pPr>
              <w:pStyle w:val="TableText0"/>
              <w:jc w:val="center"/>
              <w:rPr>
                <w:b/>
                <w:bCs w:val="0"/>
              </w:rPr>
            </w:pPr>
            <w:r w:rsidRPr="00E3395E">
              <w:rPr>
                <w:b/>
                <w:bCs w:val="0"/>
              </w:rPr>
              <w:t>Placebo</w:t>
            </w:r>
          </w:p>
        </w:tc>
        <w:tc>
          <w:tcPr>
            <w:tcW w:w="740" w:type="pct"/>
            <w:vAlign w:val="center"/>
          </w:tcPr>
          <w:p w14:paraId="7978CEA8" w14:textId="77777777" w:rsidR="00F018CE" w:rsidRPr="00B1011F" w:rsidRDefault="00F018CE" w:rsidP="00C86F74">
            <w:pPr>
              <w:pStyle w:val="TableText0"/>
              <w:jc w:val="center"/>
            </w:pPr>
            <w:r w:rsidRPr="00E3395E">
              <w:rPr>
                <w:b/>
                <w:bCs w:val="0"/>
              </w:rPr>
              <w:t>Osilodrostat</w:t>
            </w:r>
          </w:p>
        </w:tc>
        <w:tc>
          <w:tcPr>
            <w:tcW w:w="740" w:type="pct"/>
            <w:vAlign w:val="center"/>
          </w:tcPr>
          <w:p w14:paraId="2A9D0E66" w14:textId="77777777" w:rsidR="00F018CE" w:rsidRPr="00B1011F" w:rsidRDefault="00F018CE" w:rsidP="00C86F74">
            <w:pPr>
              <w:pStyle w:val="TableText0"/>
              <w:jc w:val="center"/>
            </w:pPr>
            <w:r w:rsidRPr="00E3395E">
              <w:rPr>
                <w:b/>
                <w:bCs w:val="0"/>
              </w:rPr>
              <w:t>Placebo</w:t>
            </w:r>
          </w:p>
        </w:tc>
      </w:tr>
      <w:tr w:rsidR="00F018CE" w:rsidRPr="00B1011F" w14:paraId="3A3CEB13" w14:textId="77777777" w:rsidTr="001F545B">
        <w:tc>
          <w:tcPr>
            <w:tcW w:w="2038" w:type="pct"/>
            <w:vAlign w:val="center"/>
          </w:tcPr>
          <w:p w14:paraId="7B3F04B0" w14:textId="77777777" w:rsidR="00F018CE" w:rsidRPr="00B1011F" w:rsidRDefault="00F018CE" w:rsidP="00C86F74">
            <w:pPr>
              <w:pStyle w:val="TableText0"/>
              <w:tabs>
                <w:tab w:val="left" w:pos="102"/>
              </w:tabs>
            </w:pPr>
            <w:r>
              <w:tab/>
              <w:t>N</w:t>
            </w:r>
          </w:p>
        </w:tc>
        <w:tc>
          <w:tcPr>
            <w:tcW w:w="741" w:type="pct"/>
            <w:vAlign w:val="center"/>
          </w:tcPr>
          <w:p w14:paraId="3BA3D9FC" w14:textId="77777777" w:rsidR="00F018CE" w:rsidRPr="00B1011F" w:rsidRDefault="00F018CE" w:rsidP="00C86F74">
            <w:pPr>
              <w:pStyle w:val="TableText0"/>
              <w:jc w:val="center"/>
            </w:pPr>
            <w:r>
              <w:t>N=48</w:t>
            </w:r>
          </w:p>
        </w:tc>
        <w:tc>
          <w:tcPr>
            <w:tcW w:w="741" w:type="pct"/>
            <w:vAlign w:val="center"/>
          </w:tcPr>
          <w:p w14:paraId="17EE70BE" w14:textId="77777777" w:rsidR="00F018CE" w:rsidRPr="00B1011F" w:rsidRDefault="00F018CE" w:rsidP="00C86F74">
            <w:pPr>
              <w:pStyle w:val="TableText0"/>
              <w:jc w:val="center"/>
            </w:pPr>
            <w:r>
              <w:t>N=24</w:t>
            </w:r>
          </w:p>
        </w:tc>
        <w:tc>
          <w:tcPr>
            <w:tcW w:w="740" w:type="pct"/>
            <w:vAlign w:val="center"/>
          </w:tcPr>
          <w:p w14:paraId="3167D47C" w14:textId="77777777" w:rsidR="00F018CE" w:rsidRPr="00B1011F" w:rsidRDefault="00F018CE" w:rsidP="00C86F74">
            <w:pPr>
              <w:pStyle w:val="TableText0"/>
              <w:jc w:val="center"/>
            </w:pPr>
            <w:r>
              <w:t>N=48</w:t>
            </w:r>
          </w:p>
        </w:tc>
        <w:tc>
          <w:tcPr>
            <w:tcW w:w="740" w:type="pct"/>
            <w:vAlign w:val="center"/>
          </w:tcPr>
          <w:p w14:paraId="774F5A02" w14:textId="77777777" w:rsidR="00F018CE" w:rsidRPr="00B1011F" w:rsidRDefault="00F018CE" w:rsidP="00C86F74">
            <w:pPr>
              <w:pStyle w:val="TableText0"/>
              <w:jc w:val="center"/>
            </w:pPr>
            <w:r>
              <w:t>N=23</w:t>
            </w:r>
          </w:p>
        </w:tc>
      </w:tr>
      <w:tr w:rsidR="00F018CE" w:rsidRPr="00B1011F" w14:paraId="2CE0EA5F" w14:textId="77777777" w:rsidTr="001F545B">
        <w:tc>
          <w:tcPr>
            <w:tcW w:w="2038" w:type="pct"/>
            <w:vAlign w:val="center"/>
          </w:tcPr>
          <w:p w14:paraId="4E13048E" w14:textId="77777777" w:rsidR="00F018CE" w:rsidRPr="00B1011F" w:rsidRDefault="00F018CE" w:rsidP="00C86F74">
            <w:pPr>
              <w:pStyle w:val="TableText0"/>
              <w:tabs>
                <w:tab w:val="left" w:pos="102"/>
              </w:tabs>
            </w:pPr>
            <w:r>
              <w:tab/>
              <w:t>Baseline, mean (SD)</w:t>
            </w:r>
          </w:p>
        </w:tc>
        <w:tc>
          <w:tcPr>
            <w:tcW w:w="741" w:type="pct"/>
            <w:vAlign w:val="center"/>
          </w:tcPr>
          <w:p w14:paraId="4AA28E75" w14:textId="77777777" w:rsidR="00F018CE" w:rsidRPr="00B1011F" w:rsidRDefault="00F018CE" w:rsidP="00C86F74">
            <w:pPr>
              <w:pStyle w:val="TableText0"/>
              <w:jc w:val="center"/>
            </w:pPr>
            <w:r>
              <w:t>0.83 (0.15)</w:t>
            </w:r>
          </w:p>
        </w:tc>
        <w:tc>
          <w:tcPr>
            <w:tcW w:w="741" w:type="pct"/>
            <w:vAlign w:val="center"/>
          </w:tcPr>
          <w:p w14:paraId="593FF44C" w14:textId="77777777" w:rsidR="00F018CE" w:rsidRPr="00B1011F" w:rsidRDefault="00F018CE" w:rsidP="00C86F74">
            <w:pPr>
              <w:pStyle w:val="TableText0"/>
              <w:jc w:val="center"/>
            </w:pPr>
            <w:r>
              <w:t>0.90 (0.11)</w:t>
            </w:r>
          </w:p>
        </w:tc>
        <w:tc>
          <w:tcPr>
            <w:tcW w:w="740" w:type="pct"/>
            <w:vAlign w:val="center"/>
          </w:tcPr>
          <w:p w14:paraId="058BE0A1" w14:textId="77777777" w:rsidR="00F018CE" w:rsidRPr="00B1011F" w:rsidRDefault="00F018CE" w:rsidP="00C86F74">
            <w:pPr>
              <w:pStyle w:val="TableText0"/>
              <w:jc w:val="center"/>
            </w:pPr>
            <w:r>
              <w:t>70.3 (17.26)</w:t>
            </w:r>
          </w:p>
        </w:tc>
        <w:tc>
          <w:tcPr>
            <w:tcW w:w="740" w:type="pct"/>
            <w:vAlign w:val="center"/>
          </w:tcPr>
          <w:p w14:paraId="62352BDF" w14:textId="77777777" w:rsidR="00F018CE" w:rsidRPr="00B1011F" w:rsidRDefault="00F018CE" w:rsidP="00C86F74">
            <w:pPr>
              <w:pStyle w:val="TableText0"/>
              <w:jc w:val="center"/>
            </w:pPr>
            <w:r>
              <w:t>76.7 (17.88)</w:t>
            </w:r>
          </w:p>
        </w:tc>
      </w:tr>
      <w:tr w:rsidR="00F018CE" w:rsidRPr="00B1011F" w14:paraId="3339B5F9" w14:textId="77777777" w:rsidTr="001F545B">
        <w:tc>
          <w:tcPr>
            <w:tcW w:w="2038" w:type="pct"/>
            <w:vAlign w:val="center"/>
          </w:tcPr>
          <w:p w14:paraId="4B8C089E" w14:textId="77777777" w:rsidR="00F018CE" w:rsidRPr="00B1011F" w:rsidRDefault="00F018CE" w:rsidP="00C86F74">
            <w:pPr>
              <w:pStyle w:val="TableText0"/>
              <w:tabs>
                <w:tab w:val="left" w:pos="102"/>
              </w:tabs>
            </w:pPr>
            <w:r>
              <w:tab/>
              <w:t>Week 12, mean (SD)</w:t>
            </w:r>
          </w:p>
        </w:tc>
        <w:tc>
          <w:tcPr>
            <w:tcW w:w="741" w:type="pct"/>
            <w:vAlign w:val="center"/>
          </w:tcPr>
          <w:p w14:paraId="56336186" w14:textId="77777777" w:rsidR="00F018CE" w:rsidRPr="00B1011F" w:rsidRDefault="00F018CE" w:rsidP="00C86F74">
            <w:pPr>
              <w:pStyle w:val="TableText0"/>
              <w:jc w:val="center"/>
            </w:pPr>
            <w:r>
              <w:t>0.82 (0.15)</w:t>
            </w:r>
          </w:p>
        </w:tc>
        <w:tc>
          <w:tcPr>
            <w:tcW w:w="741" w:type="pct"/>
            <w:vAlign w:val="center"/>
          </w:tcPr>
          <w:p w14:paraId="0C314081" w14:textId="77777777" w:rsidR="00F018CE" w:rsidRPr="00B1011F" w:rsidRDefault="00F018CE" w:rsidP="00C86F74">
            <w:pPr>
              <w:pStyle w:val="TableText0"/>
              <w:jc w:val="center"/>
            </w:pPr>
            <w:r>
              <w:t>0.92 (0.10)</w:t>
            </w:r>
          </w:p>
        </w:tc>
        <w:tc>
          <w:tcPr>
            <w:tcW w:w="740" w:type="pct"/>
            <w:vAlign w:val="center"/>
          </w:tcPr>
          <w:p w14:paraId="58843AC7" w14:textId="77777777" w:rsidR="00F018CE" w:rsidRPr="00B1011F" w:rsidRDefault="00F018CE" w:rsidP="00C86F74">
            <w:pPr>
              <w:pStyle w:val="TableText0"/>
              <w:jc w:val="center"/>
            </w:pPr>
            <w:r>
              <w:t>70.3 (18.81)</w:t>
            </w:r>
          </w:p>
        </w:tc>
        <w:tc>
          <w:tcPr>
            <w:tcW w:w="740" w:type="pct"/>
            <w:vAlign w:val="center"/>
          </w:tcPr>
          <w:p w14:paraId="63CFBAAF" w14:textId="77777777" w:rsidR="00F018CE" w:rsidRPr="00B1011F" w:rsidRDefault="00F018CE" w:rsidP="00C86F74">
            <w:pPr>
              <w:pStyle w:val="TableText0"/>
              <w:jc w:val="center"/>
            </w:pPr>
            <w:r>
              <w:t>76.4 (16.67)</w:t>
            </w:r>
          </w:p>
        </w:tc>
      </w:tr>
      <w:tr w:rsidR="00F018CE" w:rsidRPr="00B1011F" w14:paraId="2BD631BC" w14:textId="77777777" w:rsidTr="001F545B">
        <w:tc>
          <w:tcPr>
            <w:tcW w:w="2038" w:type="pct"/>
            <w:vAlign w:val="center"/>
          </w:tcPr>
          <w:p w14:paraId="4806E899" w14:textId="77777777" w:rsidR="00F018CE" w:rsidRPr="00B1011F" w:rsidRDefault="00F018CE" w:rsidP="00C86F74">
            <w:pPr>
              <w:pStyle w:val="TableText0"/>
              <w:tabs>
                <w:tab w:val="left" w:pos="102"/>
              </w:tabs>
            </w:pPr>
            <w:r>
              <w:tab/>
              <w:t>Adjusted change from baseline (95%CI)</w:t>
            </w:r>
          </w:p>
        </w:tc>
        <w:tc>
          <w:tcPr>
            <w:tcW w:w="741" w:type="pct"/>
            <w:vAlign w:val="center"/>
          </w:tcPr>
          <w:p w14:paraId="4C1618F0" w14:textId="77777777" w:rsidR="00F018CE" w:rsidRPr="00B1011F" w:rsidRDefault="00F018CE" w:rsidP="00C86F74">
            <w:pPr>
              <w:pStyle w:val="TableText0"/>
              <w:jc w:val="center"/>
            </w:pPr>
            <w:r>
              <w:t>-0.01 (-0.05,0.02)</w:t>
            </w:r>
          </w:p>
        </w:tc>
        <w:tc>
          <w:tcPr>
            <w:tcW w:w="741" w:type="pct"/>
            <w:vAlign w:val="center"/>
          </w:tcPr>
          <w:p w14:paraId="06C7837C" w14:textId="77777777" w:rsidR="00F018CE" w:rsidRPr="00B1011F" w:rsidRDefault="00F018CE" w:rsidP="00C86F74">
            <w:pPr>
              <w:pStyle w:val="TableText0"/>
              <w:jc w:val="center"/>
            </w:pPr>
            <w:r>
              <w:t>0.04 (0.00, 0.09)</w:t>
            </w:r>
          </w:p>
        </w:tc>
        <w:tc>
          <w:tcPr>
            <w:tcW w:w="740" w:type="pct"/>
            <w:vAlign w:val="center"/>
          </w:tcPr>
          <w:p w14:paraId="2F0BECC9" w14:textId="77777777" w:rsidR="00F018CE" w:rsidRPr="00B1011F" w:rsidRDefault="00F018CE" w:rsidP="00C86F74">
            <w:pPr>
              <w:pStyle w:val="TableText0"/>
              <w:jc w:val="center"/>
            </w:pPr>
            <w:r>
              <w:t>-0.84 (-4.61,2.93)</w:t>
            </w:r>
          </w:p>
        </w:tc>
        <w:tc>
          <w:tcPr>
            <w:tcW w:w="740" w:type="pct"/>
            <w:vAlign w:val="center"/>
          </w:tcPr>
          <w:p w14:paraId="7787B275" w14:textId="77777777" w:rsidR="00F018CE" w:rsidRPr="00B1011F" w:rsidRDefault="00F018CE" w:rsidP="00C86F74">
            <w:pPr>
              <w:pStyle w:val="TableText0"/>
              <w:jc w:val="center"/>
            </w:pPr>
            <w:r>
              <w:t>0.83 (-4.54,6.20)</w:t>
            </w:r>
          </w:p>
        </w:tc>
      </w:tr>
      <w:tr w:rsidR="00F018CE" w:rsidRPr="00B1011F" w14:paraId="72283813" w14:textId="77777777" w:rsidTr="001F545B">
        <w:tc>
          <w:tcPr>
            <w:tcW w:w="2038" w:type="pct"/>
            <w:vAlign w:val="center"/>
          </w:tcPr>
          <w:p w14:paraId="533EBD42" w14:textId="77777777" w:rsidR="00F018CE" w:rsidRPr="00B1011F" w:rsidRDefault="00F018CE" w:rsidP="00C86F74">
            <w:pPr>
              <w:pStyle w:val="TableText0"/>
              <w:tabs>
                <w:tab w:val="left" w:pos="102"/>
              </w:tabs>
            </w:pPr>
            <w:r>
              <w:tab/>
              <w:t>Osilodrostat vs. placebo (95% CI)</w:t>
            </w:r>
          </w:p>
        </w:tc>
        <w:tc>
          <w:tcPr>
            <w:tcW w:w="1482" w:type="pct"/>
            <w:gridSpan w:val="2"/>
            <w:vAlign w:val="center"/>
          </w:tcPr>
          <w:p w14:paraId="28EF5D27" w14:textId="77777777" w:rsidR="00F018CE" w:rsidRPr="00B1011F" w:rsidRDefault="00F018CE" w:rsidP="00C86F74">
            <w:pPr>
              <w:pStyle w:val="TableText0"/>
              <w:jc w:val="center"/>
            </w:pPr>
            <w:r>
              <w:t>-0.06 (-0.11, 0.00)</w:t>
            </w:r>
          </w:p>
        </w:tc>
        <w:tc>
          <w:tcPr>
            <w:tcW w:w="1480" w:type="pct"/>
            <w:gridSpan w:val="2"/>
            <w:vAlign w:val="center"/>
          </w:tcPr>
          <w:p w14:paraId="01D56249" w14:textId="77777777" w:rsidR="00F018CE" w:rsidRPr="00B1011F" w:rsidRDefault="00F018CE" w:rsidP="00C86F74">
            <w:pPr>
              <w:pStyle w:val="TableText0"/>
              <w:jc w:val="center"/>
            </w:pPr>
            <w:r>
              <w:t>-1.67 (-8.26, 4.92)</w:t>
            </w:r>
          </w:p>
        </w:tc>
      </w:tr>
    </w:tbl>
    <w:p w14:paraId="21AAD3AE" w14:textId="77777777" w:rsidR="00F018CE" w:rsidRPr="00B1011F" w:rsidRDefault="00F018CE" w:rsidP="00F018CE">
      <w:pPr>
        <w:pStyle w:val="FooterTableFigure"/>
        <w:rPr>
          <w:sz w:val="20"/>
        </w:rPr>
      </w:pPr>
      <w:r>
        <w:t xml:space="preserve">Source: </w:t>
      </w:r>
      <w:r w:rsidRPr="00AB08F8">
        <w:t>Table 2.5-19, p146 of the submission.</w:t>
      </w:r>
    </w:p>
    <w:p w14:paraId="00430551" w14:textId="72B0F6B0" w:rsidR="00F018CE" w:rsidRDefault="00F018CE" w:rsidP="00F018CE">
      <w:pPr>
        <w:pStyle w:val="FooterTableFigure"/>
        <w:rPr>
          <w:rFonts w:eastAsia="Calibri"/>
        </w:rPr>
      </w:pPr>
      <w:r w:rsidRPr="00B40358">
        <w:rPr>
          <w:rFonts w:eastAsia="Calibri"/>
        </w:rPr>
        <w:t xml:space="preserve">CI = confidence interval; </w:t>
      </w:r>
      <w:r w:rsidR="00D84F6D" w:rsidRPr="00D84F6D">
        <w:rPr>
          <w:bCs/>
        </w:rPr>
        <w:t>BDI-II</w:t>
      </w:r>
      <w:r w:rsidR="00D84F6D" w:rsidRPr="00D84F6D">
        <w:rPr>
          <w:rFonts w:eastAsia="Calibri"/>
          <w:bCs/>
        </w:rPr>
        <w:t xml:space="preserve"> = Beck Depression Inventory</w:t>
      </w:r>
      <w:r w:rsidR="00D84F6D">
        <w:rPr>
          <w:rFonts w:eastAsia="Calibri"/>
          <w:bCs/>
        </w:rPr>
        <w:t>;</w:t>
      </w:r>
      <w:r w:rsidR="00892F96">
        <w:rPr>
          <w:rFonts w:eastAsia="Calibri"/>
          <w:bCs/>
        </w:rPr>
        <w:t xml:space="preserve"> </w:t>
      </w:r>
      <w:r w:rsidR="007D3AE0">
        <w:rPr>
          <w:rFonts w:eastAsia="Calibri"/>
          <w:bCs/>
        </w:rPr>
        <w:t xml:space="preserve">QoL = quality of life; </w:t>
      </w:r>
      <w:r>
        <w:rPr>
          <w:rFonts w:eastAsia="Calibri"/>
        </w:rPr>
        <w:t>SD = standard deviation; VAS = visual analogue scale</w:t>
      </w:r>
      <w:r w:rsidR="002A73E9">
        <w:rPr>
          <w:rFonts w:eastAsia="Calibri"/>
        </w:rPr>
        <w:t xml:space="preserve">; </w:t>
      </w:r>
      <w:r w:rsidR="002A73E9">
        <w:rPr>
          <w:rFonts w:eastAsia="Calibri"/>
          <w:b/>
        </w:rPr>
        <w:t>b</w:t>
      </w:r>
      <w:r w:rsidR="002A73E9" w:rsidRPr="00760F9E">
        <w:rPr>
          <w:rFonts w:eastAsia="Calibri"/>
          <w:b/>
        </w:rPr>
        <w:t>old</w:t>
      </w:r>
      <w:r w:rsidR="002A73E9">
        <w:rPr>
          <w:rFonts w:eastAsia="Calibri"/>
        </w:rPr>
        <w:t xml:space="preserve"> indicates statistically significant results</w:t>
      </w:r>
    </w:p>
    <w:p w14:paraId="2B5FA868" w14:textId="3FA6B7A7" w:rsidR="00D84F6D" w:rsidRPr="008C713C" w:rsidRDefault="00D84F6D" w:rsidP="00D84F6D">
      <w:pPr>
        <w:pStyle w:val="COMH3"/>
        <w:spacing w:before="120" w:after="120"/>
        <w:outlineLvl w:val="2"/>
        <w:rPr>
          <w:rFonts w:eastAsia="Calibri"/>
          <w:b w:val="0"/>
          <w:bCs/>
          <w:iCs w:val="0"/>
        </w:rPr>
      </w:pPr>
      <w:r w:rsidRPr="008C713C">
        <w:rPr>
          <w:iCs w:val="0"/>
        </w:rPr>
        <w:t xml:space="preserve">Unanchored </w:t>
      </w:r>
      <w:r w:rsidR="00892F96" w:rsidRPr="008C713C">
        <w:rPr>
          <w:iCs w:val="0"/>
        </w:rPr>
        <w:t xml:space="preserve">indirect </w:t>
      </w:r>
      <w:r w:rsidR="002A73E9" w:rsidRPr="008C713C">
        <w:rPr>
          <w:iCs w:val="0"/>
        </w:rPr>
        <w:t>comparisons</w:t>
      </w:r>
      <w:r w:rsidR="002A73E9" w:rsidRPr="008C713C">
        <w:rPr>
          <w:rFonts w:eastAsia="Calibri"/>
          <w:bCs/>
          <w:iCs w:val="0"/>
        </w:rPr>
        <w:t xml:space="preserve"> </w:t>
      </w:r>
    </w:p>
    <w:p w14:paraId="2168F487" w14:textId="3BBA8D82" w:rsidR="00B83739" w:rsidRPr="00472DED" w:rsidRDefault="002A73E9" w:rsidP="00472DED">
      <w:pPr>
        <w:pStyle w:val="3-BodyText"/>
      </w:pPr>
      <w:r w:rsidRPr="00472DED">
        <w:t xml:space="preserve">Results for the indirect comparisons for complete response at Week 12 are in </w:t>
      </w:r>
      <w:r w:rsidRPr="00472DED">
        <w:fldChar w:fldCharType="begin"/>
      </w:r>
      <w:r w:rsidRPr="00472DED">
        <w:instrText xml:space="preserve"> REF _Ref123598197 \h  \* MERGEFORMAT </w:instrText>
      </w:r>
      <w:r w:rsidRPr="00472DED">
        <w:fldChar w:fldCharType="separate"/>
      </w:r>
      <w:r w:rsidR="00A9220E" w:rsidRPr="00A9220E">
        <w:t>Table 8</w:t>
      </w:r>
      <w:r w:rsidRPr="00472DED">
        <w:fldChar w:fldCharType="end"/>
      </w:r>
      <w:r w:rsidRPr="00472DED">
        <w:t xml:space="preserve"> and </w:t>
      </w:r>
      <w:r w:rsidRPr="00472DED">
        <w:fldChar w:fldCharType="begin"/>
      </w:r>
      <w:r w:rsidRPr="00472DED">
        <w:instrText xml:space="preserve"> REF _Ref123598210 \h  \* MERGEFORMAT </w:instrText>
      </w:r>
      <w:r w:rsidRPr="00472DED">
        <w:fldChar w:fldCharType="separate"/>
      </w:r>
      <w:r w:rsidR="00A9220E" w:rsidRPr="00A9220E">
        <w:t>Table 9</w:t>
      </w:r>
      <w:r w:rsidRPr="00472DED">
        <w:fldChar w:fldCharType="end"/>
      </w:r>
      <w:r w:rsidRPr="00472DED">
        <w:t>.</w:t>
      </w:r>
    </w:p>
    <w:p w14:paraId="6E290872" w14:textId="7B64C447" w:rsidR="00EF0171" w:rsidRPr="00D6076E" w:rsidRDefault="00D6076E" w:rsidP="00D6076E">
      <w:pPr>
        <w:pStyle w:val="TableFigureHeading"/>
        <w:rPr>
          <w:rStyle w:val="CommentReference"/>
          <w:b/>
          <w:szCs w:val="24"/>
        </w:rPr>
      </w:pPr>
      <w:bookmarkStart w:id="25" w:name="_Ref123598197"/>
      <w:r w:rsidRPr="00D6076E">
        <w:rPr>
          <w:rStyle w:val="CommentReference"/>
          <w:b/>
          <w:szCs w:val="24"/>
        </w:rPr>
        <w:t xml:space="preserve">Table </w:t>
      </w:r>
      <w:r w:rsidRPr="00D6076E">
        <w:rPr>
          <w:rStyle w:val="CommentReference"/>
          <w:b/>
          <w:szCs w:val="24"/>
        </w:rPr>
        <w:fldChar w:fldCharType="begin"/>
      </w:r>
      <w:r w:rsidRPr="00D6076E">
        <w:rPr>
          <w:rStyle w:val="CommentReference"/>
          <w:b/>
          <w:szCs w:val="24"/>
        </w:rPr>
        <w:instrText xml:space="preserve"> SEQ Table \* ARABIC </w:instrText>
      </w:r>
      <w:r w:rsidRPr="00D6076E">
        <w:rPr>
          <w:rStyle w:val="CommentReference"/>
          <w:b/>
          <w:szCs w:val="24"/>
        </w:rPr>
        <w:fldChar w:fldCharType="separate"/>
      </w:r>
      <w:r w:rsidR="00A9220E">
        <w:rPr>
          <w:rStyle w:val="CommentReference"/>
          <w:b/>
          <w:noProof/>
          <w:szCs w:val="24"/>
        </w:rPr>
        <w:t>8</w:t>
      </w:r>
      <w:r w:rsidRPr="00D6076E">
        <w:rPr>
          <w:rStyle w:val="CommentReference"/>
          <w:b/>
          <w:szCs w:val="24"/>
        </w:rPr>
        <w:fldChar w:fldCharType="end"/>
      </w:r>
      <w:bookmarkEnd w:id="25"/>
      <w:r w:rsidRPr="00D6076E">
        <w:rPr>
          <w:rStyle w:val="CommentReference"/>
          <w:b/>
          <w:szCs w:val="24"/>
        </w:rPr>
        <w:t xml:space="preserve">: </w:t>
      </w:r>
      <w:r w:rsidR="00F018CE">
        <w:rPr>
          <w:rStyle w:val="CommentReference"/>
          <w:b/>
          <w:szCs w:val="24"/>
        </w:rPr>
        <w:t>Indirect comparison: osilodrostat vs. metyrapone</w:t>
      </w:r>
      <w:r w:rsidR="00F018CE" w:rsidRPr="0042047F">
        <w:rPr>
          <w:rStyle w:val="CommentReference"/>
          <w:b/>
          <w:szCs w:val="24"/>
        </w:rPr>
        <w:t xml:space="preserve"> </w:t>
      </w:r>
      <w:r w:rsidR="00F018CE">
        <w:rPr>
          <w:rStyle w:val="CommentReference"/>
          <w:b/>
          <w:szCs w:val="24"/>
        </w:rPr>
        <w:t>– complete response at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856"/>
        <w:gridCol w:w="1825"/>
        <w:gridCol w:w="1789"/>
        <w:gridCol w:w="1787"/>
      </w:tblGrid>
      <w:tr w:rsidR="00F018CE" w:rsidRPr="00B84117" w14:paraId="63D40346" w14:textId="77777777" w:rsidTr="001F545B">
        <w:trPr>
          <w:tblHeader/>
        </w:trPr>
        <w:tc>
          <w:tcPr>
            <w:tcW w:w="976" w:type="pct"/>
            <w:vAlign w:val="center"/>
          </w:tcPr>
          <w:p w14:paraId="1953DE37" w14:textId="77777777" w:rsidR="00F018CE" w:rsidRDefault="00F018CE" w:rsidP="00C86F74">
            <w:pPr>
              <w:pStyle w:val="In-tableHeading"/>
              <w:jc w:val="center"/>
            </w:pPr>
            <w:r>
              <w:t xml:space="preserve">Osilodrostat </w:t>
            </w:r>
          </w:p>
          <w:p w14:paraId="4180B14F" w14:textId="77777777" w:rsidR="00F018CE" w:rsidRPr="00B84117" w:rsidRDefault="00F018CE" w:rsidP="00C86F74">
            <w:pPr>
              <w:pStyle w:val="In-tableHeading"/>
              <w:jc w:val="center"/>
            </w:pPr>
            <w:r>
              <w:t>n/N (%)</w:t>
            </w:r>
          </w:p>
        </w:tc>
        <w:tc>
          <w:tcPr>
            <w:tcW w:w="1029" w:type="pct"/>
            <w:vAlign w:val="center"/>
          </w:tcPr>
          <w:p w14:paraId="011EE890" w14:textId="77777777" w:rsidR="00F018CE" w:rsidRDefault="00F018CE" w:rsidP="00C86F74">
            <w:pPr>
              <w:pStyle w:val="In-tableHeading"/>
              <w:jc w:val="center"/>
            </w:pPr>
            <w:r>
              <w:t>Metyrapone</w:t>
            </w:r>
          </w:p>
          <w:p w14:paraId="19CC8D05" w14:textId="77777777" w:rsidR="00F018CE" w:rsidRPr="00B84117" w:rsidRDefault="00F018CE" w:rsidP="00C86F74">
            <w:pPr>
              <w:pStyle w:val="In-tableHeading"/>
              <w:jc w:val="center"/>
            </w:pPr>
            <w:r>
              <w:t>n/N (%)</w:t>
            </w:r>
          </w:p>
        </w:tc>
        <w:tc>
          <w:tcPr>
            <w:tcW w:w="1012" w:type="pct"/>
            <w:vAlign w:val="center"/>
          </w:tcPr>
          <w:p w14:paraId="574AAED7" w14:textId="77777777" w:rsidR="00F018CE" w:rsidRDefault="00F018CE" w:rsidP="00C86F74">
            <w:pPr>
              <w:pStyle w:val="In-tableHeading"/>
              <w:jc w:val="center"/>
            </w:pPr>
            <w:r>
              <w:t>RD</w:t>
            </w:r>
            <w:r w:rsidRPr="00B84117">
              <w:t xml:space="preserve"> </w:t>
            </w:r>
          </w:p>
          <w:p w14:paraId="67225205" w14:textId="77777777" w:rsidR="00F018CE" w:rsidRPr="00B84117" w:rsidRDefault="00F018CE" w:rsidP="00C86F74">
            <w:pPr>
              <w:pStyle w:val="In-tableHeading"/>
              <w:jc w:val="center"/>
            </w:pPr>
            <w:r w:rsidRPr="00B84117">
              <w:t>(95% CI)</w:t>
            </w:r>
          </w:p>
        </w:tc>
        <w:tc>
          <w:tcPr>
            <w:tcW w:w="992" w:type="pct"/>
            <w:vAlign w:val="center"/>
          </w:tcPr>
          <w:p w14:paraId="2AB17F28" w14:textId="77777777" w:rsidR="00F018CE" w:rsidRDefault="00F018CE" w:rsidP="00C86F74">
            <w:pPr>
              <w:pStyle w:val="In-tableHeading"/>
              <w:jc w:val="center"/>
            </w:pPr>
            <w:r>
              <w:t>RR</w:t>
            </w:r>
            <w:r w:rsidRPr="00B84117">
              <w:t xml:space="preserve"> </w:t>
            </w:r>
          </w:p>
          <w:p w14:paraId="7667E63D" w14:textId="77777777" w:rsidR="00F018CE" w:rsidRPr="00B84117" w:rsidRDefault="00F018CE" w:rsidP="00C86F74">
            <w:pPr>
              <w:pStyle w:val="In-tableHeading"/>
              <w:jc w:val="center"/>
            </w:pPr>
            <w:r w:rsidRPr="00B84117">
              <w:t>(95% CI)</w:t>
            </w:r>
          </w:p>
        </w:tc>
        <w:tc>
          <w:tcPr>
            <w:tcW w:w="991" w:type="pct"/>
          </w:tcPr>
          <w:p w14:paraId="0AF8A1A8" w14:textId="77777777" w:rsidR="00F018CE" w:rsidRDefault="00F018CE" w:rsidP="00C86F74">
            <w:pPr>
              <w:pStyle w:val="In-tableHeading"/>
              <w:jc w:val="center"/>
            </w:pPr>
            <w:r>
              <w:t xml:space="preserve">OR </w:t>
            </w:r>
          </w:p>
          <w:p w14:paraId="7F5E684B" w14:textId="77777777" w:rsidR="00F018CE" w:rsidRPr="00B84117" w:rsidRDefault="00F018CE" w:rsidP="00C86F74">
            <w:pPr>
              <w:pStyle w:val="In-tableHeading"/>
              <w:jc w:val="center"/>
            </w:pPr>
            <w:r>
              <w:t>(95% CI)</w:t>
            </w:r>
          </w:p>
        </w:tc>
      </w:tr>
      <w:tr w:rsidR="00F018CE" w:rsidRPr="006936CB" w14:paraId="112B7C15" w14:textId="77777777" w:rsidTr="001F545B">
        <w:tc>
          <w:tcPr>
            <w:tcW w:w="5000" w:type="pct"/>
            <w:gridSpan w:val="5"/>
            <w:vAlign w:val="center"/>
          </w:tcPr>
          <w:p w14:paraId="578E8259" w14:textId="77777777" w:rsidR="00F018CE" w:rsidRPr="006936CB" w:rsidRDefault="00F018CE" w:rsidP="00C86F74">
            <w:pPr>
              <w:pStyle w:val="TableText0"/>
              <w:rPr>
                <w:b/>
                <w:bCs w:val="0"/>
              </w:rPr>
            </w:pPr>
            <w:r>
              <w:rPr>
                <w:b/>
                <w:bCs w:val="0"/>
              </w:rPr>
              <w:t>L</w:t>
            </w:r>
            <w:r>
              <w:rPr>
                <w:b/>
              </w:rPr>
              <w:t>INC 4 vs. PROMPT</w:t>
            </w:r>
          </w:p>
        </w:tc>
      </w:tr>
      <w:tr w:rsidR="00F018CE" w:rsidRPr="00957691" w14:paraId="408F8B75" w14:textId="77777777" w:rsidTr="001F545B">
        <w:tc>
          <w:tcPr>
            <w:tcW w:w="976" w:type="pct"/>
            <w:vAlign w:val="center"/>
          </w:tcPr>
          <w:p w14:paraId="4C43ECBF" w14:textId="77777777" w:rsidR="00F018CE" w:rsidRPr="00957691" w:rsidRDefault="00F018CE" w:rsidP="00C86F74">
            <w:pPr>
              <w:keepNext/>
              <w:jc w:val="center"/>
              <w:rPr>
                <w:rFonts w:ascii="Arial Narrow" w:hAnsi="Arial Narrow" w:cstheme="minorHAnsi"/>
                <w:sz w:val="20"/>
                <w:szCs w:val="20"/>
              </w:rPr>
            </w:pPr>
            <w:r w:rsidRPr="00957691">
              <w:rPr>
                <w:rFonts w:ascii="Arial Narrow" w:hAnsi="Arial Narrow" w:cstheme="minorHAnsi"/>
                <w:sz w:val="20"/>
                <w:szCs w:val="20"/>
              </w:rPr>
              <w:t>37/48</w:t>
            </w:r>
            <w:r>
              <w:rPr>
                <w:rFonts w:ascii="Arial Narrow" w:hAnsi="Arial Narrow" w:cstheme="minorHAnsi"/>
                <w:sz w:val="20"/>
                <w:szCs w:val="20"/>
              </w:rPr>
              <w:t xml:space="preserve"> </w:t>
            </w:r>
            <w:r w:rsidRPr="00957691">
              <w:rPr>
                <w:rFonts w:ascii="Arial Narrow" w:hAnsi="Arial Narrow" w:cstheme="minorHAnsi"/>
                <w:sz w:val="20"/>
                <w:szCs w:val="20"/>
              </w:rPr>
              <w:t>(77.1%)</w:t>
            </w:r>
          </w:p>
        </w:tc>
        <w:tc>
          <w:tcPr>
            <w:tcW w:w="1029" w:type="pct"/>
            <w:vAlign w:val="center"/>
          </w:tcPr>
          <w:p w14:paraId="64DE414A" w14:textId="77777777" w:rsidR="00F018CE" w:rsidRPr="00957691" w:rsidRDefault="00F018CE" w:rsidP="00C86F74">
            <w:pPr>
              <w:keepNext/>
              <w:jc w:val="center"/>
              <w:rPr>
                <w:rFonts w:ascii="Arial Narrow" w:hAnsi="Arial Narrow" w:cstheme="minorHAnsi"/>
                <w:sz w:val="20"/>
                <w:szCs w:val="20"/>
              </w:rPr>
            </w:pPr>
            <w:r w:rsidRPr="00957691">
              <w:rPr>
                <w:rFonts w:ascii="Arial Narrow" w:hAnsi="Arial Narrow" w:cstheme="minorHAnsi"/>
                <w:sz w:val="20"/>
                <w:szCs w:val="20"/>
              </w:rPr>
              <w:t>23/49 (47%)</w:t>
            </w:r>
          </w:p>
        </w:tc>
        <w:tc>
          <w:tcPr>
            <w:tcW w:w="1012" w:type="pct"/>
            <w:vAlign w:val="center"/>
          </w:tcPr>
          <w:p w14:paraId="3D7B8EEC"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 xml:space="preserve">0.30 (0.12; 0.48) </w:t>
            </w:r>
          </w:p>
        </w:tc>
        <w:tc>
          <w:tcPr>
            <w:tcW w:w="992" w:type="pct"/>
            <w:vAlign w:val="center"/>
          </w:tcPr>
          <w:p w14:paraId="4826C1CF"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 xml:space="preserve">1.64 (1.17; 2.30) </w:t>
            </w:r>
          </w:p>
        </w:tc>
        <w:tc>
          <w:tcPr>
            <w:tcW w:w="991" w:type="pct"/>
            <w:vAlign w:val="center"/>
          </w:tcPr>
          <w:p w14:paraId="11E60662"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 xml:space="preserve">3.80 (1.58; 9.13) </w:t>
            </w:r>
          </w:p>
        </w:tc>
      </w:tr>
      <w:tr w:rsidR="00F018CE" w:rsidRPr="006936CB" w14:paraId="57F433C7" w14:textId="77777777" w:rsidTr="001F545B">
        <w:tc>
          <w:tcPr>
            <w:tcW w:w="5000" w:type="pct"/>
            <w:gridSpan w:val="5"/>
            <w:vAlign w:val="center"/>
          </w:tcPr>
          <w:p w14:paraId="5DE5E7A3" w14:textId="77777777" w:rsidR="00F018CE" w:rsidRPr="006936CB" w:rsidRDefault="00F018CE" w:rsidP="00C86F74">
            <w:pPr>
              <w:pStyle w:val="TableText0"/>
              <w:rPr>
                <w:b/>
                <w:bCs w:val="0"/>
              </w:rPr>
            </w:pPr>
            <w:r>
              <w:rPr>
                <w:b/>
                <w:bCs w:val="0"/>
              </w:rPr>
              <w:t>P</w:t>
            </w:r>
            <w:r>
              <w:rPr>
                <w:b/>
              </w:rPr>
              <w:t>ooled osilodrostat (LINC 3, LINC 4, C1201) vs. PROMPT</w:t>
            </w:r>
          </w:p>
        </w:tc>
      </w:tr>
      <w:tr w:rsidR="00F018CE" w:rsidRPr="00957691" w14:paraId="637A8F2A" w14:textId="77777777" w:rsidTr="001F545B">
        <w:tc>
          <w:tcPr>
            <w:tcW w:w="976" w:type="pct"/>
            <w:vAlign w:val="center"/>
          </w:tcPr>
          <w:p w14:paraId="4E7331C8" w14:textId="77777777" w:rsidR="00F018CE" w:rsidRPr="00957691" w:rsidRDefault="00F018CE" w:rsidP="00C86F74">
            <w:pPr>
              <w:pStyle w:val="TableText0"/>
              <w:jc w:val="center"/>
              <w:rPr>
                <w:bCs w:val="0"/>
              </w:rPr>
            </w:pPr>
            <w:r w:rsidRPr="00957691">
              <w:rPr>
                <w:rFonts w:cstheme="minorHAnsi"/>
                <w:bCs w:val="0"/>
                <w:szCs w:val="20"/>
              </w:rPr>
              <w:t>141/194 (72.7%)</w:t>
            </w:r>
          </w:p>
        </w:tc>
        <w:tc>
          <w:tcPr>
            <w:tcW w:w="1029" w:type="pct"/>
            <w:vAlign w:val="center"/>
          </w:tcPr>
          <w:p w14:paraId="3449B35A" w14:textId="77777777" w:rsidR="00F018CE" w:rsidRPr="00957691" w:rsidRDefault="00F018CE" w:rsidP="00C86F74">
            <w:pPr>
              <w:keepNext/>
              <w:jc w:val="center"/>
              <w:rPr>
                <w:rFonts w:ascii="Arial Narrow" w:hAnsi="Arial Narrow" w:cstheme="minorHAnsi"/>
                <w:sz w:val="20"/>
                <w:szCs w:val="20"/>
              </w:rPr>
            </w:pPr>
            <w:r w:rsidRPr="00957691">
              <w:rPr>
                <w:rFonts w:ascii="Arial Narrow" w:hAnsi="Arial Narrow" w:cstheme="minorHAnsi"/>
                <w:sz w:val="20"/>
                <w:szCs w:val="20"/>
              </w:rPr>
              <w:t>23/49 (47%)</w:t>
            </w:r>
          </w:p>
        </w:tc>
        <w:tc>
          <w:tcPr>
            <w:tcW w:w="1012" w:type="pct"/>
            <w:vAlign w:val="center"/>
          </w:tcPr>
          <w:p w14:paraId="0A725A8A"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0.26 (0.10, 0.41)</w:t>
            </w:r>
          </w:p>
        </w:tc>
        <w:tc>
          <w:tcPr>
            <w:tcW w:w="992" w:type="pct"/>
            <w:vAlign w:val="center"/>
          </w:tcPr>
          <w:p w14:paraId="6008279D"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1.55 (1.14, 2.11)</w:t>
            </w:r>
          </w:p>
        </w:tc>
        <w:tc>
          <w:tcPr>
            <w:tcW w:w="991" w:type="pct"/>
            <w:vAlign w:val="center"/>
          </w:tcPr>
          <w:p w14:paraId="33E496D1" w14:textId="77777777" w:rsidR="00F018CE" w:rsidRPr="00957691" w:rsidRDefault="00F018CE" w:rsidP="00C86F74">
            <w:pPr>
              <w:keepNext/>
              <w:jc w:val="center"/>
              <w:rPr>
                <w:rFonts w:ascii="Arial Narrow" w:hAnsi="Arial Narrow"/>
                <w:b/>
                <w:bCs/>
                <w:sz w:val="20"/>
                <w:szCs w:val="20"/>
              </w:rPr>
            </w:pPr>
            <w:r w:rsidRPr="00957691">
              <w:rPr>
                <w:rFonts w:ascii="Arial Narrow" w:hAnsi="Arial Narrow"/>
                <w:b/>
                <w:bCs/>
                <w:sz w:val="20"/>
                <w:szCs w:val="20"/>
              </w:rPr>
              <w:t>3.01 (1.58, 5.73)</w:t>
            </w:r>
          </w:p>
        </w:tc>
      </w:tr>
    </w:tbl>
    <w:p w14:paraId="19EB5965" w14:textId="77777777" w:rsidR="00F018CE" w:rsidRPr="00B1011F" w:rsidRDefault="00F018CE" w:rsidP="00F018CE">
      <w:pPr>
        <w:pStyle w:val="FooterTableFigure"/>
        <w:rPr>
          <w:sz w:val="20"/>
        </w:rPr>
      </w:pPr>
      <w:r>
        <w:t>Source: Table 2.6-4, p188 of the submission.</w:t>
      </w:r>
    </w:p>
    <w:p w14:paraId="0C9A22D0" w14:textId="28BBADF7" w:rsidR="00B83739" w:rsidRPr="00EF0171" w:rsidRDefault="00F018CE" w:rsidP="00D86231">
      <w:pPr>
        <w:pStyle w:val="FooterTableFigure"/>
      </w:pPr>
      <w:r w:rsidRPr="00B40358">
        <w:rPr>
          <w:rFonts w:eastAsia="Calibri"/>
        </w:rPr>
        <w:t xml:space="preserve">CI = confidence interval; </w:t>
      </w:r>
      <w:r>
        <w:rPr>
          <w:rFonts w:eastAsia="Calibri"/>
        </w:rPr>
        <w:t xml:space="preserve">OR = odds ratio; RD = risk difference; RR = relative risk; </w:t>
      </w:r>
      <w:r>
        <w:rPr>
          <w:rFonts w:eastAsia="Calibri"/>
          <w:b/>
        </w:rPr>
        <w:t>b</w:t>
      </w:r>
      <w:r w:rsidRPr="00760F9E">
        <w:rPr>
          <w:rFonts w:eastAsia="Calibri"/>
          <w:b/>
        </w:rPr>
        <w:t>old</w:t>
      </w:r>
      <w:r>
        <w:rPr>
          <w:rFonts w:eastAsia="Calibri"/>
        </w:rPr>
        <w:t xml:space="preserve"> indicates statistically significant results</w:t>
      </w:r>
    </w:p>
    <w:p w14:paraId="4504CF45" w14:textId="04F30764" w:rsidR="00F018CE" w:rsidRPr="00D6076E" w:rsidRDefault="00F018CE" w:rsidP="00F018CE">
      <w:pPr>
        <w:pStyle w:val="TableFigureHeading"/>
        <w:rPr>
          <w:rStyle w:val="CommentReference"/>
          <w:b/>
          <w:szCs w:val="24"/>
        </w:rPr>
      </w:pPr>
      <w:bookmarkStart w:id="26" w:name="_Ref123598210"/>
      <w:r w:rsidRPr="00D6076E">
        <w:rPr>
          <w:rStyle w:val="CommentReference"/>
          <w:b/>
          <w:szCs w:val="24"/>
        </w:rPr>
        <w:t xml:space="preserve">Table </w:t>
      </w:r>
      <w:r w:rsidRPr="00D6076E">
        <w:rPr>
          <w:rStyle w:val="CommentReference"/>
          <w:b/>
          <w:szCs w:val="24"/>
        </w:rPr>
        <w:fldChar w:fldCharType="begin"/>
      </w:r>
      <w:r w:rsidRPr="00D6076E">
        <w:rPr>
          <w:rStyle w:val="CommentReference"/>
          <w:b/>
          <w:szCs w:val="24"/>
        </w:rPr>
        <w:instrText xml:space="preserve"> SEQ Table \* ARABIC </w:instrText>
      </w:r>
      <w:r w:rsidRPr="00D6076E">
        <w:rPr>
          <w:rStyle w:val="CommentReference"/>
          <w:b/>
          <w:szCs w:val="24"/>
        </w:rPr>
        <w:fldChar w:fldCharType="separate"/>
      </w:r>
      <w:r w:rsidR="00A9220E">
        <w:rPr>
          <w:rStyle w:val="CommentReference"/>
          <w:b/>
          <w:noProof/>
          <w:szCs w:val="24"/>
        </w:rPr>
        <w:t>9</w:t>
      </w:r>
      <w:r w:rsidRPr="00D6076E">
        <w:rPr>
          <w:rStyle w:val="CommentReference"/>
          <w:b/>
          <w:szCs w:val="24"/>
        </w:rPr>
        <w:fldChar w:fldCharType="end"/>
      </w:r>
      <w:bookmarkEnd w:id="26"/>
      <w:r w:rsidRPr="00D6076E">
        <w:rPr>
          <w:rStyle w:val="CommentReference"/>
          <w:b/>
          <w:szCs w:val="24"/>
        </w:rPr>
        <w:t xml:space="preserve">: </w:t>
      </w:r>
      <w:r>
        <w:rPr>
          <w:rStyle w:val="CommentReference"/>
          <w:b/>
          <w:szCs w:val="24"/>
        </w:rPr>
        <w:t>Indirect comparison: osilodrostat vs. ketoconazole</w:t>
      </w:r>
      <w:r w:rsidRPr="0042047F">
        <w:rPr>
          <w:rStyle w:val="CommentReference"/>
          <w:b/>
          <w:szCs w:val="24"/>
        </w:rPr>
        <w:t xml:space="preserve"> </w:t>
      </w:r>
      <w:r>
        <w:rPr>
          <w:rStyle w:val="CommentReference"/>
          <w:b/>
          <w:szCs w:val="24"/>
        </w:rPr>
        <w:t>– complete response at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856"/>
        <w:gridCol w:w="1825"/>
        <w:gridCol w:w="1789"/>
        <w:gridCol w:w="1787"/>
      </w:tblGrid>
      <w:tr w:rsidR="00F018CE" w:rsidRPr="00B84117" w14:paraId="18955A6A" w14:textId="77777777" w:rsidTr="001F545B">
        <w:trPr>
          <w:tblHeader/>
        </w:trPr>
        <w:tc>
          <w:tcPr>
            <w:tcW w:w="976" w:type="pct"/>
            <w:vAlign w:val="center"/>
          </w:tcPr>
          <w:p w14:paraId="0B03BD6C" w14:textId="77777777" w:rsidR="00F018CE" w:rsidRDefault="00F018CE" w:rsidP="001F545B">
            <w:pPr>
              <w:pStyle w:val="In-tableHeading"/>
              <w:jc w:val="center"/>
            </w:pPr>
            <w:r>
              <w:t xml:space="preserve">Osilodrostat </w:t>
            </w:r>
          </w:p>
          <w:p w14:paraId="29868F29" w14:textId="77777777" w:rsidR="00F018CE" w:rsidRPr="00B84117" w:rsidRDefault="00F018CE" w:rsidP="001F545B">
            <w:pPr>
              <w:pStyle w:val="In-tableHeading"/>
              <w:jc w:val="center"/>
            </w:pPr>
            <w:r>
              <w:t>n/N (%)</w:t>
            </w:r>
          </w:p>
        </w:tc>
        <w:tc>
          <w:tcPr>
            <w:tcW w:w="1029" w:type="pct"/>
            <w:vAlign w:val="center"/>
          </w:tcPr>
          <w:p w14:paraId="2A2ED0D7" w14:textId="40C766EA" w:rsidR="00F018CE" w:rsidRDefault="00AD7C68" w:rsidP="001F545B">
            <w:pPr>
              <w:pStyle w:val="In-tableHeading"/>
              <w:jc w:val="center"/>
            </w:pPr>
            <w:r>
              <w:t>Ketoconazole</w:t>
            </w:r>
          </w:p>
          <w:p w14:paraId="610EA3BE" w14:textId="77777777" w:rsidR="00F018CE" w:rsidRPr="00B84117" w:rsidRDefault="00F018CE" w:rsidP="001F545B">
            <w:pPr>
              <w:pStyle w:val="In-tableHeading"/>
              <w:jc w:val="center"/>
            </w:pPr>
            <w:r>
              <w:t>n/N (%)</w:t>
            </w:r>
          </w:p>
        </w:tc>
        <w:tc>
          <w:tcPr>
            <w:tcW w:w="1012" w:type="pct"/>
            <w:vAlign w:val="center"/>
          </w:tcPr>
          <w:p w14:paraId="09AC8F7C" w14:textId="77777777" w:rsidR="00F018CE" w:rsidRDefault="00F018CE" w:rsidP="001F545B">
            <w:pPr>
              <w:pStyle w:val="In-tableHeading"/>
              <w:jc w:val="center"/>
            </w:pPr>
            <w:r>
              <w:t>RD</w:t>
            </w:r>
            <w:r w:rsidRPr="00B84117">
              <w:t xml:space="preserve"> </w:t>
            </w:r>
          </w:p>
          <w:p w14:paraId="3C094B42" w14:textId="77777777" w:rsidR="00F018CE" w:rsidRPr="00B84117" w:rsidRDefault="00F018CE" w:rsidP="001F545B">
            <w:pPr>
              <w:pStyle w:val="In-tableHeading"/>
              <w:jc w:val="center"/>
            </w:pPr>
            <w:r w:rsidRPr="00B84117">
              <w:t>(95% CI)</w:t>
            </w:r>
          </w:p>
        </w:tc>
        <w:tc>
          <w:tcPr>
            <w:tcW w:w="992" w:type="pct"/>
            <w:vAlign w:val="center"/>
          </w:tcPr>
          <w:p w14:paraId="4B98FA31" w14:textId="77777777" w:rsidR="00F018CE" w:rsidRDefault="00F018CE" w:rsidP="001F545B">
            <w:pPr>
              <w:pStyle w:val="In-tableHeading"/>
              <w:jc w:val="center"/>
            </w:pPr>
            <w:r>
              <w:t>RR</w:t>
            </w:r>
            <w:r w:rsidRPr="00B84117">
              <w:t xml:space="preserve"> </w:t>
            </w:r>
          </w:p>
          <w:p w14:paraId="46C31420" w14:textId="77777777" w:rsidR="00F018CE" w:rsidRPr="00B84117" w:rsidRDefault="00F018CE" w:rsidP="001F545B">
            <w:pPr>
              <w:pStyle w:val="In-tableHeading"/>
              <w:jc w:val="center"/>
            </w:pPr>
            <w:r w:rsidRPr="00B84117">
              <w:t>(95% CI)</w:t>
            </w:r>
          </w:p>
        </w:tc>
        <w:tc>
          <w:tcPr>
            <w:tcW w:w="991" w:type="pct"/>
          </w:tcPr>
          <w:p w14:paraId="44E7DFCC" w14:textId="77777777" w:rsidR="00F018CE" w:rsidRDefault="00F018CE" w:rsidP="001F545B">
            <w:pPr>
              <w:pStyle w:val="In-tableHeading"/>
              <w:jc w:val="center"/>
            </w:pPr>
            <w:r>
              <w:t xml:space="preserve">OR </w:t>
            </w:r>
          </w:p>
          <w:p w14:paraId="0E817C97" w14:textId="77777777" w:rsidR="00F018CE" w:rsidRPr="00B84117" w:rsidRDefault="00F018CE" w:rsidP="001F545B">
            <w:pPr>
              <w:pStyle w:val="In-tableHeading"/>
              <w:jc w:val="center"/>
            </w:pPr>
            <w:r>
              <w:t>(95% CI)</w:t>
            </w:r>
          </w:p>
        </w:tc>
      </w:tr>
      <w:tr w:rsidR="00F018CE" w:rsidRPr="006936CB" w14:paraId="6BEC433F" w14:textId="77777777" w:rsidTr="001F545B">
        <w:tc>
          <w:tcPr>
            <w:tcW w:w="5000" w:type="pct"/>
            <w:gridSpan w:val="5"/>
            <w:vAlign w:val="center"/>
          </w:tcPr>
          <w:p w14:paraId="34BA58C5" w14:textId="77777777" w:rsidR="00F018CE" w:rsidRPr="006936CB" w:rsidRDefault="00F018CE" w:rsidP="001F545B">
            <w:pPr>
              <w:pStyle w:val="TableText0"/>
              <w:rPr>
                <w:b/>
                <w:bCs w:val="0"/>
              </w:rPr>
            </w:pPr>
            <w:r>
              <w:rPr>
                <w:b/>
                <w:bCs w:val="0"/>
              </w:rPr>
              <w:t>L</w:t>
            </w:r>
            <w:r>
              <w:rPr>
                <w:b/>
              </w:rPr>
              <w:t>INC 4 vs. Castinetti 2008</w:t>
            </w:r>
          </w:p>
        </w:tc>
      </w:tr>
      <w:tr w:rsidR="00F018CE" w:rsidRPr="005D6A59" w14:paraId="37C6FF39" w14:textId="77777777" w:rsidTr="001F545B">
        <w:tc>
          <w:tcPr>
            <w:tcW w:w="976" w:type="pct"/>
            <w:vAlign w:val="center"/>
          </w:tcPr>
          <w:p w14:paraId="61DCC53D" w14:textId="77777777" w:rsidR="00F018CE" w:rsidRPr="00AF3D23" w:rsidRDefault="00F018CE" w:rsidP="001F545B">
            <w:pPr>
              <w:keepNext/>
              <w:spacing w:line="276" w:lineRule="auto"/>
              <w:jc w:val="center"/>
              <w:rPr>
                <w:rFonts w:ascii="Arial Narrow" w:eastAsia="Calibri" w:hAnsi="Arial Narrow" w:cs="Calibri"/>
                <w:sz w:val="20"/>
                <w:szCs w:val="20"/>
                <w:lang w:val="en-US"/>
              </w:rPr>
            </w:pPr>
            <w:r w:rsidRPr="00AF3D23">
              <w:rPr>
                <w:rFonts w:ascii="Arial Narrow" w:eastAsia="Calibri" w:hAnsi="Arial Narrow" w:cs="Calibri"/>
                <w:sz w:val="20"/>
                <w:szCs w:val="20"/>
                <w:lang w:val="en-US"/>
              </w:rPr>
              <w:t>37/48</w:t>
            </w:r>
            <w:r>
              <w:rPr>
                <w:rFonts w:ascii="Arial Narrow" w:eastAsia="Calibri" w:hAnsi="Arial Narrow" w:cs="Calibri"/>
                <w:sz w:val="20"/>
                <w:szCs w:val="20"/>
                <w:lang w:val="en-US"/>
              </w:rPr>
              <w:t xml:space="preserve"> </w:t>
            </w:r>
            <w:r w:rsidRPr="00AF3D23">
              <w:rPr>
                <w:rFonts w:ascii="Arial Narrow" w:eastAsia="Calibri" w:hAnsi="Arial Narrow" w:cs="Calibri"/>
                <w:sz w:val="20"/>
                <w:szCs w:val="20"/>
                <w:lang w:val="en-US"/>
              </w:rPr>
              <w:t>(77.1%)</w:t>
            </w:r>
          </w:p>
        </w:tc>
        <w:tc>
          <w:tcPr>
            <w:tcW w:w="1029" w:type="pct"/>
            <w:vAlign w:val="center"/>
          </w:tcPr>
          <w:p w14:paraId="6D87B104" w14:textId="77777777" w:rsidR="00F018CE" w:rsidRPr="00AF3D23" w:rsidRDefault="00F018CE" w:rsidP="001F545B">
            <w:pPr>
              <w:keepNext/>
              <w:spacing w:line="276" w:lineRule="auto"/>
              <w:jc w:val="center"/>
              <w:rPr>
                <w:rFonts w:ascii="Arial Narrow" w:eastAsia="Calibri" w:hAnsi="Arial Narrow" w:cs="Calibri"/>
                <w:sz w:val="20"/>
                <w:szCs w:val="20"/>
                <w:lang w:val="en-US"/>
              </w:rPr>
            </w:pPr>
            <w:r w:rsidRPr="00AF3D23">
              <w:rPr>
                <w:rFonts w:ascii="Arial Narrow" w:eastAsia="Calibri" w:hAnsi="Arial Narrow" w:cs="Calibri"/>
                <w:sz w:val="20"/>
                <w:szCs w:val="20"/>
                <w:lang w:val="en-US"/>
              </w:rPr>
              <w:t>17/38</w:t>
            </w:r>
            <w:r>
              <w:rPr>
                <w:rFonts w:ascii="Arial Narrow" w:eastAsia="Calibri" w:hAnsi="Arial Narrow" w:cs="Calibri"/>
                <w:sz w:val="20"/>
                <w:szCs w:val="20"/>
                <w:lang w:val="en-US"/>
              </w:rPr>
              <w:t xml:space="preserve"> </w:t>
            </w:r>
            <w:r w:rsidRPr="00AF3D23">
              <w:rPr>
                <w:rFonts w:ascii="Arial Narrow" w:eastAsia="Calibri" w:hAnsi="Arial Narrow" w:cs="Calibri"/>
                <w:sz w:val="20"/>
                <w:szCs w:val="20"/>
                <w:lang w:val="en-US"/>
              </w:rPr>
              <w:t>(44.7%)</w:t>
            </w:r>
          </w:p>
        </w:tc>
        <w:tc>
          <w:tcPr>
            <w:tcW w:w="1012" w:type="pct"/>
            <w:vAlign w:val="center"/>
          </w:tcPr>
          <w:p w14:paraId="099EC9F6"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0.32 (0.13</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0.52)</w:t>
            </w:r>
          </w:p>
        </w:tc>
        <w:tc>
          <w:tcPr>
            <w:tcW w:w="992" w:type="pct"/>
            <w:vAlign w:val="center"/>
          </w:tcPr>
          <w:p w14:paraId="2BB69E3D"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1.72 (1.17</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2.53)</w:t>
            </w:r>
          </w:p>
        </w:tc>
        <w:tc>
          <w:tcPr>
            <w:tcW w:w="991" w:type="pct"/>
            <w:vAlign w:val="center"/>
          </w:tcPr>
          <w:p w14:paraId="17E142A9"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4.16 (1.64</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10.51)</w:t>
            </w:r>
          </w:p>
        </w:tc>
      </w:tr>
      <w:tr w:rsidR="00F018CE" w:rsidRPr="005D6A59" w14:paraId="6309CA9F" w14:textId="77777777" w:rsidTr="001F545B">
        <w:tc>
          <w:tcPr>
            <w:tcW w:w="976" w:type="pct"/>
            <w:vAlign w:val="center"/>
          </w:tcPr>
          <w:p w14:paraId="6839FF87" w14:textId="77777777" w:rsidR="00F018CE" w:rsidRPr="00AF3D23" w:rsidRDefault="00F018CE" w:rsidP="001F545B">
            <w:pPr>
              <w:keepNext/>
              <w:spacing w:line="276" w:lineRule="auto"/>
              <w:jc w:val="center"/>
              <w:rPr>
                <w:rFonts w:ascii="Arial Narrow" w:eastAsia="Calibri" w:hAnsi="Arial Narrow" w:cs="Calibri"/>
                <w:sz w:val="20"/>
                <w:szCs w:val="20"/>
                <w:lang w:val="en-US"/>
              </w:rPr>
            </w:pPr>
            <w:r w:rsidRPr="00AF3D23">
              <w:rPr>
                <w:rFonts w:ascii="Arial Narrow" w:eastAsia="Calibri" w:hAnsi="Arial Narrow" w:cs="Calibri"/>
                <w:sz w:val="20"/>
                <w:szCs w:val="20"/>
                <w:lang w:val="en-US"/>
              </w:rPr>
              <w:t>37/48</w:t>
            </w:r>
            <w:r>
              <w:rPr>
                <w:rFonts w:ascii="Arial Narrow" w:eastAsia="Calibri" w:hAnsi="Arial Narrow" w:cs="Calibri"/>
                <w:sz w:val="20"/>
                <w:szCs w:val="20"/>
                <w:lang w:val="en-US"/>
              </w:rPr>
              <w:t xml:space="preserve"> </w:t>
            </w:r>
            <w:r w:rsidRPr="00AF3D23">
              <w:rPr>
                <w:rFonts w:ascii="Arial Narrow" w:eastAsia="Calibri" w:hAnsi="Arial Narrow" w:cs="Calibri"/>
                <w:sz w:val="20"/>
                <w:szCs w:val="20"/>
                <w:lang w:val="en-US"/>
              </w:rPr>
              <w:t>(77.1%)</w:t>
            </w:r>
          </w:p>
        </w:tc>
        <w:tc>
          <w:tcPr>
            <w:tcW w:w="1029" w:type="pct"/>
            <w:vAlign w:val="center"/>
          </w:tcPr>
          <w:p w14:paraId="140CC55F" w14:textId="77777777" w:rsidR="00F018CE" w:rsidRPr="00AF3D23" w:rsidRDefault="00F018CE" w:rsidP="001F545B">
            <w:pPr>
              <w:keepNext/>
              <w:spacing w:line="276" w:lineRule="auto"/>
              <w:jc w:val="center"/>
              <w:rPr>
                <w:rFonts w:ascii="Arial Narrow" w:eastAsia="Calibri" w:hAnsi="Arial Narrow" w:cs="Calibri"/>
                <w:sz w:val="20"/>
                <w:szCs w:val="20"/>
                <w:lang w:val="en-US"/>
              </w:rPr>
            </w:pPr>
            <w:r w:rsidRPr="00AF3D23">
              <w:rPr>
                <w:rFonts w:ascii="Arial Narrow" w:eastAsia="Calibri" w:hAnsi="Arial Narrow" w:cs="Calibri"/>
                <w:sz w:val="20"/>
                <w:szCs w:val="20"/>
                <w:lang w:val="en-US"/>
              </w:rPr>
              <w:t>20/38</w:t>
            </w:r>
            <w:r w:rsidRPr="00910443">
              <w:rPr>
                <w:rFonts w:ascii="Arial Narrow" w:eastAsia="Calibri" w:hAnsi="Arial Narrow" w:cs="Calibri"/>
                <w:sz w:val="20"/>
                <w:szCs w:val="20"/>
                <w:vertAlign w:val="superscript"/>
                <w:lang w:val="en-US"/>
              </w:rPr>
              <w:t>a</w:t>
            </w:r>
            <w:r>
              <w:rPr>
                <w:rFonts w:ascii="Arial Narrow" w:eastAsia="Calibri" w:hAnsi="Arial Narrow" w:cs="Calibri"/>
                <w:sz w:val="20"/>
                <w:szCs w:val="20"/>
                <w:lang w:val="en-US"/>
              </w:rPr>
              <w:t xml:space="preserve"> </w:t>
            </w:r>
            <w:r w:rsidRPr="00AF3D23">
              <w:rPr>
                <w:rFonts w:ascii="Arial Narrow" w:eastAsia="Calibri" w:hAnsi="Arial Narrow" w:cs="Calibri"/>
                <w:sz w:val="20"/>
                <w:szCs w:val="20"/>
                <w:lang w:val="en-US"/>
              </w:rPr>
              <w:t>(52.6%)</w:t>
            </w:r>
          </w:p>
        </w:tc>
        <w:tc>
          <w:tcPr>
            <w:tcW w:w="1012" w:type="pct"/>
            <w:vAlign w:val="center"/>
          </w:tcPr>
          <w:p w14:paraId="48FC937F"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0.24 (0.05</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0.44)</w:t>
            </w:r>
          </w:p>
        </w:tc>
        <w:tc>
          <w:tcPr>
            <w:tcW w:w="992" w:type="pct"/>
            <w:vAlign w:val="center"/>
          </w:tcPr>
          <w:p w14:paraId="1CB33BA4"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1.46 (1.04</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2.06)</w:t>
            </w:r>
          </w:p>
        </w:tc>
        <w:tc>
          <w:tcPr>
            <w:tcW w:w="991" w:type="pct"/>
            <w:vAlign w:val="center"/>
          </w:tcPr>
          <w:p w14:paraId="2303C784" w14:textId="77777777" w:rsidR="00F018CE" w:rsidRPr="005D6A59" w:rsidRDefault="00F018CE" w:rsidP="001F545B">
            <w:pPr>
              <w:keepNext/>
              <w:spacing w:line="276" w:lineRule="auto"/>
              <w:jc w:val="center"/>
              <w:rPr>
                <w:rFonts w:ascii="Arial Narrow" w:eastAsia="Calibri" w:hAnsi="Arial Narrow" w:cs="Calibri"/>
                <w:b/>
                <w:bCs/>
                <w:sz w:val="20"/>
                <w:szCs w:val="20"/>
                <w:lang w:val="en-US"/>
              </w:rPr>
            </w:pPr>
            <w:r w:rsidRPr="005D6A59">
              <w:rPr>
                <w:rFonts w:ascii="Arial Narrow" w:eastAsia="Calibri" w:hAnsi="Arial Narrow" w:cs="Calibri"/>
                <w:b/>
                <w:bCs/>
                <w:sz w:val="20"/>
                <w:szCs w:val="20"/>
                <w:lang w:val="en-US"/>
              </w:rPr>
              <w:t>3.03 (1.20</w:t>
            </w:r>
            <w:r>
              <w:rPr>
                <w:rFonts w:ascii="Arial Narrow" w:eastAsia="Calibri" w:hAnsi="Arial Narrow" w:cs="Calibri"/>
                <w:b/>
                <w:bCs/>
                <w:sz w:val="20"/>
                <w:szCs w:val="20"/>
                <w:lang w:val="en-US"/>
              </w:rPr>
              <w:t>,</w:t>
            </w:r>
            <w:r w:rsidRPr="005D6A59">
              <w:rPr>
                <w:rFonts w:ascii="Arial Narrow" w:eastAsia="Calibri" w:hAnsi="Arial Narrow" w:cs="Calibri"/>
                <w:b/>
                <w:bCs/>
                <w:sz w:val="20"/>
                <w:szCs w:val="20"/>
                <w:lang w:val="en-US"/>
              </w:rPr>
              <w:t xml:space="preserve"> 7.65)</w:t>
            </w:r>
          </w:p>
        </w:tc>
      </w:tr>
      <w:tr w:rsidR="00F018CE" w:rsidRPr="006936CB" w14:paraId="2179B91F" w14:textId="77777777" w:rsidTr="001F545B">
        <w:tc>
          <w:tcPr>
            <w:tcW w:w="5000" w:type="pct"/>
            <w:gridSpan w:val="5"/>
            <w:vAlign w:val="center"/>
          </w:tcPr>
          <w:p w14:paraId="09AF3465" w14:textId="77777777" w:rsidR="00F018CE" w:rsidRPr="006936CB" w:rsidRDefault="00F018CE" w:rsidP="001F545B">
            <w:pPr>
              <w:pStyle w:val="TableText0"/>
              <w:rPr>
                <w:b/>
                <w:bCs w:val="0"/>
              </w:rPr>
            </w:pPr>
            <w:r>
              <w:rPr>
                <w:b/>
                <w:bCs w:val="0"/>
              </w:rPr>
              <w:t>P</w:t>
            </w:r>
            <w:r>
              <w:rPr>
                <w:b/>
              </w:rPr>
              <w:t>ooled osilodrostat (LINC 3, LINC 4, C1201) vs. Castinetti 2008</w:t>
            </w:r>
          </w:p>
        </w:tc>
      </w:tr>
      <w:tr w:rsidR="00F018CE" w:rsidRPr="00A04532" w14:paraId="192DA449" w14:textId="77777777" w:rsidTr="001F545B">
        <w:tc>
          <w:tcPr>
            <w:tcW w:w="976" w:type="pct"/>
            <w:vAlign w:val="center"/>
          </w:tcPr>
          <w:p w14:paraId="55BF971A"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04532">
              <w:rPr>
                <w:rFonts w:ascii="Arial Narrow" w:eastAsia="Calibri" w:hAnsi="Arial Narrow" w:cs="Calibri"/>
                <w:sz w:val="20"/>
                <w:szCs w:val="20"/>
                <w:lang w:val="en-US"/>
              </w:rPr>
              <w:t>141/194</w:t>
            </w:r>
            <w:r>
              <w:rPr>
                <w:rFonts w:ascii="Arial Narrow" w:eastAsia="Calibri" w:hAnsi="Arial Narrow" w:cs="Calibri"/>
                <w:sz w:val="20"/>
                <w:szCs w:val="20"/>
                <w:lang w:val="en-US"/>
              </w:rPr>
              <w:t xml:space="preserve"> </w:t>
            </w:r>
            <w:r w:rsidRPr="00A04532">
              <w:rPr>
                <w:rFonts w:ascii="Arial Narrow" w:eastAsia="Calibri" w:hAnsi="Arial Narrow" w:cs="Calibri"/>
                <w:sz w:val="20"/>
                <w:szCs w:val="20"/>
                <w:lang w:val="en-US"/>
              </w:rPr>
              <w:t>(72.7%)</w:t>
            </w:r>
          </w:p>
        </w:tc>
        <w:tc>
          <w:tcPr>
            <w:tcW w:w="1029" w:type="pct"/>
            <w:vAlign w:val="center"/>
          </w:tcPr>
          <w:p w14:paraId="3214AD2B"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04532">
              <w:rPr>
                <w:rFonts w:ascii="Arial Narrow" w:eastAsia="Calibri" w:hAnsi="Arial Narrow" w:cs="Calibri"/>
                <w:sz w:val="20"/>
                <w:szCs w:val="20"/>
                <w:lang w:val="en-US"/>
              </w:rPr>
              <w:t>17/38</w:t>
            </w:r>
            <w:r>
              <w:rPr>
                <w:rFonts w:ascii="Arial Narrow" w:eastAsia="Calibri" w:hAnsi="Arial Narrow" w:cs="Calibri"/>
                <w:sz w:val="20"/>
                <w:szCs w:val="20"/>
                <w:lang w:val="en-US"/>
              </w:rPr>
              <w:t xml:space="preserve"> </w:t>
            </w:r>
            <w:r w:rsidRPr="00A04532">
              <w:rPr>
                <w:rFonts w:ascii="Arial Narrow" w:eastAsia="Calibri" w:hAnsi="Arial Narrow" w:cs="Calibri"/>
                <w:sz w:val="20"/>
                <w:szCs w:val="20"/>
                <w:lang w:val="en-US"/>
              </w:rPr>
              <w:t>(44.7%)</w:t>
            </w:r>
          </w:p>
        </w:tc>
        <w:tc>
          <w:tcPr>
            <w:tcW w:w="1012" w:type="pct"/>
            <w:vAlign w:val="center"/>
          </w:tcPr>
          <w:p w14:paraId="5E44139A"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A58BA">
              <w:rPr>
                <w:rFonts w:ascii="Arial Narrow" w:eastAsia="Calibri" w:hAnsi="Arial Narrow" w:cs="Calibri"/>
                <w:b/>
                <w:bCs/>
                <w:sz w:val="20"/>
                <w:szCs w:val="20"/>
                <w:lang w:val="en-US"/>
              </w:rPr>
              <w:t>0.28</w:t>
            </w:r>
            <w:r w:rsidRPr="00A04532">
              <w:rPr>
                <w:rFonts w:ascii="Arial Narrow" w:eastAsia="Calibri" w:hAnsi="Arial Narrow" w:cs="Calibri"/>
                <w:sz w:val="20"/>
                <w:szCs w:val="20"/>
                <w:lang w:val="en-US"/>
              </w:rPr>
              <w:t xml:space="preserve"> </w:t>
            </w:r>
            <w:r w:rsidRPr="00A04532">
              <w:rPr>
                <w:rFonts w:ascii="Arial Narrow" w:eastAsia="Calibri" w:hAnsi="Arial Narrow" w:cs="Calibri"/>
                <w:b/>
                <w:bCs/>
                <w:sz w:val="20"/>
                <w:szCs w:val="20"/>
                <w:lang w:val="en-US"/>
              </w:rPr>
              <w:t>(0.11; 0.45)</w:t>
            </w:r>
          </w:p>
        </w:tc>
        <w:tc>
          <w:tcPr>
            <w:tcW w:w="992" w:type="pct"/>
            <w:vAlign w:val="center"/>
          </w:tcPr>
          <w:p w14:paraId="74B0D1A2"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A58BA">
              <w:rPr>
                <w:rFonts w:ascii="Arial Narrow" w:eastAsia="Calibri" w:hAnsi="Arial Narrow" w:cs="Calibri"/>
                <w:b/>
                <w:bCs/>
                <w:sz w:val="20"/>
                <w:szCs w:val="20"/>
                <w:lang w:val="en-US"/>
              </w:rPr>
              <w:t>1.62</w:t>
            </w:r>
            <w:r w:rsidRPr="00A04532">
              <w:rPr>
                <w:rFonts w:ascii="Arial Narrow" w:eastAsia="Calibri" w:hAnsi="Arial Narrow" w:cs="Calibri"/>
                <w:sz w:val="20"/>
                <w:szCs w:val="20"/>
                <w:lang w:val="en-US"/>
              </w:rPr>
              <w:t xml:space="preserve"> </w:t>
            </w:r>
            <w:r w:rsidRPr="00A04532">
              <w:rPr>
                <w:rFonts w:ascii="Arial Narrow" w:eastAsia="Calibri" w:hAnsi="Arial Narrow" w:cs="Calibri"/>
                <w:b/>
                <w:bCs/>
                <w:sz w:val="20"/>
                <w:szCs w:val="20"/>
                <w:lang w:val="en-US"/>
              </w:rPr>
              <w:t>(1.13; 2.34)</w:t>
            </w:r>
          </w:p>
        </w:tc>
        <w:tc>
          <w:tcPr>
            <w:tcW w:w="991" w:type="pct"/>
            <w:vAlign w:val="center"/>
          </w:tcPr>
          <w:p w14:paraId="3E673A20"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A58BA">
              <w:rPr>
                <w:rFonts w:ascii="Arial Narrow" w:eastAsia="Calibri" w:hAnsi="Arial Narrow" w:cs="Calibri"/>
                <w:b/>
                <w:bCs/>
                <w:sz w:val="20"/>
                <w:szCs w:val="20"/>
                <w:lang w:val="en-US"/>
              </w:rPr>
              <w:t>3.29</w:t>
            </w:r>
            <w:r w:rsidRPr="00A04532">
              <w:rPr>
                <w:rFonts w:ascii="Arial Narrow" w:eastAsia="Calibri" w:hAnsi="Arial Narrow" w:cs="Calibri"/>
                <w:sz w:val="20"/>
                <w:szCs w:val="20"/>
                <w:lang w:val="en-US"/>
              </w:rPr>
              <w:t xml:space="preserve"> </w:t>
            </w:r>
            <w:r w:rsidRPr="00A04532">
              <w:rPr>
                <w:rFonts w:ascii="Arial Narrow" w:eastAsia="Calibri" w:hAnsi="Arial Narrow" w:cs="Calibri"/>
                <w:b/>
                <w:bCs/>
                <w:sz w:val="20"/>
                <w:szCs w:val="20"/>
                <w:lang w:val="en-US"/>
              </w:rPr>
              <w:t>(1.61; 6.71)</w:t>
            </w:r>
          </w:p>
        </w:tc>
      </w:tr>
      <w:tr w:rsidR="00F018CE" w:rsidRPr="00A04532" w14:paraId="566D7B53" w14:textId="77777777" w:rsidTr="001F545B">
        <w:tc>
          <w:tcPr>
            <w:tcW w:w="976" w:type="pct"/>
            <w:vAlign w:val="center"/>
          </w:tcPr>
          <w:p w14:paraId="07044303"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04532">
              <w:rPr>
                <w:rFonts w:ascii="Arial Narrow" w:eastAsia="Calibri" w:hAnsi="Arial Narrow" w:cs="Calibri"/>
                <w:sz w:val="20"/>
                <w:szCs w:val="20"/>
                <w:lang w:val="en-US"/>
              </w:rPr>
              <w:t>141/194</w:t>
            </w:r>
            <w:r>
              <w:rPr>
                <w:rFonts w:ascii="Arial Narrow" w:eastAsia="Calibri" w:hAnsi="Arial Narrow" w:cs="Calibri"/>
                <w:sz w:val="20"/>
                <w:szCs w:val="20"/>
                <w:lang w:val="en-US"/>
              </w:rPr>
              <w:t xml:space="preserve"> </w:t>
            </w:r>
            <w:r w:rsidRPr="00A04532">
              <w:rPr>
                <w:rFonts w:ascii="Arial Narrow" w:eastAsia="Calibri" w:hAnsi="Arial Narrow" w:cs="Calibri"/>
                <w:sz w:val="20"/>
                <w:szCs w:val="20"/>
                <w:lang w:val="en-US"/>
              </w:rPr>
              <w:t>(72.7%)</w:t>
            </w:r>
          </w:p>
        </w:tc>
        <w:tc>
          <w:tcPr>
            <w:tcW w:w="1029" w:type="pct"/>
            <w:vAlign w:val="center"/>
          </w:tcPr>
          <w:p w14:paraId="498B904C" w14:textId="77777777" w:rsidR="00F018CE" w:rsidRPr="00A04532" w:rsidRDefault="00F018CE" w:rsidP="001F545B">
            <w:pPr>
              <w:keepNext/>
              <w:spacing w:line="276" w:lineRule="auto"/>
              <w:jc w:val="center"/>
              <w:rPr>
                <w:rFonts w:ascii="Arial Narrow" w:eastAsia="Calibri" w:hAnsi="Arial Narrow" w:cs="Calibri"/>
                <w:sz w:val="20"/>
                <w:szCs w:val="20"/>
                <w:lang w:val="en-US"/>
              </w:rPr>
            </w:pPr>
            <w:r w:rsidRPr="00A04532">
              <w:rPr>
                <w:rFonts w:ascii="Arial Narrow" w:eastAsia="Calibri" w:hAnsi="Arial Narrow" w:cs="Calibri"/>
                <w:sz w:val="20"/>
                <w:szCs w:val="20"/>
                <w:lang w:val="en-US"/>
              </w:rPr>
              <w:t>20/38</w:t>
            </w:r>
            <w:r w:rsidRPr="00910443">
              <w:rPr>
                <w:rFonts w:ascii="Arial Narrow" w:eastAsia="Calibri" w:hAnsi="Arial Narrow" w:cs="Calibri"/>
                <w:sz w:val="20"/>
                <w:szCs w:val="20"/>
                <w:vertAlign w:val="superscript"/>
                <w:lang w:val="en-US"/>
              </w:rPr>
              <w:t>a</w:t>
            </w:r>
            <w:r>
              <w:rPr>
                <w:rFonts w:ascii="Arial Narrow" w:eastAsia="Calibri" w:hAnsi="Arial Narrow" w:cs="Calibri"/>
                <w:sz w:val="20"/>
                <w:szCs w:val="20"/>
                <w:lang w:val="en-US"/>
              </w:rPr>
              <w:t xml:space="preserve"> </w:t>
            </w:r>
            <w:r w:rsidRPr="00A04532">
              <w:rPr>
                <w:rFonts w:ascii="Arial Narrow" w:eastAsia="Calibri" w:hAnsi="Arial Narrow" w:cs="Calibri"/>
                <w:sz w:val="20"/>
                <w:szCs w:val="20"/>
                <w:lang w:val="en-US"/>
              </w:rPr>
              <w:t>(52.6%)</w:t>
            </w:r>
          </w:p>
        </w:tc>
        <w:tc>
          <w:tcPr>
            <w:tcW w:w="1012" w:type="pct"/>
            <w:vAlign w:val="center"/>
          </w:tcPr>
          <w:p w14:paraId="0A2B9505" w14:textId="77777777" w:rsidR="00F018CE" w:rsidRPr="00A04532" w:rsidRDefault="00F018CE" w:rsidP="001F545B">
            <w:pPr>
              <w:keepNext/>
              <w:spacing w:line="276" w:lineRule="auto"/>
              <w:jc w:val="center"/>
              <w:rPr>
                <w:rFonts w:ascii="Arial Narrow" w:eastAsia="Calibri" w:hAnsi="Arial Narrow" w:cs="Calibri"/>
                <w:b/>
                <w:bCs/>
                <w:sz w:val="20"/>
                <w:szCs w:val="20"/>
                <w:lang w:val="en-US"/>
              </w:rPr>
            </w:pPr>
            <w:r w:rsidRPr="00A04532">
              <w:rPr>
                <w:rFonts w:ascii="Arial Narrow" w:eastAsia="Calibri" w:hAnsi="Arial Narrow" w:cs="Calibri"/>
                <w:b/>
                <w:bCs/>
                <w:sz w:val="20"/>
                <w:szCs w:val="20"/>
                <w:lang w:val="en-US"/>
              </w:rPr>
              <w:t>0.20 (0.03; 0.37)</w:t>
            </w:r>
          </w:p>
        </w:tc>
        <w:tc>
          <w:tcPr>
            <w:tcW w:w="992" w:type="pct"/>
            <w:vAlign w:val="center"/>
          </w:tcPr>
          <w:p w14:paraId="45009963" w14:textId="77777777" w:rsidR="00F018CE" w:rsidRPr="00A04532" w:rsidRDefault="00F018CE" w:rsidP="001F545B">
            <w:pPr>
              <w:keepNext/>
              <w:spacing w:line="276" w:lineRule="auto"/>
              <w:jc w:val="center"/>
              <w:rPr>
                <w:rFonts w:ascii="Arial Narrow" w:eastAsia="Calibri" w:hAnsi="Arial Narrow" w:cs="Calibri"/>
                <w:b/>
                <w:bCs/>
                <w:sz w:val="20"/>
                <w:szCs w:val="20"/>
                <w:lang w:val="en-US"/>
              </w:rPr>
            </w:pPr>
            <w:r w:rsidRPr="00A04532">
              <w:rPr>
                <w:rFonts w:ascii="Arial Narrow" w:eastAsia="Calibri" w:hAnsi="Arial Narrow" w:cs="Calibri"/>
                <w:b/>
                <w:bCs/>
                <w:sz w:val="20"/>
                <w:szCs w:val="20"/>
                <w:lang w:val="en-US"/>
              </w:rPr>
              <w:t>1.38 (1.01; 1.89)</w:t>
            </w:r>
          </w:p>
        </w:tc>
        <w:tc>
          <w:tcPr>
            <w:tcW w:w="991" w:type="pct"/>
            <w:vAlign w:val="center"/>
          </w:tcPr>
          <w:p w14:paraId="43094A20" w14:textId="77777777" w:rsidR="00F018CE" w:rsidRPr="00A04532" w:rsidRDefault="00F018CE" w:rsidP="001F545B">
            <w:pPr>
              <w:keepNext/>
              <w:spacing w:line="276" w:lineRule="auto"/>
              <w:jc w:val="center"/>
              <w:rPr>
                <w:rFonts w:ascii="Arial Narrow" w:eastAsia="Calibri" w:hAnsi="Arial Narrow" w:cs="Calibri"/>
                <w:b/>
                <w:bCs/>
                <w:sz w:val="20"/>
                <w:szCs w:val="20"/>
                <w:lang w:val="en-US"/>
              </w:rPr>
            </w:pPr>
            <w:r w:rsidRPr="00A04532">
              <w:rPr>
                <w:rFonts w:ascii="Arial Narrow" w:eastAsia="Calibri" w:hAnsi="Arial Narrow" w:cs="Calibri"/>
                <w:b/>
                <w:bCs/>
                <w:sz w:val="20"/>
                <w:szCs w:val="20"/>
                <w:lang w:val="en-US"/>
              </w:rPr>
              <w:t>2.39 (1.18; 4.87)</w:t>
            </w:r>
          </w:p>
        </w:tc>
      </w:tr>
    </w:tbl>
    <w:p w14:paraId="49CEF32A" w14:textId="77777777" w:rsidR="00F018CE" w:rsidRPr="00B1011F" w:rsidRDefault="00F018CE" w:rsidP="00F018CE">
      <w:pPr>
        <w:pStyle w:val="FooterTableFigure"/>
        <w:rPr>
          <w:sz w:val="20"/>
        </w:rPr>
      </w:pPr>
      <w:r w:rsidRPr="00AB08F8">
        <w:t>Source: Table 2.8-33, p251 of the submission.</w:t>
      </w:r>
    </w:p>
    <w:p w14:paraId="23537C82" w14:textId="77777777" w:rsidR="00F018CE" w:rsidRDefault="00F018CE" w:rsidP="00F018CE">
      <w:pPr>
        <w:pStyle w:val="FooterTableFigure"/>
        <w:rPr>
          <w:rFonts w:eastAsia="Calibri"/>
        </w:rPr>
      </w:pPr>
      <w:r w:rsidRPr="00B40358">
        <w:rPr>
          <w:rFonts w:eastAsia="Calibri"/>
        </w:rPr>
        <w:t xml:space="preserve">CI = confidence interval; </w:t>
      </w:r>
      <w:r>
        <w:rPr>
          <w:rFonts w:eastAsia="Calibri"/>
        </w:rPr>
        <w:t xml:space="preserve">OR = odds ratio; RD = risk difference; RR = relative risk; </w:t>
      </w:r>
      <w:r>
        <w:rPr>
          <w:rFonts w:eastAsia="Calibri"/>
          <w:b/>
        </w:rPr>
        <w:t>b</w:t>
      </w:r>
      <w:r w:rsidRPr="00760F9E">
        <w:rPr>
          <w:rFonts w:eastAsia="Calibri"/>
          <w:b/>
        </w:rPr>
        <w:t>old</w:t>
      </w:r>
      <w:r>
        <w:rPr>
          <w:rFonts w:eastAsia="Calibri"/>
        </w:rPr>
        <w:t xml:space="preserve"> indicates statistically significant results.</w:t>
      </w:r>
    </w:p>
    <w:p w14:paraId="3F2A87AC" w14:textId="54DC506E" w:rsidR="00F018CE" w:rsidRDefault="00F018CE" w:rsidP="00F018CE">
      <w:pPr>
        <w:pStyle w:val="FooterTableFigure"/>
        <w:tabs>
          <w:tab w:val="left" w:pos="142"/>
        </w:tabs>
      </w:pPr>
      <w:r w:rsidRPr="00910443">
        <w:rPr>
          <w:rFonts w:eastAsia="Calibri"/>
          <w:vertAlign w:val="superscript"/>
        </w:rPr>
        <w:t>a</w:t>
      </w:r>
      <w:r>
        <w:rPr>
          <w:rFonts w:eastAsia="Calibri"/>
        </w:rPr>
        <w:tab/>
        <w:t>Three patients who were uncontrolled at end of follow-up but who were initially controlled as responders at Week 12 have been included.</w:t>
      </w:r>
    </w:p>
    <w:p w14:paraId="5FDECDA3" w14:textId="1DD9BDF0" w:rsidR="002C55B1" w:rsidRPr="002526D3" w:rsidRDefault="002A73E9" w:rsidP="002A2E8F">
      <w:pPr>
        <w:pStyle w:val="3-BodyText"/>
      </w:pPr>
      <w:r>
        <w:lastRenderedPageBreak/>
        <w:t xml:space="preserve">All comparisons showed statistically significant </w:t>
      </w:r>
      <w:r w:rsidR="00450F56">
        <w:t xml:space="preserve">differences </w:t>
      </w:r>
      <w:r>
        <w:t>for complete response for osilodrostat compared to metyrapone and compared to ketoconazole.</w:t>
      </w:r>
      <w:r w:rsidR="0009684D">
        <w:t xml:space="preserve"> </w:t>
      </w:r>
      <w:bookmarkStart w:id="27" w:name="_Hlk129774587"/>
      <w:r w:rsidR="002C55B1" w:rsidRPr="002526D3">
        <w:t>The submission provided discussion of transitivity issues for the indirect comparisons, and noted that the baseline mUFC values were lower in LINC 4, and a greater proportion of patients in LINC 4 had prior surgery (85.4%) compared to those in PROMPT (60%) and Castinetti 2008 (45%). The submission acknowledged that the lower baseline mUFC values in LINC 4 were likely related to the patients having prior surgery, but the submission also claimed, in its discussion of transitivity for the osilodrostat vs. ketoconazole comparison, that previous surgery and baseline mUFC were not considered to impact transitivity</w:t>
      </w:r>
      <w:r w:rsidR="002526D3" w:rsidRPr="002526D3">
        <w:t>.</w:t>
      </w:r>
      <w:r w:rsidR="00EC44AF">
        <w:t xml:space="preserve"> </w:t>
      </w:r>
      <w:r w:rsidR="00EC44AF" w:rsidRPr="00EC44AF">
        <w:t>This conclusion was not reasonable, and it is likely that previous surgery and baseline mUFC values will affect the comparisons made.</w:t>
      </w:r>
    </w:p>
    <w:bookmarkEnd w:id="27"/>
    <w:p w14:paraId="390B0E34" w14:textId="2750D89C" w:rsidR="002C55B1" w:rsidRPr="00721D5A" w:rsidRDefault="002C55B1" w:rsidP="002C55B1">
      <w:pPr>
        <w:pStyle w:val="3-BodyText"/>
        <w:rPr>
          <w:iCs/>
        </w:rPr>
      </w:pPr>
      <w:r w:rsidRPr="00721D5A">
        <w:rPr>
          <w:iCs/>
        </w:rPr>
        <w:t>It should also be noted that the indirect comparisons presented by the submission did not have a common comparator and used single arm, non-randomised studies to provide the comparative data.</w:t>
      </w:r>
      <w:r w:rsidR="00D93AC6" w:rsidRPr="00721D5A">
        <w:rPr>
          <w:iCs/>
        </w:rPr>
        <w:t xml:space="preserve"> Overall, the quality of the comparison was low, and this should be considered in interpretation of the statistically significant differences.</w:t>
      </w:r>
    </w:p>
    <w:p w14:paraId="1452C351" w14:textId="0D19F1B0" w:rsidR="00B60939" w:rsidRPr="008C713C" w:rsidRDefault="00B60939" w:rsidP="00AB08F8">
      <w:pPr>
        <w:pStyle w:val="4-SubsectionHeading"/>
        <w:rPr>
          <w:i w:val="0"/>
        </w:rPr>
      </w:pPr>
      <w:bookmarkStart w:id="28" w:name="_Toc22897642"/>
      <w:bookmarkStart w:id="29" w:name="_Toc124928098"/>
      <w:r w:rsidRPr="008C713C">
        <w:rPr>
          <w:i w:val="0"/>
        </w:rPr>
        <w:t>Comparative harms</w:t>
      </w:r>
      <w:bookmarkEnd w:id="28"/>
      <w:bookmarkEnd w:id="29"/>
    </w:p>
    <w:p w14:paraId="2DAF16D1" w14:textId="1D0AB9BE" w:rsidR="00B60939" w:rsidRPr="005A2650" w:rsidRDefault="005A2650" w:rsidP="00D86231">
      <w:pPr>
        <w:pStyle w:val="3-BodyText"/>
      </w:pPr>
      <w:r w:rsidRPr="005A2650">
        <w:t>Comparison of osilodrostat and placebo for the occurrence of adverse events (AEs) in the LINC 3 and LINC 4 trials is provided in</w:t>
      </w:r>
      <w:r>
        <w:t xml:space="preserve"> </w:t>
      </w:r>
      <w:r>
        <w:fldChar w:fldCharType="begin"/>
      </w:r>
      <w:r>
        <w:instrText xml:space="preserve"> REF _Ref123590516 \h </w:instrText>
      </w:r>
      <w:r>
        <w:fldChar w:fldCharType="separate"/>
      </w:r>
      <w:r w:rsidR="00A9220E">
        <w:t xml:space="preserve">Table </w:t>
      </w:r>
      <w:r w:rsidR="00A9220E">
        <w:rPr>
          <w:noProof/>
        </w:rPr>
        <w:t>10</w:t>
      </w:r>
      <w:r>
        <w:fldChar w:fldCharType="end"/>
      </w:r>
      <w:r w:rsidRPr="005A2650">
        <w:t>.</w:t>
      </w:r>
    </w:p>
    <w:p w14:paraId="310B2246" w14:textId="2DBBF72D" w:rsidR="00B60939" w:rsidRPr="00D86231" w:rsidRDefault="00D6076E" w:rsidP="00D6076E">
      <w:pPr>
        <w:pStyle w:val="TableFigureHeading"/>
        <w:rPr>
          <w:rStyle w:val="CommentReference"/>
          <w:b/>
          <w:szCs w:val="24"/>
        </w:rPr>
      </w:pPr>
      <w:bookmarkStart w:id="30" w:name="_Ref123590516"/>
      <w:r>
        <w:lastRenderedPageBreak/>
        <w:t xml:space="preserve">Table </w:t>
      </w:r>
      <w:fldSimple w:instr=" SEQ Table \* ARABIC ">
        <w:r w:rsidR="00A9220E">
          <w:rPr>
            <w:noProof/>
          </w:rPr>
          <w:t>10</w:t>
        </w:r>
      </w:fldSimple>
      <w:bookmarkEnd w:id="30"/>
      <w:r>
        <w:t xml:space="preserve">: </w:t>
      </w:r>
      <w:r w:rsidR="009E4D4A">
        <w:rPr>
          <w:rStyle w:val="CommentReference"/>
          <w:b/>
          <w:szCs w:val="24"/>
        </w:rPr>
        <w:t>Adverse events: osilodrostat vs. placebo up to Week 12 in LINC 3 and LINC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71"/>
        <w:gridCol w:w="1374"/>
        <w:gridCol w:w="1214"/>
        <w:gridCol w:w="1419"/>
        <w:gridCol w:w="1493"/>
        <w:gridCol w:w="1546"/>
      </w:tblGrid>
      <w:tr w:rsidR="009E4D4A" w:rsidRPr="00B84117" w14:paraId="128D422A" w14:textId="77777777" w:rsidTr="001F545B">
        <w:trPr>
          <w:tblHeader/>
        </w:trPr>
        <w:tc>
          <w:tcPr>
            <w:tcW w:w="1093" w:type="pct"/>
            <w:vAlign w:val="center"/>
          </w:tcPr>
          <w:p w14:paraId="277FACDC" w14:textId="77777777" w:rsidR="009E4D4A" w:rsidRDefault="009E4D4A" w:rsidP="00C86F74">
            <w:pPr>
              <w:pStyle w:val="In-tableHeading"/>
              <w:tabs>
                <w:tab w:val="left" w:pos="102"/>
              </w:tabs>
            </w:pPr>
            <w:r>
              <w:t>Adverse event</w:t>
            </w:r>
          </w:p>
        </w:tc>
        <w:tc>
          <w:tcPr>
            <w:tcW w:w="762" w:type="pct"/>
            <w:vAlign w:val="center"/>
          </w:tcPr>
          <w:p w14:paraId="68174751" w14:textId="77777777" w:rsidR="009E4D4A" w:rsidRDefault="009E4D4A" w:rsidP="00C86F74">
            <w:pPr>
              <w:pStyle w:val="In-tableHeading"/>
              <w:jc w:val="center"/>
            </w:pPr>
            <w:r>
              <w:t xml:space="preserve">Osilodrostat </w:t>
            </w:r>
          </w:p>
          <w:p w14:paraId="6017CEA2" w14:textId="77777777" w:rsidR="009E4D4A" w:rsidRPr="00B84117" w:rsidRDefault="009E4D4A" w:rsidP="00C86F74">
            <w:pPr>
              <w:pStyle w:val="In-tableHeading"/>
              <w:jc w:val="center"/>
            </w:pPr>
            <w:r>
              <w:t>(N=36)</w:t>
            </w:r>
          </w:p>
        </w:tc>
        <w:tc>
          <w:tcPr>
            <w:tcW w:w="673" w:type="pct"/>
            <w:vAlign w:val="center"/>
          </w:tcPr>
          <w:p w14:paraId="0C5EFF63" w14:textId="77777777" w:rsidR="009E4D4A" w:rsidRDefault="009E4D4A" w:rsidP="00C86F74">
            <w:pPr>
              <w:pStyle w:val="In-tableHeading"/>
              <w:jc w:val="center"/>
            </w:pPr>
            <w:r>
              <w:t>Placebo</w:t>
            </w:r>
          </w:p>
          <w:p w14:paraId="337826F9" w14:textId="77777777" w:rsidR="009E4D4A" w:rsidRPr="00B84117" w:rsidRDefault="009E4D4A" w:rsidP="00C86F74">
            <w:pPr>
              <w:pStyle w:val="In-tableHeading"/>
              <w:jc w:val="center"/>
            </w:pPr>
            <w:r>
              <w:t>(N=35)</w:t>
            </w:r>
          </w:p>
        </w:tc>
        <w:tc>
          <w:tcPr>
            <w:tcW w:w="787" w:type="pct"/>
            <w:vAlign w:val="center"/>
          </w:tcPr>
          <w:p w14:paraId="237BE62A" w14:textId="77777777" w:rsidR="009E4D4A" w:rsidRDefault="009E4D4A" w:rsidP="00C86F74">
            <w:pPr>
              <w:pStyle w:val="In-tableHeading"/>
              <w:jc w:val="center"/>
            </w:pPr>
            <w:r>
              <w:t>RD</w:t>
            </w:r>
            <w:r w:rsidRPr="00B84117">
              <w:t xml:space="preserve"> </w:t>
            </w:r>
          </w:p>
          <w:p w14:paraId="6339AC94" w14:textId="77777777" w:rsidR="009E4D4A" w:rsidRPr="00B84117" w:rsidRDefault="009E4D4A" w:rsidP="00C86F74">
            <w:pPr>
              <w:pStyle w:val="In-tableHeading"/>
              <w:jc w:val="center"/>
            </w:pPr>
            <w:r w:rsidRPr="00B84117">
              <w:t>(95% CI)</w:t>
            </w:r>
          </w:p>
        </w:tc>
        <w:tc>
          <w:tcPr>
            <w:tcW w:w="828" w:type="pct"/>
            <w:vAlign w:val="center"/>
          </w:tcPr>
          <w:p w14:paraId="369E8302" w14:textId="77777777" w:rsidR="009E4D4A" w:rsidRDefault="009E4D4A" w:rsidP="00C86F74">
            <w:pPr>
              <w:pStyle w:val="In-tableHeading"/>
              <w:jc w:val="center"/>
            </w:pPr>
            <w:r>
              <w:t>RR</w:t>
            </w:r>
            <w:r w:rsidRPr="00B84117">
              <w:t xml:space="preserve"> </w:t>
            </w:r>
          </w:p>
          <w:p w14:paraId="7A14A403" w14:textId="77777777" w:rsidR="009E4D4A" w:rsidRPr="00B84117" w:rsidRDefault="009E4D4A" w:rsidP="00C86F74">
            <w:pPr>
              <w:pStyle w:val="In-tableHeading"/>
              <w:jc w:val="center"/>
            </w:pPr>
            <w:r w:rsidRPr="00B84117">
              <w:t>(95% CI)</w:t>
            </w:r>
          </w:p>
        </w:tc>
        <w:tc>
          <w:tcPr>
            <w:tcW w:w="857" w:type="pct"/>
            <w:vAlign w:val="center"/>
          </w:tcPr>
          <w:p w14:paraId="04E50174" w14:textId="77777777" w:rsidR="009E4D4A" w:rsidRDefault="009E4D4A" w:rsidP="00C86F74">
            <w:pPr>
              <w:pStyle w:val="In-tableHeading"/>
              <w:jc w:val="center"/>
            </w:pPr>
            <w:r>
              <w:t xml:space="preserve">OR </w:t>
            </w:r>
          </w:p>
          <w:p w14:paraId="60756414" w14:textId="77777777" w:rsidR="009E4D4A" w:rsidRPr="00B84117" w:rsidRDefault="009E4D4A" w:rsidP="00C86F74">
            <w:pPr>
              <w:pStyle w:val="In-tableHeading"/>
              <w:jc w:val="center"/>
            </w:pPr>
            <w:r>
              <w:t>(95% CI)</w:t>
            </w:r>
          </w:p>
        </w:tc>
      </w:tr>
      <w:tr w:rsidR="009E4D4A" w:rsidRPr="004053E4" w14:paraId="5A692159" w14:textId="77777777" w:rsidTr="001F545B">
        <w:tc>
          <w:tcPr>
            <w:tcW w:w="5000" w:type="pct"/>
            <w:gridSpan w:val="6"/>
            <w:vAlign w:val="center"/>
          </w:tcPr>
          <w:p w14:paraId="502FF224" w14:textId="77777777" w:rsidR="009E4D4A" w:rsidRPr="004053E4" w:rsidRDefault="009E4D4A" w:rsidP="00C86F74">
            <w:pPr>
              <w:keepNext/>
              <w:tabs>
                <w:tab w:val="left" w:pos="102"/>
              </w:tabs>
              <w:jc w:val="left"/>
              <w:rPr>
                <w:rFonts w:ascii="Arial Narrow" w:hAnsi="Arial Narrow"/>
                <w:b/>
                <w:bCs/>
                <w:sz w:val="20"/>
                <w:szCs w:val="20"/>
              </w:rPr>
            </w:pPr>
            <w:r w:rsidRPr="004053E4">
              <w:rPr>
                <w:rFonts w:ascii="Arial Narrow" w:hAnsi="Arial Narrow"/>
                <w:b/>
                <w:bCs/>
                <w:sz w:val="20"/>
                <w:szCs w:val="20"/>
              </w:rPr>
              <w:t xml:space="preserve">LINC </w:t>
            </w:r>
            <w:r>
              <w:rPr>
                <w:rFonts w:ascii="Arial Narrow" w:hAnsi="Arial Narrow"/>
                <w:b/>
                <w:bCs/>
                <w:sz w:val="20"/>
                <w:szCs w:val="20"/>
              </w:rPr>
              <w:t>3</w:t>
            </w:r>
          </w:p>
        </w:tc>
      </w:tr>
      <w:tr w:rsidR="009E4D4A" w:rsidRPr="00425B3B" w14:paraId="3381D473" w14:textId="77777777" w:rsidTr="001F545B">
        <w:tc>
          <w:tcPr>
            <w:tcW w:w="1093" w:type="pct"/>
            <w:vAlign w:val="center"/>
          </w:tcPr>
          <w:p w14:paraId="0E313E1C"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Any AE</w:t>
            </w:r>
          </w:p>
        </w:tc>
        <w:tc>
          <w:tcPr>
            <w:tcW w:w="762" w:type="pct"/>
            <w:vAlign w:val="center"/>
          </w:tcPr>
          <w:p w14:paraId="1228656F" w14:textId="77777777" w:rsidR="009E4D4A" w:rsidRPr="00EC2043" w:rsidRDefault="009E4D4A" w:rsidP="00C86F74">
            <w:pPr>
              <w:pStyle w:val="TableText0"/>
              <w:jc w:val="center"/>
              <w:rPr>
                <w:bCs w:val="0"/>
                <w:szCs w:val="20"/>
              </w:rPr>
            </w:pPr>
            <w:r w:rsidRPr="00EC2043">
              <w:rPr>
                <w:rFonts w:cstheme="minorHAnsi"/>
                <w:bCs w:val="0"/>
                <w:szCs w:val="20"/>
              </w:rPr>
              <w:t>26 (72%)</w:t>
            </w:r>
          </w:p>
        </w:tc>
        <w:tc>
          <w:tcPr>
            <w:tcW w:w="673" w:type="pct"/>
            <w:vAlign w:val="center"/>
          </w:tcPr>
          <w:p w14:paraId="32C7FBB6" w14:textId="77777777" w:rsidR="009E4D4A" w:rsidRPr="00EC2043" w:rsidRDefault="009E4D4A" w:rsidP="00C86F74">
            <w:pPr>
              <w:keepNext/>
              <w:jc w:val="center"/>
              <w:rPr>
                <w:rFonts w:ascii="Arial Narrow" w:hAnsi="Arial Narrow" w:cstheme="minorHAnsi"/>
                <w:sz w:val="20"/>
                <w:szCs w:val="20"/>
              </w:rPr>
            </w:pPr>
            <w:r w:rsidRPr="00EC2043">
              <w:rPr>
                <w:rFonts w:ascii="Arial Narrow" w:hAnsi="Arial Narrow" w:cstheme="minorHAnsi"/>
                <w:sz w:val="20"/>
                <w:szCs w:val="20"/>
              </w:rPr>
              <w:t>23 (66%)</w:t>
            </w:r>
          </w:p>
        </w:tc>
        <w:tc>
          <w:tcPr>
            <w:tcW w:w="787" w:type="pct"/>
            <w:vAlign w:val="center"/>
          </w:tcPr>
          <w:p w14:paraId="3D104B49"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0.07 (</w:t>
            </w:r>
            <w:r w:rsidRPr="00425B3B">
              <w:rPr>
                <w:rFonts w:ascii="Arial Narrow" w:hAnsi="Arial Narrow" w:cstheme="minorHAnsi"/>
                <w:sz w:val="20"/>
                <w:szCs w:val="20"/>
              </w:rPr>
              <w:noBreakHyphen/>
              <w:t>0.15</w:t>
            </w:r>
            <w:r>
              <w:rPr>
                <w:rFonts w:ascii="Arial Narrow" w:hAnsi="Arial Narrow" w:cstheme="minorHAnsi"/>
                <w:sz w:val="20"/>
                <w:szCs w:val="20"/>
              </w:rPr>
              <w:t>,</w:t>
            </w:r>
            <w:r w:rsidRPr="00425B3B">
              <w:rPr>
                <w:rFonts w:ascii="Arial Narrow" w:hAnsi="Arial Narrow" w:cstheme="minorHAnsi"/>
                <w:sz w:val="20"/>
                <w:szCs w:val="20"/>
              </w:rPr>
              <w:t xml:space="preserve"> 0.28)</w:t>
            </w:r>
          </w:p>
        </w:tc>
        <w:tc>
          <w:tcPr>
            <w:tcW w:w="828" w:type="pct"/>
            <w:vAlign w:val="center"/>
          </w:tcPr>
          <w:p w14:paraId="35250504"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1.10 (0.80</w:t>
            </w:r>
            <w:r>
              <w:rPr>
                <w:rFonts w:ascii="Arial Narrow" w:hAnsi="Arial Narrow" w:cstheme="minorHAnsi"/>
                <w:sz w:val="20"/>
                <w:szCs w:val="20"/>
              </w:rPr>
              <w:t>,</w:t>
            </w:r>
            <w:r w:rsidRPr="00425B3B">
              <w:rPr>
                <w:rFonts w:ascii="Arial Narrow" w:hAnsi="Arial Narrow" w:cstheme="minorHAnsi"/>
                <w:sz w:val="20"/>
                <w:szCs w:val="20"/>
              </w:rPr>
              <w:t xml:space="preserve"> 1.50)</w:t>
            </w:r>
          </w:p>
        </w:tc>
        <w:tc>
          <w:tcPr>
            <w:tcW w:w="857" w:type="pct"/>
            <w:vAlign w:val="center"/>
          </w:tcPr>
          <w:p w14:paraId="683E2798"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1.36 (0.49</w:t>
            </w:r>
            <w:r>
              <w:rPr>
                <w:rFonts w:ascii="Arial Narrow" w:hAnsi="Arial Narrow" w:cstheme="minorHAnsi"/>
                <w:sz w:val="20"/>
                <w:szCs w:val="20"/>
              </w:rPr>
              <w:t>,</w:t>
            </w:r>
            <w:r w:rsidRPr="00425B3B">
              <w:rPr>
                <w:rFonts w:ascii="Arial Narrow" w:hAnsi="Arial Narrow" w:cstheme="minorHAnsi"/>
                <w:sz w:val="20"/>
                <w:szCs w:val="20"/>
              </w:rPr>
              <w:t xml:space="preserve"> 3.72)</w:t>
            </w:r>
          </w:p>
        </w:tc>
      </w:tr>
      <w:tr w:rsidR="009E4D4A" w:rsidRPr="00425B3B" w14:paraId="5E47F041" w14:textId="77777777" w:rsidTr="001F545B">
        <w:tc>
          <w:tcPr>
            <w:tcW w:w="1093" w:type="pct"/>
            <w:vAlign w:val="center"/>
          </w:tcPr>
          <w:p w14:paraId="41B44B37"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Treatment</w:t>
            </w:r>
            <w:r w:rsidRPr="00086C2E">
              <w:rPr>
                <w:rFonts w:cstheme="minorHAnsi"/>
                <w:bCs w:val="0"/>
                <w:szCs w:val="20"/>
              </w:rPr>
              <w:noBreakHyphen/>
              <w:t>related AE</w:t>
            </w:r>
          </w:p>
        </w:tc>
        <w:tc>
          <w:tcPr>
            <w:tcW w:w="762" w:type="pct"/>
            <w:vAlign w:val="center"/>
          </w:tcPr>
          <w:p w14:paraId="3CB6553F"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15 (41.7%)</w:t>
            </w:r>
          </w:p>
        </w:tc>
        <w:tc>
          <w:tcPr>
            <w:tcW w:w="673" w:type="pct"/>
            <w:vAlign w:val="center"/>
          </w:tcPr>
          <w:p w14:paraId="39F12AAD"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11 (31.4%)</w:t>
            </w:r>
          </w:p>
        </w:tc>
        <w:tc>
          <w:tcPr>
            <w:tcW w:w="787" w:type="pct"/>
            <w:vAlign w:val="center"/>
          </w:tcPr>
          <w:p w14:paraId="73FF120D"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0.10 (</w:t>
            </w:r>
            <w:r w:rsidRPr="00425B3B">
              <w:rPr>
                <w:rFonts w:ascii="Arial Narrow" w:hAnsi="Arial Narrow" w:cstheme="minorHAnsi"/>
                <w:sz w:val="20"/>
                <w:szCs w:val="20"/>
              </w:rPr>
              <w:noBreakHyphen/>
              <w:t>0.12</w:t>
            </w:r>
            <w:r>
              <w:rPr>
                <w:rFonts w:ascii="Arial Narrow" w:hAnsi="Arial Narrow" w:cstheme="minorHAnsi"/>
                <w:sz w:val="20"/>
                <w:szCs w:val="20"/>
              </w:rPr>
              <w:t>,</w:t>
            </w:r>
            <w:r w:rsidRPr="00425B3B">
              <w:rPr>
                <w:rFonts w:ascii="Arial Narrow" w:hAnsi="Arial Narrow" w:cstheme="minorHAnsi"/>
                <w:sz w:val="20"/>
                <w:szCs w:val="20"/>
              </w:rPr>
              <w:t xml:space="preserve"> 0.33)</w:t>
            </w:r>
          </w:p>
        </w:tc>
        <w:tc>
          <w:tcPr>
            <w:tcW w:w="828" w:type="pct"/>
            <w:vAlign w:val="center"/>
          </w:tcPr>
          <w:p w14:paraId="1B646972"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1.33</w:t>
            </w:r>
            <w:r>
              <w:rPr>
                <w:rFonts w:ascii="Arial Narrow" w:hAnsi="Arial Narrow" w:cstheme="minorHAnsi"/>
                <w:sz w:val="20"/>
                <w:szCs w:val="20"/>
              </w:rPr>
              <w:t xml:space="preserve"> </w:t>
            </w:r>
            <w:r w:rsidRPr="00425B3B">
              <w:rPr>
                <w:rFonts w:ascii="Arial Narrow" w:hAnsi="Arial Narrow" w:cstheme="minorHAnsi"/>
                <w:sz w:val="20"/>
                <w:szCs w:val="20"/>
              </w:rPr>
              <w:t>(0.71</w:t>
            </w:r>
            <w:r>
              <w:rPr>
                <w:rFonts w:ascii="Arial Narrow" w:hAnsi="Arial Narrow" w:cstheme="minorHAnsi"/>
                <w:sz w:val="20"/>
                <w:szCs w:val="20"/>
              </w:rPr>
              <w:t>,</w:t>
            </w:r>
            <w:r w:rsidRPr="00425B3B">
              <w:rPr>
                <w:rFonts w:ascii="Arial Narrow" w:hAnsi="Arial Narrow" w:cstheme="minorHAnsi"/>
                <w:sz w:val="20"/>
                <w:szCs w:val="20"/>
              </w:rPr>
              <w:t xml:space="preserve"> 2.47)</w:t>
            </w:r>
          </w:p>
        </w:tc>
        <w:tc>
          <w:tcPr>
            <w:tcW w:w="857" w:type="pct"/>
            <w:vAlign w:val="center"/>
          </w:tcPr>
          <w:p w14:paraId="762E0377"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1.56 (0.59</w:t>
            </w:r>
            <w:r>
              <w:rPr>
                <w:rFonts w:ascii="Arial Narrow" w:hAnsi="Arial Narrow" w:cstheme="minorHAnsi"/>
                <w:sz w:val="20"/>
                <w:szCs w:val="20"/>
              </w:rPr>
              <w:t>,</w:t>
            </w:r>
            <w:r w:rsidRPr="00425B3B">
              <w:rPr>
                <w:rFonts w:ascii="Arial Narrow" w:hAnsi="Arial Narrow" w:cstheme="minorHAnsi"/>
                <w:sz w:val="20"/>
                <w:szCs w:val="20"/>
              </w:rPr>
              <w:t xml:space="preserve"> 4.13)</w:t>
            </w:r>
          </w:p>
        </w:tc>
      </w:tr>
      <w:tr w:rsidR="009E4D4A" w:rsidRPr="00425B3B" w14:paraId="222880FE" w14:textId="77777777" w:rsidTr="001F545B">
        <w:tc>
          <w:tcPr>
            <w:tcW w:w="1093" w:type="pct"/>
            <w:vAlign w:val="center"/>
          </w:tcPr>
          <w:p w14:paraId="08D8C98E"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Any SAE</w:t>
            </w:r>
          </w:p>
        </w:tc>
        <w:tc>
          <w:tcPr>
            <w:tcW w:w="762" w:type="pct"/>
            <w:vAlign w:val="center"/>
          </w:tcPr>
          <w:p w14:paraId="7FB8FB30"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2 (6%)</w:t>
            </w:r>
          </w:p>
        </w:tc>
        <w:tc>
          <w:tcPr>
            <w:tcW w:w="673" w:type="pct"/>
            <w:vAlign w:val="center"/>
          </w:tcPr>
          <w:p w14:paraId="76895FE3"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1 (3%)</w:t>
            </w:r>
          </w:p>
        </w:tc>
        <w:tc>
          <w:tcPr>
            <w:tcW w:w="787" w:type="pct"/>
            <w:vAlign w:val="center"/>
          </w:tcPr>
          <w:p w14:paraId="0F30869F"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0.03 (</w:t>
            </w:r>
            <w:r w:rsidRPr="00425B3B">
              <w:rPr>
                <w:rFonts w:ascii="Arial Narrow" w:hAnsi="Arial Narrow" w:cstheme="minorHAnsi"/>
                <w:sz w:val="20"/>
                <w:szCs w:val="20"/>
              </w:rPr>
              <w:noBreakHyphen/>
              <w:t>0.07</w:t>
            </w:r>
            <w:r>
              <w:rPr>
                <w:rFonts w:ascii="Arial Narrow" w:hAnsi="Arial Narrow" w:cstheme="minorHAnsi"/>
                <w:sz w:val="20"/>
                <w:szCs w:val="20"/>
              </w:rPr>
              <w:t>,</w:t>
            </w:r>
            <w:r w:rsidRPr="00425B3B">
              <w:rPr>
                <w:rFonts w:ascii="Arial Narrow" w:hAnsi="Arial Narrow" w:cstheme="minorHAnsi"/>
                <w:sz w:val="20"/>
                <w:szCs w:val="20"/>
              </w:rPr>
              <w:t xml:space="preserve"> 0.12)</w:t>
            </w:r>
          </w:p>
        </w:tc>
        <w:tc>
          <w:tcPr>
            <w:tcW w:w="828" w:type="pct"/>
            <w:vAlign w:val="center"/>
          </w:tcPr>
          <w:p w14:paraId="53A93EAD"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1.94 (0.18</w:t>
            </w:r>
            <w:r>
              <w:rPr>
                <w:rFonts w:ascii="Arial Narrow" w:hAnsi="Arial Narrow" w:cstheme="minorHAnsi"/>
                <w:sz w:val="20"/>
                <w:szCs w:val="20"/>
              </w:rPr>
              <w:t>,</w:t>
            </w:r>
            <w:r w:rsidRPr="00425B3B">
              <w:rPr>
                <w:rFonts w:ascii="Arial Narrow" w:hAnsi="Arial Narrow" w:cstheme="minorHAnsi"/>
                <w:sz w:val="20"/>
                <w:szCs w:val="20"/>
              </w:rPr>
              <w:t xml:space="preserve"> 20.49)</w:t>
            </w:r>
          </w:p>
        </w:tc>
        <w:tc>
          <w:tcPr>
            <w:tcW w:w="857" w:type="pct"/>
            <w:vAlign w:val="center"/>
          </w:tcPr>
          <w:p w14:paraId="1ED6668A"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2.00 (0.17</w:t>
            </w:r>
            <w:r>
              <w:rPr>
                <w:rFonts w:ascii="Arial Narrow" w:hAnsi="Arial Narrow" w:cstheme="minorHAnsi"/>
                <w:sz w:val="20"/>
                <w:szCs w:val="20"/>
              </w:rPr>
              <w:t>,</w:t>
            </w:r>
            <w:r w:rsidRPr="00425B3B">
              <w:rPr>
                <w:rFonts w:ascii="Arial Narrow" w:hAnsi="Arial Narrow" w:cstheme="minorHAnsi"/>
                <w:sz w:val="20"/>
                <w:szCs w:val="20"/>
              </w:rPr>
              <w:t xml:space="preserve"> 23.11)</w:t>
            </w:r>
          </w:p>
        </w:tc>
      </w:tr>
      <w:tr w:rsidR="009E4D4A" w:rsidRPr="00425B3B" w14:paraId="71E72F5C" w14:textId="77777777" w:rsidTr="001F545B">
        <w:tc>
          <w:tcPr>
            <w:tcW w:w="1093" w:type="pct"/>
            <w:vAlign w:val="center"/>
          </w:tcPr>
          <w:p w14:paraId="06E96758" w14:textId="77777777" w:rsidR="009E4D4A" w:rsidRPr="00975A0B" w:rsidRDefault="009E4D4A" w:rsidP="00C86F74">
            <w:pPr>
              <w:pStyle w:val="TableText0"/>
              <w:tabs>
                <w:tab w:val="left" w:pos="102"/>
              </w:tabs>
              <w:rPr>
                <w:rFonts w:cstheme="minorHAnsi"/>
                <w:bCs w:val="0"/>
                <w:sz w:val="19"/>
                <w:szCs w:val="19"/>
              </w:rPr>
            </w:pPr>
            <w:r>
              <w:rPr>
                <w:rFonts w:cstheme="minorHAnsi"/>
                <w:bCs w:val="0"/>
                <w:szCs w:val="20"/>
              </w:rPr>
              <w:tab/>
            </w:r>
            <w:r w:rsidRPr="00975A0B">
              <w:rPr>
                <w:rFonts w:cstheme="minorHAnsi"/>
                <w:bCs w:val="0"/>
                <w:sz w:val="19"/>
                <w:szCs w:val="19"/>
              </w:rPr>
              <w:t>Discontinuation due to AE</w:t>
            </w:r>
          </w:p>
        </w:tc>
        <w:tc>
          <w:tcPr>
            <w:tcW w:w="762" w:type="pct"/>
            <w:vAlign w:val="center"/>
          </w:tcPr>
          <w:p w14:paraId="432E50FE"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0</w:t>
            </w:r>
          </w:p>
        </w:tc>
        <w:tc>
          <w:tcPr>
            <w:tcW w:w="673" w:type="pct"/>
            <w:vAlign w:val="center"/>
          </w:tcPr>
          <w:p w14:paraId="62E5F8B0"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2 (5.7%)</w:t>
            </w:r>
          </w:p>
        </w:tc>
        <w:tc>
          <w:tcPr>
            <w:tcW w:w="787" w:type="pct"/>
            <w:vAlign w:val="center"/>
          </w:tcPr>
          <w:p w14:paraId="2B825EAA"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noBreakHyphen/>
              <w:t>0.06 (</w:t>
            </w:r>
            <w:r w:rsidRPr="00425B3B">
              <w:rPr>
                <w:rFonts w:ascii="Arial Narrow" w:hAnsi="Arial Narrow" w:cstheme="minorHAnsi"/>
                <w:sz w:val="20"/>
                <w:szCs w:val="20"/>
              </w:rPr>
              <w:noBreakHyphen/>
              <w:t>0.15</w:t>
            </w:r>
            <w:r>
              <w:rPr>
                <w:rFonts w:ascii="Arial Narrow" w:hAnsi="Arial Narrow" w:cstheme="minorHAnsi"/>
                <w:sz w:val="20"/>
                <w:szCs w:val="20"/>
              </w:rPr>
              <w:t>,</w:t>
            </w:r>
            <w:r w:rsidRPr="00425B3B">
              <w:rPr>
                <w:rFonts w:ascii="Arial Narrow" w:hAnsi="Arial Narrow" w:cstheme="minorHAnsi"/>
                <w:sz w:val="20"/>
                <w:szCs w:val="20"/>
              </w:rPr>
              <w:t xml:space="preserve"> 0.03)</w:t>
            </w:r>
          </w:p>
        </w:tc>
        <w:tc>
          <w:tcPr>
            <w:tcW w:w="828" w:type="pct"/>
            <w:vAlign w:val="center"/>
          </w:tcPr>
          <w:p w14:paraId="43767AB9"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0.19</w:t>
            </w:r>
            <w:r>
              <w:rPr>
                <w:rFonts w:ascii="Arial Narrow" w:hAnsi="Arial Narrow" w:cstheme="minorHAnsi"/>
                <w:sz w:val="20"/>
                <w:szCs w:val="20"/>
              </w:rPr>
              <w:t xml:space="preserve"> </w:t>
            </w:r>
            <w:r w:rsidRPr="00425B3B">
              <w:rPr>
                <w:rFonts w:ascii="Arial Narrow" w:hAnsi="Arial Narrow" w:cstheme="minorHAnsi"/>
                <w:sz w:val="20"/>
                <w:szCs w:val="20"/>
              </w:rPr>
              <w:t>(0.01</w:t>
            </w:r>
            <w:r>
              <w:rPr>
                <w:rFonts w:ascii="Arial Narrow" w:hAnsi="Arial Narrow" w:cstheme="minorHAnsi"/>
                <w:sz w:val="20"/>
                <w:szCs w:val="20"/>
              </w:rPr>
              <w:t>,</w:t>
            </w:r>
            <w:r w:rsidRPr="00425B3B">
              <w:rPr>
                <w:rFonts w:ascii="Arial Narrow" w:hAnsi="Arial Narrow" w:cstheme="minorHAnsi"/>
                <w:sz w:val="20"/>
                <w:szCs w:val="20"/>
              </w:rPr>
              <w:t xml:space="preserve"> 3.91)</w:t>
            </w:r>
          </w:p>
        </w:tc>
        <w:tc>
          <w:tcPr>
            <w:tcW w:w="857" w:type="pct"/>
            <w:vAlign w:val="center"/>
          </w:tcPr>
          <w:p w14:paraId="334ED251"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0.18 (0.01</w:t>
            </w:r>
            <w:r>
              <w:rPr>
                <w:rFonts w:ascii="Arial Narrow" w:hAnsi="Arial Narrow" w:cstheme="minorHAnsi"/>
                <w:sz w:val="20"/>
                <w:szCs w:val="20"/>
              </w:rPr>
              <w:t>,</w:t>
            </w:r>
            <w:r w:rsidRPr="00425B3B">
              <w:rPr>
                <w:rFonts w:ascii="Arial Narrow" w:hAnsi="Arial Narrow" w:cstheme="minorHAnsi"/>
                <w:sz w:val="20"/>
                <w:szCs w:val="20"/>
              </w:rPr>
              <w:t xml:space="preserve"> 3.96)</w:t>
            </w:r>
          </w:p>
        </w:tc>
      </w:tr>
      <w:tr w:rsidR="009E4D4A" w:rsidRPr="00425B3B" w14:paraId="56C4CA6B" w14:textId="77777777" w:rsidTr="001F545B">
        <w:tc>
          <w:tcPr>
            <w:tcW w:w="1093" w:type="pct"/>
            <w:vAlign w:val="center"/>
          </w:tcPr>
          <w:p w14:paraId="4D10D6A1"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Death</w:t>
            </w:r>
          </w:p>
        </w:tc>
        <w:tc>
          <w:tcPr>
            <w:tcW w:w="762" w:type="pct"/>
            <w:vAlign w:val="center"/>
          </w:tcPr>
          <w:p w14:paraId="1A06C238" w14:textId="77777777" w:rsidR="009E4D4A" w:rsidRPr="00EC2043" w:rsidRDefault="009E4D4A" w:rsidP="00C86F74">
            <w:pPr>
              <w:pStyle w:val="TableText0"/>
              <w:jc w:val="center"/>
              <w:rPr>
                <w:rFonts w:eastAsia="Calibri" w:cs="Calibri"/>
                <w:bCs w:val="0"/>
                <w:szCs w:val="20"/>
                <w:lang w:val="en-US"/>
              </w:rPr>
            </w:pPr>
            <w:r w:rsidRPr="00EC2043">
              <w:rPr>
                <w:rFonts w:eastAsia="Calibri" w:cs="Calibri"/>
                <w:bCs w:val="0"/>
                <w:szCs w:val="20"/>
                <w:lang w:val="en-US"/>
              </w:rPr>
              <w:t>0</w:t>
            </w:r>
            <w:r w:rsidRPr="0073572E">
              <w:rPr>
                <w:rFonts w:eastAsia="Calibri" w:cs="Calibri"/>
                <w:bCs w:val="0"/>
                <w:szCs w:val="20"/>
                <w:vertAlign w:val="superscript"/>
                <w:lang w:val="en-US"/>
              </w:rPr>
              <w:t>a</w:t>
            </w:r>
          </w:p>
        </w:tc>
        <w:tc>
          <w:tcPr>
            <w:tcW w:w="673" w:type="pct"/>
            <w:vAlign w:val="center"/>
          </w:tcPr>
          <w:p w14:paraId="1055AF1F"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eastAsia="Calibri" w:hAnsi="Arial Narrow" w:cs="Calibri"/>
                <w:sz w:val="20"/>
                <w:szCs w:val="20"/>
                <w:lang w:val="en-US"/>
              </w:rPr>
              <w:t>0</w:t>
            </w:r>
            <w:r w:rsidRPr="0073572E">
              <w:rPr>
                <w:rFonts w:ascii="Arial Narrow" w:eastAsia="Calibri" w:hAnsi="Arial Narrow" w:cs="Calibri"/>
                <w:sz w:val="20"/>
                <w:szCs w:val="20"/>
                <w:vertAlign w:val="superscript"/>
                <w:lang w:val="en-US"/>
              </w:rPr>
              <w:t>a</w:t>
            </w:r>
          </w:p>
        </w:tc>
        <w:tc>
          <w:tcPr>
            <w:tcW w:w="787" w:type="pct"/>
            <w:vAlign w:val="center"/>
          </w:tcPr>
          <w:p w14:paraId="422BE465"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0.00 (</w:t>
            </w:r>
            <w:r w:rsidRPr="00425B3B">
              <w:rPr>
                <w:rFonts w:ascii="Arial Narrow" w:hAnsi="Arial Narrow" w:cstheme="minorHAnsi"/>
                <w:sz w:val="20"/>
                <w:szCs w:val="20"/>
              </w:rPr>
              <w:noBreakHyphen/>
              <w:t>0.05</w:t>
            </w:r>
            <w:r>
              <w:rPr>
                <w:rFonts w:ascii="Arial Narrow" w:hAnsi="Arial Narrow" w:cstheme="minorHAnsi"/>
                <w:sz w:val="20"/>
                <w:szCs w:val="20"/>
              </w:rPr>
              <w:t>,</w:t>
            </w:r>
            <w:r w:rsidRPr="00425B3B">
              <w:rPr>
                <w:rFonts w:ascii="Arial Narrow" w:hAnsi="Arial Narrow" w:cstheme="minorHAnsi"/>
                <w:sz w:val="20"/>
                <w:szCs w:val="20"/>
              </w:rPr>
              <w:t xml:space="preserve"> 0.05)</w:t>
            </w:r>
          </w:p>
        </w:tc>
        <w:tc>
          <w:tcPr>
            <w:tcW w:w="828" w:type="pct"/>
            <w:vAlign w:val="center"/>
          </w:tcPr>
          <w:p w14:paraId="28E5D002"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c>
          <w:tcPr>
            <w:tcW w:w="857" w:type="pct"/>
            <w:vAlign w:val="center"/>
          </w:tcPr>
          <w:p w14:paraId="1369A3FD"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r>
      <w:tr w:rsidR="00862E0C" w:rsidRPr="00425B3B" w14:paraId="461F3C87" w14:textId="77777777" w:rsidTr="00862E0C">
        <w:tc>
          <w:tcPr>
            <w:tcW w:w="5000" w:type="pct"/>
            <w:gridSpan w:val="6"/>
            <w:vAlign w:val="center"/>
          </w:tcPr>
          <w:p w14:paraId="5944F95D" w14:textId="2852A219" w:rsidR="00862E0C" w:rsidRPr="00425B3B" w:rsidRDefault="00862E0C" w:rsidP="00C86F74">
            <w:pPr>
              <w:keepNext/>
              <w:jc w:val="left"/>
              <w:rPr>
                <w:rFonts w:ascii="Arial Narrow" w:hAnsi="Arial Narrow" w:cstheme="minorHAnsi"/>
                <w:sz w:val="20"/>
                <w:szCs w:val="20"/>
              </w:rPr>
            </w:pPr>
            <w:r>
              <w:rPr>
                <w:rFonts w:ascii="Arial Narrow" w:hAnsi="Arial Narrow" w:cstheme="minorHAnsi"/>
                <w:sz w:val="20"/>
                <w:szCs w:val="20"/>
              </w:rPr>
              <w:t>AEs of special interest</w:t>
            </w:r>
          </w:p>
        </w:tc>
      </w:tr>
      <w:tr w:rsidR="009E4D4A" w:rsidRPr="00425B3B" w14:paraId="42FB4FC1" w14:textId="77777777" w:rsidTr="001F545B">
        <w:tc>
          <w:tcPr>
            <w:tcW w:w="1093" w:type="pct"/>
            <w:vAlign w:val="center"/>
          </w:tcPr>
          <w:p w14:paraId="56965CD6" w14:textId="594F011A" w:rsidR="009E4D4A" w:rsidRPr="00086C2E" w:rsidRDefault="009E4D4A" w:rsidP="00C86F74">
            <w:pPr>
              <w:pStyle w:val="TableText0"/>
              <w:tabs>
                <w:tab w:val="left" w:pos="102"/>
              </w:tabs>
              <w:rPr>
                <w:rFonts w:cstheme="minorHAnsi"/>
                <w:bCs w:val="0"/>
                <w:szCs w:val="20"/>
              </w:rPr>
            </w:pPr>
            <w:r>
              <w:rPr>
                <w:rFonts w:cstheme="minorHAnsi"/>
                <w:bCs w:val="0"/>
                <w:szCs w:val="20"/>
              </w:rPr>
              <w:tab/>
              <w:t>A</w:t>
            </w:r>
            <w:r w:rsidRPr="00086C2E">
              <w:rPr>
                <w:rFonts w:cstheme="minorHAnsi"/>
                <w:bCs w:val="0"/>
                <w:szCs w:val="20"/>
              </w:rPr>
              <w:t xml:space="preserve">drenal hormone </w:t>
            </w:r>
            <w:r>
              <w:rPr>
                <w:rFonts w:cstheme="minorHAnsi"/>
                <w:bCs w:val="0"/>
                <w:szCs w:val="20"/>
              </w:rPr>
              <w:tab/>
            </w:r>
            <w:r w:rsidRPr="00086C2E">
              <w:rPr>
                <w:rFonts w:cstheme="minorHAnsi"/>
                <w:bCs w:val="0"/>
                <w:szCs w:val="20"/>
              </w:rPr>
              <w:t>precursor</w:t>
            </w:r>
            <w:r>
              <w:rPr>
                <w:rFonts w:cstheme="minorHAnsi"/>
                <w:bCs w:val="0"/>
                <w:szCs w:val="20"/>
              </w:rPr>
              <w:t xml:space="preserve"> </w:t>
            </w:r>
            <w:r w:rsidRPr="00086C2E">
              <w:rPr>
                <w:rFonts w:cstheme="minorHAnsi"/>
                <w:bCs w:val="0"/>
                <w:szCs w:val="20"/>
              </w:rPr>
              <w:t>accumulation</w:t>
            </w:r>
            <w:r>
              <w:rPr>
                <w:rFonts w:cstheme="minorHAnsi"/>
                <w:bCs w:val="0"/>
                <w:szCs w:val="20"/>
              </w:rPr>
              <w:t xml:space="preserve"> </w:t>
            </w:r>
          </w:p>
        </w:tc>
        <w:tc>
          <w:tcPr>
            <w:tcW w:w="762" w:type="pct"/>
            <w:vAlign w:val="center"/>
          </w:tcPr>
          <w:p w14:paraId="61746225"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2 (6%)</w:t>
            </w:r>
          </w:p>
        </w:tc>
        <w:tc>
          <w:tcPr>
            <w:tcW w:w="673" w:type="pct"/>
            <w:vAlign w:val="center"/>
          </w:tcPr>
          <w:p w14:paraId="48E60E91"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1 (3%)</w:t>
            </w:r>
          </w:p>
        </w:tc>
        <w:tc>
          <w:tcPr>
            <w:tcW w:w="787" w:type="pct"/>
            <w:vAlign w:val="center"/>
          </w:tcPr>
          <w:p w14:paraId="3CC9A472"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0.03 (</w:t>
            </w:r>
            <w:r w:rsidRPr="00425B3B">
              <w:rPr>
                <w:rFonts w:ascii="Arial Narrow" w:hAnsi="Arial Narrow" w:cstheme="minorHAnsi"/>
                <w:sz w:val="20"/>
                <w:szCs w:val="20"/>
              </w:rPr>
              <w:noBreakHyphen/>
              <w:t>0.07</w:t>
            </w:r>
            <w:r>
              <w:rPr>
                <w:rFonts w:ascii="Arial Narrow" w:hAnsi="Arial Narrow" w:cstheme="minorHAnsi"/>
                <w:sz w:val="20"/>
                <w:szCs w:val="20"/>
              </w:rPr>
              <w:t>,</w:t>
            </w:r>
            <w:r w:rsidRPr="00425B3B">
              <w:rPr>
                <w:rFonts w:ascii="Arial Narrow" w:hAnsi="Arial Narrow" w:cstheme="minorHAnsi"/>
                <w:sz w:val="20"/>
                <w:szCs w:val="20"/>
              </w:rPr>
              <w:t xml:space="preserve"> 0.12)</w:t>
            </w:r>
          </w:p>
        </w:tc>
        <w:tc>
          <w:tcPr>
            <w:tcW w:w="828" w:type="pct"/>
            <w:vAlign w:val="center"/>
          </w:tcPr>
          <w:p w14:paraId="1EB6861A"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1.94 (0.18</w:t>
            </w:r>
            <w:r>
              <w:rPr>
                <w:rFonts w:ascii="Arial Narrow" w:hAnsi="Arial Narrow" w:cstheme="minorHAnsi"/>
                <w:sz w:val="20"/>
                <w:szCs w:val="20"/>
              </w:rPr>
              <w:t>,</w:t>
            </w:r>
            <w:r w:rsidRPr="00425B3B">
              <w:rPr>
                <w:rFonts w:ascii="Arial Narrow" w:hAnsi="Arial Narrow" w:cstheme="minorHAnsi"/>
                <w:sz w:val="20"/>
                <w:szCs w:val="20"/>
              </w:rPr>
              <w:t xml:space="preserve"> 20.49)</w:t>
            </w:r>
          </w:p>
        </w:tc>
        <w:tc>
          <w:tcPr>
            <w:tcW w:w="857" w:type="pct"/>
            <w:vAlign w:val="center"/>
          </w:tcPr>
          <w:p w14:paraId="5B43615F"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2.00 (0.17</w:t>
            </w:r>
            <w:r>
              <w:rPr>
                <w:rFonts w:ascii="Arial Narrow" w:hAnsi="Arial Narrow" w:cstheme="minorHAnsi"/>
                <w:sz w:val="20"/>
                <w:szCs w:val="20"/>
              </w:rPr>
              <w:t>,</w:t>
            </w:r>
            <w:r w:rsidRPr="00425B3B">
              <w:rPr>
                <w:rFonts w:ascii="Arial Narrow" w:hAnsi="Arial Narrow" w:cstheme="minorHAnsi"/>
                <w:sz w:val="20"/>
                <w:szCs w:val="20"/>
              </w:rPr>
              <w:t xml:space="preserve"> 23.11)</w:t>
            </w:r>
          </w:p>
        </w:tc>
      </w:tr>
      <w:tr w:rsidR="009E4D4A" w:rsidRPr="00425B3B" w14:paraId="6B565D7A" w14:textId="77777777" w:rsidTr="001F545B">
        <w:tc>
          <w:tcPr>
            <w:tcW w:w="1093" w:type="pct"/>
            <w:vAlign w:val="center"/>
          </w:tcPr>
          <w:p w14:paraId="3E2F7B93"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 xml:space="preserve">Hypocortisolism related </w:t>
            </w:r>
            <w:r>
              <w:rPr>
                <w:rFonts w:cstheme="minorHAnsi"/>
                <w:bCs w:val="0"/>
                <w:szCs w:val="20"/>
              </w:rPr>
              <w:tab/>
            </w:r>
            <w:r w:rsidRPr="00086C2E">
              <w:rPr>
                <w:rFonts w:cstheme="minorHAnsi"/>
                <w:bCs w:val="0"/>
                <w:szCs w:val="20"/>
              </w:rPr>
              <w:t xml:space="preserve">AEs </w:t>
            </w:r>
          </w:p>
        </w:tc>
        <w:tc>
          <w:tcPr>
            <w:tcW w:w="762" w:type="pct"/>
            <w:vAlign w:val="center"/>
          </w:tcPr>
          <w:p w14:paraId="3EA495C9"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3 (8%)</w:t>
            </w:r>
          </w:p>
        </w:tc>
        <w:tc>
          <w:tcPr>
            <w:tcW w:w="673" w:type="pct"/>
            <w:vAlign w:val="center"/>
          </w:tcPr>
          <w:p w14:paraId="4B1322A0"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1 (3%)</w:t>
            </w:r>
          </w:p>
        </w:tc>
        <w:tc>
          <w:tcPr>
            <w:tcW w:w="787" w:type="pct"/>
            <w:vAlign w:val="center"/>
          </w:tcPr>
          <w:p w14:paraId="38242F77"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0.05 (</w:t>
            </w:r>
            <w:r w:rsidRPr="00425B3B">
              <w:rPr>
                <w:rFonts w:ascii="Arial Narrow" w:hAnsi="Arial Narrow" w:cstheme="minorHAnsi"/>
                <w:sz w:val="20"/>
                <w:szCs w:val="20"/>
              </w:rPr>
              <w:noBreakHyphen/>
              <w:t>0.05</w:t>
            </w:r>
            <w:r>
              <w:rPr>
                <w:rFonts w:ascii="Arial Narrow" w:hAnsi="Arial Narrow" w:cstheme="minorHAnsi"/>
                <w:sz w:val="20"/>
                <w:szCs w:val="20"/>
              </w:rPr>
              <w:t>,</w:t>
            </w:r>
            <w:r w:rsidRPr="00425B3B">
              <w:rPr>
                <w:rFonts w:ascii="Arial Narrow" w:hAnsi="Arial Narrow" w:cstheme="minorHAnsi"/>
                <w:sz w:val="20"/>
                <w:szCs w:val="20"/>
              </w:rPr>
              <w:t xml:space="preserve"> 0.16)</w:t>
            </w:r>
          </w:p>
        </w:tc>
        <w:tc>
          <w:tcPr>
            <w:tcW w:w="828" w:type="pct"/>
            <w:vAlign w:val="center"/>
          </w:tcPr>
          <w:p w14:paraId="5F3DABD0"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2.92 (0.32</w:t>
            </w:r>
            <w:r>
              <w:rPr>
                <w:rFonts w:ascii="Arial Narrow" w:hAnsi="Arial Narrow" w:cstheme="minorHAnsi"/>
                <w:sz w:val="20"/>
                <w:szCs w:val="20"/>
              </w:rPr>
              <w:t>,</w:t>
            </w:r>
            <w:r w:rsidRPr="00425B3B">
              <w:rPr>
                <w:rFonts w:ascii="Arial Narrow" w:hAnsi="Arial Narrow" w:cstheme="minorHAnsi"/>
                <w:sz w:val="20"/>
                <w:szCs w:val="20"/>
              </w:rPr>
              <w:t xml:space="preserve"> 26.72)</w:t>
            </w:r>
          </w:p>
        </w:tc>
        <w:tc>
          <w:tcPr>
            <w:tcW w:w="857" w:type="pct"/>
            <w:vAlign w:val="center"/>
          </w:tcPr>
          <w:p w14:paraId="5BF5449F"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3.09</w:t>
            </w:r>
            <w:r>
              <w:rPr>
                <w:rFonts w:ascii="Arial Narrow" w:hAnsi="Arial Narrow" w:cstheme="minorHAnsi"/>
                <w:sz w:val="20"/>
                <w:szCs w:val="20"/>
              </w:rPr>
              <w:t xml:space="preserve"> </w:t>
            </w:r>
            <w:r w:rsidRPr="00425B3B">
              <w:rPr>
                <w:rFonts w:ascii="Arial Narrow" w:hAnsi="Arial Narrow" w:cstheme="minorHAnsi"/>
                <w:sz w:val="20"/>
                <w:szCs w:val="20"/>
              </w:rPr>
              <w:t>(0.31</w:t>
            </w:r>
            <w:r>
              <w:rPr>
                <w:rFonts w:ascii="Arial Narrow" w:hAnsi="Arial Narrow" w:cstheme="minorHAnsi"/>
                <w:sz w:val="20"/>
                <w:szCs w:val="20"/>
              </w:rPr>
              <w:t>,</w:t>
            </w:r>
            <w:r w:rsidRPr="00425B3B">
              <w:rPr>
                <w:rFonts w:ascii="Arial Narrow" w:hAnsi="Arial Narrow" w:cstheme="minorHAnsi"/>
                <w:sz w:val="20"/>
                <w:szCs w:val="20"/>
              </w:rPr>
              <w:t xml:space="preserve"> 31.24)</w:t>
            </w:r>
          </w:p>
        </w:tc>
      </w:tr>
      <w:tr w:rsidR="009E4D4A" w:rsidRPr="00425B3B" w14:paraId="75D0886A" w14:textId="77777777" w:rsidTr="001F545B">
        <w:tc>
          <w:tcPr>
            <w:tcW w:w="1093" w:type="pct"/>
            <w:vAlign w:val="center"/>
          </w:tcPr>
          <w:p w14:paraId="6B4D09BA" w14:textId="77777777" w:rsidR="009E4D4A" w:rsidRPr="005D2719" w:rsidRDefault="009E4D4A" w:rsidP="00C86F74">
            <w:pPr>
              <w:pStyle w:val="TableText0"/>
              <w:tabs>
                <w:tab w:val="left" w:pos="102"/>
              </w:tabs>
              <w:rPr>
                <w:rFonts w:cstheme="minorHAnsi"/>
                <w:bCs w:val="0"/>
                <w:sz w:val="19"/>
                <w:szCs w:val="19"/>
              </w:rPr>
            </w:pPr>
            <w:r>
              <w:rPr>
                <w:rFonts w:cstheme="minorHAnsi"/>
                <w:bCs w:val="0"/>
                <w:szCs w:val="20"/>
              </w:rPr>
              <w:tab/>
            </w:r>
            <w:r w:rsidRPr="005D2719">
              <w:rPr>
                <w:rFonts w:cstheme="minorHAnsi"/>
                <w:bCs w:val="0"/>
                <w:sz w:val="19"/>
                <w:szCs w:val="19"/>
              </w:rPr>
              <w:t xml:space="preserve">Pituitary tumour </w:t>
            </w:r>
            <w:r w:rsidRPr="005D2719">
              <w:rPr>
                <w:rFonts w:cstheme="minorHAnsi"/>
                <w:bCs w:val="0"/>
                <w:sz w:val="19"/>
                <w:szCs w:val="19"/>
              </w:rPr>
              <w:tab/>
              <w:t>enlargement</w:t>
            </w:r>
            <w:r w:rsidRPr="005D2719">
              <w:rPr>
                <w:rFonts w:cstheme="minorHAnsi"/>
                <w:bCs w:val="0"/>
                <w:sz w:val="19"/>
                <w:szCs w:val="19"/>
              </w:rPr>
              <w:noBreakHyphen/>
              <w:t>related AEs</w:t>
            </w:r>
          </w:p>
        </w:tc>
        <w:tc>
          <w:tcPr>
            <w:tcW w:w="762" w:type="pct"/>
            <w:vAlign w:val="center"/>
          </w:tcPr>
          <w:p w14:paraId="057B20E1"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0</w:t>
            </w:r>
            <w:r w:rsidRPr="000F2FAB">
              <w:rPr>
                <w:rFonts w:cstheme="minorHAnsi"/>
                <w:bCs w:val="0"/>
                <w:szCs w:val="20"/>
                <w:vertAlign w:val="superscript"/>
              </w:rPr>
              <w:t>a</w:t>
            </w:r>
          </w:p>
        </w:tc>
        <w:tc>
          <w:tcPr>
            <w:tcW w:w="673" w:type="pct"/>
            <w:vAlign w:val="center"/>
          </w:tcPr>
          <w:p w14:paraId="5FA91866"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7519F7E3"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0.00 (</w:t>
            </w:r>
            <w:r w:rsidRPr="00425B3B">
              <w:rPr>
                <w:rFonts w:ascii="Arial Narrow" w:hAnsi="Arial Narrow" w:cstheme="minorHAnsi"/>
                <w:sz w:val="20"/>
                <w:szCs w:val="20"/>
              </w:rPr>
              <w:noBreakHyphen/>
              <w:t>0.05</w:t>
            </w:r>
            <w:r>
              <w:rPr>
                <w:rFonts w:ascii="Arial Narrow" w:hAnsi="Arial Narrow" w:cstheme="minorHAnsi"/>
                <w:sz w:val="20"/>
                <w:szCs w:val="20"/>
              </w:rPr>
              <w:t>,</w:t>
            </w:r>
            <w:r w:rsidRPr="00425B3B">
              <w:rPr>
                <w:rFonts w:ascii="Arial Narrow" w:hAnsi="Arial Narrow" w:cstheme="minorHAnsi"/>
                <w:sz w:val="20"/>
                <w:szCs w:val="20"/>
              </w:rPr>
              <w:t xml:space="preserve"> 0.05)</w:t>
            </w:r>
          </w:p>
        </w:tc>
        <w:tc>
          <w:tcPr>
            <w:tcW w:w="828" w:type="pct"/>
            <w:vAlign w:val="center"/>
          </w:tcPr>
          <w:p w14:paraId="0047C2D1"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c>
          <w:tcPr>
            <w:tcW w:w="857" w:type="pct"/>
            <w:vAlign w:val="center"/>
          </w:tcPr>
          <w:p w14:paraId="5C098F6F"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r>
      <w:tr w:rsidR="009E4D4A" w:rsidRPr="00425B3B" w14:paraId="0CF04581" w14:textId="77777777" w:rsidTr="001F545B">
        <w:tc>
          <w:tcPr>
            <w:tcW w:w="1093" w:type="pct"/>
            <w:vAlign w:val="center"/>
          </w:tcPr>
          <w:p w14:paraId="5C0E32BB"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 xml:space="preserve">Related to QT </w:t>
            </w:r>
            <w:r>
              <w:rPr>
                <w:rFonts w:cstheme="minorHAnsi"/>
                <w:bCs w:val="0"/>
                <w:szCs w:val="20"/>
              </w:rPr>
              <w:tab/>
            </w:r>
            <w:r w:rsidRPr="00086C2E">
              <w:rPr>
                <w:rFonts w:cstheme="minorHAnsi"/>
                <w:bCs w:val="0"/>
                <w:szCs w:val="20"/>
              </w:rPr>
              <w:t>prolongation</w:t>
            </w:r>
          </w:p>
        </w:tc>
        <w:tc>
          <w:tcPr>
            <w:tcW w:w="762" w:type="pct"/>
            <w:vAlign w:val="center"/>
          </w:tcPr>
          <w:p w14:paraId="27BD2340"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0</w:t>
            </w:r>
            <w:r w:rsidRPr="0073572E">
              <w:rPr>
                <w:rFonts w:cstheme="minorHAnsi"/>
                <w:bCs w:val="0"/>
                <w:szCs w:val="20"/>
                <w:vertAlign w:val="superscript"/>
              </w:rPr>
              <w:t>a</w:t>
            </w:r>
          </w:p>
        </w:tc>
        <w:tc>
          <w:tcPr>
            <w:tcW w:w="673" w:type="pct"/>
            <w:vAlign w:val="center"/>
          </w:tcPr>
          <w:p w14:paraId="1DFE16A2"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37B70A29"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0.00 (</w:t>
            </w:r>
            <w:r w:rsidRPr="00425B3B">
              <w:rPr>
                <w:rFonts w:ascii="Arial Narrow" w:hAnsi="Arial Narrow" w:cstheme="minorHAnsi"/>
                <w:sz w:val="20"/>
                <w:szCs w:val="20"/>
              </w:rPr>
              <w:noBreakHyphen/>
              <w:t>0.05</w:t>
            </w:r>
            <w:r>
              <w:rPr>
                <w:rFonts w:ascii="Arial Narrow" w:hAnsi="Arial Narrow" w:cstheme="minorHAnsi"/>
                <w:sz w:val="20"/>
                <w:szCs w:val="20"/>
              </w:rPr>
              <w:t>,</w:t>
            </w:r>
            <w:r w:rsidRPr="00425B3B">
              <w:rPr>
                <w:rFonts w:ascii="Arial Narrow" w:hAnsi="Arial Narrow" w:cstheme="minorHAnsi"/>
                <w:sz w:val="20"/>
                <w:szCs w:val="20"/>
              </w:rPr>
              <w:t xml:space="preserve"> 0.05)</w:t>
            </w:r>
          </w:p>
        </w:tc>
        <w:tc>
          <w:tcPr>
            <w:tcW w:w="828" w:type="pct"/>
            <w:vAlign w:val="center"/>
          </w:tcPr>
          <w:p w14:paraId="040DA169"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c>
          <w:tcPr>
            <w:tcW w:w="857" w:type="pct"/>
            <w:vAlign w:val="center"/>
          </w:tcPr>
          <w:p w14:paraId="19F5FCCF"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r>
      <w:tr w:rsidR="009E4D4A" w:rsidRPr="00425B3B" w14:paraId="5403A0C0" w14:textId="77777777" w:rsidTr="001F545B">
        <w:tc>
          <w:tcPr>
            <w:tcW w:w="1093" w:type="pct"/>
            <w:vAlign w:val="center"/>
          </w:tcPr>
          <w:p w14:paraId="78A71118" w14:textId="77777777" w:rsidR="009E4D4A" w:rsidRPr="005D2719" w:rsidRDefault="009E4D4A" w:rsidP="00C86F74">
            <w:pPr>
              <w:pStyle w:val="TableText0"/>
              <w:tabs>
                <w:tab w:val="left" w:pos="102"/>
              </w:tabs>
              <w:rPr>
                <w:rFonts w:cstheme="minorHAnsi"/>
                <w:bCs w:val="0"/>
                <w:sz w:val="19"/>
                <w:szCs w:val="19"/>
              </w:rPr>
            </w:pPr>
            <w:r>
              <w:rPr>
                <w:rFonts w:cstheme="minorHAnsi"/>
                <w:bCs w:val="0"/>
                <w:sz w:val="19"/>
                <w:szCs w:val="19"/>
              </w:rPr>
              <w:tab/>
            </w:r>
            <w:r w:rsidRPr="005D2719">
              <w:rPr>
                <w:rFonts w:cstheme="minorHAnsi"/>
                <w:bCs w:val="0"/>
                <w:sz w:val="19"/>
                <w:szCs w:val="19"/>
              </w:rPr>
              <w:t>Arrhythmogenic potential</w:t>
            </w:r>
          </w:p>
        </w:tc>
        <w:tc>
          <w:tcPr>
            <w:tcW w:w="762" w:type="pct"/>
            <w:vAlign w:val="center"/>
          </w:tcPr>
          <w:p w14:paraId="3C47BE81" w14:textId="77777777" w:rsidR="009E4D4A" w:rsidRPr="00EC2043" w:rsidRDefault="009E4D4A" w:rsidP="00C86F74">
            <w:pPr>
              <w:pStyle w:val="TableText0"/>
              <w:jc w:val="center"/>
              <w:rPr>
                <w:rFonts w:eastAsia="Calibri" w:cs="Calibri"/>
                <w:bCs w:val="0"/>
                <w:szCs w:val="20"/>
                <w:lang w:val="en-US"/>
              </w:rPr>
            </w:pPr>
            <w:r w:rsidRPr="00EC2043">
              <w:rPr>
                <w:rFonts w:cstheme="minorHAnsi"/>
                <w:bCs w:val="0"/>
                <w:szCs w:val="20"/>
              </w:rPr>
              <w:t>0</w:t>
            </w:r>
            <w:r w:rsidRPr="0073572E">
              <w:rPr>
                <w:rFonts w:cstheme="minorHAnsi"/>
                <w:bCs w:val="0"/>
                <w:szCs w:val="20"/>
                <w:vertAlign w:val="superscript"/>
              </w:rPr>
              <w:t>a</w:t>
            </w:r>
          </w:p>
        </w:tc>
        <w:tc>
          <w:tcPr>
            <w:tcW w:w="673" w:type="pct"/>
            <w:vAlign w:val="center"/>
          </w:tcPr>
          <w:p w14:paraId="27642D36" w14:textId="77777777" w:rsidR="009E4D4A" w:rsidRPr="00EC2043" w:rsidRDefault="009E4D4A" w:rsidP="00C86F74">
            <w:pPr>
              <w:keepNext/>
              <w:jc w:val="center"/>
              <w:rPr>
                <w:rFonts w:ascii="Arial Narrow" w:eastAsia="Calibri" w:hAnsi="Arial Narrow" w:cs="Calibri"/>
                <w:sz w:val="20"/>
                <w:szCs w:val="20"/>
                <w:lang w:val="en-US"/>
              </w:rPr>
            </w:pPr>
            <w:r w:rsidRPr="00EC2043">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49273BFF" w14:textId="77777777" w:rsidR="009E4D4A" w:rsidRPr="00425B3B" w:rsidRDefault="009E4D4A" w:rsidP="00C86F74">
            <w:pPr>
              <w:keepNext/>
              <w:jc w:val="center"/>
              <w:rPr>
                <w:rFonts w:ascii="Arial Narrow" w:hAnsi="Arial Narrow" w:cstheme="minorHAnsi"/>
                <w:sz w:val="20"/>
                <w:szCs w:val="20"/>
              </w:rPr>
            </w:pPr>
            <w:r w:rsidRPr="00425B3B">
              <w:rPr>
                <w:rFonts w:ascii="Arial Narrow" w:hAnsi="Arial Narrow" w:cstheme="minorHAnsi"/>
                <w:sz w:val="20"/>
                <w:szCs w:val="20"/>
              </w:rPr>
              <w:t>0.00 (</w:t>
            </w:r>
            <w:r w:rsidRPr="00425B3B">
              <w:rPr>
                <w:rFonts w:ascii="Arial Narrow" w:hAnsi="Arial Narrow" w:cstheme="minorHAnsi"/>
                <w:sz w:val="20"/>
                <w:szCs w:val="20"/>
              </w:rPr>
              <w:noBreakHyphen/>
              <w:t>0.05</w:t>
            </w:r>
            <w:r>
              <w:rPr>
                <w:rFonts w:ascii="Arial Narrow" w:hAnsi="Arial Narrow" w:cstheme="minorHAnsi"/>
                <w:sz w:val="20"/>
                <w:szCs w:val="20"/>
              </w:rPr>
              <w:t>,</w:t>
            </w:r>
            <w:r w:rsidRPr="00425B3B">
              <w:rPr>
                <w:rFonts w:ascii="Arial Narrow" w:hAnsi="Arial Narrow" w:cstheme="minorHAnsi"/>
                <w:sz w:val="20"/>
                <w:szCs w:val="20"/>
              </w:rPr>
              <w:t xml:space="preserve"> 0.05)</w:t>
            </w:r>
          </w:p>
        </w:tc>
        <w:tc>
          <w:tcPr>
            <w:tcW w:w="828" w:type="pct"/>
            <w:vAlign w:val="center"/>
          </w:tcPr>
          <w:p w14:paraId="01357524"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c>
          <w:tcPr>
            <w:tcW w:w="857" w:type="pct"/>
            <w:vAlign w:val="center"/>
          </w:tcPr>
          <w:p w14:paraId="7ADB8ED6" w14:textId="77777777" w:rsidR="009E4D4A" w:rsidRPr="00425B3B" w:rsidRDefault="009E4D4A" w:rsidP="00C86F74">
            <w:pPr>
              <w:keepNext/>
              <w:jc w:val="center"/>
              <w:rPr>
                <w:rFonts w:ascii="Arial Narrow" w:eastAsia="Calibri" w:hAnsi="Arial Narrow" w:cs="Calibri"/>
                <w:sz w:val="20"/>
                <w:szCs w:val="20"/>
                <w:lang w:val="en-US"/>
              </w:rPr>
            </w:pPr>
            <w:r w:rsidRPr="00425B3B">
              <w:rPr>
                <w:rFonts w:ascii="Arial Narrow" w:hAnsi="Arial Narrow" w:cstheme="minorHAnsi"/>
                <w:sz w:val="20"/>
                <w:szCs w:val="20"/>
              </w:rPr>
              <w:t>NE</w:t>
            </w:r>
          </w:p>
        </w:tc>
      </w:tr>
      <w:tr w:rsidR="009E4D4A" w:rsidRPr="00C37A60" w14:paraId="5AE1818D" w14:textId="77777777" w:rsidTr="001F545B">
        <w:tc>
          <w:tcPr>
            <w:tcW w:w="1093" w:type="pct"/>
            <w:vAlign w:val="center"/>
          </w:tcPr>
          <w:p w14:paraId="2A3AD89E" w14:textId="77777777" w:rsidR="009E4D4A" w:rsidRDefault="009E4D4A" w:rsidP="00C86F74">
            <w:pPr>
              <w:pStyle w:val="TableText0"/>
              <w:tabs>
                <w:tab w:val="left" w:pos="102"/>
              </w:tabs>
              <w:rPr>
                <w:rFonts w:cstheme="minorHAnsi"/>
                <w:bCs w:val="0"/>
                <w:szCs w:val="20"/>
              </w:rPr>
            </w:pPr>
            <w:r>
              <w:rPr>
                <w:b/>
                <w:szCs w:val="20"/>
              </w:rPr>
              <w:t>LINC 4</w:t>
            </w:r>
          </w:p>
        </w:tc>
        <w:tc>
          <w:tcPr>
            <w:tcW w:w="762" w:type="pct"/>
            <w:vAlign w:val="center"/>
          </w:tcPr>
          <w:p w14:paraId="2E94EA55" w14:textId="77777777" w:rsidR="009E4D4A" w:rsidRPr="00C37A60" w:rsidRDefault="009E4D4A" w:rsidP="00C86F74">
            <w:pPr>
              <w:pStyle w:val="In-tableHeading"/>
              <w:jc w:val="center"/>
              <w:rPr>
                <w:bCs/>
                <w:szCs w:val="20"/>
              </w:rPr>
            </w:pPr>
            <w:r w:rsidRPr="00C37A60">
              <w:rPr>
                <w:bCs/>
                <w:szCs w:val="20"/>
              </w:rPr>
              <w:t xml:space="preserve">Osilodrostat </w:t>
            </w:r>
          </w:p>
          <w:p w14:paraId="21EE9CEB" w14:textId="77777777" w:rsidR="009E4D4A" w:rsidRPr="00C37A60" w:rsidRDefault="009E4D4A" w:rsidP="00C86F74">
            <w:pPr>
              <w:pStyle w:val="TableText0"/>
              <w:jc w:val="center"/>
              <w:rPr>
                <w:rFonts w:cstheme="minorHAnsi"/>
                <w:b/>
                <w:szCs w:val="20"/>
              </w:rPr>
            </w:pPr>
            <w:r w:rsidRPr="00C37A60">
              <w:rPr>
                <w:b/>
                <w:szCs w:val="20"/>
              </w:rPr>
              <w:t>(N=</w:t>
            </w:r>
            <w:r>
              <w:rPr>
                <w:b/>
                <w:szCs w:val="20"/>
              </w:rPr>
              <w:t>48</w:t>
            </w:r>
            <w:r w:rsidRPr="00C37A60">
              <w:rPr>
                <w:b/>
                <w:szCs w:val="20"/>
              </w:rPr>
              <w:t>)</w:t>
            </w:r>
          </w:p>
        </w:tc>
        <w:tc>
          <w:tcPr>
            <w:tcW w:w="673" w:type="pct"/>
            <w:vAlign w:val="center"/>
          </w:tcPr>
          <w:p w14:paraId="5A069546" w14:textId="77777777" w:rsidR="009E4D4A" w:rsidRPr="00C37A60" w:rsidRDefault="009E4D4A" w:rsidP="00C86F74">
            <w:pPr>
              <w:pStyle w:val="In-tableHeading"/>
              <w:jc w:val="center"/>
              <w:rPr>
                <w:bCs/>
                <w:szCs w:val="20"/>
              </w:rPr>
            </w:pPr>
            <w:r w:rsidRPr="00C37A60">
              <w:rPr>
                <w:bCs/>
                <w:szCs w:val="20"/>
              </w:rPr>
              <w:t>Placebo</w:t>
            </w:r>
          </w:p>
          <w:p w14:paraId="49997738" w14:textId="77777777" w:rsidR="009E4D4A" w:rsidRPr="00C37A60" w:rsidRDefault="009E4D4A" w:rsidP="00C86F74">
            <w:pPr>
              <w:keepNext/>
              <w:jc w:val="center"/>
              <w:rPr>
                <w:rFonts w:ascii="Arial Narrow" w:hAnsi="Arial Narrow" w:cstheme="minorHAnsi"/>
                <w:b/>
                <w:bCs/>
                <w:sz w:val="20"/>
                <w:szCs w:val="20"/>
              </w:rPr>
            </w:pPr>
            <w:r w:rsidRPr="00C37A60">
              <w:rPr>
                <w:rFonts w:ascii="Arial Narrow" w:hAnsi="Arial Narrow"/>
                <w:b/>
                <w:bCs/>
                <w:sz w:val="20"/>
                <w:szCs w:val="20"/>
              </w:rPr>
              <w:t>(N=</w:t>
            </w:r>
            <w:r>
              <w:rPr>
                <w:rFonts w:ascii="Arial Narrow" w:hAnsi="Arial Narrow"/>
                <w:b/>
                <w:bCs/>
                <w:sz w:val="20"/>
                <w:szCs w:val="20"/>
              </w:rPr>
              <w:t>2</w:t>
            </w:r>
            <w:r w:rsidRPr="00C37A60">
              <w:rPr>
                <w:rFonts w:ascii="Arial Narrow" w:hAnsi="Arial Narrow"/>
                <w:b/>
                <w:bCs/>
                <w:sz w:val="20"/>
                <w:szCs w:val="20"/>
              </w:rPr>
              <w:t>5)</w:t>
            </w:r>
          </w:p>
        </w:tc>
        <w:tc>
          <w:tcPr>
            <w:tcW w:w="787" w:type="pct"/>
            <w:vAlign w:val="center"/>
          </w:tcPr>
          <w:p w14:paraId="1F7F828D" w14:textId="77777777" w:rsidR="009E4D4A" w:rsidRPr="00C37A60" w:rsidRDefault="009E4D4A" w:rsidP="00C86F74">
            <w:pPr>
              <w:pStyle w:val="In-tableHeading"/>
              <w:jc w:val="center"/>
              <w:rPr>
                <w:bCs/>
                <w:szCs w:val="20"/>
              </w:rPr>
            </w:pPr>
            <w:r w:rsidRPr="00C37A60">
              <w:rPr>
                <w:bCs/>
                <w:szCs w:val="20"/>
              </w:rPr>
              <w:t xml:space="preserve">RD </w:t>
            </w:r>
          </w:p>
          <w:p w14:paraId="79C02194" w14:textId="77777777" w:rsidR="009E4D4A" w:rsidRPr="00C37A60" w:rsidRDefault="009E4D4A" w:rsidP="00C86F74">
            <w:pPr>
              <w:keepNext/>
              <w:jc w:val="center"/>
              <w:rPr>
                <w:rFonts w:ascii="Arial Narrow" w:hAnsi="Arial Narrow" w:cstheme="minorHAnsi"/>
                <w:b/>
                <w:bCs/>
                <w:sz w:val="20"/>
                <w:szCs w:val="20"/>
              </w:rPr>
            </w:pPr>
            <w:r w:rsidRPr="00C37A60">
              <w:rPr>
                <w:rFonts w:ascii="Arial Narrow" w:hAnsi="Arial Narrow"/>
                <w:b/>
                <w:bCs/>
                <w:sz w:val="20"/>
                <w:szCs w:val="20"/>
              </w:rPr>
              <w:t>(95% CI)</w:t>
            </w:r>
          </w:p>
        </w:tc>
        <w:tc>
          <w:tcPr>
            <w:tcW w:w="828" w:type="pct"/>
            <w:vAlign w:val="center"/>
          </w:tcPr>
          <w:p w14:paraId="5AD51A1C" w14:textId="77777777" w:rsidR="009E4D4A" w:rsidRPr="00C37A60" w:rsidRDefault="009E4D4A" w:rsidP="00C86F74">
            <w:pPr>
              <w:pStyle w:val="In-tableHeading"/>
              <w:jc w:val="center"/>
              <w:rPr>
                <w:bCs/>
                <w:szCs w:val="20"/>
              </w:rPr>
            </w:pPr>
            <w:r w:rsidRPr="00C37A60">
              <w:rPr>
                <w:bCs/>
                <w:szCs w:val="20"/>
              </w:rPr>
              <w:t xml:space="preserve">RR </w:t>
            </w:r>
          </w:p>
          <w:p w14:paraId="3C577B04" w14:textId="77777777" w:rsidR="009E4D4A" w:rsidRPr="00C37A60" w:rsidRDefault="009E4D4A" w:rsidP="00C86F74">
            <w:pPr>
              <w:keepNext/>
              <w:jc w:val="center"/>
              <w:rPr>
                <w:rFonts w:ascii="Arial Narrow" w:hAnsi="Arial Narrow" w:cstheme="minorHAnsi"/>
                <w:b/>
                <w:bCs/>
                <w:sz w:val="20"/>
                <w:szCs w:val="20"/>
              </w:rPr>
            </w:pPr>
            <w:r w:rsidRPr="00C37A60">
              <w:rPr>
                <w:rFonts w:ascii="Arial Narrow" w:hAnsi="Arial Narrow"/>
                <w:b/>
                <w:bCs/>
                <w:sz w:val="20"/>
                <w:szCs w:val="20"/>
              </w:rPr>
              <w:t>(95% CI)</w:t>
            </w:r>
          </w:p>
        </w:tc>
        <w:tc>
          <w:tcPr>
            <w:tcW w:w="857" w:type="pct"/>
            <w:vAlign w:val="center"/>
          </w:tcPr>
          <w:p w14:paraId="03170FF0" w14:textId="77777777" w:rsidR="009E4D4A" w:rsidRPr="00C37A60" w:rsidRDefault="009E4D4A" w:rsidP="00C86F74">
            <w:pPr>
              <w:pStyle w:val="In-tableHeading"/>
              <w:jc w:val="center"/>
              <w:rPr>
                <w:bCs/>
                <w:szCs w:val="20"/>
              </w:rPr>
            </w:pPr>
            <w:r w:rsidRPr="00C37A60">
              <w:rPr>
                <w:bCs/>
                <w:szCs w:val="20"/>
              </w:rPr>
              <w:t xml:space="preserve">OR </w:t>
            </w:r>
          </w:p>
          <w:p w14:paraId="26CB289B" w14:textId="77777777" w:rsidR="009E4D4A" w:rsidRPr="00C37A60" w:rsidRDefault="009E4D4A" w:rsidP="00C86F74">
            <w:pPr>
              <w:keepNext/>
              <w:jc w:val="center"/>
              <w:rPr>
                <w:rFonts w:ascii="Arial Narrow" w:hAnsi="Arial Narrow" w:cstheme="minorHAnsi"/>
                <w:b/>
                <w:bCs/>
                <w:sz w:val="20"/>
                <w:szCs w:val="20"/>
              </w:rPr>
            </w:pPr>
            <w:r w:rsidRPr="00C37A60">
              <w:rPr>
                <w:rFonts w:ascii="Arial Narrow" w:hAnsi="Arial Narrow"/>
                <w:b/>
                <w:bCs/>
                <w:sz w:val="20"/>
                <w:szCs w:val="20"/>
              </w:rPr>
              <w:t>(95% CI)</w:t>
            </w:r>
          </w:p>
        </w:tc>
      </w:tr>
      <w:tr w:rsidR="009E4D4A" w:rsidRPr="006975B7" w14:paraId="19C75A3E" w14:textId="77777777" w:rsidTr="0014302F">
        <w:trPr>
          <w:trHeight w:val="293"/>
        </w:trPr>
        <w:tc>
          <w:tcPr>
            <w:tcW w:w="1093" w:type="pct"/>
            <w:vAlign w:val="center"/>
          </w:tcPr>
          <w:p w14:paraId="1833D465" w14:textId="77777777" w:rsidR="009E4D4A" w:rsidRPr="002E6EC5"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Any AE</w:t>
            </w:r>
          </w:p>
        </w:tc>
        <w:tc>
          <w:tcPr>
            <w:tcW w:w="762" w:type="pct"/>
            <w:vAlign w:val="center"/>
          </w:tcPr>
          <w:p w14:paraId="1767D5D3" w14:textId="77777777" w:rsidR="009E4D4A" w:rsidRPr="006975B7" w:rsidRDefault="009E4D4A" w:rsidP="00C86F74">
            <w:pPr>
              <w:pStyle w:val="TableText0"/>
              <w:jc w:val="center"/>
              <w:rPr>
                <w:bCs w:val="0"/>
                <w:szCs w:val="20"/>
              </w:rPr>
            </w:pPr>
            <w:r w:rsidRPr="006975B7">
              <w:rPr>
                <w:rFonts w:cstheme="minorHAnsi"/>
                <w:bCs w:val="0"/>
                <w:szCs w:val="20"/>
              </w:rPr>
              <w:t>46 (95.8</w:t>
            </w:r>
            <w:r>
              <w:rPr>
                <w:rFonts w:cstheme="minorHAnsi"/>
                <w:bCs w:val="0"/>
                <w:szCs w:val="20"/>
              </w:rPr>
              <w:t>%</w:t>
            </w:r>
            <w:r w:rsidRPr="006975B7">
              <w:rPr>
                <w:rFonts w:cstheme="minorHAnsi"/>
                <w:bCs w:val="0"/>
                <w:szCs w:val="20"/>
              </w:rPr>
              <w:t xml:space="preserve">) </w:t>
            </w:r>
          </w:p>
        </w:tc>
        <w:tc>
          <w:tcPr>
            <w:tcW w:w="673" w:type="pct"/>
            <w:vAlign w:val="center"/>
          </w:tcPr>
          <w:p w14:paraId="0582BCCC"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23 (92.0</w:t>
            </w:r>
            <w:r>
              <w:rPr>
                <w:rFonts w:cstheme="minorHAnsi"/>
                <w:bCs/>
                <w:szCs w:val="20"/>
              </w:rPr>
              <w:t>%</w:t>
            </w:r>
            <w:r w:rsidRPr="006975B7">
              <w:rPr>
                <w:rFonts w:ascii="Arial Narrow" w:hAnsi="Arial Narrow" w:cstheme="minorHAnsi"/>
                <w:sz w:val="20"/>
                <w:szCs w:val="20"/>
              </w:rPr>
              <w:t>)</w:t>
            </w:r>
          </w:p>
        </w:tc>
        <w:tc>
          <w:tcPr>
            <w:tcW w:w="787" w:type="pct"/>
            <w:vAlign w:val="center"/>
          </w:tcPr>
          <w:p w14:paraId="039199FB"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0.04 (</w:t>
            </w:r>
            <w:r w:rsidRPr="006975B7">
              <w:rPr>
                <w:rFonts w:ascii="Arial Narrow" w:hAnsi="Arial Narrow" w:cstheme="minorHAnsi"/>
                <w:sz w:val="20"/>
                <w:szCs w:val="20"/>
              </w:rPr>
              <w:noBreakHyphen/>
              <w:t>0.08</w:t>
            </w:r>
            <w:r>
              <w:rPr>
                <w:rFonts w:ascii="Arial Narrow" w:hAnsi="Arial Narrow" w:cstheme="minorHAnsi"/>
                <w:sz w:val="20"/>
                <w:szCs w:val="20"/>
              </w:rPr>
              <w:t>,</w:t>
            </w:r>
            <w:r w:rsidRPr="006975B7">
              <w:rPr>
                <w:rFonts w:ascii="Arial Narrow" w:hAnsi="Arial Narrow" w:cstheme="minorHAnsi"/>
                <w:sz w:val="20"/>
                <w:szCs w:val="20"/>
              </w:rPr>
              <w:t xml:space="preserve"> 0.16)</w:t>
            </w:r>
          </w:p>
        </w:tc>
        <w:tc>
          <w:tcPr>
            <w:tcW w:w="828" w:type="pct"/>
            <w:vAlign w:val="center"/>
          </w:tcPr>
          <w:p w14:paraId="03CCEAAF"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1.04 (0.91</w:t>
            </w:r>
            <w:r>
              <w:rPr>
                <w:rFonts w:ascii="Arial Narrow" w:hAnsi="Arial Narrow" w:cstheme="minorHAnsi"/>
                <w:sz w:val="20"/>
                <w:szCs w:val="20"/>
              </w:rPr>
              <w:t>,</w:t>
            </w:r>
            <w:r w:rsidRPr="006975B7">
              <w:rPr>
                <w:rFonts w:ascii="Arial Narrow" w:hAnsi="Arial Narrow" w:cstheme="minorHAnsi"/>
                <w:sz w:val="20"/>
                <w:szCs w:val="20"/>
              </w:rPr>
              <w:t xml:space="preserve"> 1.19)</w:t>
            </w:r>
          </w:p>
        </w:tc>
        <w:tc>
          <w:tcPr>
            <w:tcW w:w="857" w:type="pct"/>
            <w:vAlign w:val="center"/>
          </w:tcPr>
          <w:p w14:paraId="6753ED66"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2.00 (0.26</w:t>
            </w:r>
            <w:r>
              <w:rPr>
                <w:rFonts w:ascii="Arial Narrow" w:hAnsi="Arial Narrow" w:cstheme="minorHAnsi"/>
                <w:sz w:val="20"/>
                <w:szCs w:val="20"/>
              </w:rPr>
              <w:t>,</w:t>
            </w:r>
            <w:r w:rsidRPr="006975B7">
              <w:rPr>
                <w:rFonts w:ascii="Arial Narrow" w:hAnsi="Arial Narrow" w:cstheme="minorHAnsi"/>
                <w:sz w:val="20"/>
                <w:szCs w:val="20"/>
              </w:rPr>
              <w:t xml:space="preserve"> 15.12)</w:t>
            </w:r>
          </w:p>
        </w:tc>
      </w:tr>
      <w:tr w:rsidR="009E4D4A" w:rsidRPr="006975B7" w14:paraId="52105432" w14:textId="77777777" w:rsidTr="001F545B">
        <w:tc>
          <w:tcPr>
            <w:tcW w:w="1093" w:type="pct"/>
            <w:vAlign w:val="center"/>
          </w:tcPr>
          <w:p w14:paraId="0FDDBD7D" w14:textId="77777777" w:rsidR="009E4D4A"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Treatment</w:t>
            </w:r>
            <w:r w:rsidRPr="00086C2E">
              <w:rPr>
                <w:rFonts w:cstheme="minorHAnsi"/>
                <w:bCs w:val="0"/>
                <w:szCs w:val="20"/>
              </w:rPr>
              <w:noBreakHyphen/>
              <w:t>related AE</w:t>
            </w:r>
          </w:p>
        </w:tc>
        <w:tc>
          <w:tcPr>
            <w:tcW w:w="762" w:type="pct"/>
            <w:vAlign w:val="center"/>
          </w:tcPr>
          <w:p w14:paraId="48BB2A65"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30 (62.5</w:t>
            </w:r>
            <w:r>
              <w:rPr>
                <w:rFonts w:cstheme="minorHAnsi"/>
                <w:bCs w:val="0"/>
                <w:szCs w:val="20"/>
              </w:rPr>
              <w:t>%</w:t>
            </w:r>
            <w:r w:rsidRPr="006975B7">
              <w:rPr>
                <w:rFonts w:cstheme="minorHAnsi"/>
                <w:bCs w:val="0"/>
                <w:szCs w:val="20"/>
              </w:rPr>
              <w:t xml:space="preserve">) </w:t>
            </w:r>
          </w:p>
        </w:tc>
        <w:tc>
          <w:tcPr>
            <w:tcW w:w="673" w:type="pct"/>
            <w:vAlign w:val="center"/>
          </w:tcPr>
          <w:p w14:paraId="4F563131"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11 (44.0</w:t>
            </w:r>
            <w:r>
              <w:rPr>
                <w:rFonts w:cstheme="minorHAnsi"/>
                <w:bCs/>
                <w:szCs w:val="20"/>
              </w:rPr>
              <w:t>%</w:t>
            </w:r>
            <w:r w:rsidRPr="006975B7">
              <w:rPr>
                <w:rFonts w:ascii="Arial Narrow" w:hAnsi="Arial Narrow" w:cstheme="minorHAnsi"/>
                <w:sz w:val="20"/>
                <w:szCs w:val="20"/>
              </w:rPr>
              <w:t>)</w:t>
            </w:r>
          </w:p>
        </w:tc>
        <w:tc>
          <w:tcPr>
            <w:tcW w:w="787" w:type="pct"/>
            <w:vAlign w:val="center"/>
          </w:tcPr>
          <w:p w14:paraId="38AA1019"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0.18 (</w:t>
            </w:r>
            <w:r w:rsidRPr="006975B7">
              <w:rPr>
                <w:rFonts w:ascii="Arial Narrow" w:hAnsi="Arial Narrow" w:cstheme="minorHAnsi"/>
                <w:sz w:val="20"/>
                <w:szCs w:val="20"/>
              </w:rPr>
              <w:noBreakHyphen/>
              <w:t>0.05</w:t>
            </w:r>
            <w:r>
              <w:rPr>
                <w:rFonts w:ascii="Arial Narrow" w:hAnsi="Arial Narrow" w:cstheme="minorHAnsi"/>
                <w:sz w:val="20"/>
                <w:szCs w:val="20"/>
              </w:rPr>
              <w:t>,</w:t>
            </w:r>
            <w:r w:rsidRPr="006975B7">
              <w:rPr>
                <w:rFonts w:ascii="Arial Narrow" w:hAnsi="Arial Narrow" w:cstheme="minorHAnsi"/>
                <w:sz w:val="20"/>
                <w:szCs w:val="20"/>
              </w:rPr>
              <w:t xml:space="preserve"> 0.42)</w:t>
            </w:r>
          </w:p>
        </w:tc>
        <w:tc>
          <w:tcPr>
            <w:tcW w:w="828" w:type="pct"/>
            <w:vAlign w:val="center"/>
          </w:tcPr>
          <w:p w14:paraId="6F386D1D"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1.42 (0.87</w:t>
            </w:r>
            <w:r>
              <w:rPr>
                <w:rFonts w:ascii="Arial Narrow" w:hAnsi="Arial Narrow" w:cstheme="minorHAnsi"/>
                <w:sz w:val="20"/>
                <w:szCs w:val="20"/>
              </w:rPr>
              <w:t>,</w:t>
            </w:r>
            <w:r w:rsidRPr="006975B7">
              <w:rPr>
                <w:rFonts w:ascii="Arial Narrow" w:hAnsi="Arial Narrow" w:cstheme="minorHAnsi"/>
                <w:sz w:val="20"/>
                <w:szCs w:val="20"/>
              </w:rPr>
              <w:t xml:space="preserve"> 2.33)</w:t>
            </w:r>
          </w:p>
        </w:tc>
        <w:tc>
          <w:tcPr>
            <w:tcW w:w="857" w:type="pct"/>
            <w:vAlign w:val="center"/>
          </w:tcPr>
          <w:p w14:paraId="62BEF02A"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2.12 (0.79</w:t>
            </w:r>
            <w:r>
              <w:rPr>
                <w:rFonts w:ascii="Arial Narrow" w:hAnsi="Arial Narrow" w:cstheme="minorHAnsi"/>
                <w:sz w:val="20"/>
                <w:szCs w:val="20"/>
              </w:rPr>
              <w:t>,</w:t>
            </w:r>
            <w:r w:rsidRPr="006975B7">
              <w:rPr>
                <w:rFonts w:ascii="Arial Narrow" w:hAnsi="Arial Narrow" w:cstheme="minorHAnsi"/>
                <w:sz w:val="20"/>
                <w:szCs w:val="20"/>
              </w:rPr>
              <w:t xml:space="preserve"> 5.67)</w:t>
            </w:r>
          </w:p>
        </w:tc>
      </w:tr>
      <w:tr w:rsidR="009E4D4A" w:rsidRPr="006975B7" w14:paraId="284DC462" w14:textId="77777777" w:rsidTr="001F545B">
        <w:tc>
          <w:tcPr>
            <w:tcW w:w="1093" w:type="pct"/>
            <w:vAlign w:val="center"/>
          </w:tcPr>
          <w:p w14:paraId="577AF34E" w14:textId="77777777" w:rsidR="009E4D4A" w:rsidRPr="00086C2E" w:rsidRDefault="009E4D4A" w:rsidP="00C86F74">
            <w:pPr>
              <w:pStyle w:val="TableText0"/>
              <w:tabs>
                <w:tab w:val="left" w:pos="102"/>
              </w:tabs>
              <w:rPr>
                <w:rFonts w:cstheme="minorHAnsi"/>
                <w:bCs w:val="0"/>
                <w:szCs w:val="20"/>
              </w:rPr>
            </w:pPr>
            <w:r>
              <w:rPr>
                <w:rFonts w:cstheme="minorHAnsi"/>
                <w:bCs w:val="0"/>
                <w:szCs w:val="20"/>
              </w:rPr>
              <w:tab/>
              <w:t xml:space="preserve">Treatment-related Grade </w:t>
            </w:r>
            <w:r>
              <w:rPr>
                <w:rFonts w:cstheme="minorHAnsi"/>
                <w:bCs w:val="0"/>
                <w:szCs w:val="20"/>
              </w:rPr>
              <w:tab/>
              <w:t>≥3 AE</w:t>
            </w:r>
          </w:p>
        </w:tc>
        <w:tc>
          <w:tcPr>
            <w:tcW w:w="762" w:type="pct"/>
            <w:vAlign w:val="center"/>
          </w:tcPr>
          <w:p w14:paraId="22D4DBD1"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4 (8.3</w:t>
            </w:r>
            <w:r>
              <w:rPr>
                <w:rFonts w:cstheme="minorHAnsi"/>
                <w:bCs w:val="0"/>
                <w:szCs w:val="20"/>
              </w:rPr>
              <w:t>%</w:t>
            </w:r>
            <w:r w:rsidRPr="006975B7">
              <w:rPr>
                <w:rFonts w:cstheme="minorHAnsi"/>
                <w:bCs w:val="0"/>
                <w:szCs w:val="20"/>
              </w:rPr>
              <w:t>)</w:t>
            </w:r>
          </w:p>
        </w:tc>
        <w:tc>
          <w:tcPr>
            <w:tcW w:w="673" w:type="pct"/>
            <w:vAlign w:val="center"/>
          </w:tcPr>
          <w:p w14:paraId="5B01AAA7"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1 (4.0</w:t>
            </w:r>
            <w:r>
              <w:rPr>
                <w:rFonts w:cstheme="minorHAnsi"/>
                <w:bCs/>
                <w:szCs w:val="20"/>
              </w:rPr>
              <w:t>%</w:t>
            </w:r>
            <w:r w:rsidRPr="006975B7">
              <w:rPr>
                <w:rFonts w:ascii="Arial Narrow" w:hAnsi="Arial Narrow" w:cstheme="minorHAnsi"/>
                <w:sz w:val="20"/>
                <w:szCs w:val="20"/>
              </w:rPr>
              <w:t>)</w:t>
            </w:r>
          </w:p>
        </w:tc>
        <w:tc>
          <w:tcPr>
            <w:tcW w:w="787" w:type="pct"/>
            <w:vAlign w:val="center"/>
          </w:tcPr>
          <w:p w14:paraId="69FCBEAE"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0.04 (</w:t>
            </w:r>
            <w:r w:rsidRPr="006975B7">
              <w:rPr>
                <w:rFonts w:ascii="Arial Narrow" w:hAnsi="Arial Narrow" w:cstheme="minorHAnsi"/>
                <w:sz w:val="20"/>
                <w:szCs w:val="20"/>
              </w:rPr>
              <w:noBreakHyphen/>
              <w:t>0.07</w:t>
            </w:r>
            <w:r>
              <w:rPr>
                <w:rFonts w:ascii="Arial Narrow" w:hAnsi="Arial Narrow" w:cstheme="minorHAnsi"/>
                <w:sz w:val="20"/>
                <w:szCs w:val="20"/>
              </w:rPr>
              <w:t>,</w:t>
            </w:r>
            <w:r w:rsidRPr="006975B7">
              <w:rPr>
                <w:rFonts w:ascii="Arial Narrow" w:hAnsi="Arial Narrow" w:cstheme="minorHAnsi"/>
                <w:sz w:val="20"/>
                <w:szCs w:val="20"/>
              </w:rPr>
              <w:t xml:space="preserve"> 0.15)</w:t>
            </w:r>
          </w:p>
        </w:tc>
        <w:tc>
          <w:tcPr>
            <w:tcW w:w="828" w:type="pct"/>
            <w:vAlign w:val="center"/>
          </w:tcPr>
          <w:p w14:paraId="202BF646"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2.08 (0.25</w:t>
            </w:r>
            <w:r>
              <w:rPr>
                <w:rFonts w:ascii="Arial Narrow" w:hAnsi="Arial Narrow" w:cstheme="minorHAnsi"/>
                <w:sz w:val="20"/>
                <w:szCs w:val="20"/>
              </w:rPr>
              <w:t>,</w:t>
            </w:r>
            <w:r w:rsidRPr="006975B7">
              <w:rPr>
                <w:rFonts w:ascii="Arial Narrow" w:hAnsi="Arial Narrow" w:cstheme="minorHAnsi"/>
                <w:sz w:val="20"/>
                <w:szCs w:val="20"/>
              </w:rPr>
              <w:t xml:space="preserve"> 17.66)</w:t>
            </w:r>
          </w:p>
        </w:tc>
        <w:tc>
          <w:tcPr>
            <w:tcW w:w="857" w:type="pct"/>
            <w:vAlign w:val="center"/>
          </w:tcPr>
          <w:p w14:paraId="5193A5D5"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2.18 (0.23, 20.64)</w:t>
            </w:r>
          </w:p>
        </w:tc>
      </w:tr>
      <w:tr w:rsidR="009E4D4A" w:rsidRPr="006975B7" w14:paraId="221E1278" w14:textId="77777777" w:rsidTr="001F545B">
        <w:tc>
          <w:tcPr>
            <w:tcW w:w="1093" w:type="pct"/>
            <w:vAlign w:val="center"/>
          </w:tcPr>
          <w:p w14:paraId="4A739B93" w14:textId="77777777" w:rsidR="009E4D4A"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Treatment</w:t>
            </w:r>
            <w:r w:rsidRPr="00086C2E">
              <w:rPr>
                <w:rFonts w:cstheme="minorHAnsi"/>
                <w:bCs w:val="0"/>
                <w:szCs w:val="20"/>
              </w:rPr>
              <w:noBreakHyphen/>
              <w:t>related SAE</w:t>
            </w:r>
          </w:p>
        </w:tc>
        <w:tc>
          <w:tcPr>
            <w:tcW w:w="762" w:type="pct"/>
            <w:vAlign w:val="center"/>
          </w:tcPr>
          <w:p w14:paraId="5024242D"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0</w:t>
            </w:r>
            <w:r w:rsidRPr="0073572E">
              <w:rPr>
                <w:rFonts w:cstheme="minorHAnsi"/>
                <w:bCs w:val="0"/>
                <w:szCs w:val="20"/>
                <w:vertAlign w:val="superscript"/>
              </w:rPr>
              <w:t>a</w:t>
            </w:r>
          </w:p>
        </w:tc>
        <w:tc>
          <w:tcPr>
            <w:tcW w:w="673" w:type="pct"/>
            <w:vAlign w:val="center"/>
          </w:tcPr>
          <w:p w14:paraId="158CC105"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53D59B28"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0.00 (</w:t>
            </w:r>
            <w:r w:rsidRPr="006975B7">
              <w:rPr>
                <w:rFonts w:ascii="Arial Narrow" w:hAnsi="Arial Narrow" w:cstheme="minorHAnsi"/>
                <w:sz w:val="20"/>
                <w:szCs w:val="20"/>
              </w:rPr>
              <w:noBreakHyphen/>
              <w:t>0.06</w:t>
            </w:r>
            <w:r>
              <w:rPr>
                <w:rFonts w:ascii="Arial Narrow" w:hAnsi="Arial Narrow" w:cstheme="minorHAnsi"/>
                <w:sz w:val="20"/>
                <w:szCs w:val="20"/>
              </w:rPr>
              <w:t>,</w:t>
            </w:r>
            <w:r w:rsidRPr="006975B7">
              <w:rPr>
                <w:rFonts w:ascii="Arial Narrow" w:hAnsi="Arial Narrow" w:cstheme="minorHAnsi"/>
                <w:sz w:val="20"/>
                <w:szCs w:val="20"/>
              </w:rPr>
              <w:t xml:space="preserve"> 0.06)</w:t>
            </w:r>
          </w:p>
        </w:tc>
        <w:tc>
          <w:tcPr>
            <w:tcW w:w="828" w:type="pct"/>
            <w:vAlign w:val="center"/>
          </w:tcPr>
          <w:p w14:paraId="44AE2C2A"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c>
          <w:tcPr>
            <w:tcW w:w="857" w:type="pct"/>
            <w:vAlign w:val="center"/>
          </w:tcPr>
          <w:p w14:paraId="68E130E8"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r>
      <w:tr w:rsidR="009E4D4A" w:rsidRPr="006975B7" w14:paraId="7EBD3C0F" w14:textId="77777777" w:rsidTr="001F545B">
        <w:tc>
          <w:tcPr>
            <w:tcW w:w="1093" w:type="pct"/>
            <w:vAlign w:val="center"/>
          </w:tcPr>
          <w:p w14:paraId="76B7456E" w14:textId="77777777" w:rsidR="009E4D4A" w:rsidRPr="005D2719" w:rsidRDefault="009E4D4A" w:rsidP="00C86F74">
            <w:pPr>
              <w:pStyle w:val="TableText0"/>
              <w:tabs>
                <w:tab w:val="left" w:pos="102"/>
              </w:tabs>
              <w:rPr>
                <w:rFonts w:cstheme="minorHAnsi"/>
                <w:bCs w:val="0"/>
                <w:sz w:val="19"/>
                <w:szCs w:val="19"/>
              </w:rPr>
            </w:pPr>
            <w:r>
              <w:rPr>
                <w:rFonts w:cstheme="minorHAnsi"/>
                <w:bCs w:val="0"/>
                <w:szCs w:val="20"/>
              </w:rPr>
              <w:tab/>
            </w:r>
            <w:r w:rsidRPr="005D2719">
              <w:rPr>
                <w:rFonts w:cstheme="minorHAnsi"/>
                <w:bCs w:val="0"/>
                <w:sz w:val="19"/>
                <w:szCs w:val="19"/>
              </w:rPr>
              <w:t>Treatment</w:t>
            </w:r>
            <w:r w:rsidRPr="005D2719">
              <w:rPr>
                <w:rFonts w:cstheme="minorHAnsi"/>
                <w:bCs w:val="0"/>
                <w:sz w:val="19"/>
                <w:szCs w:val="19"/>
              </w:rPr>
              <w:noBreakHyphen/>
              <w:t xml:space="preserve">related </w:t>
            </w:r>
            <w:r w:rsidRPr="005D2719">
              <w:rPr>
                <w:rFonts w:cstheme="minorHAnsi"/>
                <w:bCs w:val="0"/>
                <w:sz w:val="19"/>
                <w:szCs w:val="19"/>
              </w:rPr>
              <w:tab/>
              <w:t>discontinuation due to AE</w:t>
            </w:r>
          </w:p>
        </w:tc>
        <w:tc>
          <w:tcPr>
            <w:tcW w:w="762" w:type="pct"/>
            <w:vAlign w:val="center"/>
          </w:tcPr>
          <w:p w14:paraId="6FEF83DF"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1 (2.1</w:t>
            </w:r>
            <w:r>
              <w:rPr>
                <w:rFonts w:cstheme="minorHAnsi"/>
                <w:bCs w:val="0"/>
                <w:szCs w:val="20"/>
              </w:rPr>
              <w:t>%</w:t>
            </w:r>
            <w:r w:rsidRPr="006975B7">
              <w:rPr>
                <w:rFonts w:cstheme="minorHAnsi"/>
                <w:bCs w:val="0"/>
                <w:szCs w:val="20"/>
              </w:rPr>
              <w:t xml:space="preserve">) </w:t>
            </w:r>
          </w:p>
        </w:tc>
        <w:tc>
          <w:tcPr>
            <w:tcW w:w="673" w:type="pct"/>
            <w:vAlign w:val="center"/>
          </w:tcPr>
          <w:p w14:paraId="52A2E60A"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p>
        </w:tc>
        <w:tc>
          <w:tcPr>
            <w:tcW w:w="787" w:type="pct"/>
            <w:vAlign w:val="center"/>
          </w:tcPr>
          <w:p w14:paraId="4E5FFA5A"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0.02 (</w:t>
            </w:r>
            <w:r w:rsidRPr="006975B7">
              <w:rPr>
                <w:rFonts w:ascii="Arial Narrow" w:hAnsi="Arial Narrow" w:cstheme="minorHAnsi"/>
                <w:sz w:val="20"/>
                <w:szCs w:val="20"/>
              </w:rPr>
              <w:noBreakHyphen/>
              <w:t>0.05</w:t>
            </w:r>
            <w:r>
              <w:rPr>
                <w:rFonts w:ascii="Arial Narrow" w:hAnsi="Arial Narrow" w:cstheme="minorHAnsi"/>
                <w:sz w:val="20"/>
                <w:szCs w:val="20"/>
              </w:rPr>
              <w:t>,</w:t>
            </w:r>
            <w:r w:rsidRPr="006975B7">
              <w:rPr>
                <w:rFonts w:ascii="Arial Narrow" w:hAnsi="Arial Narrow" w:cstheme="minorHAnsi"/>
                <w:sz w:val="20"/>
                <w:szCs w:val="20"/>
              </w:rPr>
              <w:t xml:space="preserve"> 0.09)</w:t>
            </w:r>
          </w:p>
        </w:tc>
        <w:tc>
          <w:tcPr>
            <w:tcW w:w="828" w:type="pct"/>
            <w:vAlign w:val="center"/>
          </w:tcPr>
          <w:p w14:paraId="53143E0A"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1.58</w:t>
            </w:r>
            <w:r>
              <w:rPr>
                <w:rFonts w:ascii="Arial Narrow" w:hAnsi="Arial Narrow" w:cstheme="minorHAnsi"/>
                <w:sz w:val="20"/>
                <w:szCs w:val="20"/>
              </w:rPr>
              <w:t xml:space="preserve"> </w:t>
            </w:r>
            <w:r w:rsidRPr="006975B7">
              <w:rPr>
                <w:rFonts w:ascii="Arial Narrow" w:hAnsi="Arial Narrow" w:cstheme="minorHAnsi"/>
                <w:sz w:val="20"/>
                <w:szCs w:val="20"/>
              </w:rPr>
              <w:t>(0.07</w:t>
            </w:r>
            <w:r>
              <w:rPr>
                <w:rFonts w:ascii="Arial Narrow" w:hAnsi="Arial Narrow" w:cstheme="minorHAnsi"/>
                <w:sz w:val="20"/>
                <w:szCs w:val="20"/>
              </w:rPr>
              <w:t>,</w:t>
            </w:r>
            <w:r w:rsidRPr="006975B7">
              <w:rPr>
                <w:rFonts w:ascii="Arial Narrow" w:hAnsi="Arial Narrow" w:cstheme="minorHAnsi"/>
                <w:sz w:val="20"/>
                <w:szCs w:val="20"/>
              </w:rPr>
              <w:t xml:space="preserve"> 37.35)</w:t>
            </w:r>
          </w:p>
        </w:tc>
        <w:tc>
          <w:tcPr>
            <w:tcW w:w="857" w:type="pct"/>
            <w:vAlign w:val="center"/>
          </w:tcPr>
          <w:p w14:paraId="4A9CDC53"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1.61 (0.06</w:t>
            </w:r>
            <w:r>
              <w:rPr>
                <w:rFonts w:ascii="Arial Narrow" w:hAnsi="Arial Narrow" w:cstheme="minorHAnsi"/>
                <w:sz w:val="20"/>
                <w:szCs w:val="20"/>
              </w:rPr>
              <w:t>,</w:t>
            </w:r>
            <w:r w:rsidRPr="006975B7">
              <w:rPr>
                <w:rFonts w:ascii="Arial Narrow" w:hAnsi="Arial Narrow" w:cstheme="minorHAnsi"/>
                <w:sz w:val="20"/>
                <w:szCs w:val="20"/>
              </w:rPr>
              <w:t xml:space="preserve"> 40.98)</w:t>
            </w:r>
          </w:p>
        </w:tc>
      </w:tr>
      <w:tr w:rsidR="009E4D4A" w:rsidRPr="006975B7" w14:paraId="587AF6EB" w14:textId="77777777" w:rsidTr="001F545B">
        <w:tc>
          <w:tcPr>
            <w:tcW w:w="1093" w:type="pct"/>
            <w:vAlign w:val="center"/>
          </w:tcPr>
          <w:p w14:paraId="3CB5F878" w14:textId="77777777" w:rsidR="009E4D4A" w:rsidRDefault="009E4D4A" w:rsidP="00C86F74">
            <w:pPr>
              <w:pStyle w:val="TableText0"/>
              <w:tabs>
                <w:tab w:val="left" w:pos="102"/>
              </w:tabs>
              <w:rPr>
                <w:rFonts w:cstheme="minorHAnsi"/>
                <w:bCs w:val="0"/>
                <w:szCs w:val="20"/>
              </w:rPr>
            </w:pPr>
            <w:r>
              <w:rPr>
                <w:rFonts w:cstheme="minorHAnsi"/>
                <w:bCs w:val="0"/>
                <w:szCs w:val="20"/>
              </w:rPr>
              <w:tab/>
              <w:t xml:space="preserve">AEs requiring additional </w:t>
            </w:r>
            <w:r>
              <w:rPr>
                <w:rFonts w:cstheme="minorHAnsi"/>
                <w:bCs w:val="0"/>
                <w:szCs w:val="20"/>
              </w:rPr>
              <w:tab/>
              <w:t>therapy</w:t>
            </w:r>
          </w:p>
        </w:tc>
        <w:tc>
          <w:tcPr>
            <w:tcW w:w="762" w:type="pct"/>
            <w:vAlign w:val="center"/>
          </w:tcPr>
          <w:p w14:paraId="2C09F886" w14:textId="77777777" w:rsidR="009E4D4A" w:rsidRPr="006975B7" w:rsidRDefault="009E4D4A" w:rsidP="00C86F74">
            <w:pPr>
              <w:pStyle w:val="TableText0"/>
              <w:jc w:val="center"/>
              <w:rPr>
                <w:rFonts w:cstheme="minorHAnsi"/>
                <w:bCs w:val="0"/>
                <w:szCs w:val="20"/>
              </w:rPr>
            </w:pPr>
            <w:r w:rsidRPr="006975B7">
              <w:rPr>
                <w:rFonts w:cstheme="minorHAnsi"/>
                <w:bCs w:val="0"/>
                <w:szCs w:val="20"/>
              </w:rPr>
              <w:t>37 (77.1</w:t>
            </w:r>
            <w:r>
              <w:rPr>
                <w:rFonts w:cstheme="minorHAnsi"/>
                <w:bCs w:val="0"/>
                <w:szCs w:val="20"/>
              </w:rPr>
              <w:t>%</w:t>
            </w:r>
            <w:r w:rsidRPr="006975B7">
              <w:rPr>
                <w:rFonts w:cstheme="minorHAnsi"/>
                <w:bCs w:val="0"/>
                <w:szCs w:val="20"/>
              </w:rPr>
              <w:t xml:space="preserve">) </w:t>
            </w:r>
          </w:p>
        </w:tc>
        <w:tc>
          <w:tcPr>
            <w:tcW w:w="673" w:type="pct"/>
            <w:vAlign w:val="center"/>
          </w:tcPr>
          <w:p w14:paraId="158FF9DC"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11 (44.0</w:t>
            </w:r>
            <w:r>
              <w:rPr>
                <w:rFonts w:cstheme="minorHAnsi"/>
                <w:bCs/>
                <w:szCs w:val="20"/>
              </w:rPr>
              <w:t>%</w:t>
            </w:r>
            <w:r w:rsidRPr="006975B7">
              <w:rPr>
                <w:rFonts w:ascii="Arial Narrow" w:hAnsi="Arial Narrow" w:cstheme="minorHAnsi"/>
                <w:sz w:val="20"/>
                <w:szCs w:val="20"/>
              </w:rPr>
              <w:t>)</w:t>
            </w:r>
          </w:p>
        </w:tc>
        <w:tc>
          <w:tcPr>
            <w:tcW w:w="787" w:type="pct"/>
            <w:vAlign w:val="center"/>
          </w:tcPr>
          <w:p w14:paraId="4F7123D8" w14:textId="77777777" w:rsidR="009E4D4A" w:rsidRPr="006975B7" w:rsidRDefault="009E4D4A" w:rsidP="00C86F74">
            <w:pPr>
              <w:keepNext/>
              <w:jc w:val="center"/>
              <w:rPr>
                <w:rFonts w:ascii="Arial Narrow" w:hAnsi="Arial Narrow" w:cstheme="minorHAnsi"/>
                <w:b/>
                <w:bCs/>
                <w:sz w:val="20"/>
                <w:szCs w:val="20"/>
              </w:rPr>
            </w:pPr>
            <w:r w:rsidRPr="006975B7">
              <w:rPr>
                <w:rFonts w:ascii="Arial Narrow" w:hAnsi="Arial Narrow" w:cstheme="minorHAnsi"/>
                <w:b/>
                <w:bCs/>
                <w:sz w:val="20"/>
                <w:szCs w:val="20"/>
              </w:rPr>
              <w:t>0.33 (0.10</w:t>
            </w:r>
            <w:r>
              <w:rPr>
                <w:rFonts w:ascii="Arial Narrow" w:hAnsi="Arial Narrow" w:cstheme="minorHAnsi"/>
                <w:b/>
                <w:bCs/>
                <w:sz w:val="20"/>
                <w:szCs w:val="20"/>
              </w:rPr>
              <w:t>,</w:t>
            </w:r>
            <w:r w:rsidRPr="006975B7">
              <w:rPr>
                <w:rFonts w:ascii="Arial Narrow" w:hAnsi="Arial Narrow" w:cstheme="minorHAnsi"/>
                <w:b/>
                <w:bCs/>
                <w:sz w:val="20"/>
                <w:szCs w:val="20"/>
              </w:rPr>
              <w:t xml:space="preserve"> 0.56)</w:t>
            </w:r>
          </w:p>
        </w:tc>
        <w:tc>
          <w:tcPr>
            <w:tcW w:w="828" w:type="pct"/>
            <w:vAlign w:val="center"/>
          </w:tcPr>
          <w:p w14:paraId="4278F4C7" w14:textId="77777777" w:rsidR="009E4D4A" w:rsidRPr="006975B7" w:rsidRDefault="009E4D4A" w:rsidP="00C86F74">
            <w:pPr>
              <w:keepNext/>
              <w:jc w:val="center"/>
              <w:rPr>
                <w:rFonts w:ascii="Arial Narrow" w:hAnsi="Arial Narrow" w:cstheme="minorHAnsi"/>
                <w:b/>
                <w:bCs/>
                <w:sz w:val="20"/>
                <w:szCs w:val="20"/>
              </w:rPr>
            </w:pPr>
            <w:r w:rsidRPr="006975B7">
              <w:rPr>
                <w:rFonts w:ascii="Arial Narrow" w:hAnsi="Arial Narrow" w:cstheme="minorHAnsi"/>
                <w:b/>
                <w:bCs/>
                <w:sz w:val="20"/>
                <w:szCs w:val="20"/>
              </w:rPr>
              <w:t>1.75 (1.10</w:t>
            </w:r>
            <w:r>
              <w:rPr>
                <w:rFonts w:ascii="Arial Narrow" w:hAnsi="Arial Narrow" w:cstheme="minorHAnsi"/>
                <w:b/>
                <w:bCs/>
                <w:sz w:val="20"/>
                <w:szCs w:val="20"/>
              </w:rPr>
              <w:t>,</w:t>
            </w:r>
            <w:r w:rsidRPr="006975B7">
              <w:rPr>
                <w:rFonts w:ascii="Arial Narrow" w:hAnsi="Arial Narrow" w:cstheme="minorHAnsi"/>
                <w:b/>
                <w:bCs/>
                <w:sz w:val="20"/>
                <w:szCs w:val="20"/>
              </w:rPr>
              <w:t xml:space="preserve"> 2.80)</w:t>
            </w:r>
          </w:p>
        </w:tc>
        <w:tc>
          <w:tcPr>
            <w:tcW w:w="857" w:type="pct"/>
            <w:vAlign w:val="center"/>
          </w:tcPr>
          <w:p w14:paraId="355351EE" w14:textId="77777777" w:rsidR="009E4D4A" w:rsidRPr="006975B7" w:rsidRDefault="009E4D4A" w:rsidP="00C86F74">
            <w:pPr>
              <w:keepNext/>
              <w:jc w:val="center"/>
              <w:rPr>
                <w:rFonts w:ascii="Arial Narrow" w:hAnsi="Arial Narrow" w:cstheme="minorHAnsi"/>
                <w:b/>
                <w:bCs/>
                <w:sz w:val="20"/>
                <w:szCs w:val="20"/>
              </w:rPr>
            </w:pPr>
            <w:r w:rsidRPr="006975B7">
              <w:rPr>
                <w:rFonts w:ascii="Arial Narrow" w:hAnsi="Arial Narrow" w:cstheme="minorHAnsi"/>
                <w:b/>
                <w:bCs/>
                <w:sz w:val="20"/>
                <w:szCs w:val="20"/>
              </w:rPr>
              <w:t>4.28 (1.52</w:t>
            </w:r>
            <w:r>
              <w:rPr>
                <w:rFonts w:ascii="Arial Narrow" w:hAnsi="Arial Narrow" w:cstheme="minorHAnsi"/>
                <w:b/>
                <w:bCs/>
                <w:sz w:val="20"/>
                <w:szCs w:val="20"/>
              </w:rPr>
              <w:t>,</w:t>
            </w:r>
            <w:r w:rsidRPr="006975B7">
              <w:rPr>
                <w:rFonts w:ascii="Arial Narrow" w:hAnsi="Arial Narrow" w:cstheme="minorHAnsi"/>
                <w:b/>
                <w:bCs/>
                <w:sz w:val="20"/>
                <w:szCs w:val="20"/>
              </w:rPr>
              <w:t xml:space="preserve"> 12.08)</w:t>
            </w:r>
          </w:p>
        </w:tc>
      </w:tr>
      <w:tr w:rsidR="009E4D4A" w:rsidRPr="006975B7" w14:paraId="7ED08BE2" w14:textId="77777777" w:rsidTr="001F545B">
        <w:tc>
          <w:tcPr>
            <w:tcW w:w="1093" w:type="pct"/>
            <w:vAlign w:val="center"/>
          </w:tcPr>
          <w:p w14:paraId="005F7EF3" w14:textId="77777777" w:rsidR="009E4D4A"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Death</w:t>
            </w:r>
          </w:p>
        </w:tc>
        <w:tc>
          <w:tcPr>
            <w:tcW w:w="762" w:type="pct"/>
            <w:vAlign w:val="center"/>
          </w:tcPr>
          <w:p w14:paraId="6A95E121"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0</w:t>
            </w:r>
            <w:r w:rsidRPr="0073572E">
              <w:rPr>
                <w:rFonts w:cstheme="minorHAnsi"/>
                <w:bCs w:val="0"/>
                <w:szCs w:val="20"/>
                <w:vertAlign w:val="superscript"/>
              </w:rPr>
              <w:t>a</w:t>
            </w:r>
          </w:p>
        </w:tc>
        <w:tc>
          <w:tcPr>
            <w:tcW w:w="673" w:type="pct"/>
            <w:vAlign w:val="center"/>
          </w:tcPr>
          <w:p w14:paraId="12EA9951"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4D08709F"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0.00 (</w:t>
            </w:r>
            <w:r w:rsidRPr="006975B7">
              <w:rPr>
                <w:rFonts w:ascii="Arial Narrow" w:hAnsi="Arial Narrow" w:cstheme="minorHAnsi"/>
                <w:sz w:val="20"/>
                <w:szCs w:val="20"/>
              </w:rPr>
              <w:noBreakHyphen/>
              <w:t>0.06</w:t>
            </w:r>
            <w:r>
              <w:rPr>
                <w:rFonts w:ascii="Arial Narrow" w:hAnsi="Arial Narrow" w:cstheme="minorHAnsi"/>
                <w:sz w:val="20"/>
                <w:szCs w:val="20"/>
              </w:rPr>
              <w:t>,</w:t>
            </w:r>
            <w:r w:rsidRPr="006975B7">
              <w:rPr>
                <w:rFonts w:ascii="Arial Narrow" w:hAnsi="Arial Narrow" w:cstheme="minorHAnsi"/>
                <w:sz w:val="20"/>
                <w:szCs w:val="20"/>
              </w:rPr>
              <w:t xml:space="preserve"> 0.06)</w:t>
            </w:r>
          </w:p>
        </w:tc>
        <w:tc>
          <w:tcPr>
            <w:tcW w:w="828" w:type="pct"/>
            <w:vAlign w:val="center"/>
          </w:tcPr>
          <w:p w14:paraId="57D56671"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c>
          <w:tcPr>
            <w:tcW w:w="857" w:type="pct"/>
            <w:vAlign w:val="center"/>
          </w:tcPr>
          <w:p w14:paraId="30C7DF5C"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r>
      <w:tr w:rsidR="009E4D4A" w:rsidRPr="006975B7" w14:paraId="4A61A8AC" w14:textId="77777777" w:rsidTr="001F545B">
        <w:tc>
          <w:tcPr>
            <w:tcW w:w="1093" w:type="pct"/>
            <w:vAlign w:val="center"/>
          </w:tcPr>
          <w:p w14:paraId="21935789" w14:textId="6A2EFEF1" w:rsidR="009E4D4A" w:rsidRDefault="009E4D4A" w:rsidP="00C86F74">
            <w:pPr>
              <w:pStyle w:val="TableText0"/>
              <w:tabs>
                <w:tab w:val="left" w:pos="102"/>
              </w:tabs>
              <w:rPr>
                <w:rFonts w:cstheme="minorHAnsi"/>
                <w:bCs w:val="0"/>
                <w:szCs w:val="20"/>
              </w:rPr>
            </w:pPr>
            <w:r>
              <w:rPr>
                <w:rFonts w:cstheme="minorHAnsi"/>
                <w:bCs w:val="0"/>
                <w:szCs w:val="20"/>
              </w:rPr>
              <w:tab/>
              <w:t>A</w:t>
            </w:r>
            <w:r w:rsidRPr="00086C2E">
              <w:rPr>
                <w:rFonts w:cstheme="minorHAnsi"/>
                <w:bCs w:val="0"/>
                <w:szCs w:val="20"/>
              </w:rPr>
              <w:t xml:space="preserve">drenal hormone </w:t>
            </w:r>
            <w:r>
              <w:rPr>
                <w:rFonts w:cstheme="minorHAnsi"/>
                <w:bCs w:val="0"/>
                <w:szCs w:val="20"/>
              </w:rPr>
              <w:tab/>
            </w:r>
            <w:r w:rsidRPr="00086C2E">
              <w:rPr>
                <w:rFonts w:cstheme="minorHAnsi"/>
                <w:bCs w:val="0"/>
                <w:szCs w:val="20"/>
              </w:rPr>
              <w:t>precursor</w:t>
            </w:r>
            <w:r>
              <w:rPr>
                <w:rFonts w:cstheme="minorHAnsi"/>
                <w:bCs w:val="0"/>
                <w:szCs w:val="20"/>
              </w:rPr>
              <w:t xml:space="preserve"> </w:t>
            </w:r>
            <w:r w:rsidR="005B254A">
              <w:rPr>
                <w:rFonts w:cstheme="minorHAnsi"/>
                <w:bCs w:val="0"/>
                <w:szCs w:val="20"/>
              </w:rPr>
              <w:t>accumulation</w:t>
            </w:r>
          </w:p>
        </w:tc>
        <w:tc>
          <w:tcPr>
            <w:tcW w:w="762" w:type="pct"/>
            <w:vAlign w:val="center"/>
          </w:tcPr>
          <w:p w14:paraId="2C91F51E"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21 (43.8</w:t>
            </w:r>
            <w:r>
              <w:rPr>
                <w:rFonts w:cstheme="minorHAnsi"/>
                <w:bCs w:val="0"/>
                <w:szCs w:val="20"/>
              </w:rPr>
              <w:t>%</w:t>
            </w:r>
            <w:r w:rsidRPr="006975B7">
              <w:rPr>
                <w:rFonts w:cstheme="minorHAnsi"/>
                <w:bCs w:val="0"/>
                <w:szCs w:val="20"/>
              </w:rPr>
              <w:t>)</w:t>
            </w:r>
          </w:p>
        </w:tc>
        <w:tc>
          <w:tcPr>
            <w:tcW w:w="673" w:type="pct"/>
            <w:vAlign w:val="center"/>
          </w:tcPr>
          <w:p w14:paraId="76754B46"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9 (36.0</w:t>
            </w:r>
            <w:r>
              <w:rPr>
                <w:rFonts w:cstheme="minorHAnsi"/>
                <w:bCs/>
                <w:szCs w:val="20"/>
              </w:rPr>
              <w:t>%</w:t>
            </w:r>
            <w:r w:rsidRPr="006975B7">
              <w:rPr>
                <w:rFonts w:ascii="Arial Narrow" w:hAnsi="Arial Narrow" w:cstheme="minorHAnsi"/>
                <w:sz w:val="20"/>
                <w:szCs w:val="20"/>
              </w:rPr>
              <w:t>)</w:t>
            </w:r>
          </w:p>
        </w:tc>
        <w:tc>
          <w:tcPr>
            <w:tcW w:w="787" w:type="pct"/>
            <w:vAlign w:val="center"/>
          </w:tcPr>
          <w:p w14:paraId="0CD5B24C"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0.08 (</w:t>
            </w:r>
            <w:r w:rsidRPr="006975B7">
              <w:rPr>
                <w:rFonts w:ascii="Arial Narrow" w:hAnsi="Arial Narrow" w:cstheme="minorHAnsi"/>
                <w:sz w:val="20"/>
                <w:szCs w:val="20"/>
              </w:rPr>
              <w:noBreakHyphen/>
              <w:t>0.16</w:t>
            </w:r>
            <w:r>
              <w:rPr>
                <w:rFonts w:ascii="Arial Narrow" w:hAnsi="Arial Narrow" w:cstheme="minorHAnsi"/>
                <w:sz w:val="20"/>
                <w:szCs w:val="20"/>
              </w:rPr>
              <w:t>,</w:t>
            </w:r>
            <w:r w:rsidRPr="006975B7">
              <w:rPr>
                <w:rFonts w:ascii="Arial Narrow" w:hAnsi="Arial Narrow" w:cstheme="minorHAnsi"/>
                <w:sz w:val="20"/>
                <w:szCs w:val="20"/>
              </w:rPr>
              <w:t xml:space="preserve"> 0.31)</w:t>
            </w:r>
          </w:p>
        </w:tc>
        <w:tc>
          <w:tcPr>
            <w:tcW w:w="828" w:type="pct"/>
            <w:vAlign w:val="center"/>
          </w:tcPr>
          <w:p w14:paraId="7D25B671"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1.22 (0.66</w:t>
            </w:r>
            <w:r>
              <w:rPr>
                <w:rFonts w:ascii="Arial Narrow" w:hAnsi="Arial Narrow" w:cstheme="minorHAnsi"/>
                <w:sz w:val="20"/>
                <w:szCs w:val="20"/>
              </w:rPr>
              <w:t>,</w:t>
            </w:r>
            <w:r w:rsidRPr="006975B7">
              <w:rPr>
                <w:rFonts w:ascii="Arial Narrow" w:hAnsi="Arial Narrow" w:cstheme="minorHAnsi"/>
                <w:sz w:val="20"/>
                <w:szCs w:val="20"/>
              </w:rPr>
              <w:t xml:space="preserve"> 2.24)</w:t>
            </w:r>
          </w:p>
        </w:tc>
        <w:tc>
          <w:tcPr>
            <w:tcW w:w="857" w:type="pct"/>
            <w:vAlign w:val="center"/>
          </w:tcPr>
          <w:p w14:paraId="2AD50D08"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1.38 (0.51</w:t>
            </w:r>
            <w:r>
              <w:rPr>
                <w:rFonts w:ascii="Arial Narrow" w:hAnsi="Arial Narrow" w:cstheme="minorHAnsi"/>
                <w:sz w:val="20"/>
                <w:szCs w:val="20"/>
              </w:rPr>
              <w:t>,</w:t>
            </w:r>
            <w:r w:rsidRPr="006975B7">
              <w:rPr>
                <w:rFonts w:ascii="Arial Narrow" w:hAnsi="Arial Narrow" w:cstheme="minorHAnsi"/>
                <w:sz w:val="20"/>
                <w:szCs w:val="20"/>
              </w:rPr>
              <w:t xml:space="preserve"> 3.74)</w:t>
            </w:r>
          </w:p>
        </w:tc>
      </w:tr>
      <w:tr w:rsidR="009E4D4A" w:rsidRPr="006975B7" w14:paraId="52B940E9" w14:textId="77777777" w:rsidTr="001F545B">
        <w:tc>
          <w:tcPr>
            <w:tcW w:w="1093" w:type="pct"/>
            <w:vAlign w:val="center"/>
          </w:tcPr>
          <w:p w14:paraId="1F90B43D" w14:textId="77777777" w:rsidR="009E4D4A" w:rsidRDefault="009E4D4A" w:rsidP="00C86F74">
            <w:pPr>
              <w:pStyle w:val="TableText0"/>
              <w:tabs>
                <w:tab w:val="left" w:pos="102"/>
              </w:tabs>
              <w:rPr>
                <w:rFonts w:cstheme="minorHAnsi"/>
                <w:bCs w:val="0"/>
                <w:szCs w:val="20"/>
              </w:rPr>
            </w:pPr>
            <w:r>
              <w:rPr>
                <w:rFonts w:cstheme="minorHAnsi"/>
                <w:bCs w:val="0"/>
                <w:szCs w:val="20"/>
              </w:rPr>
              <w:tab/>
            </w:r>
            <w:r w:rsidRPr="00086C2E">
              <w:rPr>
                <w:rFonts w:cstheme="minorHAnsi"/>
                <w:bCs w:val="0"/>
                <w:szCs w:val="20"/>
              </w:rPr>
              <w:t>Hypocortisolism</w:t>
            </w:r>
            <w:r>
              <w:rPr>
                <w:rFonts w:cstheme="minorHAnsi"/>
                <w:bCs w:val="0"/>
                <w:szCs w:val="20"/>
              </w:rPr>
              <w:t>-</w:t>
            </w:r>
            <w:r w:rsidRPr="00086C2E">
              <w:rPr>
                <w:rFonts w:cstheme="minorHAnsi"/>
                <w:bCs w:val="0"/>
                <w:szCs w:val="20"/>
              </w:rPr>
              <w:t xml:space="preserve">related </w:t>
            </w:r>
            <w:r>
              <w:rPr>
                <w:rFonts w:cstheme="minorHAnsi"/>
                <w:bCs w:val="0"/>
                <w:szCs w:val="20"/>
              </w:rPr>
              <w:tab/>
            </w:r>
            <w:r w:rsidRPr="00086C2E">
              <w:rPr>
                <w:rFonts w:cstheme="minorHAnsi"/>
                <w:bCs w:val="0"/>
                <w:szCs w:val="20"/>
              </w:rPr>
              <w:t xml:space="preserve">AEs </w:t>
            </w:r>
          </w:p>
        </w:tc>
        <w:tc>
          <w:tcPr>
            <w:tcW w:w="762" w:type="pct"/>
            <w:vAlign w:val="center"/>
          </w:tcPr>
          <w:p w14:paraId="0D5F5544"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7 (14.6)</w:t>
            </w:r>
          </w:p>
        </w:tc>
        <w:tc>
          <w:tcPr>
            <w:tcW w:w="673" w:type="pct"/>
            <w:vAlign w:val="center"/>
          </w:tcPr>
          <w:p w14:paraId="1D56C1A9"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p>
        </w:tc>
        <w:tc>
          <w:tcPr>
            <w:tcW w:w="787" w:type="pct"/>
            <w:vAlign w:val="center"/>
          </w:tcPr>
          <w:p w14:paraId="24502D77" w14:textId="77777777" w:rsidR="009E4D4A" w:rsidRPr="006975B7" w:rsidRDefault="009E4D4A" w:rsidP="00C86F74">
            <w:pPr>
              <w:keepNext/>
              <w:jc w:val="center"/>
              <w:rPr>
                <w:rFonts w:ascii="Arial Narrow" w:hAnsi="Arial Narrow" w:cstheme="minorHAnsi"/>
                <w:b/>
                <w:bCs/>
                <w:sz w:val="20"/>
                <w:szCs w:val="20"/>
              </w:rPr>
            </w:pPr>
            <w:r w:rsidRPr="006975B7">
              <w:rPr>
                <w:rFonts w:ascii="Arial Narrow" w:hAnsi="Arial Narrow" w:cstheme="minorHAnsi"/>
                <w:b/>
                <w:bCs/>
                <w:sz w:val="20"/>
                <w:szCs w:val="20"/>
              </w:rPr>
              <w:t>0.15 (0.03</w:t>
            </w:r>
            <w:r>
              <w:rPr>
                <w:rFonts w:ascii="Arial Narrow" w:hAnsi="Arial Narrow" w:cstheme="minorHAnsi"/>
                <w:b/>
                <w:bCs/>
                <w:sz w:val="20"/>
                <w:szCs w:val="20"/>
              </w:rPr>
              <w:t>,</w:t>
            </w:r>
            <w:r w:rsidRPr="006975B7">
              <w:rPr>
                <w:rFonts w:ascii="Arial Narrow" w:hAnsi="Arial Narrow" w:cstheme="minorHAnsi"/>
                <w:b/>
                <w:bCs/>
                <w:sz w:val="20"/>
                <w:szCs w:val="20"/>
              </w:rPr>
              <w:t xml:space="preserve"> 0.26)</w:t>
            </w:r>
          </w:p>
        </w:tc>
        <w:tc>
          <w:tcPr>
            <w:tcW w:w="828" w:type="pct"/>
            <w:vAlign w:val="center"/>
          </w:tcPr>
          <w:p w14:paraId="32ECE322"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7.89 (0.47</w:t>
            </w:r>
            <w:r>
              <w:rPr>
                <w:rFonts w:ascii="Arial Narrow" w:hAnsi="Arial Narrow" w:cstheme="minorHAnsi"/>
                <w:sz w:val="20"/>
                <w:szCs w:val="20"/>
              </w:rPr>
              <w:t>,</w:t>
            </w:r>
            <w:r w:rsidRPr="006975B7">
              <w:rPr>
                <w:rFonts w:ascii="Arial Narrow" w:hAnsi="Arial Narrow" w:cstheme="minorHAnsi"/>
                <w:sz w:val="20"/>
                <w:szCs w:val="20"/>
              </w:rPr>
              <w:t xml:space="preserve"> 132.61)</w:t>
            </w:r>
          </w:p>
        </w:tc>
        <w:tc>
          <w:tcPr>
            <w:tcW w:w="857" w:type="pct"/>
            <w:vAlign w:val="center"/>
          </w:tcPr>
          <w:p w14:paraId="44D24BF8"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9.22 (0.50</w:t>
            </w:r>
            <w:r>
              <w:rPr>
                <w:rFonts w:ascii="Arial Narrow" w:hAnsi="Arial Narrow" w:cstheme="minorHAnsi"/>
                <w:sz w:val="20"/>
                <w:szCs w:val="20"/>
              </w:rPr>
              <w:t>,</w:t>
            </w:r>
            <w:r w:rsidRPr="006975B7">
              <w:rPr>
                <w:rFonts w:ascii="Arial Narrow" w:hAnsi="Arial Narrow" w:cstheme="minorHAnsi"/>
                <w:sz w:val="20"/>
                <w:szCs w:val="20"/>
              </w:rPr>
              <w:t xml:space="preserve"> 168.33)</w:t>
            </w:r>
          </w:p>
        </w:tc>
      </w:tr>
      <w:tr w:rsidR="009E4D4A" w:rsidRPr="006975B7" w14:paraId="22A32F17" w14:textId="77777777" w:rsidTr="001F545B">
        <w:tc>
          <w:tcPr>
            <w:tcW w:w="1093" w:type="pct"/>
            <w:vAlign w:val="center"/>
          </w:tcPr>
          <w:p w14:paraId="27FBFFFD" w14:textId="77777777" w:rsidR="009E4D4A" w:rsidRPr="005D2719" w:rsidRDefault="009E4D4A" w:rsidP="00C86F74">
            <w:pPr>
              <w:pStyle w:val="TableText0"/>
              <w:tabs>
                <w:tab w:val="left" w:pos="102"/>
              </w:tabs>
              <w:rPr>
                <w:rFonts w:cstheme="minorHAnsi"/>
                <w:bCs w:val="0"/>
                <w:sz w:val="19"/>
                <w:szCs w:val="19"/>
              </w:rPr>
            </w:pPr>
            <w:r>
              <w:rPr>
                <w:rFonts w:cstheme="minorHAnsi"/>
                <w:bCs w:val="0"/>
                <w:szCs w:val="20"/>
              </w:rPr>
              <w:tab/>
            </w:r>
            <w:r w:rsidRPr="005D2719">
              <w:rPr>
                <w:rFonts w:cstheme="minorHAnsi"/>
                <w:bCs w:val="0"/>
                <w:sz w:val="19"/>
                <w:szCs w:val="19"/>
              </w:rPr>
              <w:t xml:space="preserve">Pituitary tumour </w:t>
            </w:r>
            <w:r w:rsidRPr="005D2719">
              <w:rPr>
                <w:rFonts w:cstheme="minorHAnsi"/>
                <w:bCs w:val="0"/>
                <w:sz w:val="19"/>
                <w:szCs w:val="19"/>
              </w:rPr>
              <w:tab/>
              <w:t>enlargement</w:t>
            </w:r>
            <w:r w:rsidRPr="005D2719">
              <w:rPr>
                <w:rFonts w:cstheme="minorHAnsi"/>
                <w:bCs w:val="0"/>
                <w:sz w:val="19"/>
                <w:szCs w:val="19"/>
              </w:rPr>
              <w:noBreakHyphen/>
              <w:t>related AEs</w:t>
            </w:r>
          </w:p>
        </w:tc>
        <w:tc>
          <w:tcPr>
            <w:tcW w:w="762" w:type="pct"/>
            <w:vAlign w:val="center"/>
          </w:tcPr>
          <w:p w14:paraId="0998627B"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0</w:t>
            </w:r>
            <w:r w:rsidRPr="0073572E">
              <w:rPr>
                <w:rFonts w:cstheme="minorHAnsi"/>
                <w:bCs w:val="0"/>
                <w:szCs w:val="20"/>
                <w:vertAlign w:val="superscript"/>
              </w:rPr>
              <w:t>a</w:t>
            </w:r>
          </w:p>
        </w:tc>
        <w:tc>
          <w:tcPr>
            <w:tcW w:w="673" w:type="pct"/>
            <w:vAlign w:val="center"/>
          </w:tcPr>
          <w:p w14:paraId="3606CCCB"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3DEB65DB"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0.00 (</w:t>
            </w:r>
            <w:r w:rsidRPr="006975B7">
              <w:rPr>
                <w:rFonts w:ascii="Arial Narrow" w:hAnsi="Arial Narrow" w:cstheme="minorHAnsi"/>
                <w:sz w:val="20"/>
                <w:szCs w:val="20"/>
              </w:rPr>
              <w:noBreakHyphen/>
              <w:t>0.06</w:t>
            </w:r>
            <w:r>
              <w:rPr>
                <w:rFonts w:ascii="Arial Narrow" w:hAnsi="Arial Narrow" w:cstheme="minorHAnsi"/>
                <w:sz w:val="20"/>
                <w:szCs w:val="20"/>
              </w:rPr>
              <w:t>,</w:t>
            </w:r>
            <w:r w:rsidRPr="006975B7">
              <w:rPr>
                <w:rFonts w:ascii="Arial Narrow" w:hAnsi="Arial Narrow" w:cstheme="minorHAnsi"/>
                <w:sz w:val="20"/>
                <w:szCs w:val="20"/>
              </w:rPr>
              <w:t xml:space="preserve"> 0.06)</w:t>
            </w:r>
          </w:p>
        </w:tc>
        <w:tc>
          <w:tcPr>
            <w:tcW w:w="828" w:type="pct"/>
            <w:vAlign w:val="center"/>
          </w:tcPr>
          <w:p w14:paraId="0AAF61CC"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c>
          <w:tcPr>
            <w:tcW w:w="857" w:type="pct"/>
            <w:vAlign w:val="center"/>
          </w:tcPr>
          <w:p w14:paraId="05477D6B"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r>
      <w:tr w:rsidR="009E4D4A" w:rsidRPr="006975B7" w14:paraId="154E84CA" w14:textId="77777777" w:rsidTr="001F545B">
        <w:tc>
          <w:tcPr>
            <w:tcW w:w="1093" w:type="pct"/>
            <w:vAlign w:val="center"/>
          </w:tcPr>
          <w:p w14:paraId="69524830" w14:textId="77777777" w:rsidR="009E4D4A" w:rsidRDefault="009E4D4A" w:rsidP="00C86F74">
            <w:pPr>
              <w:pStyle w:val="TableText0"/>
              <w:tabs>
                <w:tab w:val="left" w:pos="102"/>
              </w:tabs>
              <w:rPr>
                <w:rFonts w:cstheme="minorHAnsi"/>
                <w:bCs w:val="0"/>
                <w:szCs w:val="20"/>
              </w:rPr>
            </w:pPr>
            <w:r>
              <w:rPr>
                <w:rFonts w:cstheme="minorHAnsi"/>
                <w:bCs w:val="0"/>
                <w:szCs w:val="20"/>
              </w:rPr>
              <w:tab/>
            </w:r>
            <w:r w:rsidRPr="005D2719">
              <w:rPr>
                <w:rFonts w:cstheme="minorHAnsi"/>
                <w:bCs w:val="0"/>
                <w:sz w:val="19"/>
                <w:szCs w:val="19"/>
              </w:rPr>
              <w:t>Arrhythmogenic potential</w:t>
            </w:r>
            <w:r w:rsidRPr="00086C2E">
              <w:rPr>
                <w:rFonts w:cstheme="minorHAnsi"/>
                <w:bCs w:val="0"/>
                <w:szCs w:val="20"/>
              </w:rPr>
              <w:t xml:space="preserve"> </w:t>
            </w:r>
            <w:r>
              <w:rPr>
                <w:rFonts w:cstheme="minorHAnsi"/>
                <w:bCs w:val="0"/>
                <w:szCs w:val="20"/>
              </w:rPr>
              <w:tab/>
              <w:t xml:space="preserve">and </w:t>
            </w:r>
            <w:r w:rsidRPr="00086C2E">
              <w:rPr>
                <w:rFonts w:cstheme="minorHAnsi"/>
                <w:bCs w:val="0"/>
                <w:szCs w:val="20"/>
              </w:rPr>
              <w:t xml:space="preserve">QT </w:t>
            </w:r>
            <w:r>
              <w:rPr>
                <w:rFonts w:cstheme="minorHAnsi"/>
                <w:bCs w:val="0"/>
                <w:szCs w:val="20"/>
              </w:rPr>
              <w:tab/>
            </w:r>
            <w:r w:rsidRPr="00086C2E">
              <w:rPr>
                <w:rFonts w:cstheme="minorHAnsi"/>
                <w:bCs w:val="0"/>
                <w:szCs w:val="20"/>
              </w:rPr>
              <w:t>prolongation</w:t>
            </w:r>
          </w:p>
        </w:tc>
        <w:tc>
          <w:tcPr>
            <w:tcW w:w="762" w:type="pct"/>
            <w:vAlign w:val="center"/>
          </w:tcPr>
          <w:p w14:paraId="14A85A8B" w14:textId="77777777" w:rsidR="009E4D4A" w:rsidRPr="006975B7" w:rsidRDefault="009E4D4A" w:rsidP="00C86F74">
            <w:pPr>
              <w:pStyle w:val="TableText0"/>
              <w:jc w:val="center"/>
              <w:rPr>
                <w:rFonts w:eastAsia="Calibri" w:cs="Calibri"/>
                <w:bCs w:val="0"/>
                <w:szCs w:val="20"/>
                <w:lang w:val="en-US"/>
              </w:rPr>
            </w:pPr>
            <w:r w:rsidRPr="006975B7">
              <w:rPr>
                <w:rFonts w:cstheme="minorHAnsi"/>
                <w:bCs w:val="0"/>
                <w:szCs w:val="20"/>
              </w:rPr>
              <w:t>0</w:t>
            </w:r>
            <w:r w:rsidRPr="0073572E">
              <w:rPr>
                <w:rFonts w:cstheme="minorHAnsi"/>
                <w:bCs w:val="0"/>
                <w:szCs w:val="20"/>
                <w:vertAlign w:val="superscript"/>
              </w:rPr>
              <w:t>a</w:t>
            </w:r>
          </w:p>
        </w:tc>
        <w:tc>
          <w:tcPr>
            <w:tcW w:w="673" w:type="pct"/>
            <w:vAlign w:val="center"/>
          </w:tcPr>
          <w:p w14:paraId="19A638B3"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0</w:t>
            </w:r>
            <w:r w:rsidRPr="0073572E">
              <w:rPr>
                <w:rFonts w:ascii="Arial Narrow" w:hAnsi="Arial Narrow" w:cstheme="minorHAnsi"/>
                <w:sz w:val="20"/>
                <w:szCs w:val="20"/>
                <w:vertAlign w:val="superscript"/>
              </w:rPr>
              <w:t>a</w:t>
            </w:r>
          </w:p>
        </w:tc>
        <w:tc>
          <w:tcPr>
            <w:tcW w:w="787" w:type="pct"/>
            <w:vAlign w:val="center"/>
          </w:tcPr>
          <w:p w14:paraId="18D9F955" w14:textId="77777777" w:rsidR="009E4D4A" w:rsidRPr="006975B7" w:rsidRDefault="009E4D4A" w:rsidP="00C86F74">
            <w:pPr>
              <w:keepNext/>
              <w:jc w:val="center"/>
              <w:rPr>
                <w:rFonts w:ascii="Arial Narrow" w:hAnsi="Arial Narrow" w:cstheme="minorHAnsi"/>
                <w:sz w:val="20"/>
                <w:szCs w:val="20"/>
              </w:rPr>
            </w:pPr>
            <w:r w:rsidRPr="006975B7">
              <w:rPr>
                <w:rFonts w:ascii="Arial Narrow" w:hAnsi="Arial Narrow" w:cstheme="minorHAnsi"/>
                <w:sz w:val="20"/>
                <w:szCs w:val="20"/>
              </w:rPr>
              <w:t>0.00 (</w:t>
            </w:r>
            <w:r w:rsidRPr="006975B7">
              <w:rPr>
                <w:rFonts w:ascii="Arial Narrow" w:hAnsi="Arial Narrow" w:cstheme="minorHAnsi"/>
                <w:sz w:val="20"/>
                <w:szCs w:val="20"/>
              </w:rPr>
              <w:noBreakHyphen/>
              <w:t>0.06</w:t>
            </w:r>
            <w:r>
              <w:rPr>
                <w:rFonts w:ascii="Arial Narrow" w:hAnsi="Arial Narrow" w:cstheme="minorHAnsi"/>
                <w:sz w:val="20"/>
                <w:szCs w:val="20"/>
              </w:rPr>
              <w:t>,</w:t>
            </w:r>
            <w:r w:rsidRPr="006975B7">
              <w:rPr>
                <w:rFonts w:ascii="Arial Narrow" w:hAnsi="Arial Narrow" w:cstheme="minorHAnsi"/>
                <w:sz w:val="20"/>
                <w:szCs w:val="20"/>
              </w:rPr>
              <w:t xml:space="preserve"> 0.06)</w:t>
            </w:r>
          </w:p>
        </w:tc>
        <w:tc>
          <w:tcPr>
            <w:tcW w:w="828" w:type="pct"/>
            <w:vAlign w:val="center"/>
          </w:tcPr>
          <w:p w14:paraId="7D3EDE3C"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c>
          <w:tcPr>
            <w:tcW w:w="857" w:type="pct"/>
            <w:vAlign w:val="center"/>
          </w:tcPr>
          <w:p w14:paraId="6FE09204" w14:textId="77777777" w:rsidR="009E4D4A" w:rsidRPr="006975B7" w:rsidRDefault="009E4D4A" w:rsidP="00C86F74">
            <w:pPr>
              <w:keepNext/>
              <w:jc w:val="center"/>
              <w:rPr>
                <w:rFonts w:ascii="Arial Narrow" w:eastAsia="Calibri" w:hAnsi="Arial Narrow" w:cs="Calibri"/>
                <w:sz w:val="20"/>
                <w:szCs w:val="20"/>
                <w:lang w:val="en-US"/>
              </w:rPr>
            </w:pPr>
            <w:r w:rsidRPr="006975B7">
              <w:rPr>
                <w:rFonts w:ascii="Arial Narrow" w:hAnsi="Arial Narrow" w:cstheme="minorHAnsi"/>
                <w:sz w:val="20"/>
                <w:szCs w:val="20"/>
              </w:rPr>
              <w:t>NE</w:t>
            </w:r>
          </w:p>
        </w:tc>
      </w:tr>
    </w:tbl>
    <w:p w14:paraId="69C3AF2F" w14:textId="77777777" w:rsidR="009E4D4A" w:rsidRPr="00B1011F" w:rsidRDefault="009E4D4A" w:rsidP="009E4D4A">
      <w:pPr>
        <w:pStyle w:val="FooterTableFigure"/>
        <w:rPr>
          <w:sz w:val="20"/>
        </w:rPr>
      </w:pPr>
      <w:r>
        <w:t xml:space="preserve">Source: </w:t>
      </w:r>
      <w:r w:rsidRPr="00AB08F8">
        <w:t>Table 2.5-54, p169; Table 2.5-55, p170; Table 2.5-59, p175; Table 2.5-60, p176 of the submission.</w:t>
      </w:r>
    </w:p>
    <w:p w14:paraId="13248541" w14:textId="77777777" w:rsidR="009E4D4A" w:rsidRDefault="009E4D4A" w:rsidP="009E4D4A">
      <w:pPr>
        <w:pStyle w:val="FooterTableFigure"/>
        <w:rPr>
          <w:rFonts w:eastAsia="Calibri"/>
        </w:rPr>
      </w:pPr>
      <w:r>
        <w:rPr>
          <w:rFonts w:eastAsia="Calibri"/>
        </w:rPr>
        <w:t xml:space="preserve">AE = adverse event; </w:t>
      </w:r>
      <w:r w:rsidRPr="00B40358">
        <w:rPr>
          <w:rFonts w:eastAsia="Calibri"/>
        </w:rPr>
        <w:t xml:space="preserve">CI = confidence interval; </w:t>
      </w:r>
      <w:r>
        <w:rPr>
          <w:rFonts w:eastAsia="Calibri"/>
        </w:rPr>
        <w:t xml:space="preserve">NE = not evaluable; OR = odds ratio; RD = risk difference; RR = relative risk; </w:t>
      </w:r>
      <w:r>
        <w:rPr>
          <w:rFonts w:eastAsia="Calibri"/>
          <w:b/>
        </w:rPr>
        <w:t>b</w:t>
      </w:r>
      <w:r w:rsidRPr="00760F9E">
        <w:rPr>
          <w:rFonts w:eastAsia="Calibri"/>
          <w:b/>
        </w:rPr>
        <w:t>old</w:t>
      </w:r>
      <w:r>
        <w:rPr>
          <w:rFonts w:eastAsia="Calibri"/>
        </w:rPr>
        <w:t xml:space="preserve"> indicates statistically significant results.</w:t>
      </w:r>
    </w:p>
    <w:p w14:paraId="7E43A741" w14:textId="1FF4FF34" w:rsidR="005D26B4" w:rsidRPr="00721D5A" w:rsidRDefault="009E4D4A" w:rsidP="009E4D4A">
      <w:pPr>
        <w:pStyle w:val="FooterTableFigure"/>
        <w:tabs>
          <w:tab w:val="left" w:pos="142"/>
        </w:tabs>
        <w:ind w:left="142" w:hanging="142"/>
        <w:rPr>
          <w:rFonts w:eastAsia="Calibri"/>
          <w:iCs/>
        </w:rPr>
      </w:pPr>
      <w:r w:rsidRPr="000F2FAB">
        <w:rPr>
          <w:rFonts w:eastAsia="Calibri"/>
          <w:vertAlign w:val="superscript"/>
        </w:rPr>
        <w:t>a</w:t>
      </w:r>
      <w:r>
        <w:rPr>
          <w:rFonts w:eastAsia="Calibri"/>
        </w:rPr>
        <w:tab/>
        <w:t>The submission stated that where no patients reported a safety outcome in either the experimental or control arm, 0.5 was added to both cells.</w:t>
      </w:r>
      <w:r w:rsidR="004B485D">
        <w:rPr>
          <w:rFonts w:eastAsia="Calibri"/>
        </w:rPr>
        <w:t xml:space="preserve"> </w:t>
      </w:r>
      <w:r w:rsidRPr="00721D5A">
        <w:rPr>
          <w:rFonts w:eastAsia="Calibri"/>
          <w:iCs/>
        </w:rPr>
        <w:t>It was not clear exactly which ‘cells’ the submission was referring to, but for LINC 3 the 95% CIs for the safety outcomes with 0 in each arm had a value of -0.05 or 0.05, and in LINC 4, when safety outcomes were 0 in each arm the 95% CIs had a value of -0.06 and 0.06.</w:t>
      </w:r>
      <w:r w:rsidR="004B485D">
        <w:rPr>
          <w:rFonts w:eastAsia="Calibri"/>
        </w:rPr>
        <w:t xml:space="preserve"> </w:t>
      </w:r>
      <w:r w:rsidRPr="00721D5A">
        <w:rPr>
          <w:rFonts w:eastAsia="Calibri"/>
          <w:iCs/>
        </w:rPr>
        <w:t>With point estimates of 0.00, the reason for presentation of corresponding 95% CI values of 0.05 or 0.06 was not clear</w:t>
      </w:r>
    </w:p>
    <w:p w14:paraId="7E746C50" w14:textId="3BA45D13" w:rsidR="004F7C73" w:rsidRPr="004F7C73" w:rsidRDefault="00862E0C" w:rsidP="00B21F24">
      <w:pPr>
        <w:pStyle w:val="3-BodyText"/>
        <w:rPr>
          <w:rFonts w:eastAsia="Calibri"/>
        </w:rPr>
      </w:pPr>
      <w:r>
        <w:t>In the LINC 3 trial, there were no statistically significant differences in the occurrence of overall AEs and AEs of special interest between osilodrostat and placebo.</w:t>
      </w:r>
      <w:r w:rsidR="004B485D">
        <w:t xml:space="preserve"> </w:t>
      </w:r>
      <w:r>
        <w:t>In the LINC 4 trial, there was statistically significantly greater occurrence of AEs requiring additional therapy for osilodrostat-treated patients.</w:t>
      </w:r>
      <w:r w:rsidR="004B485D">
        <w:t xml:space="preserve"> </w:t>
      </w:r>
      <w:r w:rsidRPr="00721D5A">
        <w:rPr>
          <w:iCs/>
        </w:rPr>
        <w:t>The submission provided no indication of what these AEs were, or what type and extent of additional therapy was required.</w:t>
      </w:r>
    </w:p>
    <w:p w14:paraId="4F0C2D45" w14:textId="3FFA372E" w:rsidR="00B21F24" w:rsidRPr="005A2650" w:rsidRDefault="005A2650" w:rsidP="00B21F24">
      <w:pPr>
        <w:pStyle w:val="3-BodyText"/>
        <w:rPr>
          <w:rFonts w:eastAsia="Calibri"/>
        </w:rPr>
      </w:pPr>
      <w:r>
        <w:rPr>
          <w:rFonts w:eastAsia="Calibri"/>
        </w:rPr>
        <w:lastRenderedPageBreak/>
        <w:fldChar w:fldCharType="begin"/>
      </w:r>
      <w:r>
        <w:rPr>
          <w:rFonts w:eastAsia="Calibri"/>
        </w:rPr>
        <w:instrText xml:space="preserve"> REF _Ref123590630 \h </w:instrText>
      </w:r>
      <w:r>
        <w:rPr>
          <w:rFonts w:eastAsia="Calibri"/>
        </w:rPr>
      </w:r>
      <w:r>
        <w:rPr>
          <w:rFonts w:eastAsia="Calibri"/>
        </w:rPr>
        <w:fldChar w:fldCharType="separate"/>
      </w:r>
      <w:r w:rsidR="00A9220E">
        <w:t xml:space="preserve">Table </w:t>
      </w:r>
      <w:r w:rsidR="00A9220E">
        <w:rPr>
          <w:noProof/>
        </w:rPr>
        <w:t>11</w:t>
      </w:r>
      <w:r>
        <w:rPr>
          <w:rFonts w:eastAsia="Calibri"/>
        </w:rPr>
        <w:fldChar w:fldCharType="end"/>
      </w:r>
      <w:r>
        <w:rPr>
          <w:rFonts w:eastAsia="Calibri"/>
        </w:rPr>
        <w:t xml:space="preserve"> provides a summary of AEs in the metyrapone and ketoconazole </w:t>
      </w:r>
      <w:r w:rsidR="00104F39">
        <w:rPr>
          <w:rFonts w:eastAsia="Calibri"/>
        </w:rPr>
        <w:t>studies</w:t>
      </w:r>
      <w:r>
        <w:rPr>
          <w:rFonts w:eastAsia="Calibri"/>
        </w:rPr>
        <w:t>.</w:t>
      </w:r>
    </w:p>
    <w:p w14:paraId="2DD8EEA4" w14:textId="6FDCC890" w:rsidR="009E4D4A" w:rsidRPr="00D86231" w:rsidRDefault="009E4D4A" w:rsidP="009E4D4A">
      <w:pPr>
        <w:pStyle w:val="TableFigureHeading"/>
        <w:rPr>
          <w:rStyle w:val="CommentReference"/>
          <w:b/>
          <w:szCs w:val="24"/>
        </w:rPr>
      </w:pPr>
      <w:bookmarkStart w:id="31" w:name="_Ref123590630"/>
      <w:r>
        <w:t xml:space="preserve">Table </w:t>
      </w:r>
      <w:fldSimple w:instr=" SEQ Table \* ARABIC ">
        <w:r w:rsidR="00A9220E">
          <w:rPr>
            <w:noProof/>
          </w:rPr>
          <w:t>11</w:t>
        </w:r>
      </w:fldSimple>
      <w:bookmarkEnd w:id="31"/>
      <w:r>
        <w:t xml:space="preserve">: </w:t>
      </w:r>
      <w:r>
        <w:rPr>
          <w:rStyle w:val="CommentReference"/>
          <w:b/>
          <w:szCs w:val="24"/>
        </w:rPr>
        <w:t xml:space="preserve">Summary of AEs </w:t>
      </w:r>
      <w:r w:rsidR="004F7C73">
        <w:rPr>
          <w:rStyle w:val="CommentReference"/>
          <w:b/>
          <w:szCs w:val="24"/>
        </w:rPr>
        <w:t xml:space="preserve">in the metyrapone and ketoconazole </w:t>
      </w:r>
      <w:r w:rsidR="00104F39">
        <w:rPr>
          <w:rStyle w:val="CommentReference"/>
          <w:b/>
          <w:szCs w:val="24"/>
        </w:rP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63"/>
        <w:gridCol w:w="2707"/>
        <w:gridCol w:w="2647"/>
      </w:tblGrid>
      <w:tr w:rsidR="004F7C73" w:rsidRPr="002C7DF8" w14:paraId="27E0806D" w14:textId="77777777" w:rsidTr="00C86F74">
        <w:tc>
          <w:tcPr>
            <w:tcW w:w="5000" w:type="pct"/>
            <w:gridSpan w:val="3"/>
          </w:tcPr>
          <w:p w14:paraId="3BBB9F71" w14:textId="77777777" w:rsidR="004F7C73" w:rsidRPr="00D8037C" w:rsidRDefault="004F7C73" w:rsidP="00C86F74">
            <w:pPr>
              <w:pStyle w:val="TableText0"/>
              <w:rPr>
                <w:b/>
                <w:szCs w:val="20"/>
              </w:rPr>
            </w:pPr>
            <w:r>
              <w:rPr>
                <w:b/>
                <w:szCs w:val="20"/>
              </w:rPr>
              <w:t>Summary of AEs in PROMPT – metyrapone ITT population (N=50)</w:t>
            </w:r>
          </w:p>
        </w:tc>
      </w:tr>
      <w:tr w:rsidR="004F7C73" w:rsidRPr="002C7DF8" w14:paraId="5F4E8861" w14:textId="77777777" w:rsidTr="00C86F74">
        <w:tc>
          <w:tcPr>
            <w:tcW w:w="2031" w:type="pct"/>
          </w:tcPr>
          <w:p w14:paraId="6AABAF49" w14:textId="77777777" w:rsidR="004F7C73" w:rsidRDefault="004F7C73" w:rsidP="00C86F74">
            <w:pPr>
              <w:pStyle w:val="TableText0"/>
              <w:tabs>
                <w:tab w:val="left" w:pos="102"/>
              </w:tabs>
              <w:rPr>
                <w:rFonts w:cstheme="minorHAnsi"/>
                <w:bCs w:val="0"/>
                <w:szCs w:val="20"/>
              </w:rPr>
            </w:pPr>
          </w:p>
        </w:tc>
        <w:tc>
          <w:tcPr>
            <w:tcW w:w="1501" w:type="pct"/>
          </w:tcPr>
          <w:p w14:paraId="57706D9E" w14:textId="77777777" w:rsidR="004F7C73" w:rsidRPr="00B84117" w:rsidRDefault="004F7C73" w:rsidP="00C86F74">
            <w:pPr>
              <w:pStyle w:val="In-tableHeading"/>
              <w:jc w:val="center"/>
            </w:pPr>
            <w:r>
              <w:t>Week 12</w:t>
            </w:r>
          </w:p>
        </w:tc>
        <w:tc>
          <w:tcPr>
            <w:tcW w:w="1468" w:type="pct"/>
          </w:tcPr>
          <w:p w14:paraId="0F2A2809" w14:textId="77777777" w:rsidR="004F7C73" w:rsidRPr="00B84117" w:rsidRDefault="004F7C73" w:rsidP="00C86F74">
            <w:pPr>
              <w:pStyle w:val="In-tableHeading"/>
              <w:jc w:val="center"/>
            </w:pPr>
            <w:r>
              <w:t>Week 36</w:t>
            </w:r>
          </w:p>
        </w:tc>
      </w:tr>
      <w:tr w:rsidR="004F7C73" w:rsidRPr="002C7DF8" w14:paraId="2709C7C0" w14:textId="77777777" w:rsidTr="00C86F74">
        <w:tc>
          <w:tcPr>
            <w:tcW w:w="2031" w:type="pct"/>
          </w:tcPr>
          <w:p w14:paraId="62D2EA65" w14:textId="77777777" w:rsidR="004F7C73" w:rsidRDefault="004F7C73" w:rsidP="00C86F74">
            <w:pPr>
              <w:pStyle w:val="TableText0"/>
              <w:tabs>
                <w:tab w:val="left" w:pos="102"/>
              </w:tabs>
              <w:rPr>
                <w:rFonts w:cstheme="minorHAnsi"/>
                <w:bCs w:val="0"/>
                <w:szCs w:val="20"/>
              </w:rPr>
            </w:pPr>
            <w:r>
              <w:rPr>
                <w:rFonts w:cstheme="minorHAnsi"/>
                <w:bCs w:val="0"/>
                <w:szCs w:val="20"/>
              </w:rPr>
              <w:t>Duration of treatment, mean weeks (SD)</w:t>
            </w:r>
          </w:p>
        </w:tc>
        <w:tc>
          <w:tcPr>
            <w:tcW w:w="1501" w:type="pct"/>
          </w:tcPr>
          <w:p w14:paraId="507719E1" w14:textId="77777777" w:rsidR="004F7C73" w:rsidRPr="002C7DF8" w:rsidRDefault="004F7C73" w:rsidP="00C86F74">
            <w:pPr>
              <w:pStyle w:val="TableText0"/>
              <w:jc w:val="center"/>
              <w:rPr>
                <w:bCs w:val="0"/>
                <w:szCs w:val="20"/>
              </w:rPr>
            </w:pPr>
            <w:r>
              <w:rPr>
                <w:bCs w:val="0"/>
                <w:szCs w:val="20"/>
              </w:rPr>
              <w:t>NR</w:t>
            </w:r>
          </w:p>
        </w:tc>
        <w:tc>
          <w:tcPr>
            <w:tcW w:w="1468" w:type="pct"/>
          </w:tcPr>
          <w:p w14:paraId="0428A9E1" w14:textId="77777777" w:rsidR="004F7C73" w:rsidRPr="002C7DF8" w:rsidRDefault="004F7C73" w:rsidP="00C86F74">
            <w:pPr>
              <w:pStyle w:val="TableText0"/>
              <w:jc w:val="center"/>
              <w:rPr>
                <w:bCs w:val="0"/>
                <w:szCs w:val="20"/>
              </w:rPr>
            </w:pPr>
            <w:r>
              <w:rPr>
                <w:bCs w:val="0"/>
                <w:szCs w:val="20"/>
              </w:rPr>
              <w:t>30.6 (10.9)</w:t>
            </w:r>
          </w:p>
        </w:tc>
      </w:tr>
      <w:tr w:rsidR="004F7C73" w:rsidRPr="002C7DF8" w14:paraId="4F7E5BFA" w14:textId="77777777" w:rsidTr="00C86F74">
        <w:tc>
          <w:tcPr>
            <w:tcW w:w="2031" w:type="pct"/>
          </w:tcPr>
          <w:p w14:paraId="3D40CE44" w14:textId="77777777" w:rsidR="004F7C73" w:rsidRPr="00086C2E" w:rsidRDefault="004F7C73" w:rsidP="00C86F74">
            <w:pPr>
              <w:pStyle w:val="TableText0"/>
              <w:tabs>
                <w:tab w:val="left" w:pos="102"/>
              </w:tabs>
              <w:rPr>
                <w:rFonts w:cstheme="minorHAnsi"/>
                <w:bCs w:val="0"/>
                <w:szCs w:val="20"/>
              </w:rPr>
            </w:pPr>
            <w:r>
              <w:rPr>
                <w:rFonts w:cstheme="minorHAnsi"/>
                <w:bCs w:val="0"/>
                <w:szCs w:val="20"/>
              </w:rPr>
              <w:t>Any AE</w:t>
            </w:r>
          </w:p>
        </w:tc>
        <w:tc>
          <w:tcPr>
            <w:tcW w:w="1501" w:type="pct"/>
          </w:tcPr>
          <w:p w14:paraId="7A35E569" w14:textId="77777777" w:rsidR="004F7C73" w:rsidRPr="002C7DF8" w:rsidRDefault="004F7C73" w:rsidP="00C86F74">
            <w:pPr>
              <w:pStyle w:val="TableText0"/>
              <w:jc w:val="center"/>
              <w:rPr>
                <w:bCs w:val="0"/>
                <w:szCs w:val="20"/>
              </w:rPr>
            </w:pPr>
            <w:r>
              <w:rPr>
                <w:rFonts w:eastAsia="Calibri" w:cs="Calibri"/>
                <w:szCs w:val="20"/>
              </w:rPr>
              <w:t>42 (84%)</w:t>
            </w:r>
          </w:p>
        </w:tc>
        <w:tc>
          <w:tcPr>
            <w:tcW w:w="1468" w:type="pct"/>
          </w:tcPr>
          <w:p w14:paraId="00AEDDC4" w14:textId="77777777" w:rsidR="004F7C73" w:rsidRPr="002C7DF8" w:rsidRDefault="004F7C73" w:rsidP="00C86F74">
            <w:pPr>
              <w:pStyle w:val="TableText0"/>
              <w:jc w:val="center"/>
              <w:rPr>
                <w:bCs w:val="0"/>
                <w:szCs w:val="20"/>
              </w:rPr>
            </w:pPr>
            <w:r>
              <w:rPr>
                <w:bCs w:val="0"/>
                <w:szCs w:val="20"/>
              </w:rPr>
              <w:t>47 (94%)</w:t>
            </w:r>
          </w:p>
        </w:tc>
      </w:tr>
      <w:tr w:rsidR="004F7C73" w:rsidRPr="002C7DF8" w14:paraId="7CB8D07F" w14:textId="77777777" w:rsidTr="00C86F74">
        <w:tc>
          <w:tcPr>
            <w:tcW w:w="2031" w:type="pct"/>
          </w:tcPr>
          <w:p w14:paraId="3D9B735E" w14:textId="77777777" w:rsidR="004F7C73" w:rsidRPr="002C7DF8" w:rsidRDefault="004F7C73" w:rsidP="00C86F74">
            <w:pPr>
              <w:pStyle w:val="TableText0"/>
              <w:tabs>
                <w:tab w:val="left" w:pos="102"/>
              </w:tabs>
              <w:rPr>
                <w:rFonts w:cstheme="minorHAnsi"/>
                <w:bCs w:val="0"/>
                <w:szCs w:val="20"/>
              </w:rPr>
            </w:pPr>
            <w:r>
              <w:rPr>
                <w:rFonts w:cstheme="minorHAnsi"/>
                <w:bCs w:val="0"/>
                <w:szCs w:val="20"/>
              </w:rPr>
              <w:tab/>
              <w:t>Mild intensity</w:t>
            </w:r>
          </w:p>
        </w:tc>
        <w:tc>
          <w:tcPr>
            <w:tcW w:w="1501" w:type="pct"/>
          </w:tcPr>
          <w:p w14:paraId="0FA5B185" w14:textId="77777777" w:rsidR="004F7C73" w:rsidRPr="002C7DF8" w:rsidRDefault="004F7C73" w:rsidP="00C86F74">
            <w:pPr>
              <w:pStyle w:val="TableText0"/>
              <w:jc w:val="center"/>
              <w:rPr>
                <w:bCs w:val="0"/>
                <w:szCs w:val="20"/>
              </w:rPr>
            </w:pPr>
            <w:r>
              <w:rPr>
                <w:rFonts w:eastAsia="Calibri" w:cs="Calibri"/>
                <w:szCs w:val="20"/>
              </w:rPr>
              <w:t>35 (70%)</w:t>
            </w:r>
          </w:p>
        </w:tc>
        <w:tc>
          <w:tcPr>
            <w:tcW w:w="1468" w:type="pct"/>
          </w:tcPr>
          <w:p w14:paraId="62980305" w14:textId="77777777" w:rsidR="004F7C73" w:rsidRPr="002C7DF8" w:rsidRDefault="004F7C73" w:rsidP="00C86F74">
            <w:pPr>
              <w:pStyle w:val="TableText0"/>
              <w:jc w:val="center"/>
              <w:rPr>
                <w:bCs w:val="0"/>
                <w:szCs w:val="20"/>
              </w:rPr>
            </w:pPr>
            <w:r>
              <w:rPr>
                <w:bCs w:val="0"/>
                <w:szCs w:val="20"/>
              </w:rPr>
              <w:t>NR</w:t>
            </w:r>
          </w:p>
        </w:tc>
      </w:tr>
      <w:tr w:rsidR="004F7C73" w:rsidRPr="002C7DF8" w14:paraId="5A7C1591" w14:textId="77777777" w:rsidTr="00C86F74">
        <w:tc>
          <w:tcPr>
            <w:tcW w:w="2031" w:type="pct"/>
          </w:tcPr>
          <w:p w14:paraId="592397BD" w14:textId="77777777" w:rsidR="004F7C73" w:rsidRDefault="004F7C73" w:rsidP="00C86F74">
            <w:pPr>
              <w:pStyle w:val="TableText0"/>
              <w:tabs>
                <w:tab w:val="left" w:pos="102"/>
              </w:tabs>
              <w:rPr>
                <w:rFonts w:cstheme="minorHAnsi"/>
                <w:bCs w:val="0"/>
                <w:sz w:val="19"/>
                <w:szCs w:val="19"/>
              </w:rPr>
            </w:pPr>
            <w:r>
              <w:rPr>
                <w:rFonts w:cstheme="minorHAnsi"/>
                <w:bCs w:val="0"/>
                <w:sz w:val="19"/>
                <w:szCs w:val="19"/>
              </w:rPr>
              <w:tab/>
              <w:t>Severe intensity</w:t>
            </w:r>
          </w:p>
        </w:tc>
        <w:tc>
          <w:tcPr>
            <w:tcW w:w="1501" w:type="pct"/>
          </w:tcPr>
          <w:p w14:paraId="45811463" w14:textId="77777777" w:rsidR="004F7C73" w:rsidRPr="002C7DF8" w:rsidRDefault="004F7C73" w:rsidP="00C86F74">
            <w:pPr>
              <w:pStyle w:val="TableText0"/>
              <w:jc w:val="center"/>
              <w:rPr>
                <w:rFonts w:eastAsia="Calibri" w:cs="Calibri"/>
                <w:bCs w:val="0"/>
                <w:szCs w:val="20"/>
                <w:lang w:val="en-US"/>
              </w:rPr>
            </w:pPr>
            <w:r>
              <w:rPr>
                <w:rFonts w:eastAsia="Calibri" w:cs="Calibri"/>
                <w:szCs w:val="20"/>
              </w:rPr>
              <w:t>4 (8%)</w:t>
            </w:r>
          </w:p>
        </w:tc>
        <w:tc>
          <w:tcPr>
            <w:tcW w:w="1468" w:type="pct"/>
          </w:tcPr>
          <w:p w14:paraId="03F7F4EF"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NR</w:t>
            </w:r>
          </w:p>
        </w:tc>
      </w:tr>
      <w:tr w:rsidR="004F7C73" w:rsidRPr="002C7DF8" w14:paraId="62F5DE76" w14:textId="77777777" w:rsidTr="00C86F74">
        <w:tc>
          <w:tcPr>
            <w:tcW w:w="2031" w:type="pct"/>
          </w:tcPr>
          <w:p w14:paraId="655443F9"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Any SAE</w:t>
            </w:r>
          </w:p>
        </w:tc>
        <w:tc>
          <w:tcPr>
            <w:tcW w:w="1501" w:type="pct"/>
          </w:tcPr>
          <w:p w14:paraId="6CC0A1AA" w14:textId="77777777" w:rsidR="004F7C73" w:rsidRPr="002C7DF8" w:rsidRDefault="004F7C73" w:rsidP="00C86F74">
            <w:pPr>
              <w:pStyle w:val="TableText0"/>
              <w:jc w:val="center"/>
              <w:rPr>
                <w:rFonts w:eastAsia="Calibri" w:cs="Calibri"/>
                <w:bCs w:val="0"/>
                <w:szCs w:val="20"/>
                <w:lang w:val="en-US"/>
              </w:rPr>
            </w:pPr>
            <w:r>
              <w:rPr>
                <w:rFonts w:eastAsia="Calibri" w:cs="Calibri"/>
                <w:szCs w:val="20"/>
              </w:rPr>
              <w:t>10 (20%)</w:t>
            </w:r>
          </w:p>
        </w:tc>
        <w:tc>
          <w:tcPr>
            <w:tcW w:w="1468" w:type="pct"/>
          </w:tcPr>
          <w:p w14:paraId="3506DA6A"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12 (24%)</w:t>
            </w:r>
          </w:p>
        </w:tc>
      </w:tr>
      <w:tr w:rsidR="004F7C73" w:rsidRPr="002C7DF8" w14:paraId="306F5A22" w14:textId="77777777" w:rsidTr="00C86F74">
        <w:tc>
          <w:tcPr>
            <w:tcW w:w="2031" w:type="pct"/>
          </w:tcPr>
          <w:p w14:paraId="0D64396D"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ab/>
              <w:t>Adrenal insufficiency</w:t>
            </w:r>
          </w:p>
        </w:tc>
        <w:tc>
          <w:tcPr>
            <w:tcW w:w="1501" w:type="pct"/>
          </w:tcPr>
          <w:p w14:paraId="58FBB4EE" w14:textId="77777777" w:rsidR="004F7C73" w:rsidRPr="002C7DF8" w:rsidRDefault="004F7C73" w:rsidP="00C86F74">
            <w:pPr>
              <w:pStyle w:val="TableText0"/>
              <w:jc w:val="center"/>
              <w:rPr>
                <w:rFonts w:eastAsia="Calibri" w:cs="Calibri"/>
                <w:bCs w:val="0"/>
                <w:szCs w:val="20"/>
                <w:lang w:val="en-US"/>
              </w:rPr>
            </w:pPr>
            <w:r w:rsidRPr="007A0C3F">
              <w:rPr>
                <w:rFonts w:eastAsia="Calibri" w:cs="Calibri"/>
                <w:szCs w:val="20"/>
              </w:rPr>
              <w:t>6 (12</w:t>
            </w:r>
            <w:r>
              <w:rPr>
                <w:rFonts w:eastAsia="Calibri" w:cs="Calibri"/>
                <w:szCs w:val="20"/>
              </w:rPr>
              <w:t>%</w:t>
            </w:r>
            <w:r w:rsidRPr="007A0C3F">
              <w:rPr>
                <w:rFonts w:eastAsia="Calibri" w:cs="Calibri"/>
                <w:szCs w:val="20"/>
              </w:rPr>
              <w:t>)</w:t>
            </w:r>
          </w:p>
        </w:tc>
        <w:tc>
          <w:tcPr>
            <w:tcW w:w="1468" w:type="pct"/>
          </w:tcPr>
          <w:p w14:paraId="4B59005A"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6 (12%)</w:t>
            </w:r>
          </w:p>
        </w:tc>
      </w:tr>
      <w:tr w:rsidR="004F7C73" w:rsidRPr="002C7DF8" w14:paraId="22D37542" w14:textId="77777777" w:rsidTr="00C86F74">
        <w:tc>
          <w:tcPr>
            <w:tcW w:w="2031" w:type="pct"/>
          </w:tcPr>
          <w:p w14:paraId="3AE1913C"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Discontinuation due to AE</w:t>
            </w:r>
          </w:p>
        </w:tc>
        <w:tc>
          <w:tcPr>
            <w:tcW w:w="1501" w:type="pct"/>
          </w:tcPr>
          <w:p w14:paraId="7A8D7E30" w14:textId="77777777" w:rsidR="004F7C73" w:rsidRPr="002C7DF8" w:rsidRDefault="004F7C73" w:rsidP="00C86F74">
            <w:pPr>
              <w:pStyle w:val="TableText0"/>
              <w:jc w:val="center"/>
              <w:rPr>
                <w:rFonts w:eastAsia="Calibri" w:cs="Calibri"/>
                <w:bCs w:val="0"/>
                <w:szCs w:val="20"/>
                <w:lang w:val="en-US"/>
              </w:rPr>
            </w:pPr>
            <w:r w:rsidRPr="007A0C3F">
              <w:rPr>
                <w:rFonts w:eastAsia="Calibri" w:cs="Calibri"/>
                <w:szCs w:val="20"/>
              </w:rPr>
              <w:t>1 (2</w:t>
            </w:r>
            <w:r>
              <w:rPr>
                <w:rFonts w:eastAsia="Calibri" w:cs="Calibri"/>
                <w:szCs w:val="20"/>
              </w:rPr>
              <w:t>%</w:t>
            </w:r>
            <w:r w:rsidRPr="007A0C3F">
              <w:rPr>
                <w:rFonts w:eastAsia="Calibri" w:cs="Calibri"/>
                <w:szCs w:val="20"/>
              </w:rPr>
              <w:t>)</w:t>
            </w:r>
          </w:p>
        </w:tc>
        <w:tc>
          <w:tcPr>
            <w:tcW w:w="1468" w:type="pct"/>
          </w:tcPr>
          <w:p w14:paraId="212EFE03"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4 (8%)</w:t>
            </w:r>
          </w:p>
        </w:tc>
      </w:tr>
      <w:tr w:rsidR="004F7C73" w:rsidRPr="002C7DF8" w14:paraId="131FDEE2" w14:textId="77777777" w:rsidTr="00C86F74">
        <w:tc>
          <w:tcPr>
            <w:tcW w:w="2031" w:type="pct"/>
            <w:tcBorders>
              <w:bottom w:val="single" w:sz="4" w:space="0" w:color="auto"/>
            </w:tcBorders>
          </w:tcPr>
          <w:p w14:paraId="25463959" w14:textId="77777777" w:rsidR="004F7C73" w:rsidRDefault="004F7C73" w:rsidP="00C86F74">
            <w:pPr>
              <w:pStyle w:val="TableText0"/>
              <w:tabs>
                <w:tab w:val="left" w:pos="102"/>
              </w:tabs>
              <w:rPr>
                <w:rFonts w:cstheme="minorHAnsi"/>
                <w:bCs w:val="0"/>
                <w:sz w:val="19"/>
                <w:szCs w:val="19"/>
              </w:rPr>
            </w:pPr>
            <w:r>
              <w:rPr>
                <w:rFonts w:cstheme="minorHAnsi"/>
                <w:bCs w:val="0"/>
                <w:sz w:val="19"/>
                <w:szCs w:val="19"/>
              </w:rPr>
              <w:t>Dose reduction related to AEs</w:t>
            </w:r>
          </w:p>
        </w:tc>
        <w:tc>
          <w:tcPr>
            <w:tcW w:w="1501" w:type="pct"/>
            <w:tcBorders>
              <w:bottom w:val="single" w:sz="4" w:space="0" w:color="auto"/>
            </w:tcBorders>
          </w:tcPr>
          <w:p w14:paraId="1212D30B" w14:textId="77777777" w:rsidR="004F7C73" w:rsidRDefault="004F7C73" w:rsidP="00C86F74">
            <w:pPr>
              <w:pStyle w:val="TableText0"/>
              <w:jc w:val="center"/>
              <w:rPr>
                <w:rFonts w:eastAsia="Calibri" w:cs="Calibri"/>
                <w:szCs w:val="20"/>
              </w:rPr>
            </w:pPr>
            <w:r>
              <w:rPr>
                <w:rFonts w:eastAsia="Calibri" w:cs="Calibri"/>
                <w:szCs w:val="20"/>
              </w:rPr>
              <w:t>5 (10%)</w:t>
            </w:r>
          </w:p>
        </w:tc>
        <w:tc>
          <w:tcPr>
            <w:tcW w:w="1468" w:type="pct"/>
            <w:tcBorders>
              <w:bottom w:val="single" w:sz="4" w:space="0" w:color="auto"/>
            </w:tcBorders>
          </w:tcPr>
          <w:p w14:paraId="7736F9F3"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6 (12%)</w:t>
            </w:r>
          </w:p>
        </w:tc>
      </w:tr>
      <w:tr w:rsidR="004F7C73" w:rsidRPr="002C7DF8" w14:paraId="1369D45F" w14:textId="77777777" w:rsidTr="00C86F74">
        <w:tc>
          <w:tcPr>
            <w:tcW w:w="2031" w:type="pct"/>
            <w:tcBorders>
              <w:bottom w:val="double" w:sz="4" w:space="0" w:color="auto"/>
            </w:tcBorders>
          </w:tcPr>
          <w:p w14:paraId="48B64477"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Temporary dose interruption related to AE</w:t>
            </w:r>
          </w:p>
        </w:tc>
        <w:tc>
          <w:tcPr>
            <w:tcW w:w="1501" w:type="pct"/>
            <w:tcBorders>
              <w:bottom w:val="double" w:sz="4" w:space="0" w:color="auto"/>
            </w:tcBorders>
          </w:tcPr>
          <w:p w14:paraId="136D6432" w14:textId="77777777" w:rsidR="004F7C73" w:rsidRPr="002C7DF8" w:rsidRDefault="004F7C73" w:rsidP="00C86F74">
            <w:pPr>
              <w:pStyle w:val="TableText0"/>
              <w:jc w:val="center"/>
              <w:rPr>
                <w:rFonts w:eastAsia="Calibri" w:cs="Calibri"/>
                <w:bCs w:val="0"/>
                <w:szCs w:val="20"/>
                <w:lang w:val="en-US"/>
              </w:rPr>
            </w:pPr>
            <w:r>
              <w:rPr>
                <w:rFonts w:eastAsia="Calibri" w:cs="Calibri"/>
                <w:szCs w:val="20"/>
              </w:rPr>
              <w:t>7 (14%)</w:t>
            </w:r>
          </w:p>
        </w:tc>
        <w:tc>
          <w:tcPr>
            <w:tcW w:w="1468" w:type="pct"/>
            <w:tcBorders>
              <w:bottom w:val="double" w:sz="4" w:space="0" w:color="auto"/>
            </w:tcBorders>
          </w:tcPr>
          <w:p w14:paraId="66A99945"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9 (18%)</w:t>
            </w:r>
          </w:p>
        </w:tc>
      </w:tr>
      <w:tr w:rsidR="004F7C73" w:rsidRPr="002C7DF8" w14:paraId="6C67239A" w14:textId="77777777" w:rsidTr="00C86F74">
        <w:tc>
          <w:tcPr>
            <w:tcW w:w="2031" w:type="pct"/>
          </w:tcPr>
          <w:p w14:paraId="549BD044" w14:textId="1A2778FC" w:rsidR="004F7C73" w:rsidRDefault="004F7C73" w:rsidP="00C86F74">
            <w:pPr>
              <w:pStyle w:val="TableText0"/>
              <w:tabs>
                <w:tab w:val="left" w:pos="102"/>
              </w:tabs>
              <w:rPr>
                <w:rFonts w:cstheme="minorHAnsi"/>
                <w:bCs w:val="0"/>
                <w:sz w:val="19"/>
                <w:szCs w:val="19"/>
              </w:rPr>
            </w:pPr>
            <w:r>
              <w:rPr>
                <w:rFonts w:eastAsia="Calibri" w:cs="Calibri"/>
                <w:b/>
                <w:szCs w:val="20"/>
                <w:lang w:val="en-US"/>
              </w:rPr>
              <w:t>Summary of AEs for ketoconazole</w:t>
            </w:r>
          </w:p>
        </w:tc>
        <w:tc>
          <w:tcPr>
            <w:tcW w:w="1501" w:type="pct"/>
          </w:tcPr>
          <w:p w14:paraId="78919764" w14:textId="77777777" w:rsidR="004F7C73" w:rsidRPr="00B84117" w:rsidRDefault="004F7C73" w:rsidP="00C86F74">
            <w:pPr>
              <w:pStyle w:val="In-tableHeading"/>
              <w:jc w:val="center"/>
            </w:pPr>
            <w:r>
              <w:t>Castinetti 2008 (N=38)</w:t>
            </w:r>
          </w:p>
        </w:tc>
        <w:tc>
          <w:tcPr>
            <w:tcW w:w="1468" w:type="pct"/>
          </w:tcPr>
          <w:p w14:paraId="0469DD9B" w14:textId="77777777" w:rsidR="004F7C73" w:rsidRPr="00B84117" w:rsidRDefault="004F7C73" w:rsidP="00C86F74">
            <w:pPr>
              <w:pStyle w:val="In-tableHeading"/>
              <w:jc w:val="center"/>
            </w:pPr>
            <w:r>
              <w:t>Castinetti 2014 (N=190)</w:t>
            </w:r>
          </w:p>
        </w:tc>
      </w:tr>
      <w:tr w:rsidR="004F7C73" w:rsidRPr="002C7DF8" w14:paraId="78F85D1C" w14:textId="77777777" w:rsidTr="00C86F74">
        <w:tc>
          <w:tcPr>
            <w:tcW w:w="2031" w:type="pct"/>
          </w:tcPr>
          <w:p w14:paraId="4BCDAFCC" w14:textId="77777777" w:rsidR="004F7C73" w:rsidRDefault="004F7C73" w:rsidP="00C86F74">
            <w:pPr>
              <w:pStyle w:val="TableText0"/>
              <w:tabs>
                <w:tab w:val="left" w:pos="102"/>
              </w:tabs>
              <w:rPr>
                <w:rFonts w:cstheme="minorHAnsi"/>
                <w:bCs w:val="0"/>
                <w:szCs w:val="20"/>
              </w:rPr>
            </w:pPr>
            <w:r>
              <w:rPr>
                <w:rFonts w:eastAsia="Calibri" w:cs="Calibri"/>
                <w:szCs w:val="20"/>
                <w:lang w:val="en-US"/>
              </w:rPr>
              <w:t>Median follow-up, months (range)</w:t>
            </w:r>
          </w:p>
        </w:tc>
        <w:tc>
          <w:tcPr>
            <w:tcW w:w="1501" w:type="pct"/>
          </w:tcPr>
          <w:p w14:paraId="2CDE11D5" w14:textId="77777777" w:rsidR="004F7C73" w:rsidRPr="002C7DF8" w:rsidRDefault="004F7C73" w:rsidP="00C86F74">
            <w:pPr>
              <w:pStyle w:val="TableText0"/>
              <w:jc w:val="center"/>
              <w:rPr>
                <w:bCs w:val="0"/>
                <w:szCs w:val="20"/>
              </w:rPr>
            </w:pPr>
            <w:r>
              <w:rPr>
                <w:rFonts w:eastAsia="Calibri" w:cs="Calibri"/>
                <w:szCs w:val="20"/>
                <w:lang w:val="en-US"/>
              </w:rPr>
              <w:t>12 (0.2 - 72)</w:t>
            </w:r>
          </w:p>
        </w:tc>
        <w:tc>
          <w:tcPr>
            <w:tcW w:w="1468" w:type="pct"/>
          </w:tcPr>
          <w:p w14:paraId="5E5EE15C" w14:textId="77777777" w:rsidR="004F7C73" w:rsidRPr="002C7DF8" w:rsidRDefault="004F7C73" w:rsidP="00C86F74">
            <w:pPr>
              <w:pStyle w:val="TableText0"/>
              <w:jc w:val="center"/>
              <w:rPr>
                <w:bCs w:val="0"/>
                <w:szCs w:val="20"/>
              </w:rPr>
            </w:pPr>
            <w:r>
              <w:rPr>
                <w:bCs w:val="0"/>
                <w:szCs w:val="20"/>
              </w:rPr>
              <w:t>NR</w:t>
            </w:r>
          </w:p>
        </w:tc>
      </w:tr>
      <w:tr w:rsidR="004F7C73" w:rsidRPr="002C7DF8" w14:paraId="2D5564C5" w14:textId="77777777" w:rsidTr="00C86F74">
        <w:tc>
          <w:tcPr>
            <w:tcW w:w="2031" w:type="pct"/>
          </w:tcPr>
          <w:p w14:paraId="6B190171" w14:textId="77777777" w:rsidR="004F7C73" w:rsidRPr="00086C2E" w:rsidRDefault="004F7C73" w:rsidP="00C86F74">
            <w:pPr>
              <w:pStyle w:val="TableText0"/>
              <w:tabs>
                <w:tab w:val="left" w:pos="102"/>
              </w:tabs>
              <w:rPr>
                <w:rFonts w:cstheme="minorHAnsi"/>
                <w:bCs w:val="0"/>
                <w:szCs w:val="20"/>
              </w:rPr>
            </w:pPr>
            <w:r>
              <w:rPr>
                <w:rFonts w:cstheme="minorHAnsi"/>
                <w:bCs w:val="0"/>
                <w:sz w:val="19"/>
                <w:szCs w:val="19"/>
              </w:rPr>
              <w:t>Discontinuation due to AE</w:t>
            </w:r>
          </w:p>
        </w:tc>
        <w:tc>
          <w:tcPr>
            <w:tcW w:w="1501" w:type="pct"/>
          </w:tcPr>
          <w:p w14:paraId="39593912" w14:textId="77777777" w:rsidR="004F7C73" w:rsidRPr="002C7DF8" w:rsidRDefault="004F7C73" w:rsidP="00C86F74">
            <w:pPr>
              <w:pStyle w:val="TableText0"/>
              <w:jc w:val="center"/>
              <w:rPr>
                <w:bCs w:val="0"/>
                <w:szCs w:val="20"/>
              </w:rPr>
            </w:pPr>
            <w:r>
              <w:rPr>
                <w:rFonts w:eastAsia="Calibri" w:cs="Calibri"/>
                <w:szCs w:val="20"/>
                <w:lang w:val="en-US"/>
              </w:rPr>
              <w:t>5 (13.2%)</w:t>
            </w:r>
          </w:p>
        </w:tc>
        <w:tc>
          <w:tcPr>
            <w:tcW w:w="1468" w:type="pct"/>
          </w:tcPr>
          <w:p w14:paraId="2EEF4C78" w14:textId="77777777" w:rsidR="004F7C73" w:rsidRPr="002C7DF8" w:rsidRDefault="004F7C73" w:rsidP="00C86F74">
            <w:pPr>
              <w:pStyle w:val="TableText0"/>
              <w:jc w:val="center"/>
              <w:rPr>
                <w:bCs w:val="0"/>
                <w:szCs w:val="20"/>
              </w:rPr>
            </w:pPr>
            <w:r>
              <w:rPr>
                <w:bCs w:val="0"/>
                <w:szCs w:val="20"/>
              </w:rPr>
              <w:t>41 (20.5%)</w:t>
            </w:r>
            <w:r w:rsidRPr="00EB2364">
              <w:rPr>
                <w:bCs w:val="0"/>
                <w:szCs w:val="20"/>
                <w:vertAlign w:val="superscript"/>
              </w:rPr>
              <w:t>a</w:t>
            </w:r>
          </w:p>
        </w:tc>
      </w:tr>
      <w:tr w:rsidR="004F7C73" w:rsidRPr="002C7DF8" w14:paraId="70EB65F5" w14:textId="77777777" w:rsidTr="00C86F74">
        <w:tc>
          <w:tcPr>
            <w:tcW w:w="2031" w:type="pct"/>
          </w:tcPr>
          <w:p w14:paraId="4007B6DA" w14:textId="77777777" w:rsidR="004F7C73" w:rsidRPr="002C7DF8" w:rsidRDefault="004F7C73" w:rsidP="00C86F74">
            <w:pPr>
              <w:pStyle w:val="TableText0"/>
              <w:tabs>
                <w:tab w:val="left" w:pos="102"/>
              </w:tabs>
              <w:rPr>
                <w:rFonts w:cstheme="minorHAnsi"/>
                <w:bCs w:val="0"/>
                <w:szCs w:val="20"/>
              </w:rPr>
            </w:pPr>
            <w:r>
              <w:rPr>
                <w:rFonts w:eastAsia="Calibri" w:cs="Calibri"/>
                <w:szCs w:val="20"/>
                <w:lang w:val="en-US"/>
              </w:rPr>
              <w:t xml:space="preserve">Severe increase in </w:t>
            </w:r>
            <w:r w:rsidRPr="005B6BEA">
              <w:rPr>
                <w:rFonts w:eastAsia="Calibri" w:cs="Calibri"/>
                <w:szCs w:val="20"/>
                <w:lang w:val="en-US"/>
              </w:rPr>
              <w:t>γ-GT</w:t>
            </w:r>
            <w:r>
              <w:rPr>
                <w:rFonts w:eastAsia="Calibri" w:cs="Calibri"/>
                <w:szCs w:val="20"/>
                <w:lang w:val="en-US"/>
              </w:rPr>
              <w:t xml:space="preserve"> (5-fold increase)</w:t>
            </w:r>
          </w:p>
        </w:tc>
        <w:tc>
          <w:tcPr>
            <w:tcW w:w="1501" w:type="pct"/>
          </w:tcPr>
          <w:p w14:paraId="02FEA882" w14:textId="77777777" w:rsidR="004F7C73" w:rsidRPr="002C7DF8" w:rsidRDefault="004F7C73" w:rsidP="00C86F74">
            <w:pPr>
              <w:pStyle w:val="TableText0"/>
              <w:jc w:val="center"/>
              <w:rPr>
                <w:bCs w:val="0"/>
                <w:szCs w:val="20"/>
              </w:rPr>
            </w:pPr>
            <w:r>
              <w:rPr>
                <w:rFonts w:eastAsia="Calibri" w:cs="Calibri"/>
                <w:szCs w:val="20"/>
                <w:lang w:val="en-US"/>
              </w:rPr>
              <w:t>1 (2.6%)</w:t>
            </w:r>
          </w:p>
        </w:tc>
        <w:tc>
          <w:tcPr>
            <w:tcW w:w="1468" w:type="pct"/>
          </w:tcPr>
          <w:p w14:paraId="7E93387F" w14:textId="77777777" w:rsidR="004F7C73" w:rsidRPr="002C7DF8" w:rsidRDefault="004F7C73" w:rsidP="00C86F74">
            <w:pPr>
              <w:pStyle w:val="TableText0"/>
              <w:jc w:val="center"/>
              <w:rPr>
                <w:bCs w:val="0"/>
                <w:szCs w:val="20"/>
              </w:rPr>
            </w:pPr>
            <w:r>
              <w:rPr>
                <w:bCs w:val="0"/>
                <w:szCs w:val="20"/>
              </w:rPr>
              <w:t>NR</w:t>
            </w:r>
          </w:p>
        </w:tc>
      </w:tr>
      <w:tr w:rsidR="004F7C73" w:rsidRPr="002C7DF8" w14:paraId="39D6F7BE" w14:textId="77777777" w:rsidTr="00C86F74">
        <w:tc>
          <w:tcPr>
            <w:tcW w:w="2031" w:type="pct"/>
          </w:tcPr>
          <w:p w14:paraId="11B368A9" w14:textId="77777777" w:rsidR="004F7C73" w:rsidRPr="002C7DF8" w:rsidRDefault="004F7C73" w:rsidP="00C86F74">
            <w:pPr>
              <w:pStyle w:val="TableText0"/>
              <w:tabs>
                <w:tab w:val="left" w:pos="102"/>
              </w:tabs>
              <w:rPr>
                <w:rFonts w:cstheme="minorHAnsi"/>
                <w:bCs w:val="0"/>
                <w:sz w:val="19"/>
                <w:szCs w:val="19"/>
              </w:rPr>
            </w:pPr>
            <w:r>
              <w:rPr>
                <w:rFonts w:eastAsia="Calibri" w:cs="Calibri"/>
                <w:szCs w:val="20"/>
                <w:lang w:val="en-US"/>
              </w:rPr>
              <w:t>Clinical intolerance (nausea and diarrhea)</w:t>
            </w:r>
          </w:p>
        </w:tc>
        <w:tc>
          <w:tcPr>
            <w:tcW w:w="1501" w:type="pct"/>
          </w:tcPr>
          <w:p w14:paraId="2AC2CA3A" w14:textId="77777777" w:rsidR="004F7C73" w:rsidRPr="002C7DF8" w:rsidRDefault="004F7C73" w:rsidP="00C86F74">
            <w:pPr>
              <w:pStyle w:val="TableText0"/>
              <w:jc w:val="center"/>
              <w:rPr>
                <w:rFonts w:eastAsia="Calibri" w:cs="Calibri"/>
                <w:bCs w:val="0"/>
                <w:szCs w:val="20"/>
                <w:lang w:val="en-US"/>
              </w:rPr>
            </w:pPr>
            <w:r>
              <w:rPr>
                <w:rFonts w:eastAsia="Calibri" w:cs="Calibri"/>
                <w:szCs w:val="20"/>
                <w:lang w:val="en-US"/>
              </w:rPr>
              <w:t>7 (18.4%)</w:t>
            </w:r>
          </w:p>
        </w:tc>
        <w:tc>
          <w:tcPr>
            <w:tcW w:w="1468" w:type="pct"/>
          </w:tcPr>
          <w:p w14:paraId="0DD4DAB5"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NR</w:t>
            </w:r>
          </w:p>
        </w:tc>
      </w:tr>
      <w:tr w:rsidR="004F7C73" w:rsidRPr="002C7DF8" w14:paraId="7FC2E272" w14:textId="77777777" w:rsidTr="00C86F74">
        <w:tc>
          <w:tcPr>
            <w:tcW w:w="2031" w:type="pct"/>
          </w:tcPr>
          <w:p w14:paraId="06EB1163" w14:textId="77777777" w:rsidR="004F7C73" w:rsidRPr="002C7DF8" w:rsidRDefault="004F7C73" w:rsidP="00C86F74">
            <w:pPr>
              <w:pStyle w:val="TableText0"/>
              <w:tabs>
                <w:tab w:val="left" w:pos="102"/>
              </w:tabs>
              <w:rPr>
                <w:rFonts w:cstheme="minorHAnsi"/>
                <w:bCs w:val="0"/>
                <w:sz w:val="19"/>
                <w:szCs w:val="19"/>
              </w:rPr>
            </w:pPr>
            <w:r>
              <w:rPr>
                <w:rFonts w:eastAsia="Calibri" w:cs="Calibri"/>
                <w:szCs w:val="20"/>
                <w:lang w:val="en-US"/>
              </w:rPr>
              <w:t>Biological intolerance (8 x ULN in AST and ALT)</w:t>
            </w:r>
          </w:p>
        </w:tc>
        <w:tc>
          <w:tcPr>
            <w:tcW w:w="1501" w:type="pct"/>
          </w:tcPr>
          <w:p w14:paraId="0306C2E2" w14:textId="77777777" w:rsidR="004F7C73" w:rsidRPr="002C7DF8" w:rsidRDefault="004F7C73" w:rsidP="00C86F74">
            <w:pPr>
              <w:pStyle w:val="TableText0"/>
              <w:jc w:val="center"/>
              <w:rPr>
                <w:rFonts w:eastAsia="Calibri" w:cs="Calibri"/>
                <w:bCs w:val="0"/>
                <w:szCs w:val="20"/>
                <w:lang w:val="en-US"/>
              </w:rPr>
            </w:pPr>
            <w:r>
              <w:rPr>
                <w:rFonts w:eastAsia="Calibri" w:cs="Calibri"/>
                <w:szCs w:val="20"/>
                <w:lang w:val="en-US"/>
              </w:rPr>
              <w:t>1 (2.6%)</w:t>
            </w:r>
          </w:p>
        </w:tc>
        <w:tc>
          <w:tcPr>
            <w:tcW w:w="1468" w:type="pct"/>
          </w:tcPr>
          <w:p w14:paraId="356F0941"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NR</w:t>
            </w:r>
          </w:p>
        </w:tc>
      </w:tr>
      <w:tr w:rsidR="004F7C73" w:rsidRPr="002C7DF8" w14:paraId="72ADBAEE" w14:textId="77777777" w:rsidTr="00C86F74">
        <w:tc>
          <w:tcPr>
            <w:tcW w:w="2031" w:type="pct"/>
          </w:tcPr>
          <w:p w14:paraId="72762C77" w14:textId="77777777" w:rsidR="004F7C73" w:rsidRPr="002C7DF8" w:rsidRDefault="004F7C73" w:rsidP="00C86F74">
            <w:pPr>
              <w:pStyle w:val="TableText0"/>
              <w:tabs>
                <w:tab w:val="left" w:pos="102"/>
              </w:tabs>
              <w:rPr>
                <w:rFonts w:cstheme="minorHAnsi"/>
                <w:bCs w:val="0"/>
                <w:sz w:val="19"/>
                <w:szCs w:val="19"/>
              </w:rPr>
            </w:pPr>
            <w:r>
              <w:rPr>
                <w:rFonts w:eastAsia="Calibri" w:cs="Calibri"/>
                <w:szCs w:val="20"/>
                <w:lang w:val="en-US"/>
              </w:rPr>
              <w:t>Adrenal insufficiency</w:t>
            </w:r>
          </w:p>
        </w:tc>
        <w:tc>
          <w:tcPr>
            <w:tcW w:w="1501" w:type="pct"/>
          </w:tcPr>
          <w:p w14:paraId="3A94D794" w14:textId="77777777" w:rsidR="004F7C73" w:rsidRPr="002C7DF8" w:rsidRDefault="004F7C73" w:rsidP="00C86F74">
            <w:pPr>
              <w:pStyle w:val="TableText0"/>
              <w:jc w:val="center"/>
              <w:rPr>
                <w:rFonts w:eastAsia="Calibri" w:cs="Calibri"/>
                <w:bCs w:val="0"/>
                <w:szCs w:val="20"/>
                <w:lang w:val="en-US"/>
              </w:rPr>
            </w:pPr>
            <w:r>
              <w:rPr>
                <w:rFonts w:eastAsia="Calibri" w:cs="Calibri"/>
                <w:szCs w:val="20"/>
                <w:lang w:val="en-US"/>
              </w:rPr>
              <w:t>0</w:t>
            </w:r>
          </w:p>
        </w:tc>
        <w:tc>
          <w:tcPr>
            <w:tcW w:w="1468" w:type="pct"/>
          </w:tcPr>
          <w:p w14:paraId="7B1F1677"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10 (5.4%)</w:t>
            </w:r>
          </w:p>
        </w:tc>
      </w:tr>
      <w:tr w:rsidR="004F7C73" w:rsidRPr="002C7DF8" w14:paraId="3482E58D" w14:textId="77777777" w:rsidTr="00C86F74">
        <w:tc>
          <w:tcPr>
            <w:tcW w:w="2031" w:type="pct"/>
          </w:tcPr>
          <w:p w14:paraId="0DE9254A"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Liver enzyme increase</w:t>
            </w:r>
          </w:p>
        </w:tc>
        <w:tc>
          <w:tcPr>
            <w:tcW w:w="1501" w:type="pct"/>
          </w:tcPr>
          <w:p w14:paraId="44483FDB" w14:textId="77777777" w:rsidR="004F7C73" w:rsidRDefault="004F7C73" w:rsidP="00C86F74">
            <w:pPr>
              <w:pStyle w:val="TableText0"/>
              <w:jc w:val="center"/>
              <w:rPr>
                <w:rFonts w:eastAsia="Calibri" w:cs="Calibri"/>
                <w:szCs w:val="20"/>
              </w:rPr>
            </w:pPr>
          </w:p>
        </w:tc>
        <w:tc>
          <w:tcPr>
            <w:tcW w:w="1468" w:type="pct"/>
          </w:tcPr>
          <w:p w14:paraId="22C68256" w14:textId="77777777" w:rsidR="004F7C73" w:rsidRDefault="004F7C73" w:rsidP="00C86F74">
            <w:pPr>
              <w:pStyle w:val="TableText0"/>
              <w:jc w:val="center"/>
              <w:rPr>
                <w:rFonts w:eastAsia="Calibri" w:cs="Calibri"/>
                <w:bCs w:val="0"/>
                <w:szCs w:val="20"/>
                <w:lang w:val="en-US"/>
              </w:rPr>
            </w:pPr>
          </w:p>
        </w:tc>
      </w:tr>
      <w:tr w:rsidR="004F7C73" w:rsidRPr="002C7DF8" w14:paraId="06C49D80" w14:textId="77777777" w:rsidTr="00C86F74">
        <w:tc>
          <w:tcPr>
            <w:tcW w:w="2031" w:type="pct"/>
          </w:tcPr>
          <w:p w14:paraId="1CAD1091"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ab/>
              <w:t>≤5 × ULN</w:t>
            </w:r>
          </w:p>
        </w:tc>
        <w:tc>
          <w:tcPr>
            <w:tcW w:w="1501" w:type="pct"/>
            <w:vMerge w:val="restart"/>
          </w:tcPr>
          <w:p w14:paraId="366142F3" w14:textId="77777777" w:rsidR="004F7C73" w:rsidRDefault="004F7C73" w:rsidP="00C86F74">
            <w:pPr>
              <w:pStyle w:val="TableText0"/>
              <w:jc w:val="center"/>
              <w:rPr>
                <w:rFonts w:eastAsia="Calibri" w:cs="Calibri"/>
                <w:szCs w:val="20"/>
              </w:rPr>
            </w:pPr>
            <w:r>
              <w:rPr>
                <w:rFonts w:eastAsia="Calibri" w:cs="Calibri"/>
                <w:szCs w:val="20"/>
              </w:rPr>
              <w:t>NR</w:t>
            </w:r>
          </w:p>
        </w:tc>
        <w:tc>
          <w:tcPr>
            <w:tcW w:w="1468" w:type="pct"/>
          </w:tcPr>
          <w:p w14:paraId="4C522790"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30 (15.8%)</w:t>
            </w:r>
          </w:p>
        </w:tc>
      </w:tr>
      <w:tr w:rsidR="004F7C73" w:rsidRPr="002C7DF8" w14:paraId="2144D3F1" w14:textId="77777777" w:rsidTr="00C86F74">
        <w:tc>
          <w:tcPr>
            <w:tcW w:w="2031" w:type="pct"/>
          </w:tcPr>
          <w:p w14:paraId="3FDAF757"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ab/>
              <w:t>5 to 10 × ULN</w:t>
            </w:r>
          </w:p>
        </w:tc>
        <w:tc>
          <w:tcPr>
            <w:tcW w:w="1501" w:type="pct"/>
            <w:vMerge/>
          </w:tcPr>
          <w:p w14:paraId="4E4F9527" w14:textId="77777777" w:rsidR="004F7C73" w:rsidRDefault="004F7C73" w:rsidP="00C86F74">
            <w:pPr>
              <w:pStyle w:val="TableText0"/>
              <w:jc w:val="center"/>
              <w:rPr>
                <w:rFonts w:eastAsia="Calibri" w:cs="Calibri"/>
                <w:szCs w:val="20"/>
              </w:rPr>
            </w:pPr>
          </w:p>
        </w:tc>
        <w:tc>
          <w:tcPr>
            <w:tcW w:w="1468" w:type="pct"/>
          </w:tcPr>
          <w:p w14:paraId="5E19DD1F"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4 (2.1%)</w:t>
            </w:r>
          </w:p>
        </w:tc>
      </w:tr>
      <w:tr w:rsidR="004F7C73" w:rsidRPr="002C7DF8" w14:paraId="0D830E3B" w14:textId="77777777" w:rsidTr="00C86F74">
        <w:tc>
          <w:tcPr>
            <w:tcW w:w="2031" w:type="pct"/>
          </w:tcPr>
          <w:p w14:paraId="68838AAE" w14:textId="77777777" w:rsidR="004F7C73" w:rsidRPr="002C7DF8" w:rsidRDefault="004F7C73" w:rsidP="00C86F74">
            <w:pPr>
              <w:pStyle w:val="TableText0"/>
              <w:tabs>
                <w:tab w:val="left" w:pos="102"/>
              </w:tabs>
              <w:rPr>
                <w:rFonts w:cstheme="minorHAnsi"/>
                <w:bCs w:val="0"/>
                <w:sz w:val="19"/>
                <w:szCs w:val="19"/>
              </w:rPr>
            </w:pPr>
            <w:r>
              <w:rPr>
                <w:rFonts w:cstheme="minorHAnsi"/>
                <w:bCs w:val="0"/>
                <w:sz w:val="19"/>
                <w:szCs w:val="19"/>
              </w:rPr>
              <w:tab/>
              <w:t>&gt;10 × ULN</w:t>
            </w:r>
          </w:p>
        </w:tc>
        <w:tc>
          <w:tcPr>
            <w:tcW w:w="1501" w:type="pct"/>
            <w:vMerge/>
          </w:tcPr>
          <w:p w14:paraId="196C3604" w14:textId="77777777" w:rsidR="004F7C73" w:rsidRDefault="004F7C73" w:rsidP="00C86F74">
            <w:pPr>
              <w:pStyle w:val="TableText0"/>
              <w:jc w:val="center"/>
              <w:rPr>
                <w:rFonts w:eastAsia="Calibri" w:cs="Calibri"/>
                <w:szCs w:val="20"/>
              </w:rPr>
            </w:pPr>
          </w:p>
        </w:tc>
        <w:tc>
          <w:tcPr>
            <w:tcW w:w="1468" w:type="pct"/>
          </w:tcPr>
          <w:p w14:paraId="6760F425" w14:textId="77777777" w:rsidR="004F7C73" w:rsidRPr="002C7DF8" w:rsidRDefault="004F7C73" w:rsidP="00C86F74">
            <w:pPr>
              <w:pStyle w:val="TableText0"/>
              <w:jc w:val="center"/>
              <w:rPr>
                <w:rFonts w:eastAsia="Calibri" w:cs="Calibri"/>
                <w:bCs w:val="0"/>
                <w:szCs w:val="20"/>
                <w:lang w:val="en-US"/>
              </w:rPr>
            </w:pPr>
            <w:r>
              <w:rPr>
                <w:rFonts w:eastAsia="Calibri" w:cs="Calibri"/>
                <w:bCs w:val="0"/>
                <w:szCs w:val="20"/>
                <w:lang w:val="en-US"/>
              </w:rPr>
              <w:t>1 (0.5%)</w:t>
            </w:r>
          </w:p>
        </w:tc>
      </w:tr>
    </w:tbl>
    <w:p w14:paraId="25DF490F" w14:textId="77777777" w:rsidR="004F7C73" w:rsidRPr="00B1011F" w:rsidRDefault="004F7C73" w:rsidP="004F7C73">
      <w:pPr>
        <w:pStyle w:val="FooterTableFigure"/>
        <w:rPr>
          <w:sz w:val="20"/>
        </w:rPr>
      </w:pPr>
      <w:r>
        <w:t xml:space="preserve">Source: </w:t>
      </w:r>
      <w:r w:rsidRPr="00AB08F8">
        <w:t>Table 2.5-69, p183; Table 2.5-71, p184; Table 2.8-31, p247; Table 2.8-32, p248 of the submission.</w:t>
      </w:r>
    </w:p>
    <w:p w14:paraId="02027BC0" w14:textId="77777777" w:rsidR="004F7C73" w:rsidRDefault="004F7C73" w:rsidP="004F7C73">
      <w:pPr>
        <w:pStyle w:val="FooterTableFigure"/>
        <w:rPr>
          <w:rFonts w:eastAsia="Calibri"/>
        </w:rPr>
      </w:pPr>
      <w:r>
        <w:rPr>
          <w:rFonts w:eastAsia="Calibri"/>
        </w:rPr>
        <w:t xml:space="preserve">AE = adverse event; ALT = alanine aminotransferase; AST = aspartate aminotransferase; NR = not reported; SAE = serious adverse event; </w:t>
      </w:r>
      <w:r w:rsidRPr="00C97F7E">
        <w:rPr>
          <w:rFonts w:eastAsia="Calibri" w:cs="Calibri"/>
          <w:szCs w:val="18"/>
          <w:lang w:val="en-US"/>
        </w:rPr>
        <w:t>γ</w:t>
      </w:r>
      <w:r>
        <w:rPr>
          <w:rFonts w:eastAsia="Calibri"/>
        </w:rPr>
        <w:t xml:space="preserve">-GT = </w:t>
      </w:r>
      <w:r w:rsidRPr="00C97F7E">
        <w:rPr>
          <w:rFonts w:eastAsia="Calibri" w:cs="Calibri"/>
          <w:szCs w:val="18"/>
          <w:lang w:val="en-US"/>
        </w:rPr>
        <w:t>γ</w:t>
      </w:r>
      <w:r>
        <w:rPr>
          <w:rFonts w:eastAsia="Calibri"/>
        </w:rPr>
        <w:t>-glutamyl transpeptidase</w:t>
      </w:r>
    </w:p>
    <w:p w14:paraId="12C43B0C" w14:textId="34522A2D" w:rsidR="004F7C73" w:rsidRDefault="004F7C73" w:rsidP="004F7C73">
      <w:pPr>
        <w:pStyle w:val="FooterTableFigure"/>
        <w:tabs>
          <w:tab w:val="left" w:pos="142"/>
        </w:tabs>
      </w:pPr>
      <w:r w:rsidRPr="00EB2364">
        <w:rPr>
          <w:rFonts w:eastAsia="Calibri"/>
          <w:vertAlign w:val="superscript"/>
        </w:rPr>
        <w:t>a</w:t>
      </w:r>
      <w:r>
        <w:rPr>
          <w:rFonts w:eastAsia="Calibri"/>
        </w:rPr>
        <w:tab/>
        <w:t>Discontinuation due to AEs was reported for the ITT population, N=200.</w:t>
      </w:r>
    </w:p>
    <w:p w14:paraId="4B588F8B" w14:textId="3840DD9B" w:rsidR="009E4D4A" w:rsidRPr="009B59F6" w:rsidRDefault="004F7C73" w:rsidP="004F7C73">
      <w:pPr>
        <w:pStyle w:val="3-BodyText"/>
      </w:pPr>
      <w:r w:rsidRPr="009B59F6">
        <w:t>The indirect comparison of safety outcomes</w:t>
      </w:r>
      <w:r w:rsidR="00407AD1" w:rsidRPr="009B59F6">
        <w:t xml:space="preserve"> was based on AEs up to Week 12 for the osilodrostat vs. metyrapone comparison</w:t>
      </w:r>
      <w:r w:rsidR="005A2650" w:rsidRPr="009B59F6">
        <w:t xml:space="preserve"> (</w:t>
      </w:r>
      <w:r w:rsidR="005A2650" w:rsidRPr="009B59F6">
        <w:rPr>
          <w:rFonts w:ascii="Calibri" w:hAnsi="Calibri" w:cs="Calibri"/>
        </w:rPr>
        <w:fldChar w:fldCharType="begin"/>
      </w:r>
      <w:r w:rsidR="005A2650" w:rsidRPr="009B59F6">
        <w:rPr>
          <w:rFonts w:ascii="Calibri" w:hAnsi="Calibri" w:cs="Calibri"/>
        </w:rPr>
        <w:instrText xml:space="preserve"> REF _Ref123590868 \h  \* MERGEFORMAT </w:instrText>
      </w:r>
      <w:r w:rsidR="005A2650" w:rsidRPr="009B59F6">
        <w:rPr>
          <w:rFonts w:ascii="Calibri" w:hAnsi="Calibri" w:cs="Calibri"/>
        </w:rPr>
      </w:r>
      <w:r w:rsidR="005A2650" w:rsidRPr="009B59F6">
        <w:rPr>
          <w:rFonts w:ascii="Calibri" w:hAnsi="Calibri" w:cs="Calibri"/>
        </w:rPr>
        <w:fldChar w:fldCharType="separate"/>
      </w:r>
      <w:r w:rsidR="00A9220E" w:rsidRPr="00A9220E">
        <w:rPr>
          <w:rFonts w:ascii="Calibri" w:hAnsi="Calibri" w:cs="Calibri"/>
        </w:rPr>
        <w:t xml:space="preserve">Table </w:t>
      </w:r>
      <w:r w:rsidR="00A9220E" w:rsidRPr="00A9220E">
        <w:rPr>
          <w:rFonts w:ascii="Calibri" w:hAnsi="Calibri" w:cs="Calibri"/>
          <w:noProof/>
        </w:rPr>
        <w:t>12</w:t>
      </w:r>
      <w:r w:rsidR="005A2650" w:rsidRPr="009B59F6">
        <w:rPr>
          <w:rFonts w:ascii="Calibri" w:hAnsi="Calibri" w:cs="Calibri"/>
        </w:rPr>
        <w:fldChar w:fldCharType="end"/>
      </w:r>
      <w:r w:rsidR="005A2650" w:rsidRPr="009B59F6">
        <w:rPr>
          <w:rFonts w:ascii="Calibri" w:hAnsi="Calibri" w:cs="Calibri"/>
        </w:rPr>
        <w:t>)</w:t>
      </w:r>
      <w:r w:rsidR="00407AD1" w:rsidRPr="009B59F6">
        <w:rPr>
          <w:rFonts w:ascii="Calibri" w:hAnsi="Calibri" w:cs="Calibri"/>
        </w:rPr>
        <w:t>,</w:t>
      </w:r>
      <w:r w:rsidR="00407AD1" w:rsidRPr="009B59F6">
        <w:t xml:space="preserve"> and discontinuation due to AEs for the osilodrostat vs. ketoconazole comparison</w:t>
      </w:r>
      <w:r w:rsidR="005A2650" w:rsidRPr="009B59F6">
        <w:t xml:space="preserve"> (</w:t>
      </w:r>
      <w:r w:rsidR="005A2650" w:rsidRPr="009B59F6">
        <w:rPr>
          <w:rFonts w:ascii="Calibri" w:hAnsi="Calibri" w:cs="Calibri"/>
        </w:rPr>
        <w:fldChar w:fldCharType="begin"/>
      </w:r>
      <w:r w:rsidR="005A2650" w:rsidRPr="009B59F6">
        <w:rPr>
          <w:rFonts w:ascii="Calibri" w:hAnsi="Calibri" w:cs="Calibri"/>
        </w:rPr>
        <w:instrText xml:space="preserve"> REF _Ref123590892 \h  \* MERGEFORMAT </w:instrText>
      </w:r>
      <w:r w:rsidR="005A2650" w:rsidRPr="009B59F6">
        <w:rPr>
          <w:rFonts w:ascii="Calibri" w:hAnsi="Calibri" w:cs="Calibri"/>
        </w:rPr>
      </w:r>
      <w:r w:rsidR="005A2650" w:rsidRPr="009B59F6">
        <w:rPr>
          <w:rFonts w:ascii="Calibri" w:hAnsi="Calibri" w:cs="Calibri"/>
        </w:rPr>
        <w:fldChar w:fldCharType="separate"/>
      </w:r>
      <w:r w:rsidR="00A9220E" w:rsidRPr="00A9220E">
        <w:rPr>
          <w:rFonts w:ascii="Calibri" w:hAnsi="Calibri" w:cs="Calibri"/>
        </w:rPr>
        <w:t xml:space="preserve">Table </w:t>
      </w:r>
      <w:r w:rsidR="00A9220E" w:rsidRPr="00A9220E">
        <w:rPr>
          <w:rFonts w:ascii="Calibri" w:hAnsi="Calibri" w:cs="Calibri"/>
          <w:noProof/>
        </w:rPr>
        <w:t>13</w:t>
      </w:r>
      <w:r w:rsidR="005A2650" w:rsidRPr="009B59F6">
        <w:rPr>
          <w:rFonts w:ascii="Calibri" w:hAnsi="Calibri" w:cs="Calibri"/>
        </w:rPr>
        <w:fldChar w:fldCharType="end"/>
      </w:r>
      <w:r w:rsidR="005A2650" w:rsidRPr="009B59F6">
        <w:rPr>
          <w:rFonts w:ascii="Calibri" w:hAnsi="Calibri" w:cs="Calibri"/>
        </w:rPr>
        <w:t>)</w:t>
      </w:r>
      <w:r w:rsidR="00407AD1" w:rsidRPr="009B59F6">
        <w:rPr>
          <w:rFonts w:ascii="Calibri" w:hAnsi="Calibri" w:cs="Calibri"/>
        </w:rPr>
        <w:t>.</w:t>
      </w:r>
      <w:r w:rsidR="004B485D" w:rsidRPr="009B59F6">
        <w:t xml:space="preserve"> </w:t>
      </w:r>
    </w:p>
    <w:p w14:paraId="1FEE90DE" w14:textId="6B5A679B" w:rsidR="00407AD1" w:rsidRDefault="00407AD1" w:rsidP="00C86F74">
      <w:pPr>
        <w:keepNext/>
      </w:pPr>
      <w:bookmarkStart w:id="32" w:name="_Ref123590868"/>
      <w:r w:rsidRPr="00407AD1">
        <w:rPr>
          <w:rFonts w:ascii="Arial Narrow" w:hAnsi="Arial Narrow"/>
          <w:b/>
          <w:bCs/>
          <w:sz w:val="20"/>
          <w:szCs w:val="20"/>
        </w:rPr>
        <w:t xml:space="preserve">Table </w:t>
      </w:r>
      <w:r w:rsidRPr="00407AD1">
        <w:rPr>
          <w:rFonts w:ascii="Arial Narrow" w:hAnsi="Arial Narrow"/>
          <w:b/>
          <w:bCs/>
          <w:sz w:val="20"/>
          <w:szCs w:val="20"/>
        </w:rPr>
        <w:fldChar w:fldCharType="begin"/>
      </w:r>
      <w:r w:rsidRPr="00407AD1">
        <w:rPr>
          <w:rFonts w:ascii="Arial Narrow" w:hAnsi="Arial Narrow"/>
          <w:b/>
          <w:bCs/>
          <w:sz w:val="20"/>
          <w:szCs w:val="20"/>
        </w:rPr>
        <w:instrText xml:space="preserve"> SEQ Table \* ARABIC </w:instrText>
      </w:r>
      <w:r w:rsidRPr="00407AD1">
        <w:rPr>
          <w:rFonts w:ascii="Arial Narrow" w:hAnsi="Arial Narrow"/>
          <w:b/>
          <w:bCs/>
          <w:sz w:val="20"/>
          <w:szCs w:val="20"/>
        </w:rPr>
        <w:fldChar w:fldCharType="separate"/>
      </w:r>
      <w:r w:rsidR="00A9220E">
        <w:rPr>
          <w:rFonts w:ascii="Arial Narrow" w:hAnsi="Arial Narrow"/>
          <w:b/>
          <w:bCs/>
          <w:noProof/>
          <w:sz w:val="20"/>
          <w:szCs w:val="20"/>
        </w:rPr>
        <w:t>12</w:t>
      </w:r>
      <w:r w:rsidRPr="00407AD1">
        <w:rPr>
          <w:rFonts w:ascii="Arial Narrow" w:hAnsi="Arial Narrow"/>
          <w:b/>
          <w:bCs/>
          <w:noProof/>
          <w:sz w:val="20"/>
          <w:szCs w:val="20"/>
        </w:rPr>
        <w:fldChar w:fldCharType="end"/>
      </w:r>
      <w:bookmarkEnd w:id="32"/>
      <w:r w:rsidRPr="00407AD1">
        <w:rPr>
          <w:rFonts w:ascii="Arial Narrow" w:hAnsi="Arial Narrow"/>
          <w:b/>
          <w:bCs/>
          <w:sz w:val="20"/>
          <w:szCs w:val="20"/>
        </w:rPr>
        <w:t xml:space="preserve">: </w:t>
      </w:r>
      <w:r>
        <w:rPr>
          <w:rStyle w:val="CommentReference"/>
          <w:szCs w:val="24"/>
        </w:rPr>
        <w:t>Indirect comparison: osilodrostat vs. metyrapone</w:t>
      </w:r>
      <w:r w:rsidRPr="0042047F">
        <w:rPr>
          <w:rStyle w:val="CommentReference"/>
          <w:szCs w:val="24"/>
        </w:rPr>
        <w:t xml:space="preserve"> </w:t>
      </w:r>
      <w:r>
        <w:rPr>
          <w:rStyle w:val="CommentReference"/>
          <w:szCs w:val="24"/>
        </w:rPr>
        <w:t>– AEs up to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536"/>
        <w:gridCol w:w="1259"/>
        <w:gridCol w:w="1466"/>
        <w:gridCol w:w="1540"/>
        <w:gridCol w:w="1677"/>
      </w:tblGrid>
      <w:tr w:rsidR="00407AD1" w:rsidRPr="00B84117" w14:paraId="57BD4E8E" w14:textId="77777777" w:rsidTr="008854F0">
        <w:trPr>
          <w:tblHeader/>
        </w:trPr>
        <w:tc>
          <w:tcPr>
            <w:tcW w:w="853" w:type="pct"/>
            <w:vAlign w:val="center"/>
          </w:tcPr>
          <w:p w14:paraId="77401036" w14:textId="77777777" w:rsidR="00407AD1" w:rsidRDefault="00407AD1" w:rsidP="00C86F74">
            <w:pPr>
              <w:pStyle w:val="In-tableHeading"/>
            </w:pPr>
            <w:r>
              <w:t>Adverse event</w:t>
            </w:r>
          </w:p>
        </w:tc>
        <w:tc>
          <w:tcPr>
            <w:tcW w:w="852" w:type="pct"/>
            <w:vAlign w:val="center"/>
          </w:tcPr>
          <w:p w14:paraId="6FBAF262" w14:textId="77777777" w:rsidR="00407AD1" w:rsidRDefault="00407AD1" w:rsidP="00C86F74">
            <w:pPr>
              <w:pStyle w:val="In-tableHeading"/>
              <w:jc w:val="center"/>
            </w:pPr>
            <w:r>
              <w:t xml:space="preserve">Osilodrostat </w:t>
            </w:r>
          </w:p>
          <w:p w14:paraId="71F182B9" w14:textId="77777777" w:rsidR="00407AD1" w:rsidRPr="00B84117" w:rsidRDefault="00407AD1" w:rsidP="00C86F74">
            <w:pPr>
              <w:pStyle w:val="In-tableHeading"/>
              <w:jc w:val="center"/>
            </w:pPr>
            <w:r>
              <w:t>n/N (%)</w:t>
            </w:r>
          </w:p>
        </w:tc>
        <w:tc>
          <w:tcPr>
            <w:tcW w:w="698" w:type="pct"/>
            <w:vAlign w:val="center"/>
          </w:tcPr>
          <w:p w14:paraId="5930ED6A" w14:textId="77777777" w:rsidR="00407AD1" w:rsidRDefault="00407AD1" w:rsidP="00C86F74">
            <w:pPr>
              <w:pStyle w:val="In-tableHeading"/>
              <w:jc w:val="center"/>
            </w:pPr>
            <w:r>
              <w:t>Metyrapone</w:t>
            </w:r>
          </w:p>
          <w:p w14:paraId="4510DF3D" w14:textId="77777777" w:rsidR="00407AD1" w:rsidRPr="00B84117" w:rsidRDefault="00407AD1" w:rsidP="00C86F74">
            <w:pPr>
              <w:pStyle w:val="In-tableHeading"/>
              <w:jc w:val="center"/>
            </w:pPr>
            <w:r>
              <w:t>n/N (%)</w:t>
            </w:r>
          </w:p>
        </w:tc>
        <w:tc>
          <w:tcPr>
            <w:tcW w:w="813" w:type="pct"/>
            <w:vAlign w:val="center"/>
          </w:tcPr>
          <w:p w14:paraId="3350F7EF" w14:textId="77777777" w:rsidR="00407AD1" w:rsidRDefault="00407AD1" w:rsidP="00C86F74">
            <w:pPr>
              <w:pStyle w:val="In-tableHeading"/>
              <w:jc w:val="center"/>
            </w:pPr>
            <w:r>
              <w:t>RD</w:t>
            </w:r>
            <w:r w:rsidRPr="00B84117">
              <w:t xml:space="preserve"> </w:t>
            </w:r>
          </w:p>
          <w:p w14:paraId="44445E52" w14:textId="77777777" w:rsidR="00407AD1" w:rsidRPr="00B84117" w:rsidRDefault="00407AD1" w:rsidP="00C86F74">
            <w:pPr>
              <w:pStyle w:val="In-tableHeading"/>
              <w:jc w:val="center"/>
            </w:pPr>
            <w:r w:rsidRPr="00B84117">
              <w:t>(95% CI)</w:t>
            </w:r>
          </w:p>
        </w:tc>
        <w:tc>
          <w:tcPr>
            <w:tcW w:w="854" w:type="pct"/>
            <w:vAlign w:val="center"/>
          </w:tcPr>
          <w:p w14:paraId="0DE3491B" w14:textId="77777777" w:rsidR="00407AD1" w:rsidRDefault="00407AD1" w:rsidP="00C86F74">
            <w:pPr>
              <w:pStyle w:val="In-tableHeading"/>
              <w:jc w:val="center"/>
            </w:pPr>
            <w:r>
              <w:t>RR</w:t>
            </w:r>
            <w:r w:rsidRPr="00B84117">
              <w:t xml:space="preserve"> </w:t>
            </w:r>
          </w:p>
          <w:p w14:paraId="63785810" w14:textId="77777777" w:rsidR="00407AD1" w:rsidRPr="00B84117" w:rsidRDefault="00407AD1" w:rsidP="00C86F74">
            <w:pPr>
              <w:pStyle w:val="In-tableHeading"/>
              <w:jc w:val="center"/>
            </w:pPr>
            <w:r w:rsidRPr="00B84117">
              <w:t>(95% CI)</w:t>
            </w:r>
          </w:p>
        </w:tc>
        <w:tc>
          <w:tcPr>
            <w:tcW w:w="930" w:type="pct"/>
            <w:vAlign w:val="center"/>
          </w:tcPr>
          <w:p w14:paraId="1AD7540D" w14:textId="77777777" w:rsidR="00407AD1" w:rsidRDefault="00407AD1" w:rsidP="00C86F74">
            <w:pPr>
              <w:pStyle w:val="In-tableHeading"/>
              <w:jc w:val="center"/>
            </w:pPr>
            <w:r>
              <w:t xml:space="preserve">OR </w:t>
            </w:r>
          </w:p>
          <w:p w14:paraId="51C04253" w14:textId="77777777" w:rsidR="00407AD1" w:rsidRPr="00B84117" w:rsidRDefault="00407AD1" w:rsidP="00C86F74">
            <w:pPr>
              <w:pStyle w:val="In-tableHeading"/>
              <w:jc w:val="center"/>
            </w:pPr>
            <w:r>
              <w:t>(95% CI)</w:t>
            </w:r>
          </w:p>
        </w:tc>
      </w:tr>
      <w:tr w:rsidR="00407AD1" w:rsidRPr="004053E4" w14:paraId="61EBC7E3" w14:textId="77777777" w:rsidTr="008854F0">
        <w:tc>
          <w:tcPr>
            <w:tcW w:w="5000" w:type="pct"/>
            <w:gridSpan w:val="6"/>
            <w:vAlign w:val="center"/>
          </w:tcPr>
          <w:p w14:paraId="147B86B7" w14:textId="77777777" w:rsidR="00407AD1" w:rsidRPr="004053E4" w:rsidRDefault="00407AD1" w:rsidP="00C86F74">
            <w:pPr>
              <w:keepNext/>
              <w:jc w:val="left"/>
              <w:rPr>
                <w:rFonts w:ascii="Arial Narrow" w:hAnsi="Arial Narrow"/>
                <w:b/>
                <w:bCs/>
                <w:sz w:val="20"/>
                <w:szCs w:val="20"/>
              </w:rPr>
            </w:pPr>
            <w:r w:rsidRPr="004053E4">
              <w:rPr>
                <w:rFonts w:ascii="Arial Narrow" w:hAnsi="Arial Narrow"/>
                <w:b/>
                <w:bCs/>
                <w:sz w:val="20"/>
                <w:szCs w:val="20"/>
              </w:rPr>
              <w:t>LINC 4 vs. PROMPT</w:t>
            </w:r>
          </w:p>
        </w:tc>
      </w:tr>
      <w:tr w:rsidR="00407AD1" w:rsidRPr="004053E4" w14:paraId="1E60F6BC" w14:textId="77777777" w:rsidTr="008854F0">
        <w:tc>
          <w:tcPr>
            <w:tcW w:w="853" w:type="pct"/>
            <w:vAlign w:val="center"/>
          </w:tcPr>
          <w:p w14:paraId="2D602C27" w14:textId="77777777" w:rsidR="00407AD1" w:rsidRPr="004053E4" w:rsidRDefault="00407AD1" w:rsidP="00C86F74">
            <w:pPr>
              <w:pStyle w:val="TableText0"/>
              <w:rPr>
                <w:rFonts w:cstheme="minorHAnsi"/>
                <w:bCs w:val="0"/>
                <w:szCs w:val="20"/>
              </w:rPr>
            </w:pPr>
            <w:r w:rsidRPr="004053E4">
              <w:rPr>
                <w:rFonts w:eastAsia="Calibri" w:cstheme="minorHAnsi"/>
                <w:bCs w:val="0"/>
                <w:szCs w:val="20"/>
              </w:rPr>
              <w:t>Any AE</w:t>
            </w:r>
          </w:p>
        </w:tc>
        <w:tc>
          <w:tcPr>
            <w:tcW w:w="852" w:type="pct"/>
            <w:vAlign w:val="center"/>
          </w:tcPr>
          <w:p w14:paraId="5D8AA218" w14:textId="77777777" w:rsidR="00407AD1" w:rsidRPr="004053E4" w:rsidRDefault="00407AD1" w:rsidP="00C86F74">
            <w:pPr>
              <w:pStyle w:val="TableText0"/>
              <w:jc w:val="center"/>
              <w:rPr>
                <w:bCs w:val="0"/>
              </w:rPr>
            </w:pPr>
            <w:r w:rsidRPr="004053E4">
              <w:rPr>
                <w:rFonts w:eastAsia="Calibri" w:cstheme="minorHAnsi"/>
                <w:bCs w:val="0"/>
                <w:szCs w:val="20"/>
              </w:rPr>
              <w:t>46/48 (95.8</w:t>
            </w:r>
            <w:r>
              <w:rPr>
                <w:rFonts w:eastAsia="Calibri" w:cstheme="minorHAnsi"/>
                <w:bCs w:val="0"/>
                <w:szCs w:val="20"/>
              </w:rPr>
              <w:t>%</w:t>
            </w:r>
            <w:r w:rsidRPr="004053E4">
              <w:rPr>
                <w:rFonts w:eastAsia="Calibri" w:cstheme="minorHAnsi"/>
                <w:bCs w:val="0"/>
                <w:szCs w:val="20"/>
              </w:rPr>
              <w:t>)</w:t>
            </w:r>
          </w:p>
        </w:tc>
        <w:tc>
          <w:tcPr>
            <w:tcW w:w="698" w:type="pct"/>
            <w:vAlign w:val="center"/>
          </w:tcPr>
          <w:p w14:paraId="2A7948F6" w14:textId="77777777" w:rsidR="00407AD1" w:rsidRPr="004053E4" w:rsidRDefault="00407AD1" w:rsidP="00C86F74">
            <w:pPr>
              <w:keepNext/>
              <w:jc w:val="center"/>
              <w:rPr>
                <w:rFonts w:ascii="Arial Narrow" w:hAnsi="Arial Narrow" w:cstheme="minorHAnsi"/>
                <w:sz w:val="20"/>
                <w:szCs w:val="20"/>
              </w:rPr>
            </w:pPr>
            <w:r w:rsidRPr="004053E4">
              <w:rPr>
                <w:rFonts w:ascii="Arial Narrow" w:eastAsia="Calibri" w:hAnsi="Arial Narrow" w:cstheme="minorHAnsi"/>
                <w:sz w:val="20"/>
                <w:szCs w:val="20"/>
              </w:rPr>
              <w:t>42/50 (84</w:t>
            </w:r>
            <w:r>
              <w:rPr>
                <w:rFonts w:eastAsia="Calibri" w:cstheme="minorHAnsi"/>
                <w:bCs/>
                <w:szCs w:val="20"/>
              </w:rPr>
              <w:t>%</w:t>
            </w:r>
            <w:r w:rsidRPr="004053E4">
              <w:rPr>
                <w:rFonts w:ascii="Arial Narrow" w:eastAsia="Calibri" w:hAnsi="Arial Narrow" w:cstheme="minorHAnsi"/>
                <w:sz w:val="20"/>
                <w:szCs w:val="20"/>
              </w:rPr>
              <w:t>)</w:t>
            </w:r>
          </w:p>
        </w:tc>
        <w:tc>
          <w:tcPr>
            <w:tcW w:w="813" w:type="pct"/>
            <w:vAlign w:val="center"/>
          </w:tcPr>
          <w:p w14:paraId="09F0E1D5" w14:textId="77777777" w:rsidR="00407AD1" w:rsidRPr="004053E4" w:rsidRDefault="00407AD1" w:rsidP="00C86F74">
            <w:pPr>
              <w:keepNext/>
              <w:jc w:val="center"/>
              <w:rPr>
                <w:rFonts w:ascii="Arial Narrow" w:hAnsi="Arial Narrow"/>
                <w:b/>
                <w:bCs/>
                <w:sz w:val="20"/>
                <w:szCs w:val="20"/>
              </w:rPr>
            </w:pPr>
            <w:r w:rsidRPr="004053E4">
              <w:rPr>
                <w:rFonts w:ascii="Arial Narrow" w:eastAsia="Calibri" w:hAnsi="Arial Narrow" w:cstheme="minorHAnsi"/>
                <w:b/>
                <w:bCs/>
                <w:sz w:val="20"/>
                <w:szCs w:val="20"/>
              </w:rPr>
              <w:t>0.12 (0.00; 0.23)</w:t>
            </w:r>
          </w:p>
        </w:tc>
        <w:tc>
          <w:tcPr>
            <w:tcW w:w="854" w:type="pct"/>
            <w:vAlign w:val="center"/>
          </w:tcPr>
          <w:p w14:paraId="79146165"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1.14 (1.00; 1.31)</w:t>
            </w:r>
          </w:p>
        </w:tc>
        <w:tc>
          <w:tcPr>
            <w:tcW w:w="930" w:type="pct"/>
            <w:vAlign w:val="center"/>
          </w:tcPr>
          <w:p w14:paraId="1DE968AA"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4.38 (0.88; 21.81)</w:t>
            </w:r>
          </w:p>
        </w:tc>
      </w:tr>
      <w:tr w:rsidR="00407AD1" w:rsidRPr="004053E4" w14:paraId="5ACB51CA" w14:textId="77777777" w:rsidTr="008854F0">
        <w:tc>
          <w:tcPr>
            <w:tcW w:w="853" w:type="pct"/>
            <w:vAlign w:val="center"/>
          </w:tcPr>
          <w:p w14:paraId="08E64DE3" w14:textId="77777777" w:rsidR="00407AD1" w:rsidRPr="004053E4" w:rsidRDefault="00407AD1" w:rsidP="00C86F74">
            <w:pPr>
              <w:pStyle w:val="TableText0"/>
              <w:rPr>
                <w:rFonts w:cstheme="minorHAnsi"/>
                <w:bCs w:val="0"/>
                <w:szCs w:val="20"/>
              </w:rPr>
            </w:pPr>
            <w:r w:rsidRPr="004053E4">
              <w:rPr>
                <w:rFonts w:eastAsia="Calibri" w:cstheme="minorHAnsi"/>
                <w:bCs w:val="0"/>
                <w:szCs w:val="20"/>
              </w:rPr>
              <w:t>Any SAE</w:t>
            </w:r>
          </w:p>
        </w:tc>
        <w:tc>
          <w:tcPr>
            <w:tcW w:w="852" w:type="pct"/>
            <w:vAlign w:val="center"/>
          </w:tcPr>
          <w:p w14:paraId="0646AACD" w14:textId="77777777" w:rsidR="00407AD1" w:rsidRPr="004053E4" w:rsidRDefault="00407AD1" w:rsidP="00C86F74">
            <w:pPr>
              <w:pStyle w:val="TableText0"/>
              <w:jc w:val="center"/>
              <w:rPr>
                <w:bCs w:val="0"/>
              </w:rPr>
            </w:pPr>
            <w:r w:rsidRPr="004053E4">
              <w:rPr>
                <w:rFonts w:eastAsia="Calibri" w:cstheme="minorHAnsi"/>
                <w:bCs w:val="0"/>
                <w:szCs w:val="20"/>
              </w:rPr>
              <w:t>2/48 (4.2</w:t>
            </w:r>
            <w:r>
              <w:rPr>
                <w:rFonts w:eastAsia="Calibri" w:cstheme="minorHAnsi"/>
                <w:bCs w:val="0"/>
                <w:szCs w:val="20"/>
              </w:rPr>
              <w:t>%</w:t>
            </w:r>
            <w:r w:rsidRPr="004053E4">
              <w:rPr>
                <w:rFonts w:eastAsia="Calibri" w:cstheme="minorHAnsi"/>
                <w:bCs w:val="0"/>
                <w:szCs w:val="20"/>
              </w:rPr>
              <w:t>)</w:t>
            </w:r>
          </w:p>
        </w:tc>
        <w:tc>
          <w:tcPr>
            <w:tcW w:w="698" w:type="pct"/>
            <w:vAlign w:val="center"/>
          </w:tcPr>
          <w:p w14:paraId="601329D3" w14:textId="77777777" w:rsidR="00407AD1" w:rsidRPr="004053E4" w:rsidRDefault="00407AD1" w:rsidP="00C86F74">
            <w:pPr>
              <w:keepNext/>
              <w:jc w:val="center"/>
              <w:rPr>
                <w:rFonts w:ascii="Arial Narrow" w:hAnsi="Arial Narrow" w:cstheme="minorHAnsi"/>
                <w:sz w:val="20"/>
                <w:szCs w:val="20"/>
              </w:rPr>
            </w:pPr>
            <w:r w:rsidRPr="004053E4">
              <w:rPr>
                <w:rFonts w:ascii="Arial Narrow" w:eastAsia="Calibri" w:hAnsi="Arial Narrow" w:cstheme="minorHAnsi"/>
                <w:sz w:val="20"/>
                <w:szCs w:val="20"/>
              </w:rPr>
              <w:t>10/50 (20</w:t>
            </w:r>
            <w:r>
              <w:rPr>
                <w:rFonts w:eastAsia="Calibri" w:cstheme="minorHAnsi"/>
                <w:bCs/>
                <w:szCs w:val="20"/>
              </w:rPr>
              <w:t>%</w:t>
            </w:r>
            <w:r w:rsidRPr="004053E4">
              <w:rPr>
                <w:rFonts w:ascii="Arial Narrow" w:eastAsia="Calibri" w:hAnsi="Arial Narrow" w:cstheme="minorHAnsi"/>
                <w:sz w:val="20"/>
                <w:szCs w:val="20"/>
              </w:rPr>
              <w:t>)</w:t>
            </w:r>
          </w:p>
        </w:tc>
        <w:tc>
          <w:tcPr>
            <w:tcW w:w="813" w:type="pct"/>
            <w:vAlign w:val="center"/>
          </w:tcPr>
          <w:p w14:paraId="5A387C10" w14:textId="77777777" w:rsidR="00407AD1" w:rsidRPr="004053E4" w:rsidRDefault="00407AD1" w:rsidP="00C86F74">
            <w:pPr>
              <w:keepNext/>
              <w:jc w:val="center"/>
              <w:rPr>
                <w:rFonts w:ascii="Arial Narrow" w:hAnsi="Arial Narrow"/>
                <w:sz w:val="20"/>
                <w:szCs w:val="20"/>
              </w:rPr>
            </w:pPr>
            <w:r w:rsidRPr="00324AEA">
              <w:rPr>
                <w:rFonts w:ascii="Arial Narrow" w:eastAsia="Calibri" w:hAnsi="Arial Narrow" w:cstheme="minorHAnsi"/>
                <w:b/>
                <w:bCs/>
                <w:sz w:val="20"/>
                <w:szCs w:val="20"/>
              </w:rPr>
              <w:t>-0.16</w:t>
            </w:r>
            <w:r w:rsidRPr="004053E4">
              <w:rPr>
                <w:rFonts w:ascii="Arial Narrow" w:eastAsia="Calibri" w:hAnsi="Arial Narrow" w:cstheme="minorHAnsi"/>
                <w:sz w:val="20"/>
                <w:szCs w:val="20"/>
              </w:rPr>
              <w:t xml:space="preserve"> </w:t>
            </w:r>
            <w:r w:rsidRPr="004053E4">
              <w:rPr>
                <w:rFonts w:ascii="Arial Narrow" w:eastAsia="Calibri" w:hAnsi="Arial Narrow" w:cstheme="minorHAnsi"/>
                <w:b/>
                <w:bCs/>
                <w:sz w:val="20"/>
                <w:szCs w:val="20"/>
              </w:rPr>
              <w:t>(-0.28; -0.03)</w:t>
            </w:r>
          </w:p>
        </w:tc>
        <w:tc>
          <w:tcPr>
            <w:tcW w:w="854" w:type="pct"/>
            <w:vAlign w:val="center"/>
          </w:tcPr>
          <w:p w14:paraId="43FC47AE" w14:textId="77777777" w:rsidR="00407AD1" w:rsidRPr="004053E4" w:rsidRDefault="00407AD1" w:rsidP="00C86F74">
            <w:pPr>
              <w:keepNext/>
              <w:jc w:val="center"/>
              <w:rPr>
                <w:rFonts w:ascii="Arial Narrow" w:hAnsi="Arial Narrow"/>
                <w:b/>
                <w:bCs/>
                <w:sz w:val="20"/>
                <w:szCs w:val="20"/>
              </w:rPr>
            </w:pPr>
            <w:r w:rsidRPr="004053E4">
              <w:rPr>
                <w:rFonts w:ascii="Arial Narrow" w:eastAsia="Calibri" w:hAnsi="Arial Narrow" w:cstheme="minorHAnsi"/>
                <w:b/>
                <w:bCs/>
                <w:sz w:val="20"/>
                <w:szCs w:val="20"/>
              </w:rPr>
              <w:t>0.21 (0.05; 0.90)</w:t>
            </w:r>
          </w:p>
        </w:tc>
        <w:tc>
          <w:tcPr>
            <w:tcW w:w="930" w:type="pct"/>
            <w:vAlign w:val="center"/>
          </w:tcPr>
          <w:p w14:paraId="4056BE32" w14:textId="77777777" w:rsidR="00407AD1" w:rsidRPr="004053E4" w:rsidRDefault="00407AD1" w:rsidP="00C86F74">
            <w:pPr>
              <w:keepNext/>
              <w:jc w:val="center"/>
              <w:rPr>
                <w:rFonts w:ascii="Arial Narrow" w:hAnsi="Arial Narrow"/>
                <w:b/>
                <w:bCs/>
                <w:sz w:val="20"/>
                <w:szCs w:val="20"/>
              </w:rPr>
            </w:pPr>
            <w:r w:rsidRPr="004053E4">
              <w:rPr>
                <w:rFonts w:ascii="Arial Narrow" w:eastAsia="Calibri" w:hAnsi="Arial Narrow" w:cstheme="minorHAnsi"/>
                <w:b/>
                <w:bCs/>
                <w:sz w:val="20"/>
                <w:szCs w:val="20"/>
              </w:rPr>
              <w:t>0.17 (0.04; 0.84)</w:t>
            </w:r>
          </w:p>
        </w:tc>
      </w:tr>
      <w:tr w:rsidR="00407AD1" w:rsidRPr="004053E4" w14:paraId="6D261805" w14:textId="77777777" w:rsidTr="008854F0">
        <w:tc>
          <w:tcPr>
            <w:tcW w:w="853" w:type="pct"/>
            <w:vAlign w:val="center"/>
          </w:tcPr>
          <w:p w14:paraId="450D931E" w14:textId="77777777" w:rsidR="00407AD1" w:rsidRPr="004053E4" w:rsidRDefault="00407AD1" w:rsidP="00C86F74">
            <w:pPr>
              <w:pStyle w:val="TableText0"/>
              <w:rPr>
                <w:rFonts w:cstheme="minorHAnsi"/>
                <w:bCs w:val="0"/>
                <w:szCs w:val="20"/>
              </w:rPr>
            </w:pPr>
            <w:r w:rsidRPr="004053E4">
              <w:rPr>
                <w:rFonts w:eastAsia="Calibri" w:cstheme="minorHAnsi"/>
                <w:bCs w:val="0"/>
                <w:szCs w:val="20"/>
              </w:rPr>
              <w:t>AE leading to discontinuation</w:t>
            </w:r>
          </w:p>
        </w:tc>
        <w:tc>
          <w:tcPr>
            <w:tcW w:w="852" w:type="pct"/>
            <w:vAlign w:val="center"/>
          </w:tcPr>
          <w:p w14:paraId="34D1AC7B" w14:textId="77777777" w:rsidR="00407AD1" w:rsidRPr="004053E4" w:rsidRDefault="00407AD1" w:rsidP="00C86F74">
            <w:pPr>
              <w:pStyle w:val="TableText0"/>
              <w:jc w:val="center"/>
              <w:rPr>
                <w:bCs w:val="0"/>
              </w:rPr>
            </w:pPr>
            <w:r w:rsidRPr="004053E4">
              <w:rPr>
                <w:rFonts w:eastAsia="Calibri" w:cstheme="minorHAnsi"/>
                <w:bCs w:val="0"/>
                <w:szCs w:val="20"/>
              </w:rPr>
              <w:t>1/48 (2.1</w:t>
            </w:r>
            <w:r>
              <w:rPr>
                <w:rFonts w:eastAsia="Calibri" w:cstheme="minorHAnsi"/>
                <w:bCs w:val="0"/>
                <w:szCs w:val="20"/>
              </w:rPr>
              <w:t>%</w:t>
            </w:r>
            <w:r w:rsidRPr="004053E4">
              <w:rPr>
                <w:rFonts w:eastAsia="Calibri" w:cstheme="minorHAnsi"/>
                <w:bCs w:val="0"/>
                <w:szCs w:val="20"/>
              </w:rPr>
              <w:t>)</w:t>
            </w:r>
          </w:p>
        </w:tc>
        <w:tc>
          <w:tcPr>
            <w:tcW w:w="698" w:type="pct"/>
            <w:vAlign w:val="center"/>
          </w:tcPr>
          <w:p w14:paraId="6AD2C891" w14:textId="77777777" w:rsidR="00407AD1" w:rsidRPr="004053E4" w:rsidRDefault="00407AD1" w:rsidP="00C86F74">
            <w:pPr>
              <w:keepNext/>
              <w:jc w:val="center"/>
              <w:rPr>
                <w:rFonts w:ascii="Arial Narrow" w:hAnsi="Arial Narrow" w:cstheme="minorHAnsi"/>
                <w:sz w:val="20"/>
                <w:szCs w:val="20"/>
              </w:rPr>
            </w:pPr>
            <w:r w:rsidRPr="004053E4">
              <w:rPr>
                <w:rFonts w:ascii="Arial Narrow" w:eastAsia="Calibri" w:hAnsi="Arial Narrow" w:cstheme="minorHAnsi"/>
                <w:sz w:val="20"/>
                <w:szCs w:val="20"/>
              </w:rPr>
              <w:t>1/50 (2</w:t>
            </w:r>
            <w:r>
              <w:rPr>
                <w:rFonts w:eastAsia="Calibri" w:cstheme="minorHAnsi"/>
                <w:bCs/>
                <w:szCs w:val="20"/>
              </w:rPr>
              <w:t>%</w:t>
            </w:r>
            <w:r w:rsidRPr="004053E4">
              <w:rPr>
                <w:rFonts w:ascii="Arial Narrow" w:eastAsia="Calibri" w:hAnsi="Arial Narrow" w:cstheme="minorHAnsi"/>
                <w:sz w:val="20"/>
                <w:szCs w:val="20"/>
              </w:rPr>
              <w:t>)</w:t>
            </w:r>
          </w:p>
        </w:tc>
        <w:tc>
          <w:tcPr>
            <w:tcW w:w="813" w:type="pct"/>
            <w:vAlign w:val="center"/>
          </w:tcPr>
          <w:p w14:paraId="3365535E"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0.00 (-0.06; 0.06)</w:t>
            </w:r>
          </w:p>
        </w:tc>
        <w:tc>
          <w:tcPr>
            <w:tcW w:w="854" w:type="pct"/>
            <w:vAlign w:val="center"/>
          </w:tcPr>
          <w:p w14:paraId="513C1E2E"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1.04 (0.07; 16.19)</w:t>
            </w:r>
          </w:p>
        </w:tc>
        <w:tc>
          <w:tcPr>
            <w:tcW w:w="930" w:type="pct"/>
            <w:vAlign w:val="center"/>
          </w:tcPr>
          <w:p w14:paraId="0A5EAD2C"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1.04 (0.06; 17.15)</w:t>
            </w:r>
          </w:p>
        </w:tc>
      </w:tr>
      <w:tr w:rsidR="00407AD1" w:rsidRPr="004053E4" w14:paraId="082773DB" w14:textId="77777777" w:rsidTr="00EA649F">
        <w:tc>
          <w:tcPr>
            <w:tcW w:w="853" w:type="pct"/>
            <w:tcBorders>
              <w:bottom w:val="single" w:sz="4" w:space="0" w:color="auto"/>
            </w:tcBorders>
            <w:vAlign w:val="center"/>
          </w:tcPr>
          <w:p w14:paraId="69746A01" w14:textId="77777777" w:rsidR="00407AD1" w:rsidRPr="004053E4" w:rsidRDefault="00407AD1" w:rsidP="00C86F74">
            <w:pPr>
              <w:pStyle w:val="TableText0"/>
              <w:rPr>
                <w:rFonts w:cstheme="minorHAnsi"/>
                <w:bCs w:val="0"/>
                <w:szCs w:val="20"/>
              </w:rPr>
            </w:pPr>
            <w:r w:rsidRPr="004053E4">
              <w:rPr>
                <w:rFonts w:eastAsia="Calibri" w:cstheme="minorHAnsi"/>
                <w:bCs w:val="0"/>
                <w:szCs w:val="20"/>
              </w:rPr>
              <w:t>AE leading to dose interruption</w:t>
            </w:r>
          </w:p>
        </w:tc>
        <w:tc>
          <w:tcPr>
            <w:tcW w:w="852" w:type="pct"/>
            <w:tcBorders>
              <w:bottom w:val="single" w:sz="4" w:space="0" w:color="auto"/>
            </w:tcBorders>
            <w:vAlign w:val="center"/>
          </w:tcPr>
          <w:p w14:paraId="3213A1AC" w14:textId="77777777" w:rsidR="00407AD1" w:rsidRPr="004053E4" w:rsidRDefault="00407AD1" w:rsidP="00C86F74">
            <w:pPr>
              <w:pStyle w:val="TableText0"/>
              <w:jc w:val="center"/>
              <w:rPr>
                <w:bCs w:val="0"/>
              </w:rPr>
            </w:pPr>
            <w:r w:rsidRPr="004053E4">
              <w:rPr>
                <w:rFonts w:eastAsia="Calibri" w:cstheme="minorHAnsi"/>
                <w:bCs w:val="0"/>
                <w:szCs w:val="20"/>
              </w:rPr>
              <w:t>13/48 (27.1</w:t>
            </w:r>
            <w:r>
              <w:rPr>
                <w:rFonts w:eastAsia="Calibri" w:cstheme="minorHAnsi"/>
                <w:bCs w:val="0"/>
                <w:szCs w:val="20"/>
              </w:rPr>
              <w:t>%</w:t>
            </w:r>
            <w:r w:rsidRPr="004053E4">
              <w:rPr>
                <w:rFonts w:eastAsia="Calibri" w:cstheme="minorHAnsi"/>
                <w:bCs w:val="0"/>
                <w:szCs w:val="20"/>
              </w:rPr>
              <w:t>)</w:t>
            </w:r>
          </w:p>
        </w:tc>
        <w:tc>
          <w:tcPr>
            <w:tcW w:w="698" w:type="pct"/>
            <w:tcBorders>
              <w:bottom w:val="single" w:sz="4" w:space="0" w:color="auto"/>
            </w:tcBorders>
            <w:vAlign w:val="center"/>
          </w:tcPr>
          <w:p w14:paraId="362E203F" w14:textId="77777777" w:rsidR="00407AD1" w:rsidRPr="004053E4" w:rsidRDefault="00407AD1" w:rsidP="00C86F74">
            <w:pPr>
              <w:keepNext/>
              <w:jc w:val="center"/>
              <w:rPr>
                <w:rFonts w:ascii="Arial Narrow" w:hAnsi="Arial Narrow" w:cstheme="minorHAnsi"/>
                <w:sz w:val="20"/>
                <w:szCs w:val="20"/>
              </w:rPr>
            </w:pPr>
            <w:r w:rsidRPr="004053E4">
              <w:rPr>
                <w:rFonts w:ascii="Arial Narrow" w:eastAsia="Calibri" w:hAnsi="Arial Narrow" w:cstheme="minorHAnsi"/>
                <w:sz w:val="20"/>
                <w:szCs w:val="20"/>
              </w:rPr>
              <w:t>7/50 (14</w:t>
            </w:r>
            <w:r>
              <w:rPr>
                <w:rFonts w:eastAsia="Calibri" w:cstheme="minorHAnsi"/>
                <w:bCs/>
                <w:szCs w:val="20"/>
              </w:rPr>
              <w:t>%</w:t>
            </w:r>
            <w:r w:rsidRPr="004053E4">
              <w:rPr>
                <w:rFonts w:ascii="Arial Narrow" w:eastAsia="Calibri" w:hAnsi="Arial Narrow" w:cstheme="minorHAnsi"/>
                <w:sz w:val="20"/>
                <w:szCs w:val="20"/>
              </w:rPr>
              <w:t>)</w:t>
            </w:r>
          </w:p>
        </w:tc>
        <w:tc>
          <w:tcPr>
            <w:tcW w:w="813" w:type="pct"/>
            <w:tcBorders>
              <w:bottom w:val="single" w:sz="4" w:space="0" w:color="auto"/>
            </w:tcBorders>
            <w:vAlign w:val="center"/>
          </w:tcPr>
          <w:p w14:paraId="2297E5C8"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0.13 (</w:t>
            </w:r>
            <w:r w:rsidRPr="004053E4">
              <w:rPr>
                <w:rFonts w:ascii="Arial Narrow" w:eastAsia="Calibri" w:hAnsi="Arial Narrow" w:cstheme="minorHAnsi"/>
                <w:sz w:val="20"/>
                <w:szCs w:val="20"/>
              </w:rPr>
              <w:noBreakHyphen/>
              <w:t>0.03; 0.29)</w:t>
            </w:r>
          </w:p>
        </w:tc>
        <w:tc>
          <w:tcPr>
            <w:tcW w:w="854" w:type="pct"/>
            <w:tcBorders>
              <w:bottom w:val="single" w:sz="4" w:space="0" w:color="auto"/>
            </w:tcBorders>
            <w:vAlign w:val="center"/>
          </w:tcPr>
          <w:p w14:paraId="3856FBC7"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1.93 (0.84; 4.43)</w:t>
            </w:r>
          </w:p>
        </w:tc>
        <w:tc>
          <w:tcPr>
            <w:tcW w:w="930" w:type="pct"/>
            <w:tcBorders>
              <w:bottom w:val="single" w:sz="4" w:space="0" w:color="auto"/>
            </w:tcBorders>
            <w:vAlign w:val="center"/>
          </w:tcPr>
          <w:p w14:paraId="7C05DE20"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2.28 (0.82; 6.34)</w:t>
            </w:r>
          </w:p>
        </w:tc>
      </w:tr>
      <w:tr w:rsidR="00407AD1" w:rsidRPr="004053E4" w14:paraId="7D5F5BC4" w14:textId="77777777" w:rsidTr="008854F0">
        <w:tc>
          <w:tcPr>
            <w:tcW w:w="853" w:type="pct"/>
            <w:vAlign w:val="center"/>
          </w:tcPr>
          <w:p w14:paraId="6C944058" w14:textId="77777777" w:rsidR="00407AD1" w:rsidRPr="004053E4" w:rsidRDefault="00407AD1" w:rsidP="00C86F74">
            <w:pPr>
              <w:pStyle w:val="TableText0"/>
              <w:rPr>
                <w:rFonts w:cstheme="minorHAnsi"/>
                <w:bCs w:val="0"/>
                <w:szCs w:val="20"/>
              </w:rPr>
            </w:pPr>
            <w:r w:rsidRPr="004053E4">
              <w:rPr>
                <w:rFonts w:eastAsia="Calibri" w:cstheme="minorHAnsi"/>
                <w:bCs w:val="0"/>
                <w:szCs w:val="20"/>
              </w:rPr>
              <w:t>Adrenal insufficiency</w:t>
            </w:r>
          </w:p>
        </w:tc>
        <w:tc>
          <w:tcPr>
            <w:tcW w:w="852" w:type="pct"/>
            <w:vAlign w:val="center"/>
          </w:tcPr>
          <w:p w14:paraId="0E755B1F" w14:textId="77777777" w:rsidR="00407AD1" w:rsidRPr="004053E4" w:rsidRDefault="00407AD1" w:rsidP="00C86F74">
            <w:pPr>
              <w:pStyle w:val="TableText0"/>
              <w:jc w:val="center"/>
              <w:rPr>
                <w:bCs w:val="0"/>
              </w:rPr>
            </w:pPr>
            <w:r w:rsidRPr="004053E4">
              <w:rPr>
                <w:rFonts w:eastAsia="Calibri" w:cstheme="minorHAnsi"/>
                <w:bCs w:val="0"/>
                <w:szCs w:val="20"/>
              </w:rPr>
              <w:t>7/48 (14.6</w:t>
            </w:r>
            <w:r>
              <w:rPr>
                <w:rFonts w:eastAsia="Calibri" w:cstheme="minorHAnsi"/>
                <w:bCs w:val="0"/>
                <w:szCs w:val="20"/>
              </w:rPr>
              <w:t>%</w:t>
            </w:r>
            <w:r w:rsidRPr="004053E4">
              <w:rPr>
                <w:rFonts w:eastAsia="Calibri" w:cstheme="minorHAnsi"/>
                <w:bCs w:val="0"/>
                <w:szCs w:val="20"/>
              </w:rPr>
              <w:t>)</w:t>
            </w:r>
          </w:p>
        </w:tc>
        <w:tc>
          <w:tcPr>
            <w:tcW w:w="698" w:type="pct"/>
            <w:vAlign w:val="center"/>
          </w:tcPr>
          <w:p w14:paraId="47355E26" w14:textId="77777777" w:rsidR="00407AD1" w:rsidRPr="004053E4" w:rsidRDefault="00407AD1" w:rsidP="00C86F74">
            <w:pPr>
              <w:keepNext/>
              <w:jc w:val="center"/>
              <w:rPr>
                <w:rFonts w:ascii="Arial Narrow" w:hAnsi="Arial Narrow" w:cstheme="minorHAnsi"/>
                <w:sz w:val="20"/>
                <w:szCs w:val="20"/>
              </w:rPr>
            </w:pPr>
            <w:r w:rsidRPr="004053E4">
              <w:rPr>
                <w:rFonts w:ascii="Arial Narrow" w:eastAsia="Calibri" w:hAnsi="Arial Narrow" w:cstheme="minorHAnsi"/>
                <w:sz w:val="20"/>
                <w:szCs w:val="20"/>
              </w:rPr>
              <w:t>6/50 (12</w:t>
            </w:r>
            <w:r>
              <w:rPr>
                <w:rFonts w:eastAsia="Calibri" w:cstheme="minorHAnsi"/>
                <w:bCs/>
                <w:szCs w:val="20"/>
              </w:rPr>
              <w:t>%</w:t>
            </w:r>
            <w:r w:rsidRPr="004053E4">
              <w:rPr>
                <w:rFonts w:ascii="Arial Narrow" w:eastAsia="Calibri" w:hAnsi="Arial Narrow" w:cstheme="minorHAnsi"/>
                <w:sz w:val="20"/>
                <w:szCs w:val="20"/>
              </w:rPr>
              <w:t>)</w:t>
            </w:r>
          </w:p>
        </w:tc>
        <w:tc>
          <w:tcPr>
            <w:tcW w:w="813" w:type="pct"/>
            <w:vAlign w:val="center"/>
          </w:tcPr>
          <w:p w14:paraId="65699FE2"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0.03 (</w:t>
            </w:r>
            <w:r w:rsidRPr="004053E4">
              <w:rPr>
                <w:rFonts w:ascii="Arial Narrow" w:eastAsia="Calibri" w:hAnsi="Arial Narrow" w:cstheme="minorHAnsi"/>
                <w:sz w:val="20"/>
                <w:szCs w:val="20"/>
              </w:rPr>
              <w:noBreakHyphen/>
              <w:t>0.11; 0.16)</w:t>
            </w:r>
          </w:p>
        </w:tc>
        <w:tc>
          <w:tcPr>
            <w:tcW w:w="854" w:type="pct"/>
            <w:vAlign w:val="center"/>
          </w:tcPr>
          <w:p w14:paraId="20279744"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1.22 (0.44; 3.36)</w:t>
            </w:r>
          </w:p>
        </w:tc>
        <w:tc>
          <w:tcPr>
            <w:tcW w:w="930" w:type="pct"/>
            <w:vAlign w:val="center"/>
          </w:tcPr>
          <w:p w14:paraId="29E2D057" w14:textId="77777777" w:rsidR="00407AD1" w:rsidRPr="004053E4" w:rsidRDefault="00407AD1" w:rsidP="00C86F74">
            <w:pPr>
              <w:keepNext/>
              <w:jc w:val="center"/>
              <w:rPr>
                <w:rFonts w:ascii="Arial Narrow" w:hAnsi="Arial Narrow"/>
                <w:sz w:val="20"/>
                <w:szCs w:val="20"/>
              </w:rPr>
            </w:pPr>
            <w:r w:rsidRPr="004053E4">
              <w:rPr>
                <w:rFonts w:ascii="Arial Narrow" w:eastAsia="Calibri" w:hAnsi="Arial Narrow" w:cstheme="minorHAnsi"/>
                <w:sz w:val="20"/>
                <w:szCs w:val="20"/>
              </w:rPr>
              <w:t>1.25 (0.39; 4.04)</w:t>
            </w:r>
          </w:p>
        </w:tc>
      </w:tr>
    </w:tbl>
    <w:p w14:paraId="48044C7E" w14:textId="77777777" w:rsidR="00407AD1" w:rsidRPr="00B1011F" w:rsidRDefault="00407AD1" w:rsidP="00407AD1">
      <w:pPr>
        <w:pStyle w:val="FooterTableFigure"/>
        <w:rPr>
          <w:sz w:val="20"/>
        </w:rPr>
      </w:pPr>
      <w:r>
        <w:t xml:space="preserve">Source: </w:t>
      </w:r>
      <w:r w:rsidRPr="00AB08F8">
        <w:t>Table 2.6-5, p189 of the submission.</w:t>
      </w:r>
    </w:p>
    <w:p w14:paraId="14DED227" w14:textId="67F76818" w:rsidR="00407AD1" w:rsidRPr="009B59F6" w:rsidRDefault="00407AD1" w:rsidP="00407AD1">
      <w:pPr>
        <w:pStyle w:val="FooterTableFigure"/>
      </w:pPr>
      <w:r>
        <w:rPr>
          <w:rFonts w:eastAsia="Calibri"/>
        </w:rPr>
        <w:t xml:space="preserve">AEs = adverse events; </w:t>
      </w:r>
      <w:r w:rsidRPr="00B40358">
        <w:rPr>
          <w:rFonts w:eastAsia="Calibri"/>
        </w:rPr>
        <w:t xml:space="preserve">CI = confidence interval; </w:t>
      </w:r>
      <w:r>
        <w:rPr>
          <w:rFonts w:eastAsia="Calibri"/>
        </w:rPr>
        <w:t xml:space="preserve">OR = odds ratio; RD = risk difference; RR = relative risk; </w:t>
      </w:r>
      <w:r>
        <w:rPr>
          <w:rFonts w:eastAsia="Calibri"/>
          <w:b/>
        </w:rPr>
        <w:t>b</w:t>
      </w:r>
      <w:r w:rsidRPr="00760F9E">
        <w:rPr>
          <w:rFonts w:eastAsia="Calibri"/>
          <w:b/>
        </w:rPr>
        <w:t>old</w:t>
      </w:r>
      <w:r>
        <w:rPr>
          <w:rFonts w:eastAsia="Calibri"/>
        </w:rPr>
        <w:t xml:space="preserve"> indicates statistically significant </w:t>
      </w:r>
      <w:r w:rsidRPr="009B59F6">
        <w:rPr>
          <w:rFonts w:eastAsia="Calibri"/>
        </w:rPr>
        <w:t>results.</w:t>
      </w:r>
    </w:p>
    <w:p w14:paraId="46526C27" w14:textId="4C5E6825" w:rsidR="00407AD1" w:rsidRPr="009B59F6" w:rsidRDefault="00407AD1" w:rsidP="00407AD1">
      <w:pPr>
        <w:pStyle w:val="3-BodyText"/>
      </w:pPr>
      <w:r w:rsidRPr="009B59F6">
        <w:t>There were more osilodrostat-treated patients who reported any AE, and more metyrapone-treated patients who reported SAEs.</w:t>
      </w:r>
      <w:r w:rsidR="0064416D">
        <w:t xml:space="preserve"> </w:t>
      </w:r>
      <w:r w:rsidRPr="009B59F6">
        <w:t xml:space="preserve">For the other AE outcomes, there </w:t>
      </w:r>
      <w:r w:rsidRPr="009B59F6">
        <w:lastRenderedPageBreak/>
        <w:t>were numerically more osilodrostat-treated patients who had AEs leading to dose interruption.</w:t>
      </w:r>
      <w:r w:rsidR="008531F7">
        <w:t xml:space="preserve"> </w:t>
      </w:r>
      <w:r w:rsidR="008531F7" w:rsidRPr="00721D5A">
        <w:rPr>
          <w:iCs/>
        </w:rPr>
        <w:t xml:space="preserve">The submission claimed a statistically significant advantage for osilodrostat, but this was based on an unanchored indirect comparison using a non-randomised single arm study as the comparator and a claim of statistical significance </w:t>
      </w:r>
      <w:r w:rsidR="005F5AE1">
        <w:rPr>
          <w:iCs/>
        </w:rPr>
        <w:t>was</w:t>
      </w:r>
      <w:r w:rsidR="008531F7" w:rsidRPr="00721D5A">
        <w:rPr>
          <w:iCs/>
        </w:rPr>
        <w:t xml:space="preserve"> questionable.</w:t>
      </w:r>
    </w:p>
    <w:p w14:paraId="5BDBF2B7" w14:textId="13B04815" w:rsidR="00407AD1" w:rsidRDefault="006C4160" w:rsidP="00407AD1">
      <w:bookmarkStart w:id="33" w:name="_Ref123590892"/>
      <w:r w:rsidRPr="00407AD1">
        <w:rPr>
          <w:rFonts w:ascii="Arial Narrow" w:hAnsi="Arial Narrow"/>
          <w:b/>
          <w:bCs/>
          <w:sz w:val="20"/>
          <w:szCs w:val="20"/>
        </w:rPr>
        <w:t xml:space="preserve">Table </w:t>
      </w:r>
      <w:r w:rsidRPr="00407AD1">
        <w:rPr>
          <w:rFonts w:ascii="Arial Narrow" w:hAnsi="Arial Narrow"/>
          <w:b/>
          <w:bCs/>
          <w:sz w:val="20"/>
          <w:szCs w:val="20"/>
        </w:rPr>
        <w:fldChar w:fldCharType="begin"/>
      </w:r>
      <w:r w:rsidRPr="00407AD1">
        <w:rPr>
          <w:rFonts w:ascii="Arial Narrow" w:hAnsi="Arial Narrow"/>
          <w:b/>
          <w:bCs/>
          <w:sz w:val="20"/>
          <w:szCs w:val="20"/>
        </w:rPr>
        <w:instrText xml:space="preserve"> SEQ Table \* ARABIC </w:instrText>
      </w:r>
      <w:r w:rsidRPr="00407AD1">
        <w:rPr>
          <w:rFonts w:ascii="Arial Narrow" w:hAnsi="Arial Narrow"/>
          <w:b/>
          <w:bCs/>
          <w:sz w:val="20"/>
          <w:szCs w:val="20"/>
        </w:rPr>
        <w:fldChar w:fldCharType="separate"/>
      </w:r>
      <w:r w:rsidR="00A9220E">
        <w:rPr>
          <w:rFonts w:ascii="Arial Narrow" w:hAnsi="Arial Narrow"/>
          <w:b/>
          <w:bCs/>
          <w:noProof/>
          <w:sz w:val="20"/>
          <w:szCs w:val="20"/>
        </w:rPr>
        <w:t>13</w:t>
      </w:r>
      <w:r w:rsidRPr="00407AD1">
        <w:rPr>
          <w:rFonts w:ascii="Arial Narrow" w:hAnsi="Arial Narrow"/>
          <w:b/>
          <w:bCs/>
          <w:noProof/>
          <w:sz w:val="20"/>
          <w:szCs w:val="20"/>
        </w:rPr>
        <w:fldChar w:fldCharType="end"/>
      </w:r>
      <w:bookmarkEnd w:id="33"/>
      <w:r w:rsidRPr="00407AD1">
        <w:rPr>
          <w:rFonts w:ascii="Arial Narrow" w:hAnsi="Arial Narrow"/>
          <w:b/>
          <w:bCs/>
          <w:sz w:val="20"/>
          <w:szCs w:val="20"/>
        </w:rPr>
        <w:t xml:space="preserve">: </w:t>
      </w:r>
      <w:r>
        <w:rPr>
          <w:rStyle w:val="CommentReference"/>
          <w:szCs w:val="24"/>
        </w:rPr>
        <w:t>Indirect comparison: osilodrostat vs. ketoconazole</w:t>
      </w:r>
      <w:r w:rsidRPr="0042047F">
        <w:rPr>
          <w:rStyle w:val="CommentReference"/>
          <w:szCs w:val="24"/>
        </w:rPr>
        <w:t xml:space="preserve"> </w:t>
      </w:r>
      <w:r>
        <w:rPr>
          <w:rStyle w:val="CommentReference"/>
          <w:szCs w:val="24"/>
        </w:rPr>
        <w:t>– discontinuation due to AEs up to Week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9"/>
        <w:gridCol w:w="1536"/>
        <w:gridCol w:w="1259"/>
        <w:gridCol w:w="1466"/>
        <w:gridCol w:w="1540"/>
        <w:gridCol w:w="1677"/>
      </w:tblGrid>
      <w:tr w:rsidR="006C4160" w:rsidRPr="00B84117" w14:paraId="6CC5F556" w14:textId="77777777" w:rsidTr="008854F0">
        <w:trPr>
          <w:tblHeader/>
        </w:trPr>
        <w:tc>
          <w:tcPr>
            <w:tcW w:w="853" w:type="pct"/>
            <w:vAlign w:val="center"/>
          </w:tcPr>
          <w:p w14:paraId="059AE2EC" w14:textId="77777777" w:rsidR="006C4160" w:rsidRDefault="006C4160" w:rsidP="00C86F74">
            <w:pPr>
              <w:pStyle w:val="In-tableHeading"/>
            </w:pPr>
            <w:r>
              <w:t>Adverse event</w:t>
            </w:r>
          </w:p>
        </w:tc>
        <w:tc>
          <w:tcPr>
            <w:tcW w:w="852" w:type="pct"/>
            <w:vAlign w:val="center"/>
          </w:tcPr>
          <w:p w14:paraId="220031CE" w14:textId="77777777" w:rsidR="006C4160" w:rsidRDefault="006C4160" w:rsidP="00C86F74">
            <w:pPr>
              <w:pStyle w:val="In-tableHeading"/>
              <w:jc w:val="center"/>
            </w:pPr>
            <w:r>
              <w:t xml:space="preserve">Osilodrostat </w:t>
            </w:r>
          </w:p>
          <w:p w14:paraId="7C837CE8" w14:textId="77777777" w:rsidR="006C4160" w:rsidRPr="00B84117" w:rsidRDefault="006C4160" w:rsidP="00C86F74">
            <w:pPr>
              <w:pStyle w:val="In-tableHeading"/>
              <w:jc w:val="center"/>
            </w:pPr>
            <w:r>
              <w:t>n/N (%)</w:t>
            </w:r>
          </w:p>
        </w:tc>
        <w:tc>
          <w:tcPr>
            <w:tcW w:w="698" w:type="pct"/>
            <w:vAlign w:val="center"/>
          </w:tcPr>
          <w:p w14:paraId="5B5BBEA6" w14:textId="77777777" w:rsidR="006C4160" w:rsidRDefault="006C4160" w:rsidP="00C86F74">
            <w:pPr>
              <w:pStyle w:val="In-tableHeading"/>
              <w:jc w:val="center"/>
            </w:pPr>
            <w:r>
              <w:t>Ketoconazole</w:t>
            </w:r>
          </w:p>
          <w:p w14:paraId="69ADD592" w14:textId="77777777" w:rsidR="006C4160" w:rsidRPr="00B84117" w:rsidRDefault="006C4160" w:rsidP="00C86F74">
            <w:pPr>
              <w:pStyle w:val="In-tableHeading"/>
              <w:jc w:val="center"/>
            </w:pPr>
            <w:r>
              <w:t>n/N (%)</w:t>
            </w:r>
          </w:p>
        </w:tc>
        <w:tc>
          <w:tcPr>
            <w:tcW w:w="813" w:type="pct"/>
            <w:vAlign w:val="center"/>
          </w:tcPr>
          <w:p w14:paraId="4CE73820" w14:textId="77777777" w:rsidR="006C4160" w:rsidRDefault="006C4160" w:rsidP="00C86F74">
            <w:pPr>
              <w:pStyle w:val="In-tableHeading"/>
              <w:jc w:val="center"/>
            </w:pPr>
            <w:r>
              <w:t>RD</w:t>
            </w:r>
            <w:r w:rsidRPr="00B84117">
              <w:t xml:space="preserve"> </w:t>
            </w:r>
          </w:p>
          <w:p w14:paraId="5D6107A7" w14:textId="77777777" w:rsidR="006C4160" w:rsidRPr="00B84117" w:rsidRDefault="006C4160" w:rsidP="00C86F74">
            <w:pPr>
              <w:pStyle w:val="In-tableHeading"/>
              <w:jc w:val="center"/>
            </w:pPr>
            <w:r w:rsidRPr="00B84117">
              <w:t>(95% CI)</w:t>
            </w:r>
          </w:p>
        </w:tc>
        <w:tc>
          <w:tcPr>
            <w:tcW w:w="854" w:type="pct"/>
            <w:vAlign w:val="center"/>
          </w:tcPr>
          <w:p w14:paraId="6E6F7E50" w14:textId="77777777" w:rsidR="006C4160" w:rsidRDefault="006C4160" w:rsidP="00C86F74">
            <w:pPr>
              <w:pStyle w:val="In-tableHeading"/>
              <w:jc w:val="center"/>
            </w:pPr>
            <w:r>
              <w:t>RR</w:t>
            </w:r>
            <w:r w:rsidRPr="00B84117">
              <w:t xml:space="preserve"> </w:t>
            </w:r>
          </w:p>
          <w:p w14:paraId="464DAB70" w14:textId="77777777" w:rsidR="006C4160" w:rsidRPr="00B84117" w:rsidRDefault="006C4160" w:rsidP="00C86F74">
            <w:pPr>
              <w:pStyle w:val="In-tableHeading"/>
              <w:jc w:val="center"/>
            </w:pPr>
            <w:r w:rsidRPr="00B84117">
              <w:t>(95% CI)</w:t>
            </w:r>
          </w:p>
        </w:tc>
        <w:tc>
          <w:tcPr>
            <w:tcW w:w="930" w:type="pct"/>
            <w:vAlign w:val="center"/>
          </w:tcPr>
          <w:p w14:paraId="2CB6C294" w14:textId="77777777" w:rsidR="006C4160" w:rsidRDefault="006C4160" w:rsidP="00C86F74">
            <w:pPr>
              <w:pStyle w:val="In-tableHeading"/>
              <w:jc w:val="center"/>
            </w:pPr>
            <w:r>
              <w:t xml:space="preserve">OR </w:t>
            </w:r>
          </w:p>
          <w:p w14:paraId="7A5367E7" w14:textId="77777777" w:rsidR="006C4160" w:rsidRPr="00B84117" w:rsidRDefault="006C4160" w:rsidP="00C86F74">
            <w:pPr>
              <w:pStyle w:val="In-tableHeading"/>
              <w:jc w:val="center"/>
            </w:pPr>
            <w:r>
              <w:t>(95% CI)</w:t>
            </w:r>
          </w:p>
        </w:tc>
      </w:tr>
      <w:tr w:rsidR="006C4160" w:rsidRPr="004053E4" w14:paraId="22944607" w14:textId="77777777" w:rsidTr="008854F0">
        <w:tc>
          <w:tcPr>
            <w:tcW w:w="5000" w:type="pct"/>
            <w:gridSpan w:val="6"/>
            <w:vAlign w:val="center"/>
          </w:tcPr>
          <w:p w14:paraId="0161DE28" w14:textId="77777777" w:rsidR="006C4160" w:rsidRPr="004053E4" w:rsidRDefault="006C4160" w:rsidP="00C86F74">
            <w:pPr>
              <w:keepNext/>
              <w:jc w:val="left"/>
              <w:rPr>
                <w:rFonts w:ascii="Arial Narrow" w:hAnsi="Arial Narrow"/>
                <w:b/>
                <w:bCs/>
                <w:sz w:val="20"/>
                <w:szCs w:val="20"/>
              </w:rPr>
            </w:pPr>
            <w:r w:rsidRPr="004053E4">
              <w:rPr>
                <w:rFonts w:ascii="Arial Narrow" w:hAnsi="Arial Narrow"/>
                <w:b/>
                <w:bCs/>
                <w:sz w:val="20"/>
                <w:szCs w:val="20"/>
              </w:rPr>
              <w:t xml:space="preserve">LINC 4 vs. </w:t>
            </w:r>
            <w:r>
              <w:rPr>
                <w:rFonts w:ascii="Arial Narrow" w:hAnsi="Arial Narrow"/>
                <w:b/>
                <w:bCs/>
                <w:sz w:val="20"/>
                <w:szCs w:val="20"/>
              </w:rPr>
              <w:t>Castinetti 2008</w:t>
            </w:r>
          </w:p>
        </w:tc>
      </w:tr>
      <w:tr w:rsidR="006C4160" w:rsidRPr="0073588B" w14:paraId="133CDC37" w14:textId="77777777" w:rsidTr="008854F0">
        <w:tc>
          <w:tcPr>
            <w:tcW w:w="853" w:type="pct"/>
            <w:vAlign w:val="center"/>
          </w:tcPr>
          <w:p w14:paraId="2D4F3570" w14:textId="77777777" w:rsidR="006C4160" w:rsidRPr="002E6EC5" w:rsidRDefault="006C4160" w:rsidP="00C86F74">
            <w:pPr>
              <w:pStyle w:val="TableText0"/>
              <w:rPr>
                <w:rFonts w:cstheme="minorHAnsi"/>
                <w:bCs w:val="0"/>
                <w:szCs w:val="20"/>
              </w:rPr>
            </w:pPr>
            <w:r>
              <w:rPr>
                <w:rFonts w:cstheme="minorHAnsi"/>
                <w:bCs w:val="0"/>
                <w:szCs w:val="20"/>
              </w:rPr>
              <w:t>Discontinuation due to AEs</w:t>
            </w:r>
          </w:p>
        </w:tc>
        <w:tc>
          <w:tcPr>
            <w:tcW w:w="852" w:type="pct"/>
            <w:vAlign w:val="center"/>
          </w:tcPr>
          <w:p w14:paraId="52C1E630" w14:textId="77777777" w:rsidR="006C4160" w:rsidRPr="0073588B" w:rsidRDefault="006C4160" w:rsidP="00C86F74">
            <w:pPr>
              <w:pStyle w:val="TableText0"/>
              <w:jc w:val="center"/>
              <w:rPr>
                <w:bCs w:val="0"/>
              </w:rPr>
            </w:pPr>
            <w:r w:rsidRPr="0073588B">
              <w:rPr>
                <w:rFonts w:eastAsia="Calibri" w:cs="Calibri"/>
                <w:bCs w:val="0"/>
                <w:szCs w:val="20"/>
                <w:lang w:val="en-US"/>
              </w:rPr>
              <w:t>1/48 (2.1%)</w:t>
            </w:r>
          </w:p>
        </w:tc>
        <w:tc>
          <w:tcPr>
            <w:tcW w:w="698" w:type="pct"/>
            <w:vAlign w:val="center"/>
          </w:tcPr>
          <w:p w14:paraId="73A88F1F" w14:textId="77777777" w:rsidR="006C4160" w:rsidRPr="0073588B" w:rsidRDefault="006C4160" w:rsidP="00C86F74">
            <w:pPr>
              <w:keepNext/>
              <w:jc w:val="center"/>
              <w:rPr>
                <w:rFonts w:ascii="Arial Narrow" w:hAnsi="Arial Narrow" w:cstheme="minorHAnsi"/>
                <w:sz w:val="20"/>
                <w:szCs w:val="20"/>
              </w:rPr>
            </w:pPr>
            <w:r w:rsidRPr="0073588B">
              <w:rPr>
                <w:rFonts w:ascii="Arial Narrow" w:eastAsia="Calibri" w:hAnsi="Arial Narrow" w:cs="Calibri"/>
                <w:sz w:val="20"/>
                <w:szCs w:val="20"/>
                <w:lang w:val="en-US"/>
              </w:rPr>
              <w:t>5/38 (13.2%)</w:t>
            </w:r>
          </w:p>
        </w:tc>
        <w:tc>
          <w:tcPr>
            <w:tcW w:w="813" w:type="pct"/>
            <w:vAlign w:val="center"/>
          </w:tcPr>
          <w:p w14:paraId="24878BF4" w14:textId="77777777" w:rsidR="006C4160" w:rsidRPr="0073588B" w:rsidRDefault="006C4160" w:rsidP="00C86F74">
            <w:pPr>
              <w:keepNext/>
              <w:jc w:val="center"/>
              <w:rPr>
                <w:rFonts w:ascii="Arial Narrow" w:eastAsia="Calibri" w:hAnsi="Arial Narrow" w:cs="Calibri"/>
                <w:sz w:val="20"/>
                <w:szCs w:val="20"/>
                <w:lang w:val="en-US"/>
              </w:rPr>
            </w:pPr>
            <w:r w:rsidRPr="0073588B">
              <w:rPr>
                <w:rFonts w:ascii="Arial Narrow" w:eastAsia="Calibri" w:hAnsi="Arial Narrow" w:cs="Calibri"/>
                <w:sz w:val="20"/>
                <w:szCs w:val="20"/>
                <w:lang w:val="en-US"/>
              </w:rPr>
              <w:t>-0.11 (-0.23; 0.00)</w:t>
            </w:r>
          </w:p>
        </w:tc>
        <w:tc>
          <w:tcPr>
            <w:tcW w:w="854" w:type="pct"/>
            <w:vAlign w:val="center"/>
          </w:tcPr>
          <w:p w14:paraId="7F10D47F" w14:textId="77777777" w:rsidR="006C4160" w:rsidRPr="0073588B" w:rsidRDefault="006C4160" w:rsidP="00C86F74">
            <w:pPr>
              <w:keepNext/>
              <w:jc w:val="center"/>
              <w:rPr>
                <w:rFonts w:ascii="Arial Narrow" w:eastAsia="Calibri" w:hAnsi="Arial Narrow" w:cs="Calibri"/>
                <w:sz w:val="20"/>
                <w:szCs w:val="20"/>
                <w:lang w:val="en-US"/>
              </w:rPr>
            </w:pPr>
            <w:r w:rsidRPr="0073588B">
              <w:rPr>
                <w:rFonts w:ascii="Arial Narrow" w:eastAsia="Calibri" w:hAnsi="Arial Narrow" w:cs="Calibri"/>
                <w:sz w:val="20"/>
                <w:szCs w:val="20"/>
                <w:lang w:val="en-US"/>
              </w:rPr>
              <w:t>0.16 (0.02; 1.30)</w:t>
            </w:r>
          </w:p>
        </w:tc>
        <w:tc>
          <w:tcPr>
            <w:tcW w:w="930" w:type="pct"/>
            <w:vAlign w:val="center"/>
          </w:tcPr>
          <w:p w14:paraId="43B50991" w14:textId="77777777" w:rsidR="006C4160" w:rsidRPr="0073588B" w:rsidRDefault="006C4160" w:rsidP="00C86F74">
            <w:pPr>
              <w:keepNext/>
              <w:jc w:val="center"/>
              <w:rPr>
                <w:rFonts w:ascii="Arial Narrow" w:eastAsia="Calibri" w:hAnsi="Arial Narrow" w:cs="Calibri"/>
                <w:sz w:val="20"/>
                <w:szCs w:val="20"/>
                <w:lang w:val="en-US"/>
              </w:rPr>
            </w:pPr>
            <w:r w:rsidRPr="0073588B">
              <w:rPr>
                <w:rFonts w:ascii="Arial Narrow" w:eastAsia="Calibri" w:hAnsi="Arial Narrow" w:cs="Calibri"/>
                <w:sz w:val="20"/>
                <w:szCs w:val="20"/>
                <w:lang w:val="en-US"/>
              </w:rPr>
              <w:t>0.14 (0.02; 1.26)</w:t>
            </w:r>
          </w:p>
        </w:tc>
      </w:tr>
      <w:tr w:rsidR="006C4160" w:rsidRPr="0073588B" w14:paraId="3C94AD94" w14:textId="77777777" w:rsidTr="008854F0">
        <w:tc>
          <w:tcPr>
            <w:tcW w:w="5000" w:type="pct"/>
            <w:gridSpan w:val="6"/>
            <w:vAlign w:val="center"/>
          </w:tcPr>
          <w:p w14:paraId="20D8E9F9" w14:textId="77777777" w:rsidR="006C4160" w:rsidRPr="0073588B" w:rsidRDefault="006C4160" w:rsidP="00C86F74">
            <w:pPr>
              <w:keepNext/>
              <w:jc w:val="left"/>
              <w:rPr>
                <w:rFonts w:ascii="Arial Narrow" w:eastAsia="Calibri" w:hAnsi="Arial Narrow" w:cs="Calibri"/>
                <w:b/>
                <w:bCs/>
                <w:sz w:val="20"/>
                <w:szCs w:val="20"/>
                <w:lang w:val="en-US"/>
              </w:rPr>
            </w:pPr>
            <w:r w:rsidRPr="0073588B">
              <w:rPr>
                <w:rFonts w:ascii="Arial Narrow" w:hAnsi="Arial Narrow"/>
                <w:b/>
                <w:bCs/>
                <w:sz w:val="20"/>
                <w:szCs w:val="20"/>
              </w:rPr>
              <w:t>Pooled osilodrostat (LINC 3, LINC 4, C1201) vs. Castinetti 2008</w:t>
            </w:r>
          </w:p>
        </w:tc>
      </w:tr>
      <w:tr w:rsidR="006C4160" w:rsidRPr="0073588B" w14:paraId="1E8FAB3F" w14:textId="77777777" w:rsidTr="008854F0">
        <w:tc>
          <w:tcPr>
            <w:tcW w:w="853" w:type="pct"/>
            <w:vAlign w:val="center"/>
          </w:tcPr>
          <w:p w14:paraId="2ED3E27B" w14:textId="77777777" w:rsidR="006C4160" w:rsidRPr="002E6EC5" w:rsidRDefault="006C4160" w:rsidP="00C86F74">
            <w:pPr>
              <w:pStyle w:val="TableText0"/>
              <w:rPr>
                <w:rFonts w:cstheme="minorHAnsi"/>
                <w:bCs w:val="0"/>
                <w:szCs w:val="20"/>
              </w:rPr>
            </w:pPr>
            <w:r>
              <w:rPr>
                <w:rFonts w:cstheme="minorHAnsi"/>
                <w:bCs w:val="0"/>
                <w:szCs w:val="20"/>
              </w:rPr>
              <w:t>Discontinuation due to AEs</w:t>
            </w:r>
          </w:p>
        </w:tc>
        <w:tc>
          <w:tcPr>
            <w:tcW w:w="852" w:type="pct"/>
            <w:vAlign w:val="center"/>
          </w:tcPr>
          <w:p w14:paraId="11A448C0" w14:textId="77777777" w:rsidR="006C4160" w:rsidRPr="0073588B" w:rsidRDefault="006C4160" w:rsidP="00C86F74">
            <w:pPr>
              <w:pStyle w:val="TableText0"/>
              <w:jc w:val="center"/>
              <w:rPr>
                <w:bCs w:val="0"/>
              </w:rPr>
            </w:pPr>
            <w:r w:rsidRPr="0073588B">
              <w:rPr>
                <w:rFonts w:eastAsia="Calibri" w:cs="Calibri"/>
                <w:bCs w:val="0"/>
                <w:szCs w:val="20"/>
                <w:lang w:val="en-US"/>
              </w:rPr>
              <w:t>7/194 (3.6%)</w:t>
            </w:r>
          </w:p>
        </w:tc>
        <w:tc>
          <w:tcPr>
            <w:tcW w:w="698" w:type="pct"/>
            <w:vAlign w:val="center"/>
          </w:tcPr>
          <w:p w14:paraId="6687ACD6" w14:textId="77777777" w:rsidR="006C4160" w:rsidRPr="0073588B" w:rsidRDefault="006C4160" w:rsidP="00C86F74">
            <w:pPr>
              <w:keepNext/>
              <w:jc w:val="center"/>
              <w:rPr>
                <w:rFonts w:ascii="Arial Narrow" w:hAnsi="Arial Narrow" w:cstheme="minorHAnsi"/>
                <w:sz w:val="20"/>
                <w:szCs w:val="20"/>
              </w:rPr>
            </w:pPr>
            <w:r w:rsidRPr="0073588B">
              <w:rPr>
                <w:rFonts w:ascii="Arial Narrow" w:eastAsia="Calibri" w:hAnsi="Arial Narrow" w:cs="Calibri"/>
                <w:sz w:val="20"/>
                <w:szCs w:val="20"/>
                <w:lang w:val="en-US"/>
              </w:rPr>
              <w:t>5/38 (13.2%)</w:t>
            </w:r>
          </w:p>
        </w:tc>
        <w:tc>
          <w:tcPr>
            <w:tcW w:w="813" w:type="pct"/>
            <w:vAlign w:val="center"/>
          </w:tcPr>
          <w:p w14:paraId="7DFE8BB1" w14:textId="77777777" w:rsidR="006C4160" w:rsidRPr="0073588B" w:rsidRDefault="006C4160" w:rsidP="00C86F74">
            <w:pPr>
              <w:keepNext/>
              <w:jc w:val="center"/>
              <w:rPr>
                <w:rFonts w:ascii="Arial Narrow" w:eastAsia="Calibri" w:hAnsi="Arial Narrow" w:cs="Calibri"/>
                <w:sz w:val="20"/>
                <w:szCs w:val="20"/>
                <w:lang w:val="en-US"/>
              </w:rPr>
            </w:pPr>
            <w:r w:rsidRPr="0073588B">
              <w:rPr>
                <w:rFonts w:ascii="Arial Narrow" w:eastAsia="Calibri" w:hAnsi="Arial Narrow" w:cs="Calibri"/>
                <w:sz w:val="20"/>
                <w:szCs w:val="20"/>
                <w:lang w:val="en-US"/>
              </w:rPr>
              <w:t>-0.10 (-0.21; 0.02)</w:t>
            </w:r>
          </w:p>
        </w:tc>
        <w:tc>
          <w:tcPr>
            <w:tcW w:w="854" w:type="pct"/>
            <w:vAlign w:val="center"/>
          </w:tcPr>
          <w:p w14:paraId="29421278" w14:textId="77777777" w:rsidR="006C4160" w:rsidRPr="0073588B" w:rsidRDefault="006C4160" w:rsidP="00C86F74">
            <w:pPr>
              <w:keepNext/>
              <w:jc w:val="center"/>
              <w:rPr>
                <w:rFonts w:ascii="Arial Narrow" w:eastAsia="Calibri" w:hAnsi="Arial Narrow" w:cs="Calibri"/>
                <w:sz w:val="20"/>
                <w:szCs w:val="20"/>
                <w:lang w:val="en-US"/>
              </w:rPr>
            </w:pPr>
            <w:r w:rsidRPr="00910443">
              <w:rPr>
                <w:rFonts w:ascii="Arial Narrow" w:eastAsia="Calibri" w:hAnsi="Arial Narrow" w:cs="Calibri"/>
                <w:b/>
                <w:bCs/>
                <w:sz w:val="20"/>
                <w:szCs w:val="20"/>
                <w:lang w:val="en-US"/>
              </w:rPr>
              <w:t>0.27</w:t>
            </w:r>
            <w:r w:rsidRPr="0073588B">
              <w:rPr>
                <w:rFonts w:ascii="Arial Narrow" w:eastAsia="Calibri" w:hAnsi="Arial Narrow" w:cs="Calibri"/>
                <w:sz w:val="20"/>
                <w:szCs w:val="20"/>
                <w:lang w:val="en-US"/>
              </w:rPr>
              <w:t xml:space="preserve"> </w:t>
            </w:r>
            <w:r w:rsidRPr="0073588B">
              <w:rPr>
                <w:rFonts w:ascii="Arial Narrow" w:eastAsia="Calibri" w:hAnsi="Arial Narrow" w:cs="Calibri"/>
                <w:b/>
                <w:bCs/>
                <w:sz w:val="20"/>
                <w:szCs w:val="20"/>
                <w:lang w:val="en-US"/>
              </w:rPr>
              <w:t>(0.09; 0.82)</w:t>
            </w:r>
          </w:p>
        </w:tc>
        <w:tc>
          <w:tcPr>
            <w:tcW w:w="930" w:type="pct"/>
            <w:vAlign w:val="center"/>
          </w:tcPr>
          <w:p w14:paraId="66CB4129" w14:textId="77777777" w:rsidR="006C4160" w:rsidRPr="0073588B" w:rsidRDefault="006C4160" w:rsidP="00C86F74">
            <w:pPr>
              <w:keepNext/>
              <w:jc w:val="center"/>
              <w:rPr>
                <w:rFonts w:ascii="Arial Narrow" w:eastAsia="Calibri" w:hAnsi="Arial Narrow" w:cs="Calibri"/>
                <w:sz w:val="20"/>
                <w:szCs w:val="20"/>
                <w:lang w:val="en-US"/>
              </w:rPr>
            </w:pPr>
            <w:r w:rsidRPr="00910443">
              <w:rPr>
                <w:rFonts w:ascii="Arial Narrow" w:eastAsia="Calibri" w:hAnsi="Arial Narrow" w:cs="Calibri"/>
                <w:b/>
                <w:bCs/>
                <w:sz w:val="20"/>
                <w:szCs w:val="20"/>
                <w:lang w:val="en-US"/>
              </w:rPr>
              <w:t>0.25</w:t>
            </w:r>
            <w:r w:rsidRPr="0073588B">
              <w:rPr>
                <w:rFonts w:ascii="Arial Narrow" w:eastAsia="Calibri" w:hAnsi="Arial Narrow" w:cs="Calibri"/>
                <w:sz w:val="20"/>
                <w:szCs w:val="20"/>
                <w:lang w:val="en-US"/>
              </w:rPr>
              <w:t xml:space="preserve"> </w:t>
            </w:r>
            <w:r w:rsidRPr="0073588B">
              <w:rPr>
                <w:rFonts w:ascii="Arial Narrow" w:eastAsia="Calibri" w:hAnsi="Arial Narrow" w:cs="Calibri"/>
                <w:b/>
                <w:bCs/>
                <w:sz w:val="20"/>
                <w:szCs w:val="20"/>
                <w:lang w:val="en-US"/>
              </w:rPr>
              <w:t>(0.07; 0.83)</w:t>
            </w:r>
          </w:p>
        </w:tc>
      </w:tr>
    </w:tbl>
    <w:p w14:paraId="774F003E" w14:textId="77777777" w:rsidR="006C4160" w:rsidRPr="00B1011F" w:rsidRDefault="006C4160" w:rsidP="006C4160">
      <w:pPr>
        <w:pStyle w:val="FooterTableFigure"/>
        <w:rPr>
          <w:sz w:val="20"/>
        </w:rPr>
      </w:pPr>
      <w:r>
        <w:t xml:space="preserve">Source: </w:t>
      </w:r>
      <w:r w:rsidRPr="00AB08F8">
        <w:t>Table 2.8-34, p252 of the submission.</w:t>
      </w:r>
    </w:p>
    <w:p w14:paraId="08E92D97" w14:textId="41C85644" w:rsidR="006C4160" w:rsidRDefault="006C4160" w:rsidP="006C4160">
      <w:pPr>
        <w:pStyle w:val="FooterTableFigure"/>
      </w:pPr>
      <w:r>
        <w:rPr>
          <w:rFonts w:eastAsia="Calibri"/>
        </w:rPr>
        <w:t xml:space="preserve">AEs = adverse events; </w:t>
      </w:r>
      <w:r w:rsidRPr="00B40358">
        <w:rPr>
          <w:rFonts w:eastAsia="Calibri"/>
        </w:rPr>
        <w:t xml:space="preserve">CI = confidence interval; </w:t>
      </w:r>
      <w:r>
        <w:rPr>
          <w:rFonts w:eastAsia="Calibri"/>
        </w:rPr>
        <w:t xml:space="preserve">OR = odds ratio; RD = risk difference; RR = relative risk; </w:t>
      </w:r>
      <w:r>
        <w:rPr>
          <w:rFonts w:eastAsia="Calibri"/>
          <w:b/>
        </w:rPr>
        <w:t>b</w:t>
      </w:r>
      <w:r w:rsidRPr="00760F9E">
        <w:rPr>
          <w:rFonts w:eastAsia="Calibri"/>
          <w:b/>
        </w:rPr>
        <w:t>old</w:t>
      </w:r>
      <w:r>
        <w:rPr>
          <w:rFonts w:eastAsia="Calibri"/>
        </w:rPr>
        <w:t xml:space="preserve"> indicates statistically significant results.</w:t>
      </w:r>
    </w:p>
    <w:p w14:paraId="5693FBD2" w14:textId="2C7028A8" w:rsidR="00407AD1" w:rsidRPr="009E4D4A" w:rsidRDefault="006C4160" w:rsidP="004F7C73">
      <w:pPr>
        <w:pStyle w:val="3-BodyText"/>
      </w:pPr>
      <w:r>
        <w:t>The outcome of discontinuation due to AEs showed no statistically significant difference between osilodrostat and ketoconazole, although the rate was lower for osilodrostat (2.1%) compared to ketoconazole (13.2%).</w:t>
      </w:r>
      <w:r w:rsidR="004B485D">
        <w:t xml:space="preserve"> </w:t>
      </w:r>
    </w:p>
    <w:p w14:paraId="04908C7F" w14:textId="415B9B7D" w:rsidR="007F1017" w:rsidRPr="008C713C" w:rsidRDefault="007F1017" w:rsidP="00AB08F8">
      <w:pPr>
        <w:pStyle w:val="4-SubsectionHeading"/>
        <w:rPr>
          <w:i w:val="0"/>
        </w:rPr>
      </w:pPr>
      <w:bookmarkStart w:id="34" w:name="_Toc22897643"/>
      <w:bookmarkStart w:id="35" w:name="_Toc124928099"/>
      <w:r w:rsidRPr="008C713C">
        <w:rPr>
          <w:i w:val="0"/>
        </w:rPr>
        <w:t>Benefits/harms</w:t>
      </w:r>
      <w:bookmarkEnd w:id="34"/>
      <w:bookmarkEnd w:id="35"/>
    </w:p>
    <w:p w14:paraId="33696279" w14:textId="5BA8A2BE" w:rsidR="002E1071" w:rsidRPr="009B59F6" w:rsidRDefault="00BD1DC3" w:rsidP="00D2155B">
      <w:pPr>
        <w:pStyle w:val="3-BodyText"/>
      </w:pPr>
      <w:r w:rsidRPr="009B59F6">
        <w:rPr>
          <w:lang w:val="en-US"/>
        </w:rPr>
        <w:t xml:space="preserve">A summary of the comparative benefits and harms for osilodrostat versus placebo is presented in </w:t>
      </w:r>
      <w:r w:rsidRPr="009B59F6">
        <w:rPr>
          <w:lang w:val="en-US"/>
        </w:rPr>
        <w:fldChar w:fldCharType="begin"/>
      </w:r>
      <w:r w:rsidRPr="009B59F6">
        <w:rPr>
          <w:lang w:val="en-US"/>
        </w:rPr>
        <w:instrText xml:space="preserve"> REF _Ref104805037 \h </w:instrText>
      </w:r>
      <w:r w:rsidR="009B59F6">
        <w:rPr>
          <w:lang w:val="en-US"/>
        </w:rPr>
        <w:instrText xml:space="preserve"> \* MERGEFORMAT </w:instrText>
      </w:r>
      <w:r w:rsidRPr="009B59F6">
        <w:rPr>
          <w:lang w:val="en-US"/>
        </w:rPr>
      </w:r>
      <w:r w:rsidRPr="009B59F6">
        <w:rPr>
          <w:lang w:val="en-US"/>
        </w:rPr>
        <w:fldChar w:fldCharType="separate"/>
      </w:r>
      <w:r w:rsidR="00A9220E">
        <w:t xml:space="preserve">Table </w:t>
      </w:r>
      <w:r w:rsidR="00A9220E">
        <w:rPr>
          <w:noProof/>
        </w:rPr>
        <w:t>14</w:t>
      </w:r>
      <w:r w:rsidRPr="009B59F6">
        <w:rPr>
          <w:lang w:val="en-US"/>
        </w:rPr>
        <w:fldChar w:fldCharType="end"/>
      </w:r>
      <w:r w:rsidRPr="00721D5A">
        <w:rPr>
          <w:iCs/>
        </w:rPr>
        <w:t>.</w:t>
      </w:r>
      <w:r w:rsidR="004B485D" w:rsidRPr="009B59F6">
        <w:t xml:space="preserve"> </w:t>
      </w:r>
      <w:r w:rsidR="002E4CC1" w:rsidRPr="009B59F6">
        <w:t>Benefits and harms for the indirect comparisons versus metyrapone and ketoconazole are not provided.</w:t>
      </w:r>
    </w:p>
    <w:p w14:paraId="04AC1B54" w14:textId="4029BB10" w:rsidR="00B62715" w:rsidRPr="00D2155B" w:rsidRDefault="00D6076E" w:rsidP="00D6076E">
      <w:pPr>
        <w:pStyle w:val="Caption"/>
        <w:rPr>
          <w:rStyle w:val="CommentReference"/>
          <w:b/>
          <w:szCs w:val="24"/>
        </w:rPr>
      </w:pPr>
      <w:bookmarkStart w:id="36" w:name="_Ref104805037"/>
      <w:r>
        <w:t xml:space="preserve">Table </w:t>
      </w:r>
      <w:fldSimple w:instr=" SEQ Table \* ARABIC ">
        <w:r w:rsidR="00A9220E">
          <w:rPr>
            <w:noProof/>
          </w:rPr>
          <w:t>14</w:t>
        </w:r>
      </w:fldSimple>
      <w:bookmarkEnd w:id="36"/>
      <w:r>
        <w:t xml:space="preserve">: </w:t>
      </w:r>
      <w:r w:rsidR="00B62715" w:rsidRPr="00D2155B">
        <w:rPr>
          <w:rStyle w:val="CommentReference"/>
          <w:b/>
          <w:szCs w:val="24"/>
        </w:rPr>
        <w:t xml:space="preserve">Summary of comparative benefits and harms for </w:t>
      </w:r>
      <w:r w:rsidR="00BD1DC3">
        <w:rPr>
          <w:rStyle w:val="CommentReference"/>
          <w:b/>
          <w:szCs w:val="24"/>
        </w:rPr>
        <w:t>osilodrostat</w:t>
      </w:r>
      <w:r w:rsidR="00B62715" w:rsidRPr="00D2155B">
        <w:rPr>
          <w:rStyle w:val="CommentReference"/>
          <w:b/>
          <w:szCs w:val="24"/>
        </w:rPr>
        <w:t xml:space="preserve"> and </w:t>
      </w:r>
      <w:r w:rsidR="00BD1DC3">
        <w:rPr>
          <w:rStyle w:val="CommentReference"/>
          <w:b/>
          <w:szCs w:val="24"/>
        </w:rPr>
        <w:t>placebo</w:t>
      </w:r>
    </w:p>
    <w:tbl>
      <w:tblPr>
        <w:tblW w:w="5000" w:type="pct"/>
        <w:tblLayout w:type="fixed"/>
        <w:tblCellMar>
          <w:left w:w="28" w:type="dxa"/>
          <w:right w:w="28" w:type="dxa"/>
        </w:tblCellMar>
        <w:tblLook w:val="04A0" w:firstRow="1" w:lastRow="0" w:firstColumn="1" w:lastColumn="0" w:noHBand="0" w:noVBand="1"/>
      </w:tblPr>
      <w:tblGrid>
        <w:gridCol w:w="1141"/>
        <w:gridCol w:w="9"/>
        <w:gridCol w:w="1143"/>
        <w:gridCol w:w="1284"/>
        <w:gridCol w:w="1555"/>
        <w:gridCol w:w="1133"/>
        <w:gridCol w:w="90"/>
        <w:gridCol w:w="1131"/>
        <w:gridCol w:w="141"/>
        <w:gridCol w:w="1390"/>
      </w:tblGrid>
      <w:tr w:rsidR="00A80B42" w:rsidRPr="00FA272A" w14:paraId="230E04EB" w14:textId="77777777" w:rsidTr="0064416D">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7648A" w14:textId="77777777" w:rsidR="00A80B42" w:rsidRPr="00FA272A" w:rsidRDefault="00A80B42" w:rsidP="00B71F1C">
            <w:pPr>
              <w:pStyle w:val="In-tableHeading"/>
              <w:rPr>
                <w:rFonts w:ascii="Calibri" w:hAnsi="Calibri" w:cs="Calibri"/>
              </w:rPr>
            </w:pPr>
            <w:r w:rsidRPr="00FA272A">
              <w:rPr>
                <w:rFonts w:ascii="Calibri" w:hAnsi="Calibri" w:cs="Calibri"/>
              </w:rPr>
              <w:t>Trial</w:t>
            </w:r>
          </w:p>
        </w:tc>
        <w:tc>
          <w:tcPr>
            <w:tcW w:w="639" w:type="pct"/>
            <w:gridSpan w:val="2"/>
            <w:vMerge w:val="restart"/>
            <w:tcBorders>
              <w:top w:val="single" w:sz="4" w:space="0" w:color="auto"/>
              <w:left w:val="single" w:sz="4" w:space="0" w:color="auto"/>
              <w:bottom w:val="single" w:sz="4" w:space="0" w:color="auto"/>
              <w:right w:val="single" w:sz="4" w:space="0" w:color="auto"/>
            </w:tcBorders>
            <w:vAlign w:val="center"/>
          </w:tcPr>
          <w:p w14:paraId="39690017" w14:textId="77777777" w:rsidR="00A80B42" w:rsidRPr="00E2771E" w:rsidRDefault="00A80B42" w:rsidP="00B71F1C">
            <w:pPr>
              <w:pStyle w:val="In-tableHeading"/>
              <w:jc w:val="center"/>
            </w:pPr>
            <w: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0C3532CC" w14:textId="77777777" w:rsidR="00A80B42" w:rsidRPr="00E2771E" w:rsidRDefault="00A80B42" w:rsidP="00B71F1C">
            <w:pPr>
              <w:pStyle w:val="In-tableHeading"/>
              <w:jc w:val="center"/>
            </w:pPr>
            <w: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627FF054" w14:textId="77777777" w:rsidR="009048BF" w:rsidRPr="00E2771E" w:rsidRDefault="009048BF" w:rsidP="009048BF">
            <w:pPr>
              <w:pStyle w:val="In-tableHeading"/>
              <w:jc w:val="center"/>
            </w:pPr>
            <w:r>
              <w:t>OR</w:t>
            </w:r>
          </w:p>
          <w:p w14:paraId="10FE1133" w14:textId="6133B5B5" w:rsidR="00A80B42" w:rsidRPr="00FA272A" w:rsidRDefault="009048BF" w:rsidP="009048BF">
            <w:pPr>
              <w:pStyle w:val="In-tableHeading"/>
              <w:jc w:val="center"/>
              <w:rPr>
                <w:rFonts w:ascii="Calibri" w:hAnsi="Calibri" w:cs="Calibri"/>
              </w:rPr>
            </w:pPr>
            <w:r w:rsidRPr="00E2771E">
              <w:t>(95% CI)</w:t>
            </w:r>
          </w:p>
        </w:tc>
        <w:tc>
          <w:tcPr>
            <w:tcW w:w="1305" w:type="pct"/>
            <w:gridSpan w:val="3"/>
            <w:tcBorders>
              <w:top w:val="single" w:sz="4" w:space="0" w:color="auto"/>
              <w:left w:val="single" w:sz="4" w:space="0" w:color="auto"/>
              <w:bottom w:val="single" w:sz="4" w:space="0" w:color="auto"/>
              <w:right w:val="single" w:sz="4" w:space="0" w:color="auto"/>
            </w:tcBorders>
            <w:vAlign w:val="center"/>
          </w:tcPr>
          <w:p w14:paraId="7DE693FC" w14:textId="77777777" w:rsidR="00A80B42" w:rsidRPr="00FA272A" w:rsidRDefault="00A80B42" w:rsidP="00B71F1C">
            <w:pPr>
              <w:pStyle w:val="In-tableHeading"/>
              <w:jc w:val="center"/>
              <w:rPr>
                <w:rFonts w:ascii="Calibri" w:hAnsi="Calibri" w:cs="Calibri"/>
              </w:rPr>
            </w:pPr>
            <w:r w:rsidRPr="00FA272A">
              <w:rPr>
                <w:rFonts w:ascii="Calibri" w:hAnsi="Calibri" w:cs="Calibri"/>
              </w:rPr>
              <w:t>Event rate/100 patients</w:t>
            </w:r>
          </w:p>
        </w:tc>
        <w:tc>
          <w:tcPr>
            <w:tcW w:w="848" w:type="pct"/>
            <w:gridSpan w:val="2"/>
            <w:vMerge w:val="restart"/>
            <w:tcBorders>
              <w:top w:val="single" w:sz="4" w:space="0" w:color="auto"/>
              <w:left w:val="single" w:sz="4" w:space="0" w:color="auto"/>
              <w:bottom w:val="single" w:sz="4" w:space="0" w:color="auto"/>
              <w:right w:val="single" w:sz="4" w:space="0" w:color="auto"/>
            </w:tcBorders>
            <w:vAlign w:val="center"/>
          </w:tcPr>
          <w:p w14:paraId="2DA0D935" w14:textId="77777777" w:rsidR="009048BF" w:rsidRPr="0024453E" w:rsidRDefault="009048BF" w:rsidP="009048BF">
            <w:pPr>
              <w:pStyle w:val="In-tableHeading"/>
              <w:jc w:val="center"/>
              <w:rPr>
                <w:rFonts w:ascii="Calibri" w:hAnsi="Calibri" w:cs="Calibri"/>
                <w:bCs/>
                <w:iCs/>
              </w:rPr>
            </w:pPr>
            <w:r w:rsidRPr="0024453E">
              <w:rPr>
                <w:rFonts w:ascii="Calibri" w:hAnsi="Calibri" w:cs="Calibri"/>
                <w:bCs/>
                <w:iCs/>
              </w:rPr>
              <w:t>RD</w:t>
            </w:r>
            <w:r w:rsidRPr="0024453E">
              <w:rPr>
                <w:rFonts w:ascii="Calibri" w:hAnsi="Calibri" w:cs="Calibri"/>
                <w:bCs/>
                <w:iCs/>
                <w:vertAlign w:val="superscript"/>
              </w:rPr>
              <w:t>a</w:t>
            </w:r>
          </w:p>
          <w:p w14:paraId="47C671F1" w14:textId="0EB98D70" w:rsidR="00A80B42" w:rsidRPr="00FA272A" w:rsidRDefault="009048BF" w:rsidP="009048BF">
            <w:pPr>
              <w:pStyle w:val="In-tableHeading"/>
              <w:jc w:val="center"/>
              <w:rPr>
                <w:rFonts w:ascii="Calibri" w:hAnsi="Calibri" w:cs="Calibri"/>
              </w:rPr>
            </w:pPr>
            <w:r w:rsidRPr="0024453E">
              <w:rPr>
                <w:rFonts w:ascii="Calibri" w:hAnsi="Calibri" w:cs="Calibri"/>
                <w:bCs/>
                <w:iCs/>
              </w:rPr>
              <w:t>(95% CI)</w:t>
            </w:r>
          </w:p>
        </w:tc>
      </w:tr>
      <w:tr w:rsidR="00A80B42" w:rsidRPr="00FA272A" w14:paraId="2181E724" w14:textId="77777777" w:rsidTr="0064416D">
        <w:trPr>
          <w:cantSplit/>
          <w:trHeight w:val="315"/>
        </w:trPr>
        <w:tc>
          <w:tcPr>
            <w:tcW w:w="633" w:type="pct"/>
            <w:vMerge/>
            <w:tcBorders>
              <w:top w:val="single" w:sz="4" w:space="0" w:color="auto"/>
              <w:left w:val="single" w:sz="4" w:space="0" w:color="auto"/>
              <w:bottom w:val="double" w:sz="4" w:space="0" w:color="auto"/>
              <w:right w:val="single" w:sz="4" w:space="0" w:color="auto"/>
            </w:tcBorders>
            <w:shd w:val="clear" w:color="auto" w:fill="auto"/>
            <w:vAlign w:val="center"/>
          </w:tcPr>
          <w:p w14:paraId="6BDF6118" w14:textId="77777777" w:rsidR="00A80B42" w:rsidRPr="00FA272A" w:rsidRDefault="00A80B42" w:rsidP="00B71F1C">
            <w:pPr>
              <w:pStyle w:val="In-tableHeading"/>
              <w:jc w:val="center"/>
              <w:rPr>
                <w:rFonts w:ascii="Calibri" w:hAnsi="Calibri" w:cs="Calibri"/>
              </w:rPr>
            </w:pPr>
          </w:p>
        </w:tc>
        <w:tc>
          <w:tcPr>
            <w:tcW w:w="639" w:type="pct"/>
            <w:gridSpan w:val="2"/>
            <w:vMerge/>
            <w:tcBorders>
              <w:top w:val="single" w:sz="4" w:space="0" w:color="auto"/>
              <w:left w:val="single" w:sz="4" w:space="0" w:color="auto"/>
              <w:bottom w:val="double" w:sz="4" w:space="0" w:color="auto"/>
              <w:right w:val="single" w:sz="4" w:space="0" w:color="auto"/>
            </w:tcBorders>
            <w:vAlign w:val="center"/>
          </w:tcPr>
          <w:p w14:paraId="739CB89F" w14:textId="77777777" w:rsidR="00A80B42" w:rsidRPr="00FA272A" w:rsidRDefault="00A80B42" w:rsidP="00B71F1C">
            <w:pPr>
              <w:pStyle w:val="In-tableHeading"/>
              <w:jc w:val="center"/>
              <w:rPr>
                <w:rFonts w:ascii="Calibri" w:hAnsi="Calibri" w:cs="Calibri"/>
              </w:rPr>
            </w:pPr>
          </w:p>
        </w:tc>
        <w:tc>
          <w:tcPr>
            <w:tcW w:w="712" w:type="pct"/>
            <w:vMerge/>
            <w:tcBorders>
              <w:top w:val="single" w:sz="4" w:space="0" w:color="auto"/>
              <w:left w:val="single" w:sz="4" w:space="0" w:color="auto"/>
              <w:bottom w:val="double" w:sz="4" w:space="0" w:color="auto"/>
              <w:right w:val="single" w:sz="4" w:space="0" w:color="auto"/>
            </w:tcBorders>
            <w:vAlign w:val="center"/>
          </w:tcPr>
          <w:p w14:paraId="5E63A2F9" w14:textId="77777777" w:rsidR="00A80B42" w:rsidRPr="00FA272A" w:rsidRDefault="00A80B42" w:rsidP="00B71F1C">
            <w:pPr>
              <w:pStyle w:val="In-tableHeading"/>
              <w:jc w:val="center"/>
              <w:rPr>
                <w:rFonts w:ascii="Calibri" w:hAnsi="Calibri" w:cs="Calibri"/>
              </w:rPr>
            </w:pPr>
          </w:p>
        </w:tc>
        <w:tc>
          <w:tcPr>
            <w:tcW w:w="862" w:type="pct"/>
            <w:vMerge/>
            <w:tcBorders>
              <w:top w:val="single" w:sz="4" w:space="0" w:color="auto"/>
              <w:left w:val="single" w:sz="4" w:space="0" w:color="auto"/>
              <w:bottom w:val="double" w:sz="4" w:space="0" w:color="auto"/>
              <w:right w:val="single" w:sz="4" w:space="0" w:color="auto"/>
            </w:tcBorders>
            <w:vAlign w:val="center"/>
          </w:tcPr>
          <w:p w14:paraId="2F7003FF" w14:textId="77777777" w:rsidR="00A80B42" w:rsidRPr="00FA272A" w:rsidRDefault="00A80B42" w:rsidP="00B71F1C">
            <w:pPr>
              <w:pStyle w:val="In-tableHeading"/>
              <w:jc w:val="center"/>
              <w:rPr>
                <w:rFonts w:ascii="Calibri" w:hAnsi="Calibri" w:cs="Calibri"/>
              </w:rPr>
            </w:pPr>
          </w:p>
        </w:tc>
        <w:tc>
          <w:tcPr>
            <w:tcW w:w="678" w:type="pct"/>
            <w:gridSpan w:val="2"/>
            <w:tcBorders>
              <w:top w:val="single" w:sz="4" w:space="0" w:color="auto"/>
              <w:left w:val="single" w:sz="4" w:space="0" w:color="auto"/>
              <w:bottom w:val="double" w:sz="4" w:space="0" w:color="auto"/>
              <w:right w:val="single" w:sz="4" w:space="0" w:color="auto"/>
            </w:tcBorders>
            <w:vAlign w:val="center"/>
          </w:tcPr>
          <w:p w14:paraId="775629CC" w14:textId="77777777" w:rsidR="00A80B42" w:rsidRPr="00E2771E" w:rsidRDefault="00A80B42" w:rsidP="00B71F1C">
            <w:pPr>
              <w:pStyle w:val="In-tableHeading"/>
              <w:jc w:val="center"/>
            </w:pPr>
            <w:r>
              <w:t>Osilodrostat</w:t>
            </w:r>
          </w:p>
        </w:tc>
        <w:tc>
          <w:tcPr>
            <w:tcW w:w="627" w:type="pct"/>
            <w:tcBorders>
              <w:top w:val="single" w:sz="4" w:space="0" w:color="auto"/>
              <w:left w:val="single" w:sz="4" w:space="0" w:color="auto"/>
              <w:bottom w:val="double" w:sz="4" w:space="0" w:color="auto"/>
              <w:right w:val="single" w:sz="4" w:space="0" w:color="auto"/>
            </w:tcBorders>
            <w:vAlign w:val="center"/>
          </w:tcPr>
          <w:p w14:paraId="3F8E60FC" w14:textId="77777777" w:rsidR="00A80B42" w:rsidRPr="00E2771E" w:rsidRDefault="00A80B42" w:rsidP="00B71F1C">
            <w:pPr>
              <w:pStyle w:val="In-tableHeading"/>
              <w:jc w:val="center"/>
            </w:pPr>
            <w:r>
              <w:t>Placebo</w:t>
            </w:r>
          </w:p>
        </w:tc>
        <w:tc>
          <w:tcPr>
            <w:tcW w:w="848" w:type="pct"/>
            <w:gridSpan w:val="2"/>
            <w:vMerge/>
            <w:tcBorders>
              <w:top w:val="single" w:sz="4" w:space="0" w:color="auto"/>
              <w:left w:val="single" w:sz="4" w:space="0" w:color="auto"/>
              <w:bottom w:val="double" w:sz="4" w:space="0" w:color="auto"/>
              <w:right w:val="single" w:sz="4" w:space="0" w:color="auto"/>
            </w:tcBorders>
            <w:vAlign w:val="center"/>
          </w:tcPr>
          <w:p w14:paraId="542B7059" w14:textId="77777777" w:rsidR="00A80B42" w:rsidRPr="00FA272A" w:rsidRDefault="00A80B42" w:rsidP="00B71F1C">
            <w:pPr>
              <w:pStyle w:val="In-tableHeading"/>
              <w:jc w:val="center"/>
              <w:rPr>
                <w:rFonts w:ascii="Calibri" w:hAnsi="Calibri" w:cs="Calibri"/>
              </w:rPr>
            </w:pPr>
          </w:p>
        </w:tc>
      </w:tr>
      <w:tr w:rsidR="00A80B42" w:rsidRPr="00FA272A" w14:paraId="33B68341" w14:textId="77777777" w:rsidTr="00B71F1C">
        <w:trPr>
          <w:cantSplit/>
        </w:trPr>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0F8D1DA2" w14:textId="77777777" w:rsidR="00A80B42" w:rsidRPr="00FA272A" w:rsidRDefault="00A80B42" w:rsidP="00B71F1C">
            <w:pPr>
              <w:pStyle w:val="In-tableHeading"/>
              <w:rPr>
                <w:rFonts w:ascii="Calibri" w:hAnsi="Calibri" w:cs="Calibri"/>
              </w:rPr>
            </w:pPr>
            <w:r w:rsidRPr="00FA272A">
              <w:rPr>
                <w:rFonts w:ascii="Calibri" w:hAnsi="Calibri" w:cs="Calibri"/>
              </w:rPr>
              <w:t>Benefits</w:t>
            </w:r>
          </w:p>
        </w:tc>
      </w:tr>
      <w:tr w:rsidR="00A80B42" w:rsidRPr="00FA272A" w14:paraId="607C43EF" w14:textId="77777777" w:rsidTr="00B71F1C">
        <w:trPr>
          <w:cantSplit/>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D61F50" w14:textId="5F3303C9" w:rsidR="00A80B42" w:rsidRPr="00FA272A" w:rsidRDefault="00A80B42" w:rsidP="00B71F1C">
            <w:pPr>
              <w:pStyle w:val="In-tableHeading"/>
              <w:rPr>
                <w:rFonts w:ascii="Calibri" w:hAnsi="Calibri" w:cs="Calibri"/>
              </w:rPr>
            </w:pPr>
            <w:r>
              <w:t>Complete response</w:t>
            </w:r>
            <w:r w:rsidR="004D44CA" w:rsidRPr="004D44CA">
              <w:rPr>
                <w:rFonts w:ascii="Calibri" w:hAnsi="Calibri" w:cs="Calibri"/>
                <w:b w:val="0"/>
                <w:iCs/>
                <w:vertAlign w:val="superscript"/>
              </w:rPr>
              <w:t>b</w:t>
            </w:r>
          </w:p>
        </w:tc>
      </w:tr>
      <w:tr w:rsidR="009048BF" w:rsidRPr="00FA272A" w14:paraId="2FD48B49" w14:textId="77777777" w:rsidTr="0064416D">
        <w:trPr>
          <w:cantSplit/>
        </w:trPr>
        <w:tc>
          <w:tcPr>
            <w:tcW w:w="633" w:type="pct"/>
            <w:tcBorders>
              <w:top w:val="single" w:sz="4" w:space="0" w:color="auto"/>
              <w:left w:val="single" w:sz="4" w:space="0" w:color="auto"/>
              <w:bottom w:val="double" w:sz="4" w:space="0" w:color="auto"/>
              <w:right w:val="single" w:sz="4" w:space="0" w:color="auto"/>
            </w:tcBorders>
            <w:shd w:val="clear" w:color="auto" w:fill="auto"/>
            <w:vAlign w:val="center"/>
          </w:tcPr>
          <w:p w14:paraId="1A471C0A" w14:textId="77777777" w:rsidR="009048BF" w:rsidRPr="00E2771E" w:rsidRDefault="009048BF" w:rsidP="009048BF">
            <w:pPr>
              <w:pStyle w:val="TableText0"/>
            </w:pPr>
            <w:r>
              <w:t>LINC 4</w:t>
            </w:r>
          </w:p>
        </w:tc>
        <w:tc>
          <w:tcPr>
            <w:tcW w:w="639" w:type="pct"/>
            <w:gridSpan w:val="2"/>
            <w:tcBorders>
              <w:top w:val="single" w:sz="4" w:space="0" w:color="auto"/>
              <w:left w:val="single" w:sz="4" w:space="0" w:color="auto"/>
              <w:bottom w:val="double" w:sz="4" w:space="0" w:color="auto"/>
              <w:right w:val="single" w:sz="4" w:space="0" w:color="auto"/>
            </w:tcBorders>
            <w:vAlign w:val="center"/>
          </w:tcPr>
          <w:p w14:paraId="350B7AE8" w14:textId="77777777" w:rsidR="009048BF" w:rsidRPr="00E2771E" w:rsidRDefault="009048BF" w:rsidP="009048BF">
            <w:pPr>
              <w:pStyle w:val="TableText0"/>
              <w:jc w:val="center"/>
            </w:pPr>
            <w:r>
              <w:t>37/48</w:t>
            </w:r>
          </w:p>
        </w:tc>
        <w:tc>
          <w:tcPr>
            <w:tcW w:w="712" w:type="pct"/>
            <w:tcBorders>
              <w:top w:val="single" w:sz="4" w:space="0" w:color="auto"/>
              <w:left w:val="single" w:sz="4" w:space="0" w:color="auto"/>
              <w:bottom w:val="double" w:sz="4" w:space="0" w:color="auto"/>
              <w:right w:val="single" w:sz="4" w:space="0" w:color="auto"/>
            </w:tcBorders>
            <w:vAlign w:val="center"/>
          </w:tcPr>
          <w:p w14:paraId="1476F6DE" w14:textId="77777777" w:rsidR="009048BF" w:rsidRPr="00E2771E" w:rsidRDefault="009048BF" w:rsidP="009048BF">
            <w:pPr>
              <w:pStyle w:val="TableText0"/>
              <w:jc w:val="center"/>
            </w:pPr>
            <w:r>
              <w:t>2/25</w:t>
            </w:r>
          </w:p>
        </w:tc>
        <w:tc>
          <w:tcPr>
            <w:tcW w:w="862" w:type="pct"/>
            <w:tcBorders>
              <w:top w:val="single" w:sz="4" w:space="0" w:color="auto"/>
              <w:left w:val="single" w:sz="4" w:space="0" w:color="auto"/>
              <w:bottom w:val="double" w:sz="4" w:space="0" w:color="auto"/>
              <w:right w:val="single" w:sz="4" w:space="0" w:color="auto"/>
            </w:tcBorders>
            <w:vAlign w:val="center"/>
          </w:tcPr>
          <w:p w14:paraId="32E95B4C" w14:textId="73A05F0E" w:rsidR="009048BF" w:rsidRPr="00721D5A" w:rsidRDefault="009048BF" w:rsidP="009048BF">
            <w:pPr>
              <w:pStyle w:val="TableText0"/>
              <w:jc w:val="center"/>
              <w:rPr>
                <w:rFonts w:cs="Calibri"/>
                <w:iCs/>
              </w:rPr>
            </w:pPr>
            <w:r w:rsidRPr="0070257B">
              <w:rPr>
                <w:b/>
                <w:bCs w:val="0"/>
              </w:rPr>
              <w:t>43.4 (7.06, 343.19)</w:t>
            </w:r>
          </w:p>
        </w:tc>
        <w:tc>
          <w:tcPr>
            <w:tcW w:w="678" w:type="pct"/>
            <w:gridSpan w:val="2"/>
            <w:tcBorders>
              <w:top w:val="single" w:sz="4" w:space="0" w:color="auto"/>
              <w:left w:val="single" w:sz="4" w:space="0" w:color="auto"/>
              <w:bottom w:val="double" w:sz="4" w:space="0" w:color="auto"/>
              <w:right w:val="single" w:sz="4" w:space="0" w:color="auto"/>
            </w:tcBorders>
            <w:vAlign w:val="center"/>
          </w:tcPr>
          <w:p w14:paraId="3D603260" w14:textId="77777777" w:rsidR="009048BF" w:rsidRPr="00E2771E" w:rsidRDefault="009048BF" w:rsidP="009048BF">
            <w:pPr>
              <w:pStyle w:val="TableText0"/>
              <w:jc w:val="center"/>
            </w:pPr>
            <w:r>
              <w:t>77.1</w:t>
            </w:r>
          </w:p>
        </w:tc>
        <w:tc>
          <w:tcPr>
            <w:tcW w:w="627" w:type="pct"/>
            <w:tcBorders>
              <w:top w:val="single" w:sz="4" w:space="0" w:color="auto"/>
              <w:left w:val="single" w:sz="4" w:space="0" w:color="auto"/>
              <w:bottom w:val="double" w:sz="4" w:space="0" w:color="auto"/>
              <w:right w:val="single" w:sz="4" w:space="0" w:color="auto"/>
            </w:tcBorders>
            <w:vAlign w:val="center"/>
          </w:tcPr>
          <w:p w14:paraId="2E795675" w14:textId="77777777" w:rsidR="009048BF" w:rsidRPr="00E2771E" w:rsidRDefault="009048BF" w:rsidP="009048BF">
            <w:pPr>
              <w:pStyle w:val="TableText0"/>
              <w:jc w:val="center"/>
            </w:pPr>
            <w:r>
              <w:t>8.0</w:t>
            </w:r>
          </w:p>
        </w:tc>
        <w:tc>
          <w:tcPr>
            <w:tcW w:w="848" w:type="pct"/>
            <w:gridSpan w:val="2"/>
            <w:tcBorders>
              <w:top w:val="single" w:sz="4" w:space="0" w:color="auto"/>
              <w:left w:val="single" w:sz="4" w:space="0" w:color="auto"/>
              <w:bottom w:val="double" w:sz="4" w:space="0" w:color="auto"/>
              <w:right w:val="single" w:sz="4" w:space="0" w:color="auto"/>
            </w:tcBorders>
            <w:vAlign w:val="center"/>
          </w:tcPr>
          <w:p w14:paraId="7FF68836" w14:textId="2030C88D" w:rsidR="009048BF" w:rsidRPr="00FA272A" w:rsidRDefault="009048BF" w:rsidP="009048BF">
            <w:pPr>
              <w:pStyle w:val="TableText0"/>
              <w:jc w:val="center"/>
              <w:rPr>
                <w:rFonts w:ascii="Calibri" w:hAnsi="Calibri" w:cs="Calibri"/>
              </w:rPr>
            </w:pPr>
            <w:r w:rsidRPr="00721D5A">
              <w:rPr>
                <w:rFonts w:cs="Calibri"/>
                <w:iCs/>
              </w:rPr>
              <w:t>0.69 (</w:t>
            </w:r>
            <w:r w:rsidR="00E0757E" w:rsidRPr="00721D5A">
              <w:rPr>
                <w:rFonts w:cs="Calibri"/>
                <w:iCs/>
              </w:rPr>
              <w:t xml:space="preserve">0.47, </w:t>
            </w:r>
            <w:r w:rsidRPr="00721D5A">
              <w:rPr>
                <w:rFonts w:cs="Calibri"/>
                <w:iCs/>
              </w:rPr>
              <w:t>0.80)</w:t>
            </w:r>
            <w:r w:rsidRPr="00721D5A">
              <w:rPr>
                <w:rFonts w:cs="Calibri"/>
                <w:iCs/>
                <w:vertAlign w:val="superscript"/>
              </w:rPr>
              <w:t>a</w:t>
            </w:r>
          </w:p>
        </w:tc>
      </w:tr>
      <w:tr w:rsidR="009048BF" w:rsidRPr="00FA272A" w14:paraId="25CE3C08" w14:textId="77777777" w:rsidTr="00B71F1C">
        <w:tc>
          <w:tcPr>
            <w:tcW w:w="5000"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07F0392E" w14:textId="77777777" w:rsidR="009048BF" w:rsidRPr="00FA272A" w:rsidRDefault="009048BF" w:rsidP="009048BF">
            <w:pPr>
              <w:pStyle w:val="In-tableHeading"/>
              <w:rPr>
                <w:rFonts w:ascii="Calibri" w:hAnsi="Calibri" w:cs="Calibri"/>
              </w:rPr>
            </w:pPr>
            <w:r w:rsidRPr="00FA272A">
              <w:rPr>
                <w:rFonts w:ascii="Calibri" w:hAnsi="Calibri" w:cs="Calibri"/>
              </w:rPr>
              <w:t xml:space="preserve">Harms </w:t>
            </w:r>
          </w:p>
        </w:tc>
      </w:tr>
      <w:tr w:rsidR="009048BF" w:rsidRPr="00FA272A" w14:paraId="73209C3E" w14:textId="77777777" w:rsidTr="0064416D">
        <w:trPr>
          <w:trHeight w:val="70"/>
        </w:trPr>
        <w:tc>
          <w:tcPr>
            <w:tcW w:w="6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E1B9B9" w14:textId="77777777" w:rsidR="009048BF" w:rsidRPr="00FA272A" w:rsidRDefault="009048BF" w:rsidP="009048BF">
            <w:pPr>
              <w:pStyle w:val="In-tableHeading"/>
              <w:rPr>
                <w:rFonts w:ascii="Calibri" w:hAnsi="Calibri" w:cs="Calibri"/>
              </w:rPr>
            </w:pP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359EDE9A" w14:textId="77777777" w:rsidR="009048BF" w:rsidRPr="00E2771E" w:rsidRDefault="009048BF" w:rsidP="009048BF">
            <w:pPr>
              <w:pStyle w:val="In-tableHeading"/>
              <w:jc w:val="center"/>
            </w:pPr>
            <w:r>
              <w:t>Osilodrostat</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2ACE7F1B" w14:textId="77777777" w:rsidR="009048BF" w:rsidRPr="00E2771E" w:rsidRDefault="009048BF" w:rsidP="009048BF">
            <w:pPr>
              <w:pStyle w:val="In-tableHeading"/>
              <w:jc w:val="center"/>
            </w:pPr>
            <w:r>
              <w:t>Placebo</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4EEEFB62" w14:textId="77777777" w:rsidR="009048BF" w:rsidRPr="00FA272A" w:rsidRDefault="009048BF" w:rsidP="009048BF">
            <w:pPr>
              <w:pStyle w:val="In-tableHeading"/>
              <w:jc w:val="center"/>
              <w:rPr>
                <w:rFonts w:ascii="Calibri" w:hAnsi="Calibri" w:cs="Calibri"/>
              </w:rPr>
            </w:pPr>
            <w:r w:rsidRPr="00FA272A">
              <w:rPr>
                <w:rFonts w:ascii="Calibri" w:hAnsi="Calibri" w:cs="Calibri"/>
              </w:rPr>
              <w:t>RR</w:t>
            </w:r>
          </w:p>
          <w:p w14:paraId="412ED0DE" w14:textId="77777777" w:rsidR="009048BF" w:rsidRPr="00FA272A" w:rsidRDefault="009048BF" w:rsidP="009048BF">
            <w:pPr>
              <w:pStyle w:val="In-tableHeading"/>
              <w:jc w:val="center"/>
              <w:rPr>
                <w:rFonts w:ascii="Calibri" w:hAnsi="Calibri" w:cs="Calibri"/>
              </w:rPr>
            </w:pPr>
            <w:r w:rsidRPr="00FA272A">
              <w:rPr>
                <w:rFonts w:ascii="Calibri" w:hAnsi="Calibri" w:cs="Calibri"/>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3C0FAE90" w14:textId="77777777" w:rsidR="009048BF" w:rsidRPr="00FA272A" w:rsidRDefault="009048BF" w:rsidP="009048BF">
            <w:pPr>
              <w:pStyle w:val="In-tableHeading"/>
              <w:jc w:val="center"/>
              <w:rPr>
                <w:rFonts w:ascii="Calibri" w:hAnsi="Calibri" w:cs="Calibri"/>
              </w:rPr>
            </w:pPr>
            <w:r w:rsidRPr="00FA272A">
              <w:rPr>
                <w:rFonts w:ascii="Calibri" w:hAnsi="Calibri" w:cs="Calibri"/>
              </w:rPr>
              <w:t>Event rate/100 patients</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40A8A2F4" w14:textId="77777777" w:rsidR="009048BF" w:rsidRPr="00FA272A" w:rsidRDefault="009048BF" w:rsidP="009048BF">
            <w:pPr>
              <w:pStyle w:val="In-tableHeading"/>
              <w:jc w:val="center"/>
              <w:rPr>
                <w:rFonts w:ascii="Calibri" w:hAnsi="Calibri" w:cs="Calibri"/>
              </w:rPr>
            </w:pPr>
            <w:r w:rsidRPr="00FA272A">
              <w:rPr>
                <w:rFonts w:ascii="Calibri" w:hAnsi="Calibri" w:cs="Calibri"/>
              </w:rPr>
              <w:t>RD</w:t>
            </w:r>
          </w:p>
          <w:p w14:paraId="20803FE9" w14:textId="77777777" w:rsidR="009048BF" w:rsidRPr="00FA272A" w:rsidRDefault="009048BF" w:rsidP="009048BF">
            <w:pPr>
              <w:pStyle w:val="In-tableHeading"/>
              <w:jc w:val="center"/>
              <w:rPr>
                <w:rFonts w:ascii="Calibri" w:hAnsi="Calibri" w:cs="Calibri"/>
              </w:rPr>
            </w:pPr>
            <w:r w:rsidRPr="00FA272A">
              <w:rPr>
                <w:rFonts w:ascii="Calibri" w:hAnsi="Calibri" w:cs="Calibri"/>
              </w:rPr>
              <w:t>(95% CI)</w:t>
            </w:r>
          </w:p>
        </w:tc>
      </w:tr>
      <w:tr w:rsidR="009048BF" w:rsidRPr="00FA272A" w14:paraId="5A9213BC" w14:textId="77777777" w:rsidTr="0064416D">
        <w:trPr>
          <w:trHeight w:val="390"/>
        </w:trPr>
        <w:tc>
          <w:tcPr>
            <w:tcW w:w="63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16E51E" w14:textId="77777777" w:rsidR="009048BF" w:rsidRPr="00FA272A" w:rsidRDefault="009048BF" w:rsidP="009048BF">
            <w:pPr>
              <w:pStyle w:val="In-tableHeading"/>
              <w:rPr>
                <w:rFonts w:ascii="Calibri" w:hAnsi="Calibri" w:cs="Calibri"/>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1A608DA3" w14:textId="77777777" w:rsidR="009048BF" w:rsidRPr="00FA272A" w:rsidRDefault="009048BF" w:rsidP="009048BF">
            <w:pPr>
              <w:pStyle w:val="In-tableHeading"/>
              <w:rPr>
                <w:rFonts w:ascii="Calibri" w:hAnsi="Calibri" w:cs="Calibri"/>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0526629C" w14:textId="77777777" w:rsidR="009048BF" w:rsidRPr="00FA272A" w:rsidRDefault="009048BF" w:rsidP="009048BF">
            <w:pPr>
              <w:pStyle w:val="In-tableHeading"/>
              <w:rPr>
                <w:rFonts w:ascii="Calibri" w:hAnsi="Calibri" w:cs="Calibri"/>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2CA1BD96" w14:textId="77777777" w:rsidR="009048BF" w:rsidRPr="00FA272A" w:rsidRDefault="009048BF" w:rsidP="009048BF">
            <w:pPr>
              <w:pStyle w:val="In-tableHeading"/>
              <w:rPr>
                <w:rFonts w:ascii="Calibri" w:hAnsi="Calibri" w:cs="Calibri"/>
              </w:rPr>
            </w:pPr>
          </w:p>
        </w:tc>
        <w:tc>
          <w:tcPr>
            <w:tcW w:w="628" w:type="pct"/>
            <w:tcBorders>
              <w:top w:val="single" w:sz="4" w:space="0" w:color="auto"/>
              <w:left w:val="single" w:sz="4" w:space="0" w:color="auto"/>
              <w:bottom w:val="single" w:sz="4" w:space="0" w:color="auto"/>
              <w:right w:val="single" w:sz="4" w:space="0" w:color="auto"/>
            </w:tcBorders>
            <w:vAlign w:val="center"/>
          </w:tcPr>
          <w:p w14:paraId="53F2DED6" w14:textId="77777777" w:rsidR="009048BF" w:rsidRPr="00E2771E" w:rsidRDefault="009048BF" w:rsidP="009048BF">
            <w:pPr>
              <w:pStyle w:val="In-tableHeading"/>
              <w:jc w:val="center"/>
            </w:pPr>
            <w:r>
              <w:t>Osilodrostat</w:t>
            </w:r>
          </w:p>
        </w:tc>
        <w:tc>
          <w:tcPr>
            <w:tcW w:w="755" w:type="pct"/>
            <w:gridSpan w:val="3"/>
            <w:tcBorders>
              <w:top w:val="single" w:sz="4" w:space="0" w:color="auto"/>
              <w:left w:val="single" w:sz="4" w:space="0" w:color="auto"/>
              <w:bottom w:val="single" w:sz="4" w:space="0" w:color="auto"/>
              <w:right w:val="single" w:sz="4" w:space="0" w:color="auto"/>
            </w:tcBorders>
            <w:vAlign w:val="center"/>
          </w:tcPr>
          <w:p w14:paraId="275B8C30" w14:textId="77777777" w:rsidR="009048BF" w:rsidRPr="00E2771E" w:rsidRDefault="009048BF" w:rsidP="009048BF">
            <w:pPr>
              <w:pStyle w:val="In-tableHeading"/>
              <w:jc w:val="center"/>
            </w:pPr>
            <w:r>
              <w:t>Placebo</w:t>
            </w:r>
          </w:p>
        </w:tc>
        <w:tc>
          <w:tcPr>
            <w:tcW w:w="770" w:type="pct"/>
            <w:vMerge/>
            <w:tcBorders>
              <w:top w:val="single" w:sz="4" w:space="0" w:color="auto"/>
              <w:left w:val="single" w:sz="4" w:space="0" w:color="auto"/>
              <w:bottom w:val="single" w:sz="4" w:space="0" w:color="auto"/>
              <w:right w:val="single" w:sz="4" w:space="0" w:color="auto"/>
            </w:tcBorders>
            <w:vAlign w:val="center"/>
          </w:tcPr>
          <w:p w14:paraId="7E1DDC1C" w14:textId="77777777" w:rsidR="009048BF" w:rsidRPr="00FA272A" w:rsidRDefault="009048BF" w:rsidP="009048BF">
            <w:pPr>
              <w:pStyle w:val="In-tableHeading"/>
              <w:rPr>
                <w:rFonts w:ascii="Calibri" w:hAnsi="Calibri" w:cs="Calibri"/>
              </w:rPr>
            </w:pPr>
          </w:p>
        </w:tc>
      </w:tr>
      <w:tr w:rsidR="009048BF" w:rsidRPr="00FA272A" w14:paraId="318F69A6" w14:textId="77777777" w:rsidTr="00B71F1C">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0BECFD" w14:textId="77777777" w:rsidR="009048BF" w:rsidRPr="00FA272A" w:rsidRDefault="009048BF" w:rsidP="009048BF">
            <w:pPr>
              <w:pStyle w:val="In-tableHeading"/>
              <w:jc w:val="both"/>
              <w:rPr>
                <w:rFonts w:ascii="Calibri" w:hAnsi="Calibri" w:cs="Calibri"/>
              </w:rPr>
            </w:pPr>
            <w:r>
              <w:t>AEs requiring additional therapy</w:t>
            </w:r>
          </w:p>
        </w:tc>
      </w:tr>
      <w:tr w:rsidR="009048BF" w:rsidRPr="0070257B" w14:paraId="43C74DD1" w14:textId="77777777" w:rsidTr="0064416D">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4C092" w14:textId="77777777" w:rsidR="009048BF" w:rsidRPr="00E2771E" w:rsidRDefault="009048BF" w:rsidP="009048BF">
            <w:pPr>
              <w:pStyle w:val="TableText0"/>
            </w:pPr>
            <w:r>
              <w:t>LINC 4</w:t>
            </w:r>
          </w:p>
        </w:tc>
        <w:tc>
          <w:tcPr>
            <w:tcW w:w="634" w:type="pct"/>
            <w:tcBorders>
              <w:top w:val="single" w:sz="4" w:space="0" w:color="auto"/>
              <w:left w:val="single" w:sz="4" w:space="0" w:color="auto"/>
              <w:bottom w:val="single" w:sz="4" w:space="0" w:color="auto"/>
              <w:right w:val="single" w:sz="4" w:space="0" w:color="auto"/>
            </w:tcBorders>
            <w:vAlign w:val="center"/>
          </w:tcPr>
          <w:p w14:paraId="2DEC94E1" w14:textId="77777777" w:rsidR="009048BF" w:rsidRPr="00E2771E" w:rsidRDefault="009048BF" w:rsidP="009048BF">
            <w:pPr>
              <w:pStyle w:val="TableText0"/>
              <w:jc w:val="center"/>
            </w:pPr>
            <w:r>
              <w:t>37/48</w:t>
            </w:r>
          </w:p>
        </w:tc>
        <w:tc>
          <w:tcPr>
            <w:tcW w:w="712" w:type="pct"/>
            <w:tcBorders>
              <w:top w:val="single" w:sz="4" w:space="0" w:color="auto"/>
              <w:left w:val="single" w:sz="4" w:space="0" w:color="auto"/>
              <w:bottom w:val="single" w:sz="4" w:space="0" w:color="auto"/>
              <w:right w:val="single" w:sz="4" w:space="0" w:color="auto"/>
            </w:tcBorders>
            <w:vAlign w:val="center"/>
          </w:tcPr>
          <w:p w14:paraId="68184E88" w14:textId="77777777" w:rsidR="009048BF" w:rsidRPr="00E2771E" w:rsidRDefault="009048BF" w:rsidP="009048BF">
            <w:pPr>
              <w:pStyle w:val="TableText0"/>
              <w:jc w:val="center"/>
            </w:pPr>
            <w:r>
              <w:t>11/25</w:t>
            </w:r>
          </w:p>
        </w:tc>
        <w:tc>
          <w:tcPr>
            <w:tcW w:w="862" w:type="pct"/>
            <w:tcBorders>
              <w:top w:val="single" w:sz="4" w:space="0" w:color="auto"/>
              <w:left w:val="single" w:sz="4" w:space="0" w:color="auto"/>
              <w:bottom w:val="single" w:sz="4" w:space="0" w:color="auto"/>
              <w:right w:val="single" w:sz="4" w:space="0" w:color="auto"/>
            </w:tcBorders>
            <w:vAlign w:val="center"/>
          </w:tcPr>
          <w:p w14:paraId="0789AC99" w14:textId="77777777" w:rsidR="009048BF" w:rsidRPr="00E2771E" w:rsidRDefault="009048BF" w:rsidP="009048BF">
            <w:pPr>
              <w:pStyle w:val="TableText0"/>
              <w:jc w:val="center"/>
            </w:pPr>
            <w:r w:rsidRPr="006975B7">
              <w:rPr>
                <w:rFonts w:cstheme="minorHAnsi"/>
                <w:b/>
                <w:szCs w:val="20"/>
              </w:rPr>
              <w:t>1.75 (1.10</w:t>
            </w:r>
            <w:r>
              <w:rPr>
                <w:rFonts w:cstheme="minorHAnsi"/>
                <w:b/>
                <w:szCs w:val="20"/>
              </w:rPr>
              <w:t>,</w:t>
            </w:r>
            <w:r w:rsidRPr="006975B7">
              <w:rPr>
                <w:rFonts w:cstheme="minorHAnsi"/>
                <w:b/>
                <w:szCs w:val="20"/>
              </w:rPr>
              <w:t xml:space="preserve"> 2.80)</w:t>
            </w:r>
          </w:p>
        </w:tc>
        <w:tc>
          <w:tcPr>
            <w:tcW w:w="628" w:type="pct"/>
            <w:tcBorders>
              <w:top w:val="single" w:sz="4" w:space="0" w:color="auto"/>
              <w:left w:val="single" w:sz="4" w:space="0" w:color="auto"/>
              <w:bottom w:val="single" w:sz="4" w:space="0" w:color="auto"/>
              <w:right w:val="single" w:sz="4" w:space="0" w:color="auto"/>
            </w:tcBorders>
            <w:vAlign w:val="center"/>
          </w:tcPr>
          <w:p w14:paraId="47AF205B" w14:textId="77777777" w:rsidR="009048BF" w:rsidRPr="00E2771E" w:rsidRDefault="009048BF" w:rsidP="009048BF">
            <w:pPr>
              <w:pStyle w:val="TableText0"/>
              <w:jc w:val="center"/>
            </w:pPr>
            <w:r>
              <w:t>77.1</w:t>
            </w:r>
          </w:p>
        </w:tc>
        <w:tc>
          <w:tcPr>
            <w:tcW w:w="755" w:type="pct"/>
            <w:gridSpan w:val="3"/>
            <w:tcBorders>
              <w:top w:val="single" w:sz="4" w:space="0" w:color="auto"/>
              <w:left w:val="single" w:sz="4" w:space="0" w:color="auto"/>
              <w:bottom w:val="single" w:sz="4" w:space="0" w:color="auto"/>
              <w:right w:val="single" w:sz="4" w:space="0" w:color="auto"/>
            </w:tcBorders>
            <w:vAlign w:val="center"/>
          </w:tcPr>
          <w:p w14:paraId="2479146F" w14:textId="77777777" w:rsidR="009048BF" w:rsidRPr="00E2771E" w:rsidRDefault="009048BF" w:rsidP="009048BF">
            <w:pPr>
              <w:pStyle w:val="TableText0"/>
              <w:jc w:val="center"/>
            </w:pPr>
            <w:r>
              <w:t>44.0</w:t>
            </w:r>
          </w:p>
        </w:tc>
        <w:tc>
          <w:tcPr>
            <w:tcW w:w="770" w:type="pct"/>
            <w:tcBorders>
              <w:top w:val="single" w:sz="4" w:space="0" w:color="auto"/>
              <w:left w:val="single" w:sz="4" w:space="0" w:color="auto"/>
              <w:bottom w:val="single" w:sz="4" w:space="0" w:color="auto"/>
              <w:right w:val="single" w:sz="4" w:space="0" w:color="auto"/>
            </w:tcBorders>
            <w:vAlign w:val="center"/>
          </w:tcPr>
          <w:p w14:paraId="5411A3D7" w14:textId="77777777" w:rsidR="009048BF" w:rsidRPr="0070257B" w:rsidRDefault="009048BF" w:rsidP="009048BF">
            <w:pPr>
              <w:pStyle w:val="TableText0"/>
              <w:jc w:val="center"/>
              <w:rPr>
                <w:b/>
                <w:bCs w:val="0"/>
              </w:rPr>
            </w:pPr>
            <w:r w:rsidRPr="0070257B">
              <w:rPr>
                <w:b/>
                <w:bCs w:val="0"/>
              </w:rPr>
              <w:t>0.33</w:t>
            </w:r>
            <w:r>
              <w:rPr>
                <w:b/>
                <w:bCs w:val="0"/>
              </w:rPr>
              <w:t xml:space="preserve"> </w:t>
            </w:r>
            <w:r w:rsidRPr="0070257B">
              <w:rPr>
                <w:b/>
                <w:bCs w:val="0"/>
              </w:rPr>
              <w:t>(0.10, 0.56)</w:t>
            </w:r>
          </w:p>
        </w:tc>
      </w:tr>
      <w:tr w:rsidR="0064416D" w:rsidRPr="0070257B" w14:paraId="2A2D70F9" w14:textId="77777777" w:rsidTr="0064416D">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D1D036" w14:textId="5F9293F3" w:rsidR="0064416D" w:rsidRPr="0064416D" w:rsidRDefault="0064416D" w:rsidP="0064416D">
            <w:pPr>
              <w:pStyle w:val="TableText0"/>
              <w:rPr>
                <w:b/>
              </w:rPr>
            </w:pPr>
            <w:r w:rsidRPr="0064416D">
              <w:rPr>
                <w:rFonts w:cstheme="minorHAnsi"/>
                <w:b/>
                <w:szCs w:val="20"/>
              </w:rPr>
              <w:t>Hypocortisolism-related AEs</w:t>
            </w:r>
          </w:p>
        </w:tc>
      </w:tr>
      <w:tr w:rsidR="0064416D" w:rsidRPr="0070257B" w14:paraId="2A1331AE" w14:textId="77777777" w:rsidTr="0064416D">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C8355" w14:textId="4508F3D9" w:rsidR="0064416D" w:rsidRDefault="001648A4" w:rsidP="009048BF">
            <w:pPr>
              <w:pStyle w:val="TableText0"/>
            </w:pPr>
            <w:r>
              <w:t>LINC 4</w:t>
            </w:r>
          </w:p>
        </w:tc>
        <w:tc>
          <w:tcPr>
            <w:tcW w:w="634" w:type="pct"/>
            <w:tcBorders>
              <w:top w:val="single" w:sz="4" w:space="0" w:color="auto"/>
              <w:left w:val="single" w:sz="4" w:space="0" w:color="auto"/>
              <w:bottom w:val="single" w:sz="4" w:space="0" w:color="auto"/>
              <w:right w:val="single" w:sz="4" w:space="0" w:color="auto"/>
            </w:tcBorders>
            <w:vAlign w:val="center"/>
          </w:tcPr>
          <w:p w14:paraId="0687081C" w14:textId="4657260F" w:rsidR="0064416D" w:rsidRDefault="001648A4" w:rsidP="009048BF">
            <w:pPr>
              <w:pStyle w:val="TableText0"/>
              <w:jc w:val="center"/>
            </w:pPr>
            <w:r>
              <w:t>7/48</w:t>
            </w:r>
          </w:p>
        </w:tc>
        <w:tc>
          <w:tcPr>
            <w:tcW w:w="712" w:type="pct"/>
            <w:tcBorders>
              <w:top w:val="single" w:sz="4" w:space="0" w:color="auto"/>
              <w:left w:val="single" w:sz="4" w:space="0" w:color="auto"/>
              <w:bottom w:val="single" w:sz="4" w:space="0" w:color="auto"/>
              <w:right w:val="single" w:sz="4" w:space="0" w:color="auto"/>
            </w:tcBorders>
            <w:vAlign w:val="center"/>
          </w:tcPr>
          <w:p w14:paraId="054EBE71" w14:textId="65C7FDB8" w:rsidR="0064416D" w:rsidRDefault="001648A4" w:rsidP="009048BF">
            <w:pPr>
              <w:pStyle w:val="TableText0"/>
              <w:jc w:val="center"/>
            </w:pPr>
            <w:r>
              <w:t>0</w:t>
            </w:r>
          </w:p>
        </w:tc>
        <w:tc>
          <w:tcPr>
            <w:tcW w:w="862" w:type="pct"/>
            <w:tcBorders>
              <w:top w:val="single" w:sz="4" w:space="0" w:color="auto"/>
              <w:left w:val="single" w:sz="4" w:space="0" w:color="auto"/>
              <w:bottom w:val="single" w:sz="4" w:space="0" w:color="auto"/>
              <w:right w:val="single" w:sz="4" w:space="0" w:color="auto"/>
            </w:tcBorders>
            <w:vAlign w:val="center"/>
          </w:tcPr>
          <w:p w14:paraId="38ECA53B" w14:textId="14F45606" w:rsidR="0064416D" w:rsidRPr="006975B7" w:rsidRDefault="001648A4" w:rsidP="009048BF">
            <w:pPr>
              <w:pStyle w:val="TableText0"/>
              <w:jc w:val="center"/>
              <w:rPr>
                <w:rFonts w:cstheme="minorHAnsi"/>
                <w:b/>
                <w:szCs w:val="20"/>
              </w:rPr>
            </w:pPr>
            <w:r w:rsidRPr="006975B7">
              <w:rPr>
                <w:rFonts w:cstheme="minorHAnsi"/>
                <w:szCs w:val="20"/>
              </w:rPr>
              <w:t>7.89 (0.47</w:t>
            </w:r>
            <w:r>
              <w:rPr>
                <w:rFonts w:cstheme="minorHAnsi"/>
                <w:szCs w:val="20"/>
              </w:rPr>
              <w:t>,</w:t>
            </w:r>
            <w:r w:rsidRPr="006975B7">
              <w:rPr>
                <w:rFonts w:cstheme="minorHAnsi"/>
                <w:szCs w:val="20"/>
              </w:rPr>
              <w:t xml:space="preserve"> 132.61)</w:t>
            </w:r>
          </w:p>
        </w:tc>
        <w:tc>
          <w:tcPr>
            <w:tcW w:w="628" w:type="pct"/>
            <w:tcBorders>
              <w:top w:val="single" w:sz="4" w:space="0" w:color="auto"/>
              <w:left w:val="single" w:sz="4" w:space="0" w:color="auto"/>
              <w:bottom w:val="single" w:sz="4" w:space="0" w:color="auto"/>
              <w:right w:val="single" w:sz="4" w:space="0" w:color="auto"/>
            </w:tcBorders>
            <w:vAlign w:val="center"/>
          </w:tcPr>
          <w:p w14:paraId="698B9A67" w14:textId="5C3A57E8" w:rsidR="0064416D" w:rsidRDefault="001648A4" w:rsidP="009048BF">
            <w:pPr>
              <w:pStyle w:val="TableText0"/>
              <w:jc w:val="center"/>
            </w:pPr>
            <w:r>
              <w:t>14.6</w:t>
            </w:r>
          </w:p>
        </w:tc>
        <w:tc>
          <w:tcPr>
            <w:tcW w:w="755" w:type="pct"/>
            <w:gridSpan w:val="3"/>
            <w:tcBorders>
              <w:top w:val="single" w:sz="4" w:space="0" w:color="auto"/>
              <w:left w:val="single" w:sz="4" w:space="0" w:color="auto"/>
              <w:bottom w:val="single" w:sz="4" w:space="0" w:color="auto"/>
              <w:right w:val="single" w:sz="4" w:space="0" w:color="auto"/>
            </w:tcBorders>
            <w:vAlign w:val="center"/>
          </w:tcPr>
          <w:p w14:paraId="2BAF56AF" w14:textId="0DB942BE" w:rsidR="0064416D" w:rsidRDefault="001648A4" w:rsidP="009048BF">
            <w:pPr>
              <w:pStyle w:val="TableText0"/>
              <w:jc w:val="center"/>
            </w:pPr>
            <w:r>
              <w:t>-</w:t>
            </w:r>
          </w:p>
        </w:tc>
        <w:tc>
          <w:tcPr>
            <w:tcW w:w="770" w:type="pct"/>
            <w:tcBorders>
              <w:top w:val="single" w:sz="4" w:space="0" w:color="auto"/>
              <w:left w:val="single" w:sz="4" w:space="0" w:color="auto"/>
              <w:bottom w:val="single" w:sz="4" w:space="0" w:color="auto"/>
              <w:right w:val="single" w:sz="4" w:space="0" w:color="auto"/>
            </w:tcBorders>
            <w:vAlign w:val="center"/>
          </w:tcPr>
          <w:p w14:paraId="009D3552" w14:textId="17C82D0A" w:rsidR="0064416D" w:rsidRPr="0070257B" w:rsidRDefault="001648A4" w:rsidP="009048BF">
            <w:pPr>
              <w:pStyle w:val="TableText0"/>
              <w:jc w:val="center"/>
              <w:rPr>
                <w:b/>
                <w:bCs w:val="0"/>
              </w:rPr>
            </w:pPr>
            <w:r w:rsidRPr="006975B7">
              <w:rPr>
                <w:rFonts w:cstheme="minorHAnsi"/>
                <w:b/>
                <w:szCs w:val="20"/>
              </w:rPr>
              <w:t>0.15 (0.03</w:t>
            </w:r>
            <w:r>
              <w:rPr>
                <w:rFonts w:cstheme="minorHAnsi"/>
                <w:b/>
                <w:szCs w:val="20"/>
              </w:rPr>
              <w:t>,</w:t>
            </w:r>
            <w:r w:rsidRPr="006975B7">
              <w:rPr>
                <w:rFonts w:cstheme="minorHAnsi"/>
                <w:b/>
                <w:szCs w:val="20"/>
              </w:rPr>
              <w:t xml:space="preserve"> 0.26)</w:t>
            </w:r>
          </w:p>
        </w:tc>
      </w:tr>
    </w:tbl>
    <w:p w14:paraId="6E2286D0" w14:textId="249BD8CB" w:rsidR="00620C25" w:rsidRPr="00B1011F" w:rsidRDefault="00620C25" w:rsidP="00620C25">
      <w:pPr>
        <w:pStyle w:val="FooterTableFigure"/>
        <w:rPr>
          <w:sz w:val="20"/>
        </w:rPr>
      </w:pPr>
      <w:r>
        <w:t xml:space="preserve">Source: </w:t>
      </w:r>
      <w:r w:rsidR="0070257B" w:rsidRPr="00AB08F8">
        <w:t>Table 2.5-1, p124; Table 2.5-55, p170 of the submission</w:t>
      </w:r>
    </w:p>
    <w:p w14:paraId="67D9843F" w14:textId="2FF1CA1C" w:rsidR="00620C25" w:rsidRDefault="0070257B" w:rsidP="00620C25">
      <w:pPr>
        <w:pStyle w:val="FooterTableFigure"/>
      </w:pPr>
      <w:r>
        <w:t xml:space="preserve">OR = odds ratio; </w:t>
      </w:r>
      <w:r w:rsidR="00620C25" w:rsidRPr="0072416F">
        <w:t>RD = risk difference; RR = risk ratio</w:t>
      </w:r>
      <w:r w:rsidR="0064416D">
        <w:t xml:space="preserve">; </w:t>
      </w:r>
      <w:r w:rsidR="0064416D">
        <w:rPr>
          <w:rFonts w:eastAsia="Calibri"/>
          <w:b/>
        </w:rPr>
        <w:t>b</w:t>
      </w:r>
      <w:r w:rsidR="0064416D" w:rsidRPr="00760F9E">
        <w:rPr>
          <w:rFonts w:eastAsia="Calibri"/>
          <w:b/>
        </w:rPr>
        <w:t>old</w:t>
      </w:r>
      <w:r w:rsidR="0064416D">
        <w:rPr>
          <w:rFonts w:eastAsia="Calibri"/>
        </w:rPr>
        <w:t xml:space="preserve"> indicates statistically significant results.</w:t>
      </w:r>
    </w:p>
    <w:p w14:paraId="1EB63D1C" w14:textId="6392AD90" w:rsidR="00B62715" w:rsidRDefault="00A80B42" w:rsidP="00EA649F">
      <w:pPr>
        <w:pStyle w:val="FooterTableFigure"/>
        <w:tabs>
          <w:tab w:val="left" w:pos="142"/>
        </w:tabs>
        <w:ind w:left="142" w:hanging="142"/>
        <w:rPr>
          <w:iCs/>
        </w:rPr>
      </w:pPr>
      <w:r w:rsidRPr="00721D5A">
        <w:rPr>
          <w:iCs/>
          <w:vertAlign w:val="superscript"/>
        </w:rPr>
        <w:t>a</w:t>
      </w:r>
      <w:r w:rsidRPr="00721D5A">
        <w:rPr>
          <w:iCs/>
        </w:rPr>
        <w:tab/>
        <w:t xml:space="preserve">For the </w:t>
      </w:r>
      <w:r w:rsidR="009048BF" w:rsidRPr="00721D5A">
        <w:rPr>
          <w:iCs/>
        </w:rPr>
        <w:t>comparison of osilodrostat and placebo for complete response the submission provided results based on odds ratio only. The risk difference result was calculated during the evaluation.</w:t>
      </w:r>
    </w:p>
    <w:p w14:paraId="0E7DC592" w14:textId="500CA0E1" w:rsidR="004D44CA" w:rsidRPr="008C713C" w:rsidRDefault="004D44CA" w:rsidP="00EA649F">
      <w:pPr>
        <w:pStyle w:val="FooterTableFigure"/>
        <w:tabs>
          <w:tab w:val="left" w:pos="142"/>
        </w:tabs>
        <w:ind w:left="142" w:hanging="142"/>
      </w:pPr>
      <w:r w:rsidRPr="008C713C">
        <w:rPr>
          <w:rFonts w:ascii="Calibri" w:hAnsi="Calibri" w:cs="Calibri"/>
          <w:b/>
          <w:vertAlign w:val="superscript"/>
        </w:rPr>
        <w:t>b</w:t>
      </w:r>
      <w:r w:rsidR="0024453E" w:rsidRPr="008C713C">
        <w:rPr>
          <w:rFonts w:ascii="Calibri" w:hAnsi="Calibri" w:cs="Calibri"/>
          <w:b/>
          <w:vertAlign w:val="superscript"/>
        </w:rPr>
        <w:t xml:space="preserve"> </w:t>
      </w:r>
      <w:r w:rsidR="0024453E" w:rsidRPr="008C713C">
        <w:t>C</w:t>
      </w:r>
      <w:r w:rsidRPr="008C713C">
        <w:t>omplete response is defined as the normalisation of mean urinary free cortisol</w:t>
      </w:r>
      <w:r w:rsidR="0024453E" w:rsidRPr="008C713C">
        <w:t>.</w:t>
      </w:r>
      <w:r w:rsidRPr="008C713C">
        <w:t xml:space="preserve"> </w:t>
      </w:r>
    </w:p>
    <w:p w14:paraId="2720AC53" w14:textId="65D5B544" w:rsidR="00FC1884" w:rsidRPr="00B50DB8" w:rsidRDefault="00EC00C9" w:rsidP="00E9094A">
      <w:pPr>
        <w:pStyle w:val="3-BodyText"/>
      </w:pPr>
      <w:r w:rsidRPr="00CF6EE4">
        <w:t xml:space="preserve">On the basis of direct evidence presented by the submission, for every 100 patients treated with </w:t>
      </w:r>
      <w:r w:rsidR="0070257B">
        <w:t>osilodrostat</w:t>
      </w:r>
      <w:r w:rsidRPr="00CF6EE4">
        <w:t xml:space="preserve"> in comparison </w:t>
      </w:r>
      <w:r w:rsidR="006D68FB">
        <w:t>with</w:t>
      </w:r>
      <w:r w:rsidR="006D68FB" w:rsidRPr="00CF6EE4">
        <w:t xml:space="preserve"> </w:t>
      </w:r>
      <w:r w:rsidR="0070257B">
        <w:t>placebo</w:t>
      </w:r>
      <w:r w:rsidR="00422260">
        <w:t xml:space="preserve"> over a </w:t>
      </w:r>
      <w:r w:rsidR="0070257B">
        <w:t>12 week treatment period</w:t>
      </w:r>
      <w:r w:rsidR="001C2A9B">
        <w:t>:</w:t>
      </w:r>
    </w:p>
    <w:p w14:paraId="1D93E2C6" w14:textId="26B0A3F0" w:rsidR="00FC1884" w:rsidRPr="00CF6EE4" w:rsidRDefault="00FC1884" w:rsidP="00650399">
      <w:pPr>
        <w:pStyle w:val="BulletPoint"/>
      </w:pPr>
      <w:r w:rsidRPr="00CF6EE4">
        <w:lastRenderedPageBreak/>
        <w:t xml:space="preserve">Approximately </w:t>
      </w:r>
      <w:r w:rsidR="00A80B42">
        <w:t>69</w:t>
      </w:r>
      <w:r w:rsidRPr="00CF6EE4">
        <w:t xml:space="preserve"> additional patients would have </w:t>
      </w:r>
      <w:r w:rsidR="00607580">
        <w:t>complete response</w:t>
      </w:r>
      <w:r w:rsidR="001C2A9B">
        <w:t>.</w:t>
      </w:r>
    </w:p>
    <w:p w14:paraId="4CE9CA67" w14:textId="3639AAEC" w:rsidR="00FC1884" w:rsidRDefault="00FC1884" w:rsidP="00650399">
      <w:pPr>
        <w:pStyle w:val="BulletPoint"/>
      </w:pPr>
      <w:r w:rsidRPr="00CF6EE4">
        <w:t xml:space="preserve">Approximately </w:t>
      </w:r>
      <w:r w:rsidR="00F91F80">
        <w:t>3</w:t>
      </w:r>
      <w:r w:rsidRPr="00CF6EE4">
        <w:t xml:space="preserve">3 additional </w:t>
      </w:r>
      <w:r w:rsidR="00C41768">
        <w:t xml:space="preserve">patients would experience </w:t>
      </w:r>
      <w:r w:rsidR="00F91F80">
        <w:t>AEs requiring additional therapy</w:t>
      </w:r>
      <w:r w:rsidR="001C2A9B">
        <w:t>.</w:t>
      </w:r>
    </w:p>
    <w:p w14:paraId="5D5EF84C" w14:textId="13870DE8" w:rsidR="001648A4" w:rsidRPr="001648A4" w:rsidRDefault="001648A4" w:rsidP="00650399">
      <w:pPr>
        <w:pStyle w:val="BulletPoint"/>
      </w:pPr>
      <w:r>
        <w:t>Approximately 15 additional patients would experience hypocortisolism-related AEs.</w:t>
      </w:r>
    </w:p>
    <w:p w14:paraId="7A1772B6" w14:textId="23BB3145" w:rsidR="00B60939" w:rsidRPr="008C713C" w:rsidRDefault="00B60939" w:rsidP="00AB08F8">
      <w:pPr>
        <w:pStyle w:val="4-SubsectionHeading"/>
        <w:rPr>
          <w:i w:val="0"/>
        </w:rPr>
      </w:pPr>
      <w:bookmarkStart w:id="37" w:name="_Toc22897644"/>
      <w:bookmarkStart w:id="38" w:name="_Toc124928100"/>
      <w:r w:rsidRPr="008C713C">
        <w:rPr>
          <w:i w:val="0"/>
        </w:rPr>
        <w:t>Clinical claim</w:t>
      </w:r>
      <w:bookmarkEnd w:id="37"/>
      <w:bookmarkEnd w:id="38"/>
    </w:p>
    <w:p w14:paraId="3300F5D1" w14:textId="75805686" w:rsidR="009E4D4A" w:rsidRPr="009E4D4A" w:rsidRDefault="009E4D4A" w:rsidP="0024453E">
      <w:pPr>
        <w:pStyle w:val="3-BodyText"/>
      </w:pPr>
      <w:r w:rsidRPr="00D13A3E">
        <w:t>The submission describe</w:t>
      </w:r>
      <w:r>
        <w:t>d</w:t>
      </w:r>
      <w:r w:rsidRPr="00D13A3E">
        <w:t xml:space="preserve"> </w:t>
      </w:r>
      <w:r>
        <w:t>osilodrostat as superior to placebo with regard to efficacy and non-inferior in regard to safety.</w:t>
      </w:r>
      <w:r w:rsidR="004B485D">
        <w:t xml:space="preserve"> </w:t>
      </w:r>
      <w:r w:rsidRPr="00721D5A">
        <w:rPr>
          <w:iCs/>
        </w:rPr>
        <w:t xml:space="preserve">While there were statistically significant advantages for osilodrostat compared to placebo for complete response and other outcomes, </w:t>
      </w:r>
      <w:r w:rsidR="00F828B6" w:rsidRPr="00721D5A">
        <w:rPr>
          <w:iCs/>
        </w:rPr>
        <w:t>the</w:t>
      </w:r>
      <w:r w:rsidR="00E04779" w:rsidRPr="00721D5A">
        <w:rPr>
          <w:iCs/>
        </w:rPr>
        <w:t xml:space="preserve"> </w:t>
      </w:r>
      <w:r w:rsidRPr="00721D5A">
        <w:rPr>
          <w:iCs/>
        </w:rPr>
        <w:t xml:space="preserve">results </w:t>
      </w:r>
      <w:r w:rsidR="00F828B6" w:rsidRPr="00721D5A">
        <w:rPr>
          <w:iCs/>
        </w:rPr>
        <w:t>should be interpreted with caution</w:t>
      </w:r>
      <w:r w:rsidRPr="00721D5A">
        <w:rPr>
          <w:iCs/>
        </w:rPr>
        <w:t>:</w:t>
      </w:r>
    </w:p>
    <w:p w14:paraId="1B3037E0" w14:textId="73EC2EDA" w:rsidR="009E4D4A" w:rsidRPr="00A97041" w:rsidRDefault="009E4D4A" w:rsidP="008646FC">
      <w:pPr>
        <w:pStyle w:val="BulletPoint"/>
      </w:pPr>
      <w:r w:rsidRPr="00721D5A">
        <w:t xml:space="preserve">The comparison of osilodrostat and placebo for complete response in LINC 4 had </w:t>
      </w:r>
      <w:r w:rsidR="00D969C9" w:rsidRPr="00721D5A">
        <w:t xml:space="preserve">very </w:t>
      </w:r>
      <w:r w:rsidRPr="00721D5A">
        <w:t>wide 95% CI (OR = 43.4; 95% CI: 7.06, 343.19) which</w:t>
      </w:r>
      <w:r w:rsidR="00A52391" w:rsidRPr="00721D5A">
        <w:t xml:space="preserve"> highlight</w:t>
      </w:r>
      <w:r w:rsidR="005F5AE1">
        <w:t>ed</w:t>
      </w:r>
      <w:r w:rsidR="00A52391" w:rsidRPr="00721D5A">
        <w:t xml:space="preserve"> the limited nature of the data.</w:t>
      </w:r>
      <w:r w:rsidR="004B485D" w:rsidRPr="00721D5A">
        <w:t xml:space="preserve"> </w:t>
      </w:r>
      <w:r w:rsidR="00A52391" w:rsidRPr="00721D5A">
        <w:t xml:space="preserve">While there </w:t>
      </w:r>
      <w:r w:rsidR="005F5AE1">
        <w:t>was</w:t>
      </w:r>
      <w:r w:rsidR="00A52391" w:rsidRPr="00721D5A">
        <w:t xml:space="preserve"> evidence that osilodrostat </w:t>
      </w:r>
      <w:r w:rsidR="005F5AE1">
        <w:t>was</w:t>
      </w:r>
      <w:r w:rsidR="00A52391" w:rsidRPr="00721D5A">
        <w:t xml:space="preserve"> effective, the magnitude of the benefit </w:t>
      </w:r>
      <w:r w:rsidR="00CA1927">
        <w:t>was considered highly unreliable</w:t>
      </w:r>
      <w:r w:rsidR="00A52391" w:rsidRPr="00721D5A">
        <w:t xml:space="preserve"> given the wide CI.</w:t>
      </w:r>
    </w:p>
    <w:p w14:paraId="47EEF024" w14:textId="4967F1F7" w:rsidR="003F58CD" w:rsidRPr="008C713C" w:rsidRDefault="005F5AE1" w:rsidP="0047787D">
      <w:pPr>
        <w:pStyle w:val="3-BodyText"/>
        <w:numPr>
          <w:ilvl w:val="0"/>
          <w:numId w:val="9"/>
        </w:numPr>
        <w:ind w:left="993" w:hanging="284"/>
      </w:pPr>
      <w:r>
        <w:rPr>
          <w:iCs/>
        </w:rPr>
        <w:t>The durability of r</w:t>
      </w:r>
      <w:r w:rsidR="00A97041" w:rsidRPr="00721D5A">
        <w:rPr>
          <w:iCs/>
        </w:rPr>
        <w:t xml:space="preserve">esponse was </w:t>
      </w:r>
      <w:r>
        <w:rPr>
          <w:iCs/>
        </w:rPr>
        <w:t>questionable</w:t>
      </w:r>
      <w:r w:rsidR="00A97041" w:rsidRPr="00721D5A">
        <w:rPr>
          <w:iCs/>
        </w:rPr>
        <w:t xml:space="preserve">, </w:t>
      </w:r>
      <w:r w:rsidR="003F58CD" w:rsidRPr="008C713C">
        <w:t>as the proportions of complete responders show</w:t>
      </w:r>
      <w:r>
        <w:t>ed</w:t>
      </w:r>
      <w:r w:rsidR="003F58CD" w:rsidRPr="008C713C">
        <w:t xml:space="preserve"> a decrease for osilodrostat (</w:t>
      </w:r>
      <w:r w:rsidR="009E2CE2" w:rsidRPr="008C713C">
        <w:t>21.1</w:t>
      </w:r>
      <w:r w:rsidR="009E2CE2" w:rsidRPr="00721D5A">
        <w:rPr>
          <w:iCs/>
        </w:rPr>
        <w:t xml:space="preserve">% at Week </w:t>
      </w:r>
      <w:r w:rsidR="009E2CE2" w:rsidRPr="008C713C">
        <w:t>96</w:t>
      </w:r>
      <w:r w:rsidR="003F58CD" w:rsidRPr="008C713C">
        <w:t>) and placebo</w:t>
      </w:r>
      <w:r w:rsidR="009E2CE2" w:rsidRPr="008C713C">
        <w:t xml:space="preserve"> + osilodrostat</w:t>
      </w:r>
      <w:r w:rsidR="003F58CD" w:rsidRPr="008C713C">
        <w:t>-treated patients (</w:t>
      </w:r>
      <w:r w:rsidR="009E2CE2" w:rsidRPr="008C713C">
        <w:t>46.2</w:t>
      </w:r>
      <w:r w:rsidR="009E2CE2" w:rsidRPr="00721D5A">
        <w:rPr>
          <w:iCs/>
        </w:rPr>
        <w:t xml:space="preserve">% at Week </w:t>
      </w:r>
      <w:r w:rsidR="009E2CE2" w:rsidRPr="008C713C">
        <w:t>96</w:t>
      </w:r>
      <w:r w:rsidR="003F58CD" w:rsidRPr="008C713C">
        <w:t>).</w:t>
      </w:r>
    </w:p>
    <w:p w14:paraId="173CF14B" w14:textId="1801945A" w:rsidR="00CA0C22" w:rsidRPr="008C713C" w:rsidRDefault="009E4D4A" w:rsidP="0047787D">
      <w:pPr>
        <w:pStyle w:val="3-BodyText"/>
        <w:numPr>
          <w:ilvl w:val="0"/>
          <w:numId w:val="9"/>
        </w:numPr>
        <w:ind w:left="993" w:hanging="284"/>
      </w:pPr>
      <w:r w:rsidRPr="00721D5A">
        <w:rPr>
          <w:iCs/>
        </w:rPr>
        <w:t>There were statistically significant advantages for osilodrostat for changes in some cardiovascular and metabolic parameters, but not for others.</w:t>
      </w:r>
      <w:r w:rsidR="004B485D" w:rsidRPr="00721D5A">
        <w:rPr>
          <w:iCs/>
        </w:rPr>
        <w:t xml:space="preserve"> </w:t>
      </w:r>
      <w:r w:rsidRPr="00721D5A">
        <w:rPr>
          <w:iCs/>
        </w:rPr>
        <w:t>There were no statistically significant differences between osilodrostat and placebo for improvement in physical features.</w:t>
      </w:r>
      <w:r w:rsidR="00C5059B">
        <w:rPr>
          <w:iCs/>
        </w:rPr>
        <w:t xml:space="preserve"> </w:t>
      </w:r>
      <w:r w:rsidR="00C5059B" w:rsidRPr="008C713C">
        <w:t>The PSCR highlighted that LINC 4 was not powered to detect statistically significant differences in these secondary outcomes, and that it was unlikely that there would be significant improvements in cardiovascular and metabolic parameters and physical features during a short period of 12 weeks. The PSCR also noted that most cardiovascular and metabolic parameters and physical features improved by Week 48 for osilodrostat-treated patients compared to baseline.</w:t>
      </w:r>
    </w:p>
    <w:p w14:paraId="499A4DB4" w14:textId="1533A5FB" w:rsidR="009E4D4A" w:rsidRPr="008C713C" w:rsidRDefault="009E4D4A" w:rsidP="0047787D">
      <w:pPr>
        <w:pStyle w:val="3-BodyText"/>
        <w:numPr>
          <w:ilvl w:val="0"/>
          <w:numId w:val="9"/>
        </w:numPr>
        <w:ind w:left="993" w:hanging="284"/>
      </w:pPr>
      <w:r w:rsidRPr="00CA0C22">
        <w:rPr>
          <w:iCs/>
        </w:rPr>
        <w:t>While there were no statistically significant differences between osilodrostat and placebo in Cushing QoL, there was a numerically greater improvement for placebo-treated patients, and placebo-treated patients also had greater improvement on the BDI-II.</w:t>
      </w:r>
      <w:r w:rsidR="00C5059B" w:rsidRPr="00CA0C22">
        <w:rPr>
          <w:iCs/>
        </w:rPr>
        <w:t xml:space="preserve"> </w:t>
      </w:r>
      <w:r w:rsidR="00C5059B" w:rsidRPr="008C713C">
        <w:t xml:space="preserve">The PSCR </w:t>
      </w:r>
      <w:r w:rsidR="001A7F85" w:rsidRPr="008C713C">
        <w:t>stat</w:t>
      </w:r>
      <w:r w:rsidR="00C5059B" w:rsidRPr="008C713C">
        <w:t xml:space="preserve">ed </w:t>
      </w:r>
      <w:r w:rsidR="001A7F85" w:rsidRPr="008C713C">
        <w:t xml:space="preserve">LINC 4 was not powered to detect a statistically significant difference in these outcomes, nor was it expected that there would be significant improvements in quality of life over such a short period of 12 weeks. It was further claimed </w:t>
      </w:r>
      <w:r w:rsidR="00C5059B" w:rsidRPr="008C713C">
        <w:t>that it may be more appropriate to assess a patient’s quality of life over a longer period of exposure to osilodrostat up to Week 48, the end of the core phase of LINC 4. The mean change of 12.0 points in Cushing QoL from baseline to Week 48 exceeded the minimal clinically important difference (MCID) of a 10.1-point change from baseline (LINC 4). The mean change of -30.0% in Beck Depression Inventory (BDI-II) from baseline to Week 48 exceeded the MCID of -</w:t>
      </w:r>
      <w:r w:rsidR="00C5059B" w:rsidRPr="008C713C">
        <w:lastRenderedPageBreak/>
        <w:t>17.5% (LINC 4). Similar changes were observed from baseline to Week 48 in LINC 3 for Cushing QoL (mean change: 13.0 points) and BDI-II (mean change: -31.8%). Together, these results demonstrated that treatment with osilodrostat resulted in clinically meaningful improvements in patients’ QoL.</w:t>
      </w:r>
      <w:r w:rsidR="001A7F85" w:rsidRPr="008C713C">
        <w:rPr>
          <w:rFonts w:ascii="Calibri" w:hAnsi="Calibri" w:cs="Calibri"/>
          <w:iCs/>
          <w:lang w:val="en-US"/>
        </w:rPr>
        <w:t xml:space="preserve"> However, the ESC considered that given there was no clear evidence of improvement in patient-relevant outcomes after 12 weeks of treatment, this was critical to the relevance of the trial-based economic evaluation (see below).</w:t>
      </w:r>
    </w:p>
    <w:p w14:paraId="5F2FD043" w14:textId="1E76F551" w:rsidR="005C505D" w:rsidRPr="002A2E8F" w:rsidRDefault="00577323" w:rsidP="002A2E8F">
      <w:pPr>
        <w:pStyle w:val="3-BodyText"/>
        <w:rPr>
          <w:i/>
        </w:rPr>
      </w:pPr>
      <w:r w:rsidRPr="006737D5">
        <w:rPr>
          <w:iCs/>
        </w:rPr>
        <w:t>There</w:t>
      </w:r>
      <w:r w:rsidR="005C505D" w:rsidRPr="006737D5">
        <w:rPr>
          <w:iCs/>
        </w:rPr>
        <w:t xml:space="preserve"> were AEs which occurred in a statistically significantly greater proportion of osilodrostat-treated patients</w:t>
      </w:r>
      <w:r w:rsidRPr="006737D5">
        <w:rPr>
          <w:iCs/>
        </w:rPr>
        <w:t xml:space="preserve">, specifically </w:t>
      </w:r>
      <w:r w:rsidR="005C505D" w:rsidRPr="006737D5">
        <w:rPr>
          <w:iCs/>
        </w:rPr>
        <w:t xml:space="preserve">AEs requiring additional </w:t>
      </w:r>
      <w:r w:rsidRPr="006737D5">
        <w:rPr>
          <w:iCs/>
        </w:rPr>
        <w:t xml:space="preserve">therapy and </w:t>
      </w:r>
      <w:r w:rsidR="005C505D" w:rsidRPr="006737D5">
        <w:rPr>
          <w:iCs/>
        </w:rPr>
        <w:t>hypocortisolism-related AE</w:t>
      </w:r>
      <w:r w:rsidRPr="006737D5">
        <w:rPr>
          <w:iCs/>
        </w:rPr>
        <w:t>s</w:t>
      </w:r>
      <w:r w:rsidR="005C505D" w:rsidRPr="006737D5">
        <w:rPr>
          <w:iCs/>
        </w:rPr>
        <w:t>.</w:t>
      </w:r>
      <w:r w:rsidR="004B485D" w:rsidRPr="006737D5">
        <w:rPr>
          <w:iCs/>
        </w:rPr>
        <w:t xml:space="preserve"> </w:t>
      </w:r>
      <w:r w:rsidR="005C505D" w:rsidRPr="006737D5">
        <w:rPr>
          <w:iCs/>
        </w:rPr>
        <w:t>There was numerically greater occurrence of adrenal hormone precursor</w:t>
      </w:r>
      <w:r w:rsidR="007962B6" w:rsidRPr="006737D5">
        <w:rPr>
          <w:iCs/>
        </w:rPr>
        <w:t xml:space="preserve"> </w:t>
      </w:r>
      <w:r w:rsidR="005B254A" w:rsidRPr="006737D5">
        <w:rPr>
          <w:iCs/>
        </w:rPr>
        <w:t>accumulation</w:t>
      </w:r>
      <w:r w:rsidR="005C505D" w:rsidRPr="006737D5">
        <w:rPr>
          <w:iCs/>
        </w:rPr>
        <w:t>, although the difference was not statistically significant.</w:t>
      </w:r>
      <w:r w:rsidR="004B485D" w:rsidRPr="006737D5">
        <w:rPr>
          <w:iCs/>
        </w:rPr>
        <w:t xml:space="preserve"> </w:t>
      </w:r>
      <w:r w:rsidR="001A7F85" w:rsidRPr="006737D5">
        <w:t>The ESC acknowledged that there were no Grade ≥</w:t>
      </w:r>
      <w:r w:rsidR="001A15F5" w:rsidRPr="006737D5">
        <w:t> </w:t>
      </w:r>
      <w:r w:rsidR="001A7F85" w:rsidRPr="006737D5">
        <w:t>3 hypocortisolism-related AEs in both treatment arms up to Week 12</w:t>
      </w:r>
      <w:r w:rsidR="002A2E8F">
        <w:t xml:space="preserve"> </w:t>
      </w:r>
      <w:r w:rsidR="001A7F85" w:rsidRPr="006737D5">
        <w:t xml:space="preserve">and a similar proportion of patients experienced Grade ≥ 3 AEs requiring additional therapy up to Week 12. However, the ESC </w:t>
      </w:r>
      <w:r w:rsidR="001B2AAF" w:rsidRPr="006737D5">
        <w:t>consider</w:t>
      </w:r>
      <w:r w:rsidR="001A7F85" w:rsidRPr="006737D5">
        <w:t xml:space="preserve">ed this may not reflect the adverse-events of longer-term use of osilodrostat, particularly after dose titration, and </w:t>
      </w:r>
      <w:r w:rsidR="00DA4DE3" w:rsidRPr="006737D5">
        <w:t xml:space="preserve">it was noted </w:t>
      </w:r>
      <w:r w:rsidR="001A7F85" w:rsidRPr="006737D5">
        <w:t>that close monitoring for hypocortisolism and QTc prolongation was required throughout treatment.</w:t>
      </w:r>
      <w:r w:rsidR="001A15F5" w:rsidRPr="006737D5">
        <w:t xml:space="preserve"> </w:t>
      </w:r>
      <w:r w:rsidR="0003102A" w:rsidRPr="006737D5">
        <w:t xml:space="preserve">The pre-PBAC response </w:t>
      </w:r>
      <w:r w:rsidR="0003102A">
        <w:t>argued</w:t>
      </w:r>
      <w:r w:rsidR="0003102A" w:rsidRPr="006737D5">
        <w:t xml:space="preserve"> that hypocortisolism occurred more frequently during dose titration compared with during long-term treatment and the incidence of QTc prolongation was low throughout the treatment period. The pre-PBAC response </w:t>
      </w:r>
      <w:r w:rsidR="0003102A">
        <w:t>also added</w:t>
      </w:r>
      <w:r w:rsidR="0003102A" w:rsidRPr="006737D5">
        <w:t xml:space="preserve"> that the comparative safety of osilodrostat versus placebo during the first 12 weeks of LINC 3 </w:t>
      </w:r>
      <w:r w:rsidR="0003102A">
        <w:t>was</w:t>
      </w:r>
      <w:r w:rsidR="0003102A" w:rsidRPr="006737D5">
        <w:t xml:space="preserve"> likely an overestimate of the long-term safety of osilodrostat and therefore </w:t>
      </w:r>
      <w:r w:rsidR="00874352">
        <w:t xml:space="preserve">argued </w:t>
      </w:r>
      <w:r w:rsidR="0003102A" w:rsidRPr="006737D5">
        <w:t xml:space="preserve">the clinical claim of non-inferior safety </w:t>
      </w:r>
      <w:r w:rsidR="0003102A">
        <w:t>was</w:t>
      </w:r>
      <w:r w:rsidR="0003102A" w:rsidRPr="006737D5">
        <w:t xml:space="preserve"> appropriate.</w:t>
      </w:r>
    </w:p>
    <w:p w14:paraId="09D858FE" w14:textId="4D2C91BC" w:rsidR="005C505D" w:rsidRPr="00874352" w:rsidRDefault="005C505D" w:rsidP="00874352">
      <w:pPr>
        <w:pStyle w:val="3-BodyText"/>
        <w:rPr>
          <w:iCs/>
        </w:rPr>
      </w:pPr>
      <w:bookmarkStart w:id="39" w:name="_Hlk129774605"/>
      <w:r w:rsidRPr="002526D3">
        <w:t xml:space="preserve">For the comparison with metyrapone, the submission claimed that osilodrostat </w:t>
      </w:r>
      <w:r w:rsidR="00F24CC0" w:rsidRPr="002526D3">
        <w:t>w</w:t>
      </w:r>
      <w:r w:rsidRPr="002526D3">
        <w:t xml:space="preserve">as superior </w:t>
      </w:r>
      <w:r w:rsidR="0046211D" w:rsidRPr="002526D3">
        <w:t xml:space="preserve">in </w:t>
      </w:r>
      <w:r w:rsidRPr="002526D3">
        <w:t>efficacy and safety.</w:t>
      </w:r>
      <w:r w:rsidR="004B485D" w:rsidRPr="002526D3">
        <w:t xml:space="preserve"> </w:t>
      </w:r>
      <w:r w:rsidRPr="002526D3">
        <w:t>This claim was statistically supported for efficacy but was based on a</w:t>
      </w:r>
      <w:r w:rsidR="00F828B6" w:rsidRPr="002526D3">
        <w:t>n</w:t>
      </w:r>
      <w:r w:rsidRPr="002526D3">
        <w:t xml:space="preserve"> </w:t>
      </w:r>
      <w:r w:rsidR="00F828B6" w:rsidRPr="002526D3">
        <w:t xml:space="preserve">unanchored </w:t>
      </w:r>
      <w:r w:rsidRPr="002526D3">
        <w:t>indirect comparison.</w:t>
      </w:r>
      <w:r w:rsidR="004B485D" w:rsidRPr="002526D3">
        <w:t xml:space="preserve"> </w:t>
      </w:r>
      <w:r w:rsidR="00F828B6" w:rsidRPr="002526D3">
        <w:t>T</w:t>
      </w:r>
      <w:r w:rsidRPr="002526D3">
        <w:t xml:space="preserve">he claim for safety was </w:t>
      </w:r>
      <w:r w:rsidR="00F828B6" w:rsidRPr="002526D3">
        <w:t xml:space="preserve">based on </w:t>
      </w:r>
      <w:r w:rsidR="007D125D" w:rsidRPr="002526D3">
        <w:t xml:space="preserve">a </w:t>
      </w:r>
      <w:r w:rsidR="00F828B6" w:rsidRPr="002526D3">
        <w:t>single arm comparison with</w:t>
      </w:r>
      <w:r w:rsidRPr="002526D3">
        <w:t xml:space="preserve"> greater proportion of metyrapone-treated patients with any SAE, but there was also a numerically greater proportion of osilodrostat-treated patients with</w:t>
      </w:r>
      <w:r w:rsidR="00604754" w:rsidRPr="002526D3">
        <w:t xml:space="preserve"> adrenal insufficiency and</w:t>
      </w:r>
      <w:r w:rsidRPr="002526D3">
        <w:t xml:space="preserve"> AEs leading to dose interruption, as well as </w:t>
      </w:r>
      <w:r w:rsidR="00F828B6" w:rsidRPr="002526D3">
        <w:t>a higher</w:t>
      </w:r>
      <w:r w:rsidRPr="002526D3">
        <w:t xml:space="preserve"> proportion of osilodrostat-treated patients with any AEs</w:t>
      </w:r>
      <w:r w:rsidR="002526D3" w:rsidRPr="002526D3">
        <w:t>.</w:t>
      </w:r>
      <w:r w:rsidR="00D8038F" w:rsidRPr="002526D3">
        <w:t xml:space="preserve"> </w:t>
      </w:r>
    </w:p>
    <w:bookmarkEnd w:id="39"/>
    <w:p w14:paraId="44FD0ACA" w14:textId="43FEF231" w:rsidR="005C505D" w:rsidRPr="00C032BC" w:rsidRDefault="005C505D" w:rsidP="00D8038F">
      <w:pPr>
        <w:pStyle w:val="3-BodyText"/>
      </w:pPr>
      <w:r w:rsidRPr="00D13A3E">
        <w:t>The submission describe</w:t>
      </w:r>
      <w:r>
        <w:t>d</w:t>
      </w:r>
      <w:r w:rsidRPr="00D13A3E">
        <w:t xml:space="preserve"> </w:t>
      </w:r>
      <w:r>
        <w:t>osilodrostat as superior to ketoconazole with regard to efficacy and safety.</w:t>
      </w:r>
      <w:r w:rsidR="004B485D">
        <w:t xml:space="preserve"> </w:t>
      </w:r>
      <w:r w:rsidRPr="00721D5A">
        <w:rPr>
          <w:iCs/>
        </w:rPr>
        <w:t>As for the metyrapone comparison, the efficacy claim versus ketoconazole was statistically supported, but was based on a</w:t>
      </w:r>
      <w:r w:rsidR="00F828B6" w:rsidRPr="00721D5A">
        <w:rPr>
          <w:iCs/>
        </w:rPr>
        <w:t>n</w:t>
      </w:r>
      <w:r w:rsidRPr="00721D5A">
        <w:rPr>
          <w:iCs/>
        </w:rPr>
        <w:t xml:space="preserve"> </w:t>
      </w:r>
      <w:r w:rsidR="00F828B6" w:rsidRPr="00721D5A">
        <w:rPr>
          <w:iCs/>
        </w:rPr>
        <w:t>una</w:t>
      </w:r>
      <w:r w:rsidR="00CA543A" w:rsidRPr="00721D5A">
        <w:rPr>
          <w:iCs/>
        </w:rPr>
        <w:t>n</w:t>
      </w:r>
      <w:r w:rsidR="00F828B6" w:rsidRPr="00721D5A">
        <w:rPr>
          <w:iCs/>
        </w:rPr>
        <w:t xml:space="preserve">chored </w:t>
      </w:r>
      <w:r w:rsidRPr="00721D5A">
        <w:rPr>
          <w:iCs/>
        </w:rPr>
        <w:t>indirect comparison.</w:t>
      </w:r>
      <w:r w:rsidR="004B485D" w:rsidRPr="00721D5A">
        <w:rPr>
          <w:iCs/>
        </w:rPr>
        <w:t xml:space="preserve"> </w:t>
      </w:r>
      <w:r w:rsidRPr="00721D5A">
        <w:rPr>
          <w:iCs/>
        </w:rPr>
        <w:t>The safety claim was not strongly supported, as it was based on a single outcome</w:t>
      </w:r>
      <w:r w:rsidR="00F828B6" w:rsidRPr="00721D5A">
        <w:rPr>
          <w:iCs/>
        </w:rPr>
        <w:t xml:space="preserve"> of</w:t>
      </w:r>
      <w:r w:rsidRPr="00721D5A">
        <w:rPr>
          <w:iCs/>
        </w:rPr>
        <w:t xml:space="preserve"> discontinuation due to AE.</w:t>
      </w:r>
      <w:r w:rsidR="004B485D" w:rsidRPr="00721D5A">
        <w:rPr>
          <w:iCs/>
        </w:rPr>
        <w:t xml:space="preserve"> </w:t>
      </w:r>
      <w:r w:rsidR="00CE7859" w:rsidRPr="008C713C">
        <w:t xml:space="preserve">The PSCR stated that liver toxicity from oral ketoconazole was well acknowledged, with ketoconazole being deregistered by the TGA and a black box warning assigned by the FDA. The ESC acknowledged the safety concerns with ketaconazole </w:t>
      </w:r>
      <w:r w:rsidR="002526D3" w:rsidRPr="008C713C">
        <w:t>treatment;</w:t>
      </w:r>
      <w:r w:rsidR="00CE7859" w:rsidRPr="008C713C">
        <w:t xml:space="preserve"> however, </w:t>
      </w:r>
      <w:r w:rsidR="00CE7859">
        <w:rPr>
          <w:iCs/>
        </w:rPr>
        <w:t>i</w:t>
      </w:r>
      <w:r w:rsidRPr="00721D5A">
        <w:rPr>
          <w:iCs/>
        </w:rPr>
        <w:t xml:space="preserve">t </w:t>
      </w:r>
      <w:r w:rsidR="002526D3">
        <w:rPr>
          <w:iCs/>
        </w:rPr>
        <w:t>was</w:t>
      </w:r>
      <w:r w:rsidRPr="00721D5A">
        <w:rPr>
          <w:iCs/>
        </w:rPr>
        <w:t xml:space="preserve"> difficult to make an overall conclusion </w:t>
      </w:r>
      <w:r w:rsidR="002526D3">
        <w:rPr>
          <w:iCs/>
        </w:rPr>
        <w:t>due to the</w:t>
      </w:r>
      <w:r w:rsidRPr="00721D5A">
        <w:rPr>
          <w:iCs/>
        </w:rPr>
        <w:t xml:space="preserve"> </w:t>
      </w:r>
      <w:r w:rsidR="00D969C9" w:rsidRPr="00721D5A">
        <w:rPr>
          <w:iCs/>
        </w:rPr>
        <w:t xml:space="preserve">limited </w:t>
      </w:r>
      <w:r w:rsidRPr="00721D5A">
        <w:rPr>
          <w:iCs/>
        </w:rPr>
        <w:t>data.</w:t>
      </w:r>
      <w:r w:rsidR="00D8038F">
        <w:rPr>
          <w:iCs/>
        </w:rPr>
        <w:t xml:space="preserve"> </w:t>
      </w:r>
    </w:p>
    <w:p w14:paraId="4C0D8635" w14:textId="56A58509" w:rsidR="00970A71" w:rsidRPr="00970A71" w:rsidRDefault="00C032BC" w:rsidP="00970A71">
      <w:pPr>
        <w:pStyle w:val="3-BodyText"/>
      </w:pPr>
      <w:r w:rsidRPr="00970A71">
        <w:t>The PBAC considered that the claim of superior comparative effectiveness</w:t>
      </w:r>
      <w:r w:rsidR="00970A71">
        <w:t xml:space="preserve"> to placebo</w:t>
      </w:r>
      <w:r w:rsidR="002526D3">
        <w:t xml:space="preserve">, and to ketoconazole and metyrapone </w:t>
      </w:r>
      <w:r w:rsidRPr="00970A71">
        <w:t>was reasonable.</w:t>
      </w:r>
    </w:p>
    <w:p w14:paraId="11C521C5" w14:textId="159CDB59" w:rsidR="00C032BC" w:rsidRPr="00970A71" w:rsidRDefault="00C032BC" w:rsidP="00970A71">
      <w:pPr>
        <w:pStyle w:val="3-BodyText"/>
      </w:pPr>
      <w:r w:rsidRPr="00970A71">
        <w:lastRenderedPageBreak/>
        <w:t xml:space="preserve">The PBAC considered that the claim of </w:t>
      </w:r>
      <w:r w:rsidR="00970A71" w:rsidRPr="00970A71">
        <w:t xml:space="preserve">non-inferior </w:t>
      </w:r>
      <w:r w:rsidRPr="00970A71">
        <w:t>safety</w:t>
      </w:r>
      <w:r w:rsidR="00970A71">
        <w:t xml:space="preserve"> to placebo and superior safety to metyrapone and ketoconazole</w:t>
      </w:r>
      <w:r w:rsidRPr="00970A71">
        <w:t xml:space="preserve"> was reasonable</w:t>
      </w:r>
      <w:r w:rsidR="007078B8">
        <w:t xml:space="preserve">, noting </w:t>
      </w:r>
      <w:r w:rsidR="007078B8">
        <w:rPr>
          <w:bCs/>
        </w:rPr>
        <w:t xml:space="preserve">regular monitoring of side effects of </w:t>
      </w:r>
      <w:r w:rsidR="007078B8" w:rsidRPr="006737D5">
        <w:t>hypocortisolism</w:t>
      </w:r>
      <w:r w:rsidR="007078B8">
        <w:rPr>
          <w:bCs/>
        </w:rPr>
        <w:t xml:space="preserve"> was required</w:t>
      </w:r>
      <w:r w:rsidR="00970A71" w:rsidRPr="00970A71">
        <w:t>.</w:t>
      </w:r>
    </w:p>
    <w:p w14:paraId="74A1172E" w14:textId="128C170E" w:rsidR="00B60939" w:rsidRPr="008C713C" w:rsidRDefault="00B60939" w:rsidP="00AB08F8">
      <w:pPr>
        <w:pStyle w:val="4-SubsectionHeading"/>
        <w:rPr>
          <w:i w:val="0"/>
        </w:rPr>
      </w:pPr>
      <w:bookmarkStart w:id="40" w:name="_Toc22897645"/>
      <w:bookmarkStart w:id="41" w:name="_Toc124928101"/>
      <w:r w:rsidRPr="008C713C">
        <w:rPr>
          <w:i w:val="0"/>
        </w:rPr>
        <w:t>Economic analysis</w:t>
      </w:r>
      <w:bookmarkEnd w:id="40"/>
      <w:bookmarkEnd w:id="41"/>
      <w:r w:rsidR="00491B3A" w:rsidRPr="008C713C">
        <w:rPr>
          <w:i w:val="0"/>
        </w:rPr>
        <w:t xml:space="preserve"> </w:t>
      </w:r>
    </w:p>
    <w:p w14:paraId="786C3072" w14:textId="575CBD21" w:rsidR="005C505D" w:rsidRPr="005C505D" w:rsidRDefault="005C505D" w:rsidP="00641FB3">
      <w:pPr>
        <w:pStyle w:val="3-BodyText"/>
        <w:rPr>
          <w:b/>
          <w:bCs/>
          <w:lang w:val="en-US"/>
        </w:rPr>
      </w:pPr>
      <w:r>
        <w:t>The submission presented a trial-based economic evaluation, based on direct randomised trials for the comparison versus placebo</w:t>
      </w:r>
      <w:r w:rsidR="00282144">
        <w:t xml:space="preserve"> (LINC 4)</w:t>
      </w:r>
      <w:r>
        <w:t xml:space="preserve">, and based on indirect comparisons for the comparisons versus metyrapone </w:t>
      </w:r>
      <w:r w:rsidR="00282144">
        <w:t xml:space="preserve">(PROMPT) </w:t>
      </w:r>
      <w:r>
        <w:t>and ketoconazole</w:t>
      </w:r>
      <w:r w:rsidR="00282144">
        <w:t xml:space="preserve"> (Castinetti 2008)</w:t>
      </w:r>
      <w:r>
        <w:t>.</w:t>
      </w:r>
      <w:r w:rsidR="004B485D">
        <w:t xml:space="preserve"> </w:t>
      </w:r>
      <w:r>
        <w:t>The type of economic evaluation presented was a cost-effectiveness analysis</w:t>
      </w:r>
      <w:r w:rsidR="007A18B2">
        <w:t xml:space="preserve"> based on the incremental cost per extra responder</w:t>
      </w:r>
      <w:r>
        <w:t>.</w:t>
      </w:r>
    </w:p>
    <w:p w14:paraId="15A9AFA4" w14:textId="088F879D" w:rsidR="00275C5A" w:rsidRPr="00641FB3" w:rsidRDefault="00E16AD8" w:rsidP="00E16AD8">
      <w:pPr>
        <w:pStyle w:val="Caption"/>
        <w:jc w:val="left"/>
        <w:rPr>
          <w:rStyle w:val="CommentReference"/>
          <w:b/>
          <w:szCs w:val="24"/>
        </w:rPr>
      </w:pPr>
      <w:r>
        <w:t xml:space="preserve">Table </w:t>
      </w:r>
      <w:fldSimple w:instr=" SEQ Table \* ARABIC ">
        <w:r w:rsidR="00A9220E">
          <w:rPr>
            <w:noProof/>
          </w:rPr>
          <w:t>15</w:t>
        </w:r>
      </w:fldSimple>
      <w:r>
        <w:t>:</w:t>
      </w:r>
      <w:r w:rsidR="00275C5A" w:rsidRPr="00641FB3">
        <w:rPr>
          <w:rStyle w:val="CommentReference"/>
          <w:b/>
          <w:szCs w:val="24"/>
        </w:rPr>
        <w:t xml:space="preserve"> </w:t>
      </w:r>
      <w:r w:rsidR="005C505D" w:rsidRPr="00DE2304">
        <w:rPr>
          <w:rStyle w:val="CommentReference"/>
          <w:b/>
          <w:szCs w:val="24"/>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4"/>
        <w:gridCol w:w="6343"/>
      </w:tblGrid>
      <w:tr w:rsidR="00AA6492" w:rsidRPr="00E05630" w14:paraId="41851BD3" w14:textId="77777777" w:rsidTr="00AA6492">
        <w:tc>
          <w:tcPr>
            <w:tcW w:w="1483" w:type="pct"/>
            <w:vAlign w:val="center"/>
          </w:tcPr>
          <w:p w14:paraId="6BD6D47D" w14:textId="77777777" w:rsidR="00AA6492" w:rsidRPr="00E05630" w:rsidRDefault="00AA6492" w:rsidP="00AA6492">
            <w:pPr>
              <w:pStyle w:val="In-tableHeading"/>
              <w:jc w:val="center"/>
            </w:pPr>
            <w:r w:rsidRPr="00E05630">
              <w:t>Component</w:t>
            </w:r>
          </w:p>
        </w:tc>
        <w:tc>
          <w:tcPr>
            <w:tcW w:w="3517" w:type="pct"/>
            <w:vAlign w:val="center"/>
          </w:tcPr>
          <w:p w14:paraId="2BA2B786" w14:textId="77777777" w:rsidR="00AA6492" w:rsidRPr="00E05630" w:rsidRDefault="00AA6492" w:rsidP="00AA6492">
            <w:pPr>
              <w:pStyle w:val="In-tableHeading"/>
              <w:jc w:val="center"/>
            </w:pPr>
            <w:r w:rsidRPr="00E05630">
              <w:t>Description</w:t>
            </w:r>
          </w:p>
        </w:tc>
      </w:tr>
      <w:tr w:rsidR="00AA6492" w:rsidRPr="003F0D8B" w14:paraId="2E9D80E1" w14:textId="77777777" w:rsidTr="00AA6492">
        <w:tc>
          <w:tcPr>
            <w:tcW w:w="1483" w:type="pct"/>
            <w:vAlign w:val="center"/>
          </w:tcPr>
          <w:p w14:paraId="2A8935A9" w14:textId="77777777" w:rsidR="00AA6492" w:rsidRPr="004E2ADC" w:rsidRDefault="00AA6492" w:rsidP="00AA6492">
            <w:pPr>
              <w:pStyle w:val="TableText0"/>
            </w:pPr>
            <w:r>
              <w:t>Type of analysis</w:t>
            </w:r>
          </w:p>
        </w:tc>
        <w:tc>
          <w:tcPr>
            <w:tcW w:w="3517" w:type="pct"/>
            <w:vAlign w:val="center"/>
          </w:tcPr>
          <w:p w14:paraId="6CDC5D39" w14:textId="77777777" w:rsidR="00AA6492" w:rsidRPr="004E2ADC" w:rsidRDefault="00AA6492" w:rsidP="00AA6492">
            <w:pPr>
              <w:pStyle w:val="TableText0"/>
            </w:pPr>
            <w:r>
              <w:t>Cost-effectiveness analysis</w:t>
            </w:r>
          </w:p>
        </w:tc>
      </w:tr>
      <w:tr w:rsidR="00AA6492" w:rsidRPr="004E2ADC" w14:paraId="5F53E048" w14:textId="77777777" w:rsidTr="00AA6492">
        <w:tc>
          <w:tcPr>
            <w:tcW w:w="1483" w:type="pct"/>
            <w:vAlign w:val="center"/>
          </w:tcPr>
          <w:p w14:paraId="6B66049D" w14:textId="77777777" w:rsidR="00AA6492" w:rsidRPr="004E2ADC" w:rsidRDefault="00AA6492" w:rsidP="00AA6492">
            <w:pPr>
              <w:pStyle w:val="TableText0"/>
            </w:pPr>
            <w:r>
              <w:t>Outcomes</w:t>
            </w:r>
          </w:p>
        </w:tc>
        <w:tc>
          <w:tcPr>
            <w:tcW w:w="3517" w:type="pct"/>
            <w:vAlign w:val="center"/>
          </w:tcPr>
          <w:p w14:paraId="43CBE2D0" w14:textId="77777777" w:rsidR="00AA6492" w:rsidRPr="004E2ADC" w:rsidRDefault="00AA6492" w:rsidP="00AA6492">
            <w:pPr>
              <w:pStyle w:val="TableText0"/>
            </w:pPr>
            <w:r>
              <w:t>Proportion of patients achieving complete response (UFC ≤1 × ULN)</w:t>
            </w:r>
          </w:p>
        </w:tc>
      </w:tr>
      <w:tr w:rsidR="00AA6492" w:rsidRPr="004E2ADC" w14:paraId="358AB1C2" w14:textId="77777777" w:rsidTr="00AA6492">
        <w:tc>
          <w:tcPr>
            <w:tcW w:w="1483" w:type="pct"/>
            <w:vAlign w:val="center"/>
          </w:tcPr>
          <w:p w14:paraId="2FD01395" w14:textId="77777777" w:rsidR="00AA6492" w:rsidRPr="004E2ADC" w:rsidRDefault="00AA6492" w:rsidP="00AA6492">
            <w:pPr>
              <w:pStyle w:val="TableText0"/>
            </w:pPr>
            <w:r>
              <w:t>Time horizon</w:t>
            </w:r>
          </w:p>
        </w:tc>
        <w:tc>
          <w:tcPr>
            <w:tcW w:w="3517" w:type="pct"/>
            <w:vAlign w:val="center"/>
          </w:tcPr>
          <w:p w14:paraId="5C8C0468" w14:textId="77777777" w:rsidR="00AA6492" w:rsidRPr="004E2ADC" w:rsidRDefault="00AA6492" w:rsidP="00AA6492">
            <w:pPr>
              <w:pStyle w:val="TableText0"/>
            </w:pPr>
            <w:r>
              <w:t>12 weeks</w:t>
            </w:r>
          </w:p>
        </w:tc>
      </w:tr>
      <w:tr w:rsidR="00AA6492" w:rsidRPr="004E2ADC" w14:paraId="08E9AEC4" w14:textId="77777777" w:rsidTr="00AA6492">
        <w:tc>
          <w:tcPr>
            <w:tcW w:w="1483" w:type="pct"/>
            <w:vAlign w:val="center"/>
          </w:tcPr>
          <w:p w14:paraId="24D227A3" w14:textId="77777777" w:rsidR="00AA6492" w:rsidRPr="004E2ADC" w:rsidRDefault="00AA6492" w:rsidP="00AA6492">
            <w:pPr>
              <w:pStyle w:val="TableText0"/>
            </w:pPr>
            <w:r>
              <w:t>Methods used to generate results</w:t>
            </w:r>
          </w:p>
        </w:tc>
        <w:tc>
          <w:tcPr>
            <w:tcW w:w="3517" w:type="pct"/>
            <w:vAlign w:val="center"/>
          </w:tcPr>
          <w:p w14:paraId="2D475F9F" w14:textId="77777777" w:rsidR="00AA6492" w:rsidRPr="004E2ADC" w:rsidRDefault="00AA6492" w:rsidP="00AA6492">
            <w:pPr>
              <w:pStyle w:val="TableText0"/>
            </w:pPr>
            <w:r>
              <w:t>Decision tree</w:t>
            </w:r>
          </w:p>
        </w:tc>
      </w:tr>
      <w:tr w:rsidR="00AA6492" w:rsidRPr="004E2ADC" w14:paraId="47CDE59E" w14:textId="77777777" w:rsidTr="00AA6492">
        <w:tc>
          <w:tcPr>
            <w:tcW w:w="1483" w:type="pct"/>
            <w:vAlign w:val="center"/>
          </w:tcPr>
          <w:p w14:paraId="07E253FF" w14:textId="77777777" w:rsidR="00AA6492" w:rsidRPr="004E2ADC" w:rsidRDefault="00AA6492" w:rsidP="00AA6492">
            <w:pPr>
              <w:pStyle w:val="TableText0"/>
            </w:pPr>
            <w:r>
              <w:t>Health states</w:t>
            </w:r>
          </w:p>
        </w:tc>
        <w:tc>
          <w:tcPr>
            <w:tcW w:w="3517" w:type="pct"/>
            <w:vAlign w:val="center"/>
          </w:tcPr>
          <w:p w14:paraId="10BD195C" w14:textId="77777777" w:rsidR="00AA6492" w:rsidRPr="004E2ADC" w:rsidRDefault="00AA6492" w:rsidP="0047787D">
            <w:pPr>
              <w:pStyle w:val="TableText0"/>
              <w:numPr>
                <w:ilvl w:val="0"/>
                <w:numId w:val="8"/>
              </w:numPr>
              <w:ind w:left="116" w:hanging="116"/>
            </w:pPr>
            <w:r>
              <w:t>Response (UFC ≤1 × ULN) and non-response (UFC &gt;1 × ULN)</w:t>
            </w:r>
          </w:p>
        </w:tc>
      </w:tr>
      <w:tr w:rsidR="00AA6492" w:rsidRPr="004E2ADC" w14:paraId="4F2CD511" w14:textId="77777777" w:rsidTr="00AA6492">
        <w:tc>
          <w:tcPr>
            <w:tcW w:w="1483" w:type="pct"/>
            <w:vAlign w:val="center"/>
          </w:tcPr>
          <w:p w14:paraId="40EEAF79" w14:textId="77777777" w:rsidR="00AA6492" w:rsidRPr="004E2ADC" w:rsidRDefault="00AA6492" w:rsidP="00AA6492">
            <w:pPr>
              <w:pStyle w:val="TableText0"/>
            </w:pPr>
            <w:r>
              <w:t>Cycle length</w:t>
            </w:r>
          </w:p>
        </w:tc>
        <w:tc>
          <w:tcPr>
            <w:tcW w:w="3517" w:type="pct"/>
            <w:vAlign w:val="center"/>
          </w:tcPr>
          <w:p w14:paraId="1FCE7CF7" w14:textId="77777777" w:rsidR="00AA6492" w:rsidRPr="004E2ADC" w:rsidRDefault="00AA6492" w:rsidP="00AA6492">
            <w:pPr>
              <w:pStyle w:val="TableText0"/>
            </w:pPr>
            <w:r>
              <w:t>No cycles, just 12 week response timepoint</w:t>
            </w:r>
          </w:p>
        </w:tc>
      </w:tr>
      <w:tr w:rsidR="00AA6492" w:rsidRPr="004E2ADC" w14:paraId="01DA74B4" w14:textId="77777777" w:rsidTr="00AA6492">
        <w:tc>
          <w:tcPr>
            <w:tcW w:w="1483" w:type="pct"/>
            <w:vAlign w:val="center"/>
          </w:tcPr>
          <w:p w14:paraId="05F6D554" w14:textId="77777777" w:rsidR="00AA6492" w:rsidRPr="004E2ADC" w:rsidRDefault="00AA6492" w:rsidP="00AA6492">
            <w:pPr>
              <w:pStyle w:val="TableText0"/>
            </w:pPr>
            <w:r>
              <w:t>Transition probabilities</w:t>
            </w:r>
          </w:p>
        </w:tc>
        <w:tc>
          <w:tcPr>
            <w:tcW w:w="3517" w:type="pct"/>
            <w:vAlign w:val="center"/>
          </w:tcPr>
          <w:p w14:paraId="6962BD6C" w14:textId="77777777" w:rsidR="00AA6492" w:rsidRDefault="00AA6492" w:rsidP="00AA6492">
            <w:pPr>
              <w:pStyle w:val="TableText0"/>
            </w:pPr>
            <w:r>
              <w:t>Response rate:</w:t>
            </w:r>
          </w:p>
          <w:p w14:paraId="0C09C422" w14:textId="77777777" w:rsidR="00AA6492" w:rsidRDefault="00AA6492" w:rsidP="00AA6492">
            <w:pPr>
              <w:pStyle w:val="TableText0"/>
              <w:ind w:left="121"/>
            </w:pPr>
            <w:r>
              <w:t xml:space="preserve">Osilodrostat: 77.1% (37/48; LINC 4) </w:t>
            </w:r>
          </w:p>
          <w:p w14:paraId="6DB61567" w14:textId="77777777" w:rsidR="00AA6492" w:rsidRDefault="00AA6492" w:rsidP="00AA6492">
            <w:pPr>
              <w:pStyle w:val="TableText0"/>
              <w:ind w:left="121"/>
            </w:pPr>
            <w:r>
              <w:t>Placebo: 8.0% (2/25; LINC 4)</w:t>
            </w:r>
          </w:p>
          <w:p w14:paraId="7D601470" w14:textId="77777777" w:rsidR="00AA6492" w:rsidRDefault="00AA6492" w:rsidP="00AA6492">
            <w:pPr>
              <w:pStyle w:val="TableText0"/>
              <w:ind w:left="121"/>
            </w:pPr>
            <w:r>
              <w:t>Metyrapone: 47.0% (23/49; PROMPT)</w:t>
            </w:r>
          </w:p>
          <w:p w14:paraId="69FD0EFC" w14:textId="77777777" w:rsidR="00AA6492" w:rsidRPr="004E2ADC" w:rsidRDefault="00AA6492" w:rsidP="00AA6492">
            <w:pPr>
              <w:pStyle w:val="TableText0"/>
              <w:ind w:left="121"/>
            </w:pPr>
            <w:r>
              <w:t>Ketoconazole: 44.7% (17/38; Castinetti 2008)</w:t>
            </w:r>
          </w:p>
        </w:tc>
      </w:tr>
      <w:tr w:rsidR="00AA6492" w:rsidRPr="004E2ADC" w14:paraId="44944A0A" w14:textId="77777777" w:rsidTr="00AA6492">
        <w:tc>
          <w:tcPr>
            <w:tcW w:w="1483" w:type="pct"/>
            <w:vAlign w:val="center"/>
          </w:tcPr>
          <w:p w14:paraId="34BBCB9F" w14:textId="77777777" w:rsidR="00AA6492" w:rsidRDefault="00AA6492" w:rsidP="00AA6492">
            <w:pPr>
              <w:pStyle w:val="TableText0"/>
            </w:pPr>
            <w:r w:rsidRPr="003F0D8B">
              <w:t>Costs</w:t>
            </w:r>
          </w:p>
        </w:tc>
        <w:tc>
          <w:tcPr>
            <w:tcW w:w="3517" w:type="pct"/>
            <w:vAlign w:val="center"/>
          </w:tcPr>
          <w:p w14:paraId="237F6F61" w14:textId="77777777" w:rsidR="00AA6492" w:rsidRDefault="00AA6492" w:rsidP="00AA6492">
            <w:pPr>
              <w:pStyle w:val="TableText0"/>
            </w:pPr>
            <w:r>
              <w:t>Drug cost</w:t>
            </w:r>
          </w:p>
        </w:tc>
      </w:tr>
    </w:tbl>
    <w:p w14:paraId="213DED56" w14:textId="3C448DFC" w:rsidR="003270E4" w:rsidRDefault="005C505D" w:rsidP="00BB00B3">
      <w:pPr>
        <w:pStyle w:val="FooterTableFigure"/>
        <w:rPr>
          <w:szCs w:val="18"/>
        </w:rPr>
      </w:pPr>
      <w:r w:rsidRPr="00585489">
        <w:rPr>
          <w:szCs w:val="18"/>
        </w:rPr>
        <w:t xml:space="preserve">Source: </w:t>
      </w:r>
      <w:r w:rsidRPr="00AB08F8">
        <w:rPr>
          <w:szCs w:val="18"/>
        </w:rPr>
        <w:t>Table 3.1-1, p279 of the submission.</w:t>
      </w:r>
    </w:p>
    <w:p w14:paraId="2D07BFFC" w14:textId="5F0E2475" w:rsidR="00CE1B37" w:rsidRPr="0072416F" w:rsidRDefault="00CE1B37" w:rsidP="00BB00B3">
      <w:pPr>
        <w:pStyle w:val="FooterTableFigure"/>
      </w:pPr>
      <w:r>
        <w:rPr>
          <w:szCs w:val="18"/>
        </w:rPr>
        <w:t>UFC = urinary free cortisol; ULN = upper limit of normal</w:t>
      </w:r>
    </w:p>
    <w:p w14:paraId="5B5F7B98" w14:textId="2EFE48E9" w:rsidR="00490B17" w:rsidRPr="005C505D" w:rsidRDefault="002C2A12" w:rsidP="002E1071">
      <w:pPr>
        <w:pStyle w:val="3-BodyText"/>
      </w:pPr>
      <w:r>
        <w:t>The submission indicated that the intent was to develop a Markov model with multiple health states to evaluate the cost effectiveness of osilodrostat versus placebo, metyrapone and ketoconazole.</w:t>
      </w:r>
      <w:r w:rsidR="004B485D">
        <w:t xml:space="preserve"> </w:t>
      </w:r>
      <w:r>
        <w:t xml:space="preserve">Since duration of complete response for osilodrostat and placebo could not be estimated given the </w:t>
      </w:r>
      <w:r w:rsidR="008D57CD">
        <w:t>LINC 4</w:t>
      </w:r>
      <w:r>
        <w:t xml:space="preserve"> data, a model was not developed.</w:t>
      </w:r>
    </w:p>
    <w:p w14:paraId="278FDED5" w14:textId="28BFC13D" w:rsidR="00380F27" w:rsidRPr="008C713C" w:rsidRDefault="002C2A12" w:rsidP="00BB00B3">
      <w:pPr>
        <w:pStyle w:val="3-BodyText"/>
        <w:rPr>
          <w:color w:val="0066FF"/>
        </w:rPr>
      </w:pPr>
      <w:r w:rsidRPr="00721D5A">
        <w:rPr>
          <w:iCs/>
        </w:rPr>
        <w:t xml:space="preserve">Given there was trial evidence available for 81.1 weeks for LINC 4, with an extension period to 96 weeks, and close to 2 years of follow-up data for ketoconazole, </w:t>
      </w:r>
      <w:r w:rsidR="008F1E04" w:rsidRPr="008C713C">
        <w:t>the evaluation stated</w:t>
      </w:r>
      <w:r w:rsidR="008F1E04" w:rsidRPr="00721D5A">
        <w:rPr>
          <w:iCs/>
        </w:rPr>
        <w:t xml:space="preserve"> </w:t>
      </w:r>
      <w:r w:rsidRPr="008F1E04">
        <w:rPr>
          <w:iCs/>
        </w:rPr>
        <w:t xml:space="preserve">it </w:t>
      </w:r>
      <w:r w:rsidRPr="00721D5A">
        <w:rPr>
          <w:iCs/>
        </w:rPr>
        <w:t>could be considered feasible to consider data extrapolation</w:t>
      </w:r>
      <w:r w:rsidR="002526D3">
        <w:rPr>
          <w:iCs/>
        </w:rPr>
        <w:t xml:space="preserve">. </w:t>
      </w:r>
      <w:r w:rsidR="00E03407" w:rsidRPr="008C713C">
        <w:rPr>
          <w:rFonts w:ascii="Calibri" w:hAnsi="Calibri" w:cs="Calibri"/>
        </w:rPr>
        <w:t>The PSCR disagreed</w:t>
      </w:r>
      <w:r w:rsidR="008F1E04" w:rsidRPr="008C713C">
        <w:rPr>
          <w:rFonts w:ascii="Calibri" w:hAnsi="Calibri" w:cs="Calibri"/>
        </w:rPr>
        <w:t xml:space="preserve">, </w:t>
      </w:r>
      <w:r w:rsidR="002526D3">
        <w:rPr>
          <w:rFonts w:ascii="Calibri" w:hAnsi="Calibri" w:cs="Calibri"/>
        </w:rPr>
        <w:t>stating</w:t>
      </w:r>
      <w:r w:rsidR="00E03407" w:rsidRPr="008C713C">
        <w:rPr>
          <w:rFonts w:ascii="Calibri" w:hAnsi="Calibri" w:cs="Calibri"/>
        </w:rPr>
        <w:t xml:space="preserve"> that to extrapolate time to event data such as time to escape, the observed data must necessarily include events. However, no patients randomised to osilodrostat experienced an escape event during the core or extension phase up to around Week 64. Further, only 2 out of 25 patients randomised to placebo experienced an escape event in LINC 4 and these events occurred after the 12-week placebo-controlled period (i.e., these patients received open-label treatment with osilodrostat). </w:t>
      </w:r>
      <w:r w:rsidR="009D04F3" w:rsidRPr="008C713C">
        <w:rPr>
          <w:rFonts w:ascii="Calibri" w:hAnsi="Calibri" w:cs="Calibri"/>
        </w:rPr>
        <w:t>The PSCR</w:t>
      </w:r>
      <w:r w:rsidR="00D97FB0" w:rsidRPr="008C713C">
        <w:rPr>
          <w:rFonts w:ascii="Calibri" w:hAnsi="Calibri" w:cs="Calibri"/>
        </w:rPr>
        <w:t xml:space="preserve"> further</w:t>
      </w:r>
      <w:r w:rsidR="009D04F3" w:rsidRPr="008C713C">
        <w:rPr>
          <w:rFonts w:ascii="Calibri" w:hAnsi="Calibri" w:cs="Calibri"/>
        </w:rPr>
        <w:t xml:space="preserve"> stated that there were no data on the time to loss of response for both ketoconazole and metyrapone thereby preventing the extrapolation of the observed data. </w:t>
      </w:r>
    </w:p>
    <w:p w14:paraId="2B4AF938" w14:textId="2BDB912C" w:rsidR="008C5739" w:rsidRPr="002C2A12" w:rsidRDefault="002C2A12" w:rsidP="005C505D">
      <w:pPr>
        <w:pStyle w:val="3-BodyText"/>
        <w:rPr>
          <w:color w:val="0066FF"/>
        </w:rPr>
      </w:pPr>
      <w:r>
        <w:t xml:space="preserve">Results are of </w:t>
      </w:r>
      <w:r w:rsidR="00D969C9">
        <w:t xml:space="preserve">the </w:t>
      </w:r>
      <w:r>
        <w:t xml:space="preserve">trial-based evaluation are in </w:t>
      </w:r>
      <w:r w:rsidR="00D23897">
        <w:fldChar w:fldCharType="begin"/>
      </w:r>
      <w:r w:rsidR="00D23897">
        <w:instrText xml:space="preserve"> REF _Ref104805160 \h </w:instrText>
      </w:r>
      <w:r w:rsidR="00D23897">
        <w:fldChar w:fldCharType="separate"/>
      </w:r>
      <w:r w:rsidR="00A9220E">
        <w:t xml:space="preserve">Table </w:t>
      </w:r>
      <w:r w:rsidR="00A9220E">
        <w:rPr>
          <w:noProof/>
        </w:rPr>
        <w:t>16</w:t>
      </w:r>
      <w:r w:rsidR="00D23897">
        <w:fldChar w:fldCharType="end"/>
      </w:r>
      <w:r w:rsidR="00D23897">
        <w:t>.</w:t>
      </w:r>
    </w:p>
    <w:p w14:paraId="63D487B8" w14:textId="519039B4" w:rsidR="00D110BD" w:rsidRPr="00BB00B3" w:rsidRDefault="00E16AD8" w:rsidP="00E16AD8">
      <w:pPr>
        <w:pStyle w:val="Caption"/>
      </w:pPr>
      <w:bookmarkStart w:id="42" w:name="_Ref104805160"/>
      <w:r>
        <w:lastRenderedPageBreak/>
        <w:t xml:space="preserve">Table </w:t>
      </w:r>
      <w:fldSimple w:instr=" SEQ Table \* ARABIC ">
        <w:r w:rsidR="00A9220E">
          <w:rPr>
            <w:noProof/>
          </w:rPr>
          <w:t>16</w:t>
        </w:r>
      </w:fldSimple>
      <w:bookmarkEnd w:id="42"/>
      <w:r>
        <w:t>:</w:t>
      </w:r>
      <w:r w:rsidR="005A373D" w:rsidRPr="00BB00B3">
        <w:rPr>
          <w:rStyle w:val="CommentReference"/>
          <w:b/>
          <w:szCs w:val="24"/>
        </w:rPr>
        <w:t xml:space="preserve"> Results of the economic evaluation</w:t>
      </w:r>
      <w:r w:rsidR="008A5679">
        <w:rPr>
          <w:rStyle w:val="CommentReference"/>
          <w:b/>
          <w:szCs w:val="24"/>
        </w:rPr>
        <w:t xml:space="preserve"> – 12 week trial-based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C505D" w:rsidRPr="005E6CBC" w14:paraId="5695B70C" w14:textId="77777777" w:rsidTr="001F545B">
        <w:trPr>
          <w:tblHeader/>
        </w:trPr>
        <w:tc>
          <w:tcPr>
            <w:tcW w:w="1529" w:type="pct"/>
            <w:vAlign w:val="center"/>
          </w:tcPr>
          <w:p w14:paraId="1BABB592" w14:textId="77777777" w:rsidR="005C505D" w:rsidRPr="005E6CBC" w:rsidRDefault="005C505D" w:rsidP="00D04CD1">
            <w:pPr>
              <w:pStyle w:val="In-tableHeading"/>
            </w:pPr>
            <w:r>
              <w:t>Component</w:t>
            </w:r>
          </w:p>
        </w:tc>
        <w:tc>
          <w:tcPr>
            <w:tcW w:w="1359" w:type="pct"/>
            <w:vAlign w:val="center"/>
          </w:tcPr>
          <w:p w14:paraId="25616D1F" w14:textId="77777777" w:rsidR="005C505D" w:rsidRPr="005E6CBC" w:rsidRDefault="005C505D" w:rsidP="00D04CD1">
            <w:pPr>
              <w:pStyle w:val="In-tableHeading"/>
              <w:jc w:val="center"/>
            </w:pPr>
            <w:r>
              <w:t>Osilodrostat</w:t>
            </w:r>
          </w:p>
        </w:tc>
        <w:tc>
          <w:tcPr>
            <w:tcW w:w="1274" w:type="pct"/>
            <w:vAlign w:val="center"/>
          </w:tcPr>
          <w:p w14:paraId="25A3F1E4" w14:textId="77777777" w:rsidR="005C505D" w:rsidRPr="005E6CBC" w:rsidRDefault="005C505D" w:rsidP="00D04CD1">
            <w:pPr>
              <w:pStyle w:val="In-tableHeading"/>
              <w:jc w:val="center"/>
            </w:pPr>
            <w:r>
              <w:t>Comparator</w:t>
            </w:r>
          </w:p>
        </w:tc>
        <w:tc>
          <w:tcPr>
            <w:tcW w:w="838" w:type="pct"/>
            <w:vAlign w:val="center"/>
          </w:tcPr>
          <w:p w14:paraId="1D837113" w14:textId="77777777" w:rsidR="005C505D" w:rsidRPr="005E6CBC" w:rsidRDefault="005C505D" w:rsidP="00D04CD1">
            <w:pPr>
              <w:pStyle w:val="In-tableHeading"/>
              <w:jc w:val="center"/>
            </w:pPr>
            <w:r w:rsidRPr="005E6CBC">
              <w:t>Increment</w:t>
            </w:r>
          </w:p>
        </w:tc>
      </w:tr>
      <w:tr w:rsidR="005C505D" w:rsidRPr="00FF474F" w14:paraId="2CD163BD" w14:textId="77777777" w:rsidTr="001F545B">
        <w:tc>
          <w:tcPr>
            <w:tcW w:w="5000" w:type="pct"/>
            <w:gridSpan w:val="4"/>
            <w:vAlign w:val="center"/>
          </w:tcPr>
          <w:p w14:paraId="489C3CB2" w14:textId="77777777" w:rsidR="005C505D" w:rsidRPr="00FF474F" w:rsidRDefault="005C505D" w:rsidP="00D04CD1">
            <w:pPr>
              <w:pStyle w:val="TableText0"/>
              <w:rPr>
                <w:b/>
              </w:rPr>
            </w:pPr>
            <w:r>
              <w:rPr>
                <w:b/>
              </w:rPr>
              <w:t>Osilodrostat vs. placebo</w:t>
            </w:r>
          </w:p>
        </w:tc>
      </w:tr>
      <w:tr w:rsidR="005C505D" w:rsidRPr="00561342" w14:paraId="629098CD" w14:textId="77777777" w:rsidTr="001F545B">
        <w:tc>
          <w:tcPr>
            <w:tcW w:w="1529" w:type="pct"/>
            <w:vAlign w:val="center"/>
          </w:tcPr>
          <w:p w14:paraId="77EC12C9" w14:textId="77777777" w:rsidR="005C505D" w:rsidRPr="00E2771E" w:rsidRDefault="005C505D" w:rsidP="00D04CD1">
            <w:pPr>
              <w:pStyle w:val="TableText0"/>
              <w:rPr>
                <w:rFonts w:ascii="Times" w:hAnsi="Times"/>
              </w:rPr>
            </w:pPr>
            <w:r w:rsidRPr="00E2771E">
              <w:t>Costs</w:t>
            </w:r>
          </w:p>
        </w:tc>
        <w:tc>
          <w:tcPr>
            <w:tcW w:w="1359" w:type="pct"/>
            <w:vAlign w:val="center"/>
          </w:tcPr>
          <w:p w14:paraId="3699B403" w14:textId="7EBF0BC2" w:rsidR="005C505D" w:rsidRPr="00561342" w:rsidRDefault="005C505D" w:rsidP="00D04CD1">
            <w:pPr>
              <w:pStyle w:val="TableText0"/>
              <w:jc w:val="center"/>
              <w:rPr>
                <w:bCs w:val="0"/>
              </w:rPr>
            </w:pPr>
            <w:r w:rsidRPr="00561342">
              <w:rPr>
                <w:bCs w:val="0"/>
              </w:rPr>
              <w:t>$</w:t>
            </w:r>
            <w:r w:rsidR="00E228B8" w:rsidRPr="00E228B8">
              <w:rPr>
                <w:bCs w:val="0"/>
                <w:color w:val="000000"/>
                <w:shd w:val="solid" w:color="000000" w:fill="000000"/>
                <w14:textFill>
                  <w14:solidFill>
                    <w14:srgbClr w14:val="000000">
                      <w14:alpha w14:val="100000"/>
                    </w14:srgbClr>
                  </w14:solidFill>
                </w14:textFill>
              </w:rPr>
              <w:t>|</w:t>
            </w:r>
          </w:p>
        </w:tc>
        <w:tc>
          <w:tcPr>
            <w:tcW w:w="1274" w:type="pct"/>
            <w:vAlign w:val="center"/>
          </w:tcPr>
          <w:p w14:paraId="419BAED5" w14:textId="77777777" w:rsidR="005C505D" w:rsidRPr="00561342" w:rsidRDefault="005C505D" w:rsidP="00D04CD1">
            <w:pPr>
              <w:pStyle w:val="TableText0"/>
              <w:jc w:val="center"/>
              <w:rPr>
                <w:bCs w:val="0"/>
              </w:rPr>
            </w:pPr>
            <w:r w:rsidRPr="00561342">
              <w:rPr>
                <w:bCs w:val="0"/>
              </w:rPr>
              <w:t>$</w:t>
            </w:r>
            <w:r>
              <w:rPr>
                <w:bCs w:val="0"/>
              </w:rPr>
              <w:t>0</w:t>
            </w:r>
          </w:p>
        </w:tc>
        <w:tc>
          <w:tcPr>
            <w:tcW w:w="838" w:type="pct"/>
            <w:vAlign w:val="center"/>
          </w:tcPr>
          <w:p w14:paraId="0C8EEFC2" w14:textId="17768D92" w:rsidR="005C505D" w:rsidRPr="00561342" w:rsidRDefault="005C505D" w:rsidP="00D04CD1">
            <w:pPr>
              <w:pStyle w:val="TableText0"/>
              <w:jc w:val="center"/>
              <w:rPr>
                <w:bCs w:val="0"/>
              </w:rPr>
            </w:pPr>
            <w:r>
              <w:rPr>
                <w:bCs w:val="0"/>
              </w:rPr>
              <w:t>$</w:t>
            </w:r>
            <w:r w:rsidR="00E228B8" w:rsidRPr="00E228B8">
              <w:rPr>
                <w:rFonts w:hint="eastAsia"/>
                <w:bCs w:val="0"/>
                <w:color w:val="000000"/>
                <w:w w:val="15"/>
                <w:shd w:val="solid" w:color="000000" w:fill="000000"/>
                <w:fitText w:val="34" w:id="-1234458362"/>
                <w14:textFill>
                  <w14:solidFill>
                    <w14:srgbClr w14:val="000000">
                      <w14:alpha w14:val="100000"/>
                    </w14:srgbClr>
                  </w14:solidFill>
                </w14:textFill>
              </w:rPr>
              <w:t xml:space="preserve">　</w:t>
            </w:r>
            <w:r w:rsidR="00E228B8" w:rsidRPr="00E228B8">
              <w:rPr>
                <w:bCs w:val="0"/>
                <w:color w:val="000000"/>
                <w:w w:val="15"/>
                <w:shd w:val="solid" w:color="000000" w:fill="000000"/>
                <w:fitText w:val="34" w:id="-1234458362"/>
                <w14:textFill>
                  <w14:solidFill>
                    <w14:srgbClr w14:val="000000">
                      <w14:alpha w14:val="100000"/>
                    </w14:srgbClr>
                  </w14:solidFill>
                </w14:textFill>
              </w:rPr>
              <w:t>|</w:t>
            </w:r>
            <w:r w:rsidR="00E228B8" w:rsidRPr="00E228B8">
              <w:rPr>
                <w:rFonts w:hint="eastAsia"/>
                <w:bCs w:val="0"/>
                <w:color w:val="000000"/>
                <w:spacing w:val="-31"/>
                <w:w w:val="15"/>
                <w:shd w:val="solid" w:color="000000" w:fill="000000"/>
                <w:fitText w:val="34" w:id="-1234458362"/>
                <w14:textFill>
                  <w14:solidFill>
                    <w14:srgbClr w14:val="000000">
                      <w14:alpha w14:val="100000"/>
                    </w14:srgbClr>
                  </w14:solidFill>
                </w14:textFill>
              </w:rPr>
              <w:t xml:space="preserve">　</w:t>
            </w:r>
          </w:p>
        </w:tc>
      </w:tr>
      <w:tr w:rsidR="005C505D" w:rsidRPr="00561342" w14:paraId="269DF8D3" w14:textId="77777777" w:rsidTr="001F545B">
        <w:tc>
          <w:tcPr>
            <w:tcW w:w="1529" w:type="pct"/>
            <w:vAlign w:val="center"/>
          </w:tcPr>
          <w:p w14:paraId="6042DA92" w14:textId="77777777" w:rsidR="005C505D" w:rsidRPr="00E2771E" w:rsidRDefault="005C505D" w:rsidP="00D04CD1">
            <w:pPr>
              <w:pStyle w:val="TableText0"/>
              <w:rPr>
                <w:rFonts w:ascii="Times" w:hAnsi="Times"/>
              </w:rPr>
            </w:pPr>
            <w:r>
              <w:t>Complete response</w:t>
            </w:r>
          </w:p>
        </w:tc>
        <w:tc>
          <w:tcPr>
            <w:tcW w:w="1359" w:type="pct"/>
            <w:vAlign w:val="center"/>
          </w:tcPr>
          <w:p w14:paraId="7FC7F4AB" w14:textId="77777777" w:rsidR="005C505D" w:rsidRPr="00561342" w:rsidRDefault="005C505D" w:rsidP="00D04CD1">
            <w:pPr>
              <w:pStyle w:val="TableText0"/>
              <w:jc w:val="center"/>
              <w:rPr>
                <w:bCs w:val="0"/>
              </w:rPr>
            </w:pPr>
            <w:r>
              <w:rPr>
                <w:bCs w:val="0"/>
              </w:rPr>
              <w:t>77.1%</w:t>
            </w:r>
          </w:p>
        </w:tc>
        <w:tc>
          <w:tcPr>
            <w:tcW w:w="1274" w:type="pct"/>
            <w:vAlign w:val="center"/>
          </w:tcPr>
          <w:p w14:paraId="350237F6" w14:textId="77777777" w:rsidR="005C505D" w:rsidRPr="00561342" w:rsidRDefault="005C505D" w:rsidP="00D04CD1">
            <w:pPr>
              <w:pStyle w:val="TableText0"/>
              <w:jc w:val="center"/>
              <w:rPr>
                <w:bCs w:val="0"/>
              </w:rPr>
            </w:pPr>
            <w:r>
              <w:rPr>
                <w:bCs w:val="0"/>
              </w:rPr>
              <w:t>8.0%</w:t>
            </w:r>
          </w:p>
        </w:tc>
        <w:tc>
          <w:tcPr>
            <w:tcW w:w="838" w:type="pct"/>
            <w:vAlign w:val="center"/>
          </w:tcPr>
          <w:p w14:paraId="3129AB50" w14:textId="77777777" w:rsidR="005C505D" w:rsidRPr="00561342" w:rsidRDefault="005C505D" w:rsidP="00D04CD1">
            <w:pPr>
              <w:pStyle w:val="TableText0"/>
              <w:jc w:val="center"/>
              <w:rPr>
                <w:bCs w:val="0"/>
              </w:rPr>
            </w:pPr>
            <w:r>
              <w:rPr>
                <w:bCs w:val="0"/>
              </w:rPr>
              <w:t>69.1%</w:t>
            </w:r>
          </w:p>
        </w:tc>
      </w:tr>
      <w:tr w:rsidR="005C505D" w14:paraId="0164B906" w14:textId="77777777" w:rsidTr="001F545B">
        <w:tc>
          <w:tcPr>
            <w:tcW w:w="4162" w:type="pct"/>
            <w:gridSpan w:val="3"/>
            <w:tcBorders>
              <w:bottom w:val="double" w:sz="4" w:space="0" w:color="auto"/>
            </w:tcBorders>
            <w:vAlign w:val="center"/>
          </w:tcPr>
          <w:p w14:paraId="155F8B8D" w14:textId="77777777" w:rsidR="005C505D" w:rsidRPr="007B37D5" w:rsidRDefault="005C505D" w:rsidP="00D04CD1">
            <w:pPr>
              <w:pStyle w:val="TableText0"/>
              <w:rPr>
                <w:b/>
              </w:rPr>
            </w:pPr>
            <w:r w:rsidRPr="00D06139">
              <w:rPr>
                <w:b/>
              </w:rPr>
              <w:t xml:space="preserve">Incremental cost/extra </w:t>
            </w:r>
            <w:r>
              <w:rPr>
                <w:b/>
              </w:rPr>
              <w:t>responder (base case)</w:t>
            </w:r>
          </w:p>
        </w:tc>
        <w:tc>
          <w:tcPr>
            <w:tcW w:w="838" w:type="pct"/>
            <w:tcBorders>
              <w:bottom w:val="double" w:sz="4" w:space="0" w:color="auto"/>
            </w:tcBorders>
            <w:vAlign w:val="center"/>
          </w:tcPr>
          <w:p w14:paraId="0D794BFC" w14:textId="24E32AED" w:rsidR="005C505D" w:rsidRPr="00650399" w:rsidRDefault="005C505D" w:rsidP="00D04CD1">
            <w:pPr>
              <w:pStyle w:val="TableText0"/>
              <w:jc w:val="center"/>
              <w:rPr>
                <w:bCs w:val="0"/>
                <w:vertAlign w:val="superscript"/>
              </w:rPr>
            </w:pPr>
            <w:r w:rsidRPr="00561342">
              <w:rPr>
                <w:b/>
              </w:rPr>
              <w:t>$</w:t>
            </w:r>
            <w:r w:rsidR="00E228B8" w:rsidRPr="00E228B8">
              <w:rPr>
                <w:rFonts w:hint="eastAsia"/>
                <w:b/>
                <w:color w:val="000000"/>
                <w:w w:val="30"/>
                <w:shd w:val="solid" w:color="000000" w:fill="000000"/>
                <w:fitText w:val="138" w:id="-1234458361"/>
                <w14:textFill>
                  <w14:solidFill>
                    <w14:srgbClr w14:val="000000">
                      <w14:alpha w14:val="100000"/>
                    </w14:srgbClr>
                  </w14:solidFill>
                </w14:textFill>
              </w:rPr>
              <w:t xml:space="preserve">　</w:t>
            </w:r>
            <w:r w:rsidR="00E228B8" w:rsidRPr="00E228B8">
              <w:rPr>
                <w:b/>
                <w:color w:val="000000"/>
                <w:w w:val="30"/>
                <w:shd w:val="solid" w:color="000000" w:fill="000000"/>
                <w:fitText w:val="138" w:id="-1234458361"/>
                <w14:textFill>
                  <w14:solidFill>
                    <w14:srgbClr w14:val="000000">
                      <w14:alpha w14:val="100000"/>
                    </w14:srgbClr>
                  </w14:solidFill>
                </w14:textFill>
              </w:rPr>
              <w:t>|</w:t>
            </w:r>
            <w:r w:rsidR="00E228B8" w:rsidRPr="00E228B8">
              <w:rPr>
                <w:rFonts w:hint="eastAsia"/>
                <w:b/>
                <w:color w:val="000000"/>
                <w:spacing w:val="5"/>
                <w:w w:val="30"/>
                <w:shd w:val="solid" w:color="000000" w:fill="000000"/>
                <w:fitText w:val="138" w:id="-1234458361"/>
                <w14:textFill>
                  <w14:solidFill>
                    <w14:srgbClr w14:val="000000">
                      <w14:alpha w14:val="100000"/>
                    </w14:srgbClr>
                  </w14:solidFill>
                </w14:textFill>
              </w:rPr>
              <w:t xml:space="preserve">　</w:t>
            </w:r>
            <w:r w:rsidR="00650399">
              <w:rPr>
                <w:b/>
              </w:rPr>
              <w:t xml:space="preserve"> </w:t>
            </w:r>
            <w:r w:rsidR="00DF44E4">
              <w:rPr>
                <w:b/>
                <w:vertAlign w:val="superscript"/>
              </w:rPr>
              <w:t>1</w:t>
            </w:r>
          </w:p>
        </w:tc>
      </w:tr>
      <w:tr w:rsidR="005C505D" w:rsidRPr="007B37D5" w14:paraId="6FC47136" w14:textId="77777777" w:rsidTr="001F545B">
        <w:tc>
          <w:tcPr>
            <w:tcW w:w="5000" w:type="pct"/>
            <w:gridSpan w:val="4"/>
            <w:tcBorders>
              <w:top w:val="double" w:sz="4" w:space="0" w:color="auto"/>
            </w:tcBorders>
            <w:vAlign w:val="center"/>
          </w:tcPr>
          <w:p w14:paraId="101AD0AF" w14:textId="77777777" w:rsidR="005C505D" w:rsidRPr="007B37D5" w:rsidRDefault="005C505D" w:rsidP="00D04CD1">
            <w:pPr>
              <w:pStyle w:val="TableText0"/>
              <w:rPr>
                <w:b/>
              </w:rPr>
            </w:pPr>
            <w:r>
              <w:rPr>
                <w:b/>
              </w:rPr>
              <w:t>Osilodrostat vs. metyrapone</w:t>
            </w:r>
          </w:p>
        </w:tc>
      </w:tr>
      <w:tr w:rsidR="005C505D" w14:paraId="79E94610" w14:textId="77777777" w:rsidTr="001F545B">
        <w:tc>
          <w:tcPr>
            <w:tcW w:w="1529" w:type="pct"/>
            <w:vAlign w:val="center"/>
          </w:tcPr>
          <w:p w14:paraId="5E380D54" w14:textId="77777777" w:rsidR="005C505D" w:rsidRDefault="005C505D" w:rsidP="00D04CD1">
            <w:pPr>
              <w:pStyle w:val="TableText0"/>
            </w:pPr>
            <w:r w:rsidRPr="00E2771E">
              <w:t>Costs</w:t>
            </w:r>
          </w:p>
        </w:tc>
        <w:tc>
          <w:tcPr>
            <w:tcW w:w="1359" w:type="pct"/>
            <w:vAlign w:val="center"/>
          </w:tcPr>
          <w:p w14:paraId="2764368B" w14:textId="13B88FBB" w:rsidR="005C505D" w:rsidRDefault="005C505D" w:rsidP="00D04CD1">
            <w:pPr>
              <w:pStyle w:val="TableText0"/>
              <w:jc w:val="center"/>
              <w:rPr>
                <w:bCs w:val="0"/>
              </w:rPr>
            </w:pPr>
            <w:r w:rsidRPr="00561342">
              <w:rPr>
                <w:bCs w:val="0"/>
              </w:rPr>
              <w:t>$</w:t>
            </w:r>
            <w:r w:rsidR="00E228B8" w:rsidRPr="00E228B8">
              <w:rPr>
                <w:bCs w:val="0"/>
                <w:color w:val="000000"/>
                <w:shd w:val="solid" w:color="000000" w:fill="000000"/>
                <w14:textFill>
                  <w14:solidFill>
                    <w14:srgbClr w14:val="000000">
                      <w14:alpha w14:val="100000"/>
                    </w14:srgbClr>
                  </w14:solidFill>
                </w14:textFill>
              </w:rPr>
              <w:t>|</w:t>
            </w:r>
          </w:p>
        </w:tc>
        <w:tc>
          <w:tcPr>
            <w:tcW w:w="1274" w:type="pct"/>
            <w:vAlign w:val="center"/>
          </w:tcPr>
          <w:p w14:paraId="4A8D42F8" w14:textId="77777777" w:rsidR="005C505D" w:rsidRDefault="005C505D" w:rsidP="00D04CD1">
            <w:pPr>
              <w:pStyle w:val="TableText0"/>
              <w:jc w:val="center"/>
              <w:rPr>
                <w:bCs w:val="0"/>
              </w:rPr>
            </w:pPr>
            <w:r>
              <w:rPr>
                <w:bCs w:val="0"/>
              </w:rPr>
              <w:t>$0</w:t>
            </w:r>
          </w:p>
        </w:tc>
        <w:tc>
          <w:tcPr>
            <w:tcW w:w="838" w:type="pct"/>
            <w:vAlign w:val="center"/>
          </w:tcPr>
          <w:p w14:paraId="284F0115" w14:textId="3F1A0D4D" w:rsidR="005C505D" w:rsidRDefault="005C505D" w:rsidP="00D04CD1">
            <w:pPr>
              <w:pStyle w:val="TableText0"/>
              <w:jc w:val="center"/>
              <w:rPr>
                <w:bCs w:val="0"/>
              </w:rPr>
            </w:pPr>
            <w:r w:rsidRPr="00561342">
              <w:rPr>
                <w:bCs w:val="0"/>
              </w:rPr>
              <w:t>$</w:t>
            </w:r>
            <w:r w:rsidR="00E228B8" w:rsidRPr="00E228B8">
              <w:rPr>
                <w:rFonts w:hint="eastAsia"/>
                <w:bCs w:val="0"/>
                <w:color w:val="000000"/>
                <w:w w:val="15"/>
                <w:shd w:val="solid" w:color="000000" w:fill="000000"/>
                <w:fitText w:val="34" w:id="-1234458360"/>
                <w14:textFill>
                  <w14:solidFill>
                    <w14:srgbClr w14:val="000000">
                      <w14:alpha w14:val="100000"/>
                    </w14:srgbClr>
                  </w14:solidFill>
                </w14:textFill>
              </w:rPr>
              <w:t xml:space="preserve">　</w:t>
            </w:r>
            <w:r w:rsidR="00E228B8" w:rsidRPr="00E228B8">
              <w:rPr>
                <w:bCs w:val="0"/>
                <w:color w:val="000000"/>
                <w:w w:val="15"/>
                <w:shd w:val="solid" w:color="000000" w:fill="000000"/>
                <w:fitText w:val="34" w:id="-1234458360"/>
                <w14:textFill>
                  <w14:solidFill>
                    <w14:srgbClr w14:val="000000">
                      <w14:alpha w14:val="100000"/>
                    </w14:srgbClr>
                  </w14:solidFill>
                </w14:textFill>
              </w:rPr>
              <w:t>|</w:t>
            </w:r>
            <w:r w:rsidR="00E228B8" w:rsidRPr="00E228B8">
              <w:rPr>
                <w:rFonts w:hint="eastAsia"/>
                <w:bCs w:val="0"/>
                <w:color w:val="000000"/>
                <w:spacing w:val="-31"/>
                <w:w w:val="15"/>
                <w:shd w:val="solid" w:color="000000" w:fill="000000"/>
                <w:fitText w:val="34" w:id="-1234458360"/>
                <w14:textFill>
                  <w14:solidFill>
                    <w14:srgbClr w14:val="000000">
                      <w14:alpha w14:val="100000"/>
                    </w14:srgbClr>
                  </w14:solidFill>
                </w14:textFill>
              </w:rPr>
              <w:t xml:space="preserve">　</w:t>
            </w:r>
          </w:p>
        </w:tc>
      </w:tr>
      <w:tr w:rsidR="005C505D" w14:paraId="5FBADB46" w14:textId="77777777" w:rsidTr="001F545B">
        <w:tc>
          <w:tcPr>
            <w:tcW w:w="1529" w:type="pct"/>
            <w:vAlign w:val="center"/>
          </w:tcPr>
          <w:p w14:paraId="0531BFF0" w14:textId="77777777" w:rsidR="005C505D" w:rsidRDefault="005C505D" w:rsidP="00D04CD1">
            <w:pPr>
              <w:pStyle w:val="TableText0"/>
            </w:pPr>
            <w:r>
              <w:t>Complete response</w:t>
            </w:r>
          </w:p>
        </w:tc>
        <w:tc>
          <w:tcPr>
            <w:tcW w:w="1359" w:type="pct"/>
            <w:vAlign w:val="center"/>
          </w:tcPr>
          <w:p w14:paraId="609D11DC" w14:textId="77777777" w:rsidR="005C505D" w:rsidRDefault="005C505D" w:rsidP="00D04CD1">
            <w:pPr>
              <w:pStyle w:val="TableText0"/>
              <w:jc w:val="center"/>
              <w:rPr>
                <w:bCs w:val="0"/>
              </w:rPr>
            </w:pPr>
            <w:r>
              <w:rPr>
                <w:bCs w:val="0"/>
              </w:rPr>
              <w:t>77.1%</w:t>
            </w:r>
          </w:p>
        </w:tc>
        <w:tc>
          <w:tcPr>
            <w:tcW w:w="1274" w:type="pct"/>
            <w:vAlign w:val="center"/>
          </w:tcPr>
          <w:p w14:paraId="04C2FD31" w14:textId="77777777" w:rsidR="005C505D" w:rsidRDefault="005C505D" w:rsidP="00D04CD1">
            <w:pPr>
              <w:pStyle w:val="TableText0"/>
              <w:jc w:val="center"/>
              <w:rPr>
                <w:bCs w:val="0"/>
              </w:rPr>
            </w:pPr>
            <w:r>
              <w:rPr>
                <w:bCs w:val="0"/>
              </w:rPr>
              <w:t>46.9%</w:t>
            </w:r>
          </w:p>
        </w:tc>
        <w:tc>
          <w:tcPr>
            <w:tcW w:w="838" w:type="pct"/>
            <w:vAlign w:val="center"/>
          </w:tcPr>
          <w:p w14:paraId="4777F33A" w14:textId="77777777" w:rsidR="005C505D" w:rsidRDefault="005C505D" w:rsidP="00D04CD1">
            <w:pPr>
              <w:pStyle w:val="TableText0"/>
              <w:jc w:val="center"/>
              <w:rPr>
                <w:bCs w:val="0"/>
              </w:rPr>
            </w:pPr>
            <w:r>
              <w:rPr>
                <w:bCs w:val="0"/>
              </w:rPr>
              <w:t>30.1%</w:t>
            </w:r>
          </w:p>
        </w:tc>
      </w:tr>
      <w:tr w:rsidR="005C505D" w:rsidRPr="0012149E" w14:paraId="341F867F" w14:textId="77777777" w:rsidTr="001F545B">
        <w:tc>
          <w:tcPr>
            <w:tcW w:w="4162" w:type="pct"/>
            <w:gridSpan w:val="3"/>
            <w:tcBorders>
              <w:bottom w:val="double" w:sz="4" w:space="0" w:color="auto"/>
            </w:tcBorders>
            <w:vAlign w:val="center"/>
          </w:tcPr>
          <w:p w14:paraId="1E7AF927" w14:textId="77777777" w:rsidR="005C505D" w:rsidRPr="007B37D5" w:rsidRDefault="005C505D" w:rsidP="00D04CD1">
            <w:pPr>
              <w:pStyle w:val="TableText0"/>
              <w:rPr>
                <w:bCs w:val="0"/>
              </w:rPr>
            </w:pPr>
            <w:r w:rsidRPr="00D06139">
              <w:rPr>
                <w:b/>
              </w:rPr>
              <w:t xml:space="preserve">Incremental cost/extra </w:t>
            </w:r>
            <w:r>
              <w:rPr>
                <w:b/>
              </w:rPr>
              <w:t>responder (base case)</w:t>
            </w:r>
          </w:p>
        </w:tc>
        <w:tc>
          <w:tcPr>
            <w:tcW w:w="838" w:type="pct"/>
            <w:tcBorders>
              <w:bottom w:val="double" w:sz="4" w:space="0" w:color="auto"/>
            </w:tcBorders>
            <w:vAlign w:val="center"/>
          </w:tcPr>
          <w:p w14:paraId="6EB51625" w14:textId="73C17255" w:rsidR="005C505D" w:rsidRPr="00DF44E4" w:rsidRDefault="005C505D" w:rsidP="00D04CD1">
            <w:pPr>
              <w:pStyle w:val="TableText0"/>
              <w:jc w:val="center"/>
              <w:rPr>
                <w:b/>
                <w:vertAlign w:val="superscript"/>
              </w:rPr>
            </w:pPr>
            <w:r w:rsidRPr="0012149E">
              <w:rPr>
                <w:b/>
              </w:rPr>
              <w:t>$</w:t>
            </w:r>
            <w:r w:rsidR="00E228B8" w:rsidRPr="00E228B8">
              <w:rPr>
                <w:rFonts w:hint="eastAsia"/>
                <w:b/>
                <w:color w:val="000000"/>
                <w:w w:val="30"/>
                <w:shd w:val="solid" w:color="000000" w:fill="000000"/>
                <w:fitText w:val="138" w:id="-1234458359"/>
                <w14:textFill>
                  <w14:solidFill>
                    <w14:srgbClr w14:val="000000">
                      <w14:alpha w14:val="100000"/>
                    </w14:srgbClr>
                  </w14:solidFill>
                </w14:textFill>
              </w:rPr>
              <w:t xml:space="preserve">　</w:t>
            </w:r>
            <w:r w:rsidR="00E228B8" w:rsidRPr="00E228B8">
              <w:rPr>
                <w:b/>
                <w:color w:val="000000"/>
                <w:w w:val="30"/>
                <w:shd w:val="solid" w:color="000000" w:fill="000000"/>
                <w:fitText w:val="138" w:id="-1234458359"/>
                <w14:textFill>
                  <w14:solidFill>
                    <w14:srgbClr w14:val="000000">
                      <w14:alpha w14:val="100000"/>
                    </w14:srgbClr>
                  </w14:solidFill>
                </w14:textFill>
              </w:rPr>
              <w:t>|</w:t>
            </w:r>
            <w:r w:rsidR="00E228B8" w:rsidRPr="00E228B8">
              <w:rPr>
                <w:rFonts w:hint="eastAsia"/>
                <w:b/>
                <w:color w:val="000000"/>
                <w:spacing w:val="5"/>
                <w:w w:val="30"/>
                <w:shd w:val="solid" w:color="000000" w:fill="000000"/>
                <w:fitText w:val="138" w:id="-1234458359"/>
                <w14:textFill>
                  <w14:solidFill>
                    <w14:srgbClr w14:val="000000">
                      <w14:alpha w14:val="100000"/>
                    </w14:srgbClr>
                  </w14:solidFill>
                </w14:textFill>
              </w:rPr>
              <w:t xml:space="preserve">　</w:t>
            </w:r>
            <w:r w:rsidR="00DF44E4">
              <w:rPr>
                <w:b/>
              </w:rPr>
              <w:t xml:space="preserve"> </w:t>
            </w:r>
            <w:r w:rsidR="00DF44E4">
              <w:rPr>
                <w:b/>
                <w:vertAlign w:val="superscript"/>
              </w:rPr>
              <w:t>2</w:t>
            </w:r>
          </w:p>
        </w:tc>
      </w:tr>
      <w:tr w:rsidR="005C505D" w:rsidRPr="007B37D5" w14:paraId="5EC6F0E3" w14:textId="77777777" w:rsidTr="001F545B">
        <w:tc>
          <w:tcPr>
            <w:tcW w:w="5000" w:type="pct"/>
            <w:gridSpan w:val="4"/>
            <w:tcBorders>
              <w:top w:val="double" w:sz="4" w:space="0" w:color="auto"/>
            </w:tcBorders>
            <w:vAlign w:val="center"/>
          </w:tcPr>
          <w:p w14:paraId="3877961F" w14:textId="77777777" w:rsidR="005C505D" w:rsidRPr="007B37D5" w:rsidRDefault="005C505D" w:rsidP="00D04CD1">
            <w:pPr>
              <w:pStyle w:val="TableText0"/>
              <w:rPr>
                <w:b/>
              </w:rPr>
            </w:pPr>
            <w:r>
              <w:rPr>
                <w:b/>
              </w:rPr>
              <w:t>Osilodrostat vs. ketoconazole</w:t>
            </w:r>
          </w:p>
        </w:tc>
      </w:tr>
      <w:tr w:rsidR="005C505D" w14:paraId="4602C453" w14:textId="77777777" w:rsidTr="001F545B">
        <w:tc>
          <w:tcPr>
            <w:tcW w:w="1529" w:type="pct"/>
            <w:vAlign w:val="center"/>
          </w:tcPr>
          <w:p w14:paraId="11141533" w14:textId="77777777" w:rsidR="005C505D" w:rsidRDefault="005C505D" w:rsidP="00D04CD1">
            <w:pPr>
              <w:pStyle w:val="TableText0"/>
            </w:pPr>
            <w:r w:rsidRPr="00E2771E">
              <w:t>Costs</w:t>
            </w:r>
          </w:p>
        </w:tc>
        <w:tc>
          <w:tcPr>
            <w:tcW w:w="1359" w:type="pct"/>
            <w:vAlign w:val="center"/>
          </w:tcPr>
          <w:p w14:paraId="4A7E0C1C" w14:textId="65F65007" w:rsidR="005C505D" w:rsidRDefault="005C505D" w:rsidP="00D04CD1">
            <w:pPr>
              <w:pStyle w:val="TableText0"/>
              <w:jc w:val="center"/>
              <w:rPr>
                <w:bCs w:val="0"/>
              </w:rPr>
            </w:pPr>
            <w:r w:rsidRPr="00561342">
              <w:rPr>
                <w:bCs w:val="0"/>
              </w:rPr>
              <w:t>$</w:t>
            </w:r>
            <w:r w:rsidR="00E228B8" w:rsidRPr="00E228B8">
              <w:rPr>
                <w:bCs w:val="0"/>
                <w:color w:val="000000"/>
                <w:shd w:val="solid" w:color="000000" w:fill="000000"/>
                <w14:textFill>
                  <w14:solidFill>
                    <w14:srgbClr w14:val="000000">
                      <w14:alpha w14:val="100000"/>
                    </w14:srgbClr>
                  </w14:solidFill>
                </w14:textFill>
              </w:rPr>
              <w:t>|</w:t>
            </w:r>
          </w:p>
        </w:tc>
        <w:tc>
          <w:tcPr>
            <w:tcW w:w="1274" w:type="pct"/>
            <w:vAlign w:val="center"/>
          </w:tcPr>
          <w:p w14:paraId="60A36C0E" w14:textId="77777777" w:rsidR="005C505D" w:rsidRDefault="005C505D" w:rsidP="00D04CD1">
            <w:pPr>
              <w:pStyle w:val="TableText0"/>
              <w:jc w:val="center"/>
              <w:rPr>
                <w:bCs w:val="0"/>
              </w:rPr>
            </w:pPr>
            <w:r w:rsidRPr="00561342">
              <w:rPr>
                <w:bCs w:val="0"/>
              </w:rPr>
              <w:t>$</w:t>
            </w:r>
            <w:r>
              <w:rPr>
                <w:bCs w:val="0"/>
              </w:rPr>
              <w:t>0</w:t>
            </w:r>
          </w:p>
        </w:tc>
        <w:tc>
          <w:tcPr>
            <w:tcW w:w="838" w:type="pct"/>
            <w:vAlign w:val="center"/>
          </w:tcPr>
          <w:p w14:paraId="787545C6" w14:textId="68569E60" w:rsidR="005C505D" w:rsidRDefault="005C505D" w:rsidP="00D04CD1">
            <w:pPr>
              <w:pStyle w:val="TableText0"/>
              <w:jc w:val="center"/>
              <w:rPr>
                <w:bCs w:val="0"/>
              </w:rPr>
            </w:pPr>
            <w:r>
              <w:rPr>
                <w:bCs w:val="0"/>
              </w:rPr>
              <w:t>$</w:t>
            </w:r>
            <w:r w:rsidR="00E228B8" w:rsidRPr="00E228B8">
              <w:rPr>
                <w:rFonts w:hint="eastAsia"/>
                <w:bCs w:val="0"/>
                <w:color w:val="000000"/>
                <w:w w:val="15"/>
                <w:shd w:val="solid" w:color="000000" w:fill="000000"/>
                <w:fitText w:val="34" w:id="-1234458358"/>
                <w14:textFill>
                  <w14:solidFill>
                    <w14:srgbClr w14:val="000000">
                      <w14:alpha w14:val="100000"/>
                    </w14:srgbClr>
                  </w14:solidFill>
                </w14:textFill>
              </w:rPr>
              <w:t xml:space="preserve">　</w:t>
            </w:r>
            <w:r w:rsidR="00E228B8" w:rsidRPr="00E228B8">
              <w:rPr>
                <w:bCs w:val="0"/>
                <w:color w:val="000000"/>
                <w:w w:val="15"/>
                <w:shd w:val="solid" w:color="000000" w:fill="000000"/>
                <w:fitText w:val="34" w:id="-1234458358"/>
                <w14:textFill>
                  <w14:solidFill>
                    <w14:srgbClr w14:val="000000">
                      <w14:alpha w14:val="100000"/>
                    </w14:srgbClr>
                  </w14:solidFill>
                </w14:textFill>
              </w:rPr>
              <w:t>|</w:t>
            </w:r>
            <w:r w:rsidR="00E228B8" w:rsidRPr="00E228B8">
              <w:rPr>
                <w:rFonts w:hint="eastAsia"/>
                <w:bCs w:val="0"/>
                <w:color w:val="000000"/>
                <w:spacing w:val="-31"/>
                <w:w w:val="15"/>
                <w:shd w:val="solid" w:color="000000" w:fill="000000"/>
                <w:fitText w:val="34" w:id="-1234458358"/>
                <w14:textFill>
                  <w14:solidFill>
                    <w14:srgbClr w14:val="000000">
                      <w14:alpha w14:val="100000"/>
                    </w14:srgbClr>
                  </w14:solidFill>
                </w14:textFill>
              </w:rPr>
              <w:t xml:space="preserve">　</w:t>
            </w:r>
          </w:p>
        </w:tc>
      </w:tr>
      <w:tr w:rsidR="005C505D" w14:paraId="696FA798" w14:textId="77777777" w:rsidTr="001F545B">
        <w:tc>
          <w:tcPr>
            <w:tcW w:w="1529" w:type="pct"/>
            <w:vAlign w:val="center"/>
          </w:tcPr>
          <w:p w14:paraId="733286AE" w14:textId="77777777" w:rsidR="005C505D" w:rsidRDefault="005C505D" w:rsidP="00D04CD1">
            <w:pPr>
              <w:pStyle w:val="TableText0"/>
            </w:pPr>
            <w:r>
              <w:t>Complete response</w:t>
            </w:r>
          </w:p>
        </w:tc>
        <w:tc>
          <w:tcPr>
            <w:tcW w:w="1359" w:type="pct"/>
            <w:vAlign w:val="center"/>
          </w:tcPr>
          <w:p w14:paraId="7465BBF1" w14:textId="77777777" w:rsidR="005C505D" w:rsidRDefault="005C505D" w:rsidP="00D04CD1">
            <w:pPr>
              <w:pStyle w:val="TableText0"/>
              <w:jc w:val="center"/>
              <w:rPr>
                <w:bCs w:val="0"/>
              </w:rPr>
            </w:pPr>
            <w:r>
              <w:rPr>
                <w:bCs w:val="0"/>
              </w:rPr>
              <w:t>77.1%</w:t>
            </w:r>
          </w:p>
        </w:tc>
        <w:tc>
          <w:tcPr>
            <w:tcW w:w="1274" w:type="pct"/>
            <w:vAlign w:val="center"/>
          </w:tcPr>
          <w:p w14:paraId="7DE7FAC4" w14:textId="77777777" w:rsidR="005C505D" w:rsidRDefault="005C505D" w:rsidP="00D04CD1">
            <w:pPr>
              <w:pStyle w:val="TableText0"/>
              <w:jc w:val="center"/>
              <w:rPr>
                <w:bCs w:val="0"/>
              </w:rPr>
            </w:pPr>
            <w:r>
              <w:rPr>
                <w:bCs w:val="0"/>
              </w:rPr>
              <w:t>44.7%</w:t>
            </w:r>
          </w:p>
        </w:tc>
        <w:tc>
          <w:tcPr>
            <w:tcW w:w="838" w:type="pct"/>
            <w:vAlign w:val="center"/>
          </w:tcPr>
          <w:p w14:paraId="478C38E6" w14:textId="77777777" w:rsidR="005C505D" w:rsidRDefault="005C505D" w:rsidP="00D04CD1">
            <w:pPr>
              <w:pStyle w:val="TableText0"/>
              <w:jc w:val="center"/>
              <w:rPr>
                <w:bCs w:val="0"/>
              </w:rPr>
            </w:pPr>
            <w:r>
              <w:rPr>
                <w:bCs w:val="0"/>
              </w:rPr>
              <w:t>32.4%</w:t>
            </w:r>
          </w:p>
        </w:tc>
      </w:tr>
      <w:tr w:rsidR="005C505D" w:rsidRPr="0012149E" w14:paraId="2CC9EDC8" w14:textId="77777777" w:rsidTr="001F545B">
        <w:tc>
          <w:tcPr>
            <w:tcW w:w="4162" w:type="pct"/>
            <w:gridSpan w:val="3"/>
            <w:vAlign w:val="center"/>
          </w:tcPr>
          <w:p w14:paraId="7B7D5C77" w14:textId="77777777" w:rsidR="005C505D" w:rsidRPr="00D06139" w:rsidRDefault="005C505D" w:rsidP="00D04CD1">
            <w:pPr>
              <w:pStyle w:val="TableText0"/>
              <w:rPr>
                <w:rFonts w:ascii="Times" w:hAnsi="Times"/>
                <w:b/>
              </w:rPr>
            </w:pPr>
            <w:r w:rsidRPr="00D06139">
              <w:rPr>
                <w:b/>
              </w:rPr>
              <w:t xml:space="preserve">Incremental cost/extra </w:t>
            </w:r>
            <w:r>
              <w:rPr>
                <w:b/>
              </w:rPr>
              <w:t>responder (base case)</w:t>
            </w:r>
          </w:p>
        </w:tc>
        <w:tc>
          <w:tcPr>
            <w:tcW w:w="838" w:type="pct"/>
            <w:vAlign w:val="center"/>
          </w:tcPr>
          <w:p w14:paraId="135130CD" w14:textId="5F908B1D" w:rsidR="005C505D" w:rsidRPr="00DF44E4" w:rsidRDefault="005C505D" w:rsidP="00D04CD1">
            <w:pPr>
              <w:pStyle w:val="TableText0"/>
              <w:jc w:val="center"/>
              <w:rPr>
                <w:b/>
                <w:vertAlign w:val="superscript"/>
              </w:rPr>
            </w:pPr>
            <w:r w:rsidRPr="0012149E">
              <w:rPr>
                <w:b/>
              </w:rPr>
              <w:t>$</w:t>
            </w:r>
            <w:r w:rsidR="00E228B8" w:rsidRPr="00E228B8">
              <w:rPr>
                <w:rFonts w:hint="eastAsia"/>
                <w:b/>
                <w:color w:val="000000"/>
                <w:w w:val="30"/>
                <w:shd w:val="solid" w:color="000000" w:fill="000000"/>
                <w:fitText w:val="138" w:id="-1234458357"/>
                <w14:textFill>
                  <w14:solidFill>
                    <w14:srgbClr w14:val="000000">
                      <w14:alpha w14:val="100000"/>
                    </w14:srgbClr>
                  </w14:solidFill>
                </w14:textFill>
              </w:rPr>
              <w:t xml:space="preserve">　</w:t>
            </w:r>
            <w:r w:rsidR="00E228B8" w:rsidRPr="00E228B8">
              <w:rPr>
                <w:b/>
                <w:color w:val="000000"/>
                <w:w w:val="30"/>
                <w:shd w:val="solid" w:color="000000" w:fill="000000"/>
                <w:fitText w:val="138" w:id="-1234458357"/>
                <w14:textFill>
                  <w14:solidFill>
                    <w14:srgbClr w14:val="000000">
                      <w14:alpha w14:val="100000"/>
                    </w14:srgbClr>
                  </w14:solidFill>
                </w14:textFill>
              </w:rPr>
              <w:t>|</w:t>
            </w:r>
            <w:r w:rsidR="00E228B8" w:rsidRPr="00E228B8">
              <w:rPr>
                <w:rFonts w:hint="eastAsia"/>
                <w:b/>
                <w:color w:val="000000"/>
                <w:spacing w:val="5"/>
                <w:w w:val="30"/>
                <w:shd w:val="solid" w:color="000000" w:fill="000000"/>
                <w:fitText w:val="138" w:id="-1234458357"/>
                <w14:textFill>
                  <w14:solidFill>
                    <w14:srgbClr w14:val="000000">
                      <w14:alpha w14:val="100000"/>
                    </w14:srgbClr>
                  </w14:solidFill>
                </w14:textFill>
              </w:rPr>
              <w:t xml:space="preserve">　</w:t>
            </w:r>
            <w:r w:rsidR="00DF44E4">
              <w:rPr>
                <w:b/>
              </w:rPr>
              <w:t xml:space="preserve"> </w:t>
            </w:r>
            <w:r w:rsidR="00DF44E4">
              <w:rPr>
                <w:b/>
                <w:vertAlign w:val="superscript"/>
              </w:rPr>
              <w:t>3</w:t>
            </w:r>
          </w:p>
        </w:tc>
      </w:tr>
    </w:tbl>
    <w:p w14:paraId="22EDE49A" w14:textId="3631846C" w:rsidR="005A373D" w:rsidRDefault="005C505D" w:rsidP="00056ECF">
      <w:pPr>
        <w:pStyle w:val="FooterTableFigure"/>
      </w:pPr>
      <w:r>
        <w:t xml:space="preserve">Source: </w:t>
      </w:r>
      <w:r w:rsidRPr="00AB08F8">
        <w:t>Table 3.6-2, p289 of the submission.</w:t>
      </w:r>
    </w:p>
    <w:p w14:paraId="6D64C4A0" w14:textId="77777777" w:rsidR="00DF44E4" w:rsidRPr="00DF44E4" w:rsidRDefault="00DF44E4" w:rsidP="00DF44E4">
      <w:pPr>
        <w:pStyle w:val="FooterTableFigure"/>
        <w:rPr>
          <w:i/>
        </w:rPr>
      </w:pPr>
      <w:r w:rsidRPr="00DF44E4">
        <w:rPr>
          <w:i/>
        </w:rPr>
        <w:t xml:space="preserve">The redacted values correspond to the following ranges: </w:t>
      </w:r>
    </w:p>
    <w:p w14:paraId="4DD822A3" w14:textId="36D5D7DA" w:rsidR="00DF44E4" w:rsidRPr="00DF44E4" w:rsidRDefault="00DF44E4" w:rsidP="00DF44E4">
      <w:pPr>
        <w:pStyle w:val="FooterTableFigure"/>
        <w:rPr>
          <w:i/>
        </w:rPr>
      </w:pPr>
      <w:r w:rsidRPr="00DF44E4">
        <w:rPr>
          <w:i/>
          <w:vertAlign w:val="superscript"/>
        </w:rPr>
        <w:t>1</w:t>
      </w:r>
      <w:r w:rsidRPr="00DF44E4">
        <w:rPr>
          <w:i/>
        </w:rPr>
        <w:t xml:space="preserve"> $25,000 to &lt; $35,000</w:t>
      </w:r>
    </w:p>
    <w:p w14:paraId="77B5B26F" w14:textId="71FEFA0B" w:rsidR="00DF44E4" w:rsidRPr="00DF44E4" w:rsidRDefault="00DF44E4" w:rsidP="00DF44E4">
      <w:pPr>
        <w:pStyle w:val="FooterTableFigure"/>
        <w:rPr>
          <w:i/>
        </w:rPr>
      </w:pPr>
      <w:r w:rsidRPr="00DF44E4">
        <w:rPr>
          <w:i/>
          <w:vertAlign w:val="superscript"/>
        </w:rPr>
        <w:t>2</w:t>
      </w:r>
      <w:r w:rsidRPr="00DF44E4">
        <w:rPr>
          <w:i/>
        </w:rPr>
        <w:t xml:space="preserve"> $55,000</w:t>
      </w:r>
      <w:r w:rsidR="00952293">
        <w:rPr>
          <w:i/>
        </w:rPr>
        <w:t> </w:t>
      </w:r>
      <w:r w:rsidRPr="00DF44E4">
        <w:rPr>
          <w:i/>
        </w:rPr>
        <w:t>to</w:t>
      </w:r>
      <w:r w:rsidR="00952293">
        <w:rPr>
          <w:i/>
        </w:rPr>
        <w:t> </w:t>
      </w:r>
      <w:r w:rsidRPr="00DF44E4">
        <w:rPr>
          <w:i/>
        </w:rPr>
        <w:t>&lt;</w:t>
      </w:r>
      <w:r w:rsidR="00952293">
        <w:rPr>
          <w:i/>
        </w:rPr>
        <w:t> </w:t>
      </w:r>
      <w:r w:rsidRPr="00DF44E4">
        <w:rPr>
          <w:i/>
        </w:rPr>
        <w:t>$75,000</w:t>
      </w:r>
    </w:p>
    <w:p w14:paraId="24B1F176" w14:textId="1D1612FE" w:rsidR="00DF44E4" w:rsidRPr="00DF44E4" w:rsidRDefault="00DF44E4" w:rsidP="00056ECF">
      <w:pPr>
        <w:pStyle w:val="FooterTableFigure"/>
        <w:rPr>
          <w:rStyle w:val="CommentReference"/>
          <w:b w:val="0"/>
          <w:i/>
          <w:sz w:val="18"/>
          <w:szCs w:val="22"/>
        </w:rPr>
      </w:pPr>
      <w:r w:rsidRPr="00DF44E4">
        <w:rPr>
          <w:i/>
          <w:vertAlign w:val="superscript"/>
        </w:rPr>
        <w:t>3</w:t>
      </w:r>
      <w:r w:rsidRPr="00DF44E4">
        <w:rPr>
          <w:i/>
        </w:rPr>
        <w:t xml:space="preserve"> $45,000 to &lt; $55,000</w:t>
      </w:r>
    </w:p>
    <w:p w14:paraId="63F3BB71" w14:textId="3D9E767A" w:rsidR="001F4081" w:rsidRPr="008C713C" w:rsidRDefault="008A5679" w:rsidP="005C505D">
      <w:pPr>
        <w:pStyle w:val="3-BodyText"/>
        <w:rPr>
          <w:iCs/>
        </w:rPr>
      </w:pPr>
      <w:r w:rsidRPr="00721D5A">
        <w:rPr>
          <w:iCs/>
        </w:rPr>
        <w:t xml:space="preserve">The incremental cost per extra responder for osilodrostat vs. placebo was </w:t>
      </w:r>
      <w:r w:rsidR="00DF44E4" w:rsidRPr="00DF44E4">
        <w:rPr>
          <w:iCs/>
        </w:rPr>
        <w:t>$25,000 to &lt; $35,000</w:t>
      </w:r>
      <w:r w:rsidRPr="00721D5A">
        <w:rPr>
          <w:iCs/>
        </w:rPr>
        <w:t>.</w:t>
      </w:r>
      <w:r w:rsidR="004B485D" w:rsidRPr="00721D5A">
        <w:rPr>
          <w:iCs/>
        </w:rPr>
        <w:t xml:space="preserve"> </w:t>
      </w:r>
      <w:r w:rsidRPr="00721D5A">
        <w:rPr>
          <w:iCs/>
        </w:rPr>
        <w:t xml:space="preserve">It </w:t>
      </w:r>
      <w:r w:rsidR="002526D3">
        <w:rPr>
          <w:iCs/>
        </w:rPr>
        <w:t>was</w:t>
      </w:r>
      <w:r w:rsidRPr="00721D5A">
        <w:rPr>
          <w:iCs/>
        </w:rPr>
        <w:t xml:space="preserve"> likely that osilodrostat will be used for longer than </w:t>
      </w:r>
      <w:r w:rsidR="00DF44E4" w:rsidRPr="00721D5A">
        <w:rPr>
          <w:iCs/>
        </w:rPr>
        <w:t>12</w:t>
      </w:r>
      <w:r w:rsidR="00DF44E4">
        <w:rPr>
          <w:iCs/>
        </w:rPr>
        <w:t> </w:t>
      </w:r>
      <w:r w:rsidRPr="00721D5A">
        <w:rPr>
          <w:iCs/>
        </w:rPr>
        <w:t xml:space="preserve">weeks, with </w:t>
      </w:r>
      <w:r w:rsidR="001D3AB0" w:rsidRPr="00721D5A">
        <w:rPr>
          <w:iCs/>
        </w:rPr>
        <w:t xml:space="preserve">mean </w:t>
      </w:r>
      <w:r w:rsidRPr="00721D5A">
        <w:rPr>
          <w:iCs/>
        </w:rPr>
        <w:t xml:space="preserve">treatment duration in the LINC trials ranging from 81.1 to </w:t>
      </w:r>
      <w:r w:rsidR="00DF44E4" w:rsidRPr="00721D5A">
        <w:rPr>
          <w:iCs/>
        </w:rPr>
        <w:t>119</w:t>
      </w:r>
      <w:r w:rsidR="00DF44E4">
        <w:rPr>
          <w:iCs/>
        </w:rPr>
        <w:t> </w:t>
      </w:r>
      <w:r w:rsidRPr="00721D5A">
        <w:rPr>
          <w:iCs/>
        </w:rPr>
        <w:t>weeks.</w:t>
      </w:r>
      <w:r w:rsidR="004B485D" w:rsidRPr="00721D5A">
        <w:rPr>
          <w:iCs/>
        </w:rPr>
        <w:t xml:space="preserve"> </w:t>
      </w:r>
      <w:r w:rsidR="009168B4" w:rsidRPr="00721D5A">
        <w:rPr>
          <w:iCs/>
        </w:rPr>
        <w:t xml:space="preserve">Cost-effectiveness over a longer time duration </w:t>
      </w:r>
      <w:r w:rsidR="002526D3">
        <w:rPr>
          <w:iCs/>
        </w:rPr>
        <w:t>was</w:t>
      </w:r>
      <w:r w:rsidR="009168B4" w:rsidRPr="00721D5A">
        <w:rPr>
          <w:iCs/>
        </w:rPr>
        <w:t xml:space="preserve"> unknown, and it </w:t>
      </w:r>
      <w:r w:rsidR="002526D3">
        <w:rPr>
          <w:iCs/>
        </w:rPr>
        <w:t>was</w:t>
      </w:r>
      <w:r w:rsidR="009168B4" w:rsidRPr="00721D5A">
        <w:rPr>
          <w:iCs/>
        </w:rPr>
        <w:t xml:space="preserve"> not reasonable to assume the ICER seen at 12 weeks </w:t>
      </w:r>
      <w:r w:rsidR="001D3AB0" w:rsidRPr="00721D5A">
        <w:rPr>
          <w:iCs/>
        </w:rPr>
        <w:t>would</w:t>
      </w:r>
      <w:r w:rsidR="009168B4" w:rsidRPr="00721D5A">
        <w:rPr>
          <w:iCs/>
        </w:rPr>
        <w:t xml:space="preserve"> be maintained.</w:t>
      </w:r>
      <w:r w:rsidR="004B485D" w:rsidRPr="00721D5A">
        <w:rPr>
          <w:iCs/>
        </w:rPr>
        <w:t xml:space="preserve"> </w:t>
      </w:r>
      <w:r w:rsidR="00A701FB" w:rsidRPr="00721D5A">
        <w:rPr>
          <w:iCs/>
        </w:rPr>
        <w:t>Published evidence for levoketoconazole in the SONICS trial (Fleseriu 2019) showed that</w:t>
      </w:r>
      <w:r w:rsidR="00A701FB">
        <w:t xml:space="preserve"> </w:t>
      </w:r>
      <w:r w:rsidR="00A701FB" w:rsidRPr="00721D5A">
        <w:rPr>
          <w:bCs/>
        </w:rPr>
        <w:t>the benefit shown at the end of dose titration (62/94 or 81% with response) was not maintained at 6 months (29/94 or 31%).</w:t>
      </w:r>
      <w:r w:rsidR="0003412E">
        <w:rPr>
          <w:bCs/>
        </w:rPr>
        <w:t xml:space="preserve"> </w:t>
      </w:r>
      <w:r w:rsidR="00F95C8B" w:rsidRPr="00721D5A">
        <w:rPr>
          <w:bCs/>
        </w:rPr>
        <w:t>Longer-term evidence from the LINC 4 trial showed response was not maintained (</w:t>
      </w:r>
      <w:r w:rsidR="00E6415C" w:rsidRPr="00721D5A">
        <w:rPr>
          <w:bCs/>
        </w:rPr>
        <w:t xml:space="preserve">e.g. </w:t>
      </w:r>
      <w:r w:rsidR="00F95C8B" w:rsidRPr="00721D5A">
        <w:rPr>
          <w:bCs/>
        </w:rPr>
        <w:t>at 84 weeks only 18 of 38 patients (47.4%) had complete response</w:t>
      </w:r>
      <w:r w:rsidR="00CA1927">
        <w:rPr>
          <w:bCs/>
        </w:rPr>
        <w:t>)</w:t>
      </w:r>
      <w:r w:rsidR="003F58CD">
        <w:rPr>
          <w:bCs/>
        </w:rPr>
        <w:t>.</w:t>
      </w:r>
      <w:r w:rsidR="00E03407" w:rsidRPr="008C713C">
        <w:rPr>
          <w:bCs/>
          <w:iCs/>
        </w:rPr>
        <w:t xml:space="preserve"> </w:t>
      </w:r>
    </w:p>
    <w:p w14:paraId="20079903" w14:textId="5F86E82C" w:rsidR="009168B4" w:rsidRPr="00721D5A" w:rsidRDefault="009168B4" w:rsidP="005C505D">
      <w:pPr>
        <w:pStyle w:val="3-BodyText"/>
        <w:rPr>
          <w:iCs/>
        </w:rPr>
      </w:pPr>
      <w:r w:rsidRPr="00721D5A">
        <w:rPr>
          <w:iCs/>
        </w:rPr>
        <w:t>The cost per extra responder for osilod</w:t>
      </w:r>
      <w:r w:rsidR="00002D24" w:rsidRPr="00721D5A">
        <w:rPr>
          <w:iCs/>
        </w:rPr>
        <w:t>ro</w:t>
      </w:r>
      <w:r w:rsidRPr="00721D5A">
        <w:rPr>
          <w:iCs/>
        </w:rPr>
        <w:t>stat vs. metyrapone (</w:t>
      </w:r>
      <w:r w:rsidR="00DF44E4" w:rsidRPr="00DF44E4">
        <w:rPr>
          <w:iCs/>
        </w:rPr>
        <w:t>$55,000 to &lt; $75,000</w:t>
      </w:r>
      <w:r w:rsidRPr="00721D5A">
        <w:rPr>
          <w:iCs/>
        </w:rPr>
        <w:t>) and for osilodrostat vs. ketoconazole (</w:t>
      </w:r>
      <w:r w:rsidR="00DF44E4" w:rsidRPr="00DF44E4">
        <w:rPr>
          <w:iCs/>
        </w:rPr>
        <w:t>$45,000 to &lt; $55,000</w:t>
      </w:r>
      <w:r w:rsidRPr="00721D5A">
        <w:rPr>
          <w:iCs/>
        </w:rPr>
        <w:t>) ha</w:t>
      </w:r>
      <w:r w:rsidR="002526D3">
        <w:rPr>
          <w:iCs/>
        </w:rPr>
        <w:t>d</w:t>
      </w:r>
      <w:r w:rsidRPr="00721D5A">
        <w:rPr>
          <w:iCs/>
        </w:rPr>
        <w:t xml:space="preserve"> the same </w:t>
      </w:r>
      <w:r w:rsidR="00D969C9" w:rsidRPr="00721D5A">
        <w:rPr>
          <w:iCs/>
        </w:rPr>
        <w:t xml:space="preserve">problems with respect to </w:t>
      </w:r>
      <w:r w:rsidRPr="00721D5A">
        <w:rPr>
          <w:iCs/>
        </w:rPr>
        <w:t>duration as the comparison with placebo.</w:t>
      </w:r>
      <w:r w:rsidR="004B485D" w:rsidRPr="00721D5A">
        <w:rPr>
          <w:iCs/>
        </w:rPr>
        <w:t xml:space="preserve"> </w:t>
      </w:r>
      <w:r w:rsidRPr="00721D5A">
        <w:rPr>
          <w:iCs/>
        </w:rPr>
        <w:t xml:space="preserve">These metyrapone and ketoconazole analyses </w:t>
      </w:r>
      <w:r w:rsidR="002526D3">
        <w:rPr>
          <w:iCs/>
        </w:rPr>
        <w:t>were</w:t>
      </w:r>
      <w:r w:rsidRPr="00721D5A">
        <w:rPr>
          <w:iCs/>
        </w:rPr>
        <w:t xml:space="preserve"> also impacted by </w:t>
      </w:r>
      <w:r w:rsidR="002C2A12" w:rsidRPr="00721D5A">
        <w:rPr>
          <w:iCs/>
        </w:rPr>
        <w:t>the assumption of no cost for metyrapone and ketoconazole applied in the submission’s base case</w:t>
      </w:r>
      <w:r w:rsidRPr="00721D5A">
        <w:rPr>
          <w:iCs/>
        </w:rPr>
        <w:t>.</w:t>
      </w:r>
    </w:p>
    <w:p w14:paraId="2C1B62F3" w14:textId="419397C0" w:rsidR="001F4081" w:rsidRPr="00BB732D" w:rsidRDefault="00E16AD8" w:rsidP="00DF44E4">
      <w:pPr>
        <w:pStyle w:val="Caption"/>
      </w:pPr>
      <w:bookmarkStart w:id="43" w:name="_Ref104805181"/>
      <w:r>
        <w:lastRenderedPageBreak/>
        <w:t xml:space="preserve">Table </w:t>
      </w:r>
      <w:fldSimple w:instr=" SEQ Table \* ARABIC ">
        <w:r w:rsidR="00A9220E">
          <w:rPr>
            <w:noProof/>
          </w:rPr>
          <w:t>17</w:t>
        </w:r>
      </w:fldSimple>
      <w:bookmarkEnd w:id="43"/>
      <w:r w:rsidR="001F4081" w:rsidRPr="00BB732D">
        <w:rPr>
          <w:rStyle w:val="CommentReference"/>
          <w:b/>
          <w:szCs w:val="24"/>
        </w:rPr>
        <w:t xml:space="preserve">: </w:t>
      </w:r>
      <w:r w:rsidR="005C505D" w:rsidRPr="005C505D">
        <w:rPr>
          <w:rStyle w:val="CommentReference"/>
          <w:b/>
          <w:bCs w:val="0"/>
        </w:rPr>
        <w:t>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06"/>
        <w:gridCol w:w="1347"/>
        <w:gridCol w:w="1467"/>
        <w:gridCol w:w="1265"/>
        <w:gridCol w:w="1232"/>
      </w:tblGrid>
      <w:tr w:rsidR="005C505D" w:rsidRPr="00264D26" w14:paraId="4F7521C0" w14:textId="77777777" w:rsidTr="001F545B">
        <w:trPr>
          <w:cantSplit/>
          <w:tblHeader/>
        </w:trPr>
        <w:tc>
          <w:tcPr>
            <w:tcW w:w="3706" w:type="dxa"/>
            <w:vAlign w:val="center"/>
          </w:tcPr>
          <w:p w14:paraId="34079929" w14:textId="77777777" w:rsidR="005C505D" w:rsidRPr="00DF44E4" w:rsidRDefault="005C505D" w:rsidP="00DF44E4">
            <w:pPr>
              <w:pStyle w:val="Tabletext"/>
              <w:keepNext/>
              <w:tabs>
                <w:tab w:val="left" w:pos="142"/>
              </w:tabs>
              <w:rPr>
                <w:b/>
              </w:rPr>
            </w:pPr>
            <w:r w:rsidRPr="00DF44E4">
              <w:rPr>
                <w:b/>
              </w:rPr>
              <w:t>Analyses</w:t>
            </w:r>
          </w:p>
        </w:tc>
        <w:tc>
          <w:tcPr>
            <w:tcW w:w="1347" w:type="dxa"/>
            <w:vAlign w:val="center"/>
          </w:tcPr>
          <w:p w14:paraId="228B9921" w14:textId="05AE8FB4" w:rsidR="005C505D" w:rsidRPr="00DF44E4" w:rsidRDefault="005C505D" w:rsidP="00DF44E4">
            <w:pPr>
              <w:pStyle w:val="Tabletext"/>
              <w:keepNext/>
              <w:jc w:val="center"/>
              <w:rPr>
                <w:b/>
              </w:rPr>
            </w:pPr>
            <w:r w:rsidRPr="00DF44E4">
              <w:rPr>
                <w:b/>
              </w:rPr>
              <w:t>Incremental cost</w:t>
            </w:r>
            <w:r w:rsidR="00DF44E4" w:rsidRPr="00DF44E4">
              <w:rPr>
                <w:b/>
              </w:rPr>
              <w:t xml:space="preserve"> ($)</w:t>
            </w:r>
          </w:p>
        </w:tc>
        <w:tc>
          <w:tcPr>
            <w:tcW w:w="1467" w:type="dxa"/>
            <w:vAlign w:val="center"/>
          </w:tcPr>
          <w:p w14:paraId="607E5BA8" w14:textId="77777777" w:rsidR="005C505D" w:rsidRPr="00DF44E4" w:rsidRDefault="005C505D" w:rsidP="00DF44E4">
            <w:pPr>
              <w:pStyle w:val="Tabletext"/>
              <w:keepNext/>
              <w:jc w:val="center"/>
              <w:rPr>
                <w:b/>
              </w:rPr>
            </w:pPr>
            <w:r w:rsidRPr="00DF44E4">
              <w:rPr>
                <w:b/>
              </w:rPr>
              <w:t>Incremental response rate</w:t>
            </w:r>
          </w:p>
        </w:tc>
        <w:tc>
          <w:tcPr>
            <w:tcW w:w="1265" w:type="dxa"/>
            <w:vAlign w:val="center"/>
          </w:tcPr>
          <w:p w14:paraId="6A8F1F9C" w14:textId="77777777" w:rsidR="005C505D" w:rsidRPr="00DF44E4" w:rsidRDefault="005C505D" w:rsidP="00DF44E4">
            <w:pPr>
              <w:pStyle w:val="Tabletext"/>
              <w:keepNext/>
              <w:jc w:val="center"/>
              <w:rPr>
                <w:b/>
              </w:rPr>
            </w:pPr>
            <w:r w:rsidRPr="00DF44E4">
              <w:rPr>
                <w:b/>
              </w:rPr>
              <w:t>ICER</w:t>
            </w:r>
          </w:p>
        </w:tc>
        <w:tc>
          <w:tcPr>
            <w:tcW w:w="1232" w:type="dxa"/>
            <w:vAlign w:val="center"/>
          </w:tcPr>
          <w:p w14:paraId="0FBC8CE0" w14:textId="77777777" w:rsidR="005C505D" w:rsidRPr="00DF44E4" w:rsidRDefault="005C505D" w:rsidP="00DF44E4">
            <w:pPr>
              <w:pStyle w:val="Tabletext"/>
              <w:keepNext/>
              <w:jc w:val="center"/>
              <w:rPr>
                <w:b/>
              </w:rPr>
            </w:pPr>
            <w:r w:rsidRPr="00DF44E4">
              <w:rPr>
                <w:b/>
              </w:rPr>
              <w:t>% change ICER</w:t>
            </w:r>
          </w:p>
        </w:tc>
      </w:tr>
      <w:tr w:rsidR="005C505D" w14:paraId="272F5F64" w14:textId="77777777" w:rsidTr="001F545B">
        <w:trPr>
          <w:cantSplit/>
        </w:trPr>
        <w:tc>
          <w:tcPr>
            <w:tcW w:w="3706" w:type="dxa"/>
            <w:vAlign w:val="center"/>
          </w:tcPr>
          <w:p w14:paraId="5B9C9B50" w14:textId="77777777" w:rsidR="005C505D" w:rsidRPr="00DF44E4" w:rsidRDefault="005C505D" w:rsidP="00DF44E4">
            <w:pPr>
              <w:pStyle w:val="Tabletext"/>
              <w:keepNext/>
              <w:tabs>
                <w:tab w:val="left" w:pos="142"/>
              </w:tabs>
              <w:rPr>
                <w:b/>
              </w:rPr>
            </w:pPr>
            <w:r w:rsidRPr="00DF44E4">
              <w:rPr>
                <w:b/>
              </w:rPr>
              <w:t>Base case vs. placebo</w:t>
            </w:r>
          </w:p>
        </w:tc>
        <w:tc>
          <w:tcPr>
            <w:tcW w:w="1347" w:type="dxa"/>
            <w:vAlign w:val="center"/>
          </w:tcPr>
          <w:p w14:paraId="21FF40BA" w14:textId="2DBC6110" w:rsidR="005C505D" w:rsidRPr="00DF44E4" w:rsidRDefault="00DF44E4" w:rsidP="00DF44E4">
            <w:pPr>
              <w:pStyle w:val="Tabletext"/>
              <w:keepNext/>
              <w:jc w:val="center"/>
              <w:rPr>
                <w:b/>
                <w:bCs/>
              </w:rPr>
            </w:pPr>
            <w:r w:rsidRPr="00DF44E4">
              <w:rPr>
                <w:b/>
                <w:bCs/>
              </w:rPr>
              <w:t xml:space="preserve"> </w:t>
            </w:r>
            <w:r w:rsidR="00E228B8" w:rsidRPr="00E228B8">
              <w:rPr>
                <w:rFonts w:hint="eastAsia"/>
                <w:b/>
                <w:bCs/>
                <w:color w:val="000000"/>
                <w:w w:val="33"/>
                <w:shd w:val="solid" w:color="000000" w:fill="000000"/>
                <w:fitText w:val="150" w:id="-1234458356"/>
                <w14:textFill>
                  <w14:solidFill>
                    <w14:srgbClr w14:val="000000">
                      <w14:alpha w14:val="100000"/>
                    </w14:srgbClr>
                  </w14:solidFill>
                </w14:textFill>
              </w:rPr>
              <w:t xml:space="preserve">　</w:t>
            </w:r>
            <w:r w:rsidR="00E228B8" w:rsidRPr="00E228B8">
              <w:rPr>
                <w:b/>
                <w:bCs/>
                <w:color w:val="000000"/>
                <w:w w:val="33"/>
                <w:shd w:val="solid" w:color="000000" w:fill="000000"/>
                <w:fitText w:val="150" w:id="-1234458356"/>
                <w14:textFill>
                  <w14:solidFill>
                    <w14:srgbClr w14:val="000000">
                      <w14:alpha w14:val="100000"/>
                    </w14:srgbClr>
                  </w14:solidFill>
                </w14:textFill>
              </w:rPr>
              <w:t>|</w:t>
            </w:r>
            <w:r w:rsidR="00E228B8" w:rsidRPr="00E228B8">
              <w:rPr>
                <w:rFonts w:hint="eastAsia"/>
                <w:b/>
                <w:bCs/>
                <w:color w:val="000000"/>
                <w:spacing w:val="3"/>
                <w:w w:val="33"/>
                <w:shd w:val="solid" w:color="000000" w:fill="000000"/>
                <w:fitText w:val="150" w:id="-1234458356"/>
                <w14:textFill>
                  <w14:solidFill>
                    <w14:srgbClr w14:val="000000">
                      <w14:alpha w14:val="100000"/>
                    </w14:srgbClr>
                  </w14:solidFill>
                </w14:textFill>
              </w:rPr>
              <w:t xml:space="preserve">　</w:t>
            </w:r>
          </w:p>
        </w:tc>
        <w:tc>
          <w:tcPr>
            <w:tcW w:w="1467" w:type="dxa"/>
            <w:vAlign w:val="center"/>
          </w:tcPr>
          <w:p w14:paraId="5862F24A" w14:textId="77777777" w:rsidR="005C505D" w:rsidRPr="00DF44E4" w:rsidRDefault="005C505D" w:rsidP="00DF44E4">
            <w:pPr>
              <w:pStyle w:val="Tabletext"/>
              <w:keepNext/>
              <w:jc w:val="center"/>
              <w:rPr>
                <w:b/>
              </w:rPr>
            </w:pPr>
            <w:r w:rsidRPr="00DF44E4">
              <w:rPr>
                <w:rFonts w:cs="Arial"/>
                <w:b/>
                <w:szCs w:val="20"/>
              </w:rPr>
              <w:t>69.1%</w:t>
            </w:r>
          </w:p>
        </w:tc>
        <w:tc>
          <w:tcPr>
            <w:tcW w:w="1265" w:type="dxa"/>
            <w:vAlign w:val="center"/>
          </w:tcPr>
          <w:p w14:paraId="66F5EF1A" w14:textId="02A2B1B3" w:rsidR="005C505D" w:rsidRPr="00DF44E4" w:rsidRDefault="00E228B8" w:rsidP="00DF44E4">
            <w:pPr>
              <w:pStyle w:val="Tabletext"/>
              <w:keepNext/>
              <w:jc w:val="center"/>
              <w:rPr>
                <w:b/>
                <w:vertAlign w:val="superscript"/>
              </w:rPr>
            </w:pPr>
            <w:r w:rsidRPr="00E228B8">
              <w:rPr>
                <w:rFonts w:cs="Arial"/>
                <w:b/>
                <w:color w:val="000000"/>
                <w:spacing w:val="40"/>
                <w:szCs w:val="20"/>
                <w:shd w:val="solid" w:color="000000" w:fill="000000"/>
                <w:fitText w:val="219" w:id="-1234458355"/>
                <w14:textFill>
                  <w14:solidFill>
                    <w14:srgbClr w14:val="000000">
                      <w14:alpha w14:val="100000"/>
                    </w14:srgbClr>
                  </w14:solidFill>
                </w14:textFill>
              </w:rPr>
              <w:t>||</w:t>
            </w:r>
            <w:r w:rsidRPr="00E228B8">
              <w:rPr>
                <w:rFonts w:cs="Arial"/>
                <w:b/>
                <w:color w:val="000000"/>
                <w:spacing w:val="2"/>
                <w:szCs w:val="20"/>
                <w:shd w:val="solid" w:color="000000" w:fill="000000"/>
                <w:fitText w:val="219" w:id="-1234458355"/>
                <w14:textFill>
                  <w14:solidFill>
                    <w14:srgbClr w14:val="000000">
                      <w14:alpha w14:val="100000"/>
                    </w14:srgbClr>
                  </w14:solidFill>
                </w14:textFill>
              </w:rPr>
              <w:t>|</w:t>
            </w:r>
            <w:r w:rsidR="00DF44E4" w:rsidRPr="00DF44E4">
              <w:rPr>
                <w:rFonts w:cs="Arial"/>
                <w:b/>
                <w:szCs w:val="20"/>
              </w:rPr>
              <w:t xml:space="preserve"> </w:t>
            </w:r>
            <w:r w:rsidR="00DF44E4" w:rsidRPr="00DF44E4">
              <w:rPr>
                <w:rFonts w:cs="Arial"/>
                <w:b/>
                <w:szCs w:val="20"/>
                <w:vertAlign w:val="superscript"/>
              </w:rPr>
              <w:t>1</w:t>
            </w:r>
          </w:p>
        </w:tc>
        <w:tc>
          <w:tcPr>
            <w:tcW w:w="1232" w:type="dxa"/>
            <w:vAlign w:val="center"/>
          </w:tcPr>
          <w:p w14:paraId="03E299B5" w14:textId="77777777" w:rsidR="005C505D" w:rsidRPr="00DF44E4" w:rsidRDefault="005C505D" w:rsidP="00DF44E4">
            <w:pPr>
              <w:pStyle w:val="Tabletext"/>
              <w:keepNext/>
              <w:jc w:val="center"/>
              <w:rPr>
                <w:b/>
              </w:rPr>
            </w:pPr>
            <w:r w:rsidRPr="00DF44E4">
              <w:rPr>
                <w:b/>
              </w:rPr>
              <w:t>-</w:t>
            </w:r>
          </w:p>
        </w:tc>
      </w:tr>
      <w:tr w:rsidR="005C505D" w14:paraId="733A93C7" w14:textId="77777777" w:rsidTr="001F545B">
        <w:trPr>
          <w:cantSplit/>
        </w:trPr>
        <w:tc>
          <w:tcPr>
            <w:tcW w:w="3706" w:type="dxa"/>
            <w:vAlign w:val="center"/>
          </w:tcPr>
          <w:p w14:paraId="5F6B405D" w14:textId="77777777" w:rsidR="005C505D" w:rsidRPr="00DF44E4" w:rsidRDefault="005C505D" w:rsidP="00DF44E4">
            <w:pPr>
              <w:pStyle w:val="Tabletext"/>
              <w:keepNext/>
              <w:tabs>
                <w:tab w:val="left" w:pos="142"/>
              </w:tabs>
              <w:rPr>
                <w:b/>
              </w:rPr>
            </w:pPr>
            <w:r w:rsidRPr="00DF44E4">
              <w:rPr>
                <w:b/>
              </w:rPr>
              <w:t>Base case vs. metyrapone</w:t>
            </w:r>
          </w:p>
        </w:tc>
        <w:tc>
          <w:tcPr>
            <w:tcW w:w="1347" w:type="dxa"/>
            <w:vAlign w:val="center"/>
          </w:tcPr>
          <w:p w14:paraId="3091231A" w14:textId="37A5368F" w:rsidR="005C505D" w:rsidRPr="00DF44E4" w:rsidRDefault="00DF44E4" w:rsidP="00DF44E4">
            <w:pPr>
              <w:pStyle w:val="Tabletext"/>
              <w:keepNext/>
              <w:jc w:val="center"/>
              <w:rPr>
                <w:b/>
                <w:bCs/>
              </w:rPr>
            </w:pPr>
            <w:r w:rsidRPr="00DF44E4">
              <w:rPr>
                <w:b/>
                <w:bCs/>
              </w:rPr>
              <w:t xml:space="preserve"> </w:t>
            </w:r>
            <w:r w:rsidR="00E228B8" w:rsidRPr="00E228B8">
              <w:rPr>
                <w:rFonts w:hint="eastAsia"/>
                <w:b/>
                <w:bCs/>
                <w:color w:val="000000"/>
                <w:w w:val="33"/>
                <w:shd w:val="solid" w:color="000000" w:fill="000000"/>
                <w:fitText w:val="150" w:id="-1234458354"/>
                <w14:textFill>
                  <w14:solidFill>
                    <w14:srgbClr w14:val="000000">
                      <w14:alpha w14:val="100000"/>
                    </w14:srgbClr>
                  </w14:solidFill>
                </w14:textFill>
              </w:rPr>
              <w:t xml:space="preserve">　</w:t>
            </w:r>
            <w:r w:rsidR="00E228B8" w:rsidRPr="00E228B8">
              <w:rPr>
                <w:b/>
                <w:bCs/>
                <w:color w:val="000000"/>
                <w:w w:val="33"/>
                <w:shd w:val="solid" w:color="000000" w:fill="000000"/>
                <w:fitText w:val="150" w:id="-1234458354"/>
                <w14:textFill>
                  <w14:solidFill>
                    <w14:srgbClr w14:val="000000">
                      <w14:alpha w14:val="100000"/>
                    </w14:srgbClr>
                  </w14:solidFill>
                </w14:textFill>
              </w:rPr>
              <w:t>|</w:t>
            </w:r>
            <w:r w:rsidR="00E228B8" w:rsidRPr="00E228B8">
              <w:rPr>
                <w:rFonts w:hint="eastAsia"/>
                <w:b/>
                <w:bCs/>
                <w:color w:val="000000"/>
                <w:spacing w:val="3"/>
                <w:w w:val="33"/>
                <w:shd w:val="solid" w:color="000000" w:fill="000000"/>
                <w:fitText w:val="150" w:id="-1234458354"/>
                <w14:textFill>
                  <w14:solidFill>
                    <w14:srgbClr w14:val="000000">
                      <w14:alpha w14:val="100000"/>
                    </w14:srgbClr>
                  </w14:solidFill>
                </w14:textFill>
              </w:rPr>
              <w:t xml:space="preserve">　</w:t>
            </w:r>
          </w:p>
        </w:tc>
        <w:tc>
          <w:tcPr>
            <w:tcW w:w="1467" w:type="dxa"/>
            <w:vAlign w:val="center"/>
          </w:tcPr>
          <w:p w14:paraId="4AFC64D3" w14:textId="77777777" w:rsidR="005C505D" w:rsidRPr="00DF44E4" w:rsidRDefault="005C505D" w:rsidP="00DF44E4">
            <w:pPr>
              <w:pStyle w:val="Tabletext"/>
              <w:keepNext/>
              <w:jc w:val="center"/>
              <w:rPr>
                <w:rFonts w:cs="Arial"/>
                <w:b/>
                <w:szCs w:val="20"/>
              </w:rPr>
            </w:pPr>
            <w:r w:rsidRPr="00DF44E4">
              <w:rPr>
                <w:rFonts w:cs="Arial"/>
                <w:b/>
                <w:szCs w:val="20"/>
              </w:rPr>
              <w:t>30.1%</w:t>
            </w:r>
          </w:p>
        </w:tc>
        <w:tc>
          <w:tcPr>
            <w:tcW w:w="1265" w:type="dxa"/>
            <w:vAlign w:val="center"/>
          </w:tcPr>
          <w:p w14:paraId="4FB4DE53" w14:textId="179D2AD5" w:rsidR="005C505D" w:rsidRPr="00DF44E4" w:rsidRDefault="00E228B8" w:rsidP="00DF44E4">
            <w:pPr>
              <w:pStyle w:val="Tabletext"/>
              <w:keepNext/>
              <w:jc w:val="center"/>
              <w:rPr>
                <w:rFonts w:cs="Arial"/>
                <w:b/>
                <w:szCs w:val="20"/>
                <w:vertAlign w:val="superscript"/>
              </w:rPr>
            </w:pPr>
            <w:r w:rsidRPr="00E228B8">
              <w:rPr>
                <w:rFonts w:cs="Arial"/>
                <w:b/>
                <w:color w:val="000000"/>
                <w:spacing w:val="40"/>
                <w:szCs w:val="20"/>
                <w:shd w:val="solid" w:color="000000" w:fill="000000"/>
                <w:fitText w:val="219" w:id="-1234458353"/>
                <w14:textFill>
                  <w14:solidFill>
                    <w14:srgbClr w14:val="000000">
                      <w14:alpha w14:val="100000"/>
                    </w14:srgbClr>
                  </w14:solidFill>
                </w14:textFill>
              </w:rPr>
              <w:t>||</w:t>
            </w:r>
            <w:r w:rsidRPr="00E228B8">
              <w:rPr>
                <w:rFonts w:cs="Arial"/>
                <w:b/>
                <w:color w:val="000000"/>
                <w:spacing w:val="2"/>
                <w:szCs w:val="20"/>
                <w:shd w:val="solid" w:color="000000" w:fill="000000"/>
                <w:fitText w:val="219" w:id="-1234458353"/>
                <w14:textFill>
                  <w14:solidFill>
                    <w14:srgbClr w14:val="000000">
                      <w14:alpha w14:val="100000"/>
                    </w14:srgbClr>
                  </w14:solidFill>
                </w14:textFill>
              </w:rPr>
              <w:t>|</w:t>
            </w:r>
            <w:r w:rsidR="00DF44E4" w:rsidRPr="00DF44E4">
              <w:rPr>
                <w:rFonts w:cs="Arial"/>
                <w:b/>
                <w:szCs w:val="20"/>
              </w:rPr>
              <w:t xml:space="preserve"> </w:t>
            </w:r>
            <w:r w:rsidR="00DF44E4" w:rsidRPr="00DF44E4">
              <w:rPr>
                <w:rFonts w:cs="Arial"/>
                <w:b/>
                <w:szCs w:val="20"/>
                <w:vertAlign w:val="superscript"/>
              </w:rPr>
              <w:t>2</w:t>
            </w:r>
          </w:p>
        </w:tc>
        <w:tc>
          <w:tcPr>
            <w:tcW w:w="1232" w:type="dxa"/>
            <w:vAlign w:val="center"/>
          </w:tcPr>
          <w:p w14:paraId="68C1F0AA" w14:textId="77777777" w:rsidR="005C505D" w:rsidRPr="00DF44E4" w:rsidRDefault="005C505D" w:rsidP="00DF44E4">
            <w:pPr>
              <w:pStyle w:val="Tabletext"/>
              <w:keepNext/>
              <w:jc w:val="center"/>
              <w:rPr>
                <w:b/>
              </w:rPr>
            </w:pPr>
            <w:r w:rsidRPr="00DF44E4">
              <w:rPr>
                <w:b/>
              </w:rPr>
              <w:t>-</w:t>
            </w:r>
          </w:p>
        </w:tc>
      </w:tr>
      <w:tr w:rsidR="005C505D" w14:paraId="28B7024A" w14:textId="77777777" w:rsidTr="001F545B">
        <w:trPr>
          <w:cantSplit/>
        </w:trPr>
        <w:tc>
          <w:tcPr>
            <w:tcW w:w="3706" w:type="dxa"/>
            <w:vAlign w:val="center"/>
          </w:tcPr>
          <w:p w14:paraId="29443A52" w14:textId="77777777" w:rsidR="005C505D" w:rsidRPr="00DF44E4" w:rsidRDefault="005C505D" w:rsidP="00DF44E4">
            <w:pPr>
              <w:pStyle w:val="Tabletext"/>
              <w:keepNext/>
              <w:tabs>
                <w:tab w:val="left" w:pos="142"/>
              </w:tabs>
              <w:rPr>
                <w:b/>
              </w:rPr>
            </w:pPr>
            <w:r w:rsidRPr="00DF44E4">
              <w:rPr>
                <w:b/>
              </w:rPr>
              <w:t>Base case vs. ketoconazole</w:t>
            </w:r>
          </w:p>
        </w:tc>
        <w:tc>
          <w:tcPr>
            <w:tcW w:w="1347" w:type="dxa"/>
            <w:vAlign w:val="center"/>
          </w:tcPr>
          <w:p w14:paraId="397E2D89" w14:textId="53D4C66C" w:rsidR="005C505D" w:rsidRPr="00DF44E4" w:rsidRDefault="00DF44E4" w:rsidP="00DF44E4">
            <w:pPr>
              <w:pStyle w:val="Tabletext"/>
              <w:keepNext/>
              <w:jc w:val="center"/>
              <w:rPr>
                <w:b/>
                <w:bCs/>
              </w:rPr>
            </w:pPr>
            <w:r w:rsidRPr="00DF44E4">
              <w:rPr>
                <w:b/>
                <w:bCs/>
              </w:rPr>
              <w:t xml:space="preserve"> </w:t>
            </w:r>
            <w:r w:rsidR="00E228B8" w:rsidRPr="00E228B8">
              <w:rPr>
                <w:rFonts w:hint="eastAsia"/>
                <w:b/>
                <w:bCs/>
                <w:color w:val="000000"/>
                <w:w w:val="33"/>
                <w:shd w:val="solid" w:color="000000" w:fill="000000"/>
                <w:fitText w:val="150" w:id="-1234458352"/>
                <w14:textFill>
                  <w14:solidFill>
                    <w14:srgbClr w14:val="000000">
                      <w14:alpha w14:val="100000"/>
                    </w14:srgbClr>
                  </w14:solidFill>
                </w14:textFill>
              </w:rPr>
              <w:t xml:space="preserve">　</w:t>
            </w:r>
            <w:r w:rsidR="00E228B8" w:rsidRPr="00E228B8">
              <w:rPr>
                <w:b/>
                <w:bCs/>
                <w:color w:val="000000"/>
                <w:w w:val="33"/>
                <w:shd w:val="solid" w:color="000000" w:fill="000000"/>
                <w:fitText w:val="150" w:id="-1234458352"/>
                <w14:textFill>
                  <w14:solidFill>
                    <w14:srgbClr w14:val="000000">
                      <w14:alpha w14:val="100000"/>
                    </w14:srgbClr>
                  </w14:solidFill>
                </w14:textFill>
              </w:rPr>
              <w:t>|</w:t>
            </w:r>
            <w:r w:rsidR="00E228B8" w:rsidRPr="00E228B8">
              <w:rPr>
                <w:rFonts w:hint="eastAsia"/>
                <w:b/>
                <w:bCs/>
                <w:color w:val="000000"/>
                <w:spacing w:val="3"/>
                <w:w w:val="33"/>
                <w:shd w:val="solid" w:color="000000" w:fill="000000"/>
                <w:fitText w:val="150" w:id="-1234458352"/>
                <w14:textFill>
                  <w14:solidFill>
                    <w14:srgbClr w14:val="000000">
                      <w14:alpha w14:val="100000"/>
                    </w14:srgbClr>
                  </w14:solidFill>
                </w14:textFill>
              </w:rPr>
              <w:t xml:space="preserve">　</w:t>
            </w:r>
          </w:p>
        </w:tc>
        <w:tc>
          <w:tcPr>
            <w:tcW w:w="1467" w:type="dxa"/>
            <w:vAlign w:val="center"/>
          </w:tcPr>
          <w:p w14:paraId="38A5C121" w14:textId="77777777" w:rsidR="005C505D" w:rsidRPr="00DF44E4" w:rsidRDefault="005C505D" w:rsidP="00DF44E4">
            <w:pPr>
              <w:pStyle w:val="Tabletext"/>
              <w:keepNext/>
              <w:jc w:val="center"/>
              <w:rPr>
                <w:rFonts w:cs="Arial"/>
                <w:b/>
                <w:szCs w:val="20"/>
              </w:rPr>
            </w:pPr>
            <w:r w:rsidRPr="00DF44E4">
              <w:rPr>
                <w:rFonts w:cs="Arial"/>
                <w:b/>
                <w:szCs w:val="20"/>
              </w:rPr>
              <w:t>32.4%</w:t>
            </w:r>
          </w:p>
        </w:tc>
        <w:tc>
          <w:tcPr>
            <w:tcW w:w="1265" w:type="dxa"/>
            <w:vAlign w:val="center"/>
          </w:tcPr>
          <w:p w14:paraId="49EED918" w14:textId="364C47A8" w:rsidR="005C505D" w:rsidRPr="00DF44E4" w:rsidRDefault="00E228B8" w:rsidP="00DF44E4">
            <w:pPr>
              <w:pStyle w:val="Tabletext"/>
              <w:keepNext/>
              <w:jc w:val="center"/>
              <w:rPr>
                <w:rFonts w:cs="Arial"/>
                <w:b/>
                <w:szCs w:val="20"/>
                <w:vertAlign w:val="superscript"/>
              </w:rPr>
            </w:pPr>
            <w:r w:rsidRPr="00E228B8">
              <w:rPr>
                <w:rFonts w:cs="Arial"/>
                <w:b/>
                <w:color w:val="000000"/>
                <w:spacing w:val="40"/>
                <w:szCs w:val="20"/>
                <w:shd w:val="solid" w:color="000000" w:fill="000000"/>
                <w:fitText w:val="219" w:id="-1234458368"/>
                <w14:textFill>
                  <w14:solidFill>
                    <w14:srgbClr w14:val="000000">
                      <w14:alpha w14:val="100000"/>
                    </w14:srgbClr>
                  </w14:solidFill>
                </w14:textFill>
              </w:rPr>
              <w:t>||</w:t>
            </w:r>
            <w:r w:rsidRPr="00E228B8">
              <w:rPr>
                <w:rFonts w:cs="Arial"/>
                <w:b/>
                <w:color w:val="000000"/>
                <w:spacing w:val="2"/>
                <w:szCs w:val="20"/>
                <w:shd w:val="solid" w:color="000000" w:fill="000000"/>
                <w:fitText w:val="219" w:id="-1234458368"/>
                <w14:textFill>
                  <w14:solidFill>
                    <w14:srgbClr w14:val="000000">
                      <w14:alpha w14:val="100000"/>
                    </w14:srgbClr>
                  </w14:solidFill>
                </w14:textFill>
              </w:rPr>
              <w:t>|</w:t>
            </w:r>
            <w:r w:rsidR="00DF44E4" w:rsidRPr="00DF44E4">
              <w:rPr>
                <w:rFonts w:cs="Arial"/>
                <w:b/>
                <w:szCs w:val="20"/>
              </w:rPr>
              <w:t xml:space="preserve"> </w:t>
            </w:r>
            <w:r w:rsidR="00DF44E4" w:rsidRPr="00DF44E4">
              <w:rPr>
                <w:rFonts w:cs="Arial"/>
                <w:b/>
                <w:szCs w:val="20"/>
                <w:vertAlign w:val="superscript"/>
              </w:rPr>
              <w:t>3</w:t>
            </w:r>
          </w:p>
        </w:tc>
        <w:tc>
          <w:tcPr>
            <w:tcW w:w="1232" w:type="dxa"/>
            <w:vAlign w:val="center"/>
          </w:tcPr>
          <w:p w14:paraId="6B0B39D8" w14:textId="77777777" w:rsidR="005C505D" w:rsidRPr="00DF44E4" w:rsidRDefault="005C505D" w:rsidP="00DF44E4">
            <w:pPr>
              <w:pStyle w:val="Tabletext"/>
              <w:keepNext/>
              <w:jc w:val="center"/>
              <w:rPr>
                <w:b/>
              </w:rPr>
            </w:pPr>
            <w:r w:rsidRPr="00DF44E4">
              <w:rPr>
                <w:b/>
              </w:rPr>
              <w:t>-</w:t>
            </w:r>
          </w:p>
        </w:tc>
      </w:tr>
      <w:tr w:rsidR="005C505D" w14:paraId="109FE429" w14:textId="77777777" w:rsidTr="001F545B">
        <w:trPr>
          <w:cantSplit/>
          <w:trHeight w:val="129"/>
        </w:trPr>
        <w:tc>
          <w:tcPr>
            <w:tcW w:w="9017" w:type="dxa"/>
            <w:gridSpan w:val="5"/>
            <w:vAlign w:val="center"/>
          </w:tcPr>
          <w:p w14:paraId="0FDF9D3D" w14:textId="06225402" w:rsidR="005C505D" w:rsidRPr="00DF44E4" w:rsidRDefault="005C505D" w:rsidP="00DF44E4">
            <w:pPr>
              <w:pStyle w:val="Tabletext"/>
              <w:keepNext/>
            </w:pPr>
            <w:r w:rsidRPr="00DF44E4">
              <w:t>Pooled osilodrostat response rate from LINC 3, LINC 4 and C120</w:t>
            </w:r>
            <w:r w:rsidR="00BE6BD9" w:rsidRPr="00DF44E4">
              <w:t>1</w:t>
            </w:r>
            <w:r w:rsidRPr="00DF44E4">
              <w:t xml:space="preserve"> (base case: sourced from LINC 4)</w:t>
            </w:r>
          </w:p>
        </w:tc>
      </w:tr>
      <w:tr w:rsidR="005C505D" w14:paraId="51BBF942" w14:textId="77777777" w:rsidTr="001F545B">
        <w:trPr>
          <w:cantSplit/>
          <w:trHeight w:val="129"/>
        </w:trPr>
        <w:tc>
          <w:tcPr>
            <w:tcW w:w="3706" w:type="dxa"/>
            <w:vAlign w:val="center"/>
          </w:tcPr>
          <w:p w14:paraId="6100B8CF" w14:textId="77777777" w:rsidR="005C505D" w:rsidRPr="00DF44E4" w:rsidRDefault="005C505D" w:rsidP="00DF44E4">
            <w:pPr>
              <w:pStyle w:val="Tabletext"/>
              <w:keepNext/>
              <w:tabs>
                <w:tab w:val="left" w:pos="142"/>
              </w:tabs>
            </w:pPr>
            <w:r w:rsidRPr="00DF44E4">
              <w:tab/>
              <w:t>vs. placebo</w:t>
            </w:r>
          </w:p>
        </w:tc>
        <w:tc>
          <w:tcPr>
            <w:tcW w:w="1347" w:type="dxa"/>
            <w:vAlign w:val="center"/>
          </w:tcPr>
          <w:p w14:paraId="73BEB4B6" w14:textId="6B8E033B" w:rsidR="005C505D" w:rsidRPr="00DF44E4" w:rsidRDefault="00DF44E4" w:rsidP="00DF44E4">
            <w:pPr>
              <w:keepNext/>
              <w:jc w:val="center"/>
              <w:rPr>
                <w:rFonts w:ascii="Arial Narrow" w:hAnsi="Arial Narrow" w:cs="Calibri"/>
                <w:color w:val="000000"/>
                <w:sz w:val="20"/>
                <w:szCs w:val="20"/>
              </w:rPr>
            </w:pPr>
            <w:r w:rsidRPr="00DF44E4">
              <w:rPr>
                <w:rFonts w:ascii="Arial Narrow" w:hAnsi="Arial Narrow"/>
                <w:sz w:val="20"/>
                <w:szCs w:val="20"/>
              </w:rPr>
              <w:t xml:space="preserve"> </w:t>
            </w:r>
            <w:r w:rsidR="00E228B8" w:rsidRPr="00E228B8">
              <w:rPr>
                <w:rFonts w:ascii="Arial Narrow" w:hAnsi="Arial Narrow" w:hint="eastAsia"/>
                <w:color w:val="000000"/>
                <w:w w:val="20"/>
                <w:sz w:val="20"/>
                <w:szCs w:val="20"/>
                <w:shd w:val="solid" w:color="000000" w:fill="000000"/>
                <w:fitText w:val="92" w:id="-1234458367"/>
                <w14:textFill>
                  <w14:solidFill>
                    <w14:srgbClr w14:val="000000">
                      <w14:alpha w14:val="100000"/>
                    </w14:srgbClr>
                  </w14:solidFill>
                </w14:textFill>
              </w:rPr>
              <w:t xml:space="preserve">　</w:t>
            </w:r>
            <w:r w:rsidR="00E228B8" w:rsidRPr="00E228B8">
              <w:rPr>
                <w:rFonts w:ascii="Arial Narrow" w:hAnsi="Arial Narrow"/>
                <w:color w:val="000000"/>
                <w:w w:val="20"/>
                <w:sz w:val="20"/>
                <w:szCs w:val="20"/>
                <w:shd w:val="solid" w:color="000000" w:fill="000000"/>
                <w:fitText w:val="92" w:id="-1234458367"/>
                <w14:textFill>
                  <w14:solidFill>
                    <w14:srgbClr w14:val="000000">
                      <w14:alpha w14:val="100000"/>
                    </w14:srgbClr>
                  </w14:solidFill>
                </w14:textFill>
              </w:rPr>
              <w:t>|</w:t>
            </w:r>
            <w:r w:rsidR="00E228B8" w:rsidRPr="00E228B8">
              <w:rPr>
                <w:rFonts w:ascii="Arial Narrow" w:hAnsi="Arial Narrow" w:hint="eastAsia"/>
                <w:color w:val="000000"/>
                <w:spacing w:val="5"/>
                <w:w w:val="20"/>
                <w:sz w:val="20"/>
                <w:szCs w:val="20"/>
                <w:shd w:val="solid" w:color="000000" w:fill="000000"/>
                <w:fitText w:val="92" w:id="-1234458367"/>
                <w14:textFill>
                  <w14:solidFill>
                    <w14:srgbClr w14:val="000000">
                      <w14:alpha w14:val="100000"/>
                    </w14:srgbClr>
                  </w14:solidFill>
                </w14:textFill>
              </w:rPr>
              <w:t xml:space="preserve">　</w:t>
            </w:r>
          </w:p>
        </w:tc>
        <w:tc>
          <w:tcPr>
            <w:tcW w:w="1467" w:type="dxa"/>
            <w:vAlign w:val="center"/>
          </w:tcPr>
          <w:p w14:paraId="7627B050" w14:textId="77777777" w:rsidR="005C505D" w:rsidRPr="00DF44E4" w:rsidRDefault="005C505D" w:rsidP="00DF44E4">
            <w:pPr>
              <w:pStyle w:val="Tabletext"/>
              <w:keepNext/>
              <w:jc w:val="center"/>
            </w:pPr>
            <w:r w:rsidRPr="00DF44E4">
              <w:t>65.8%</w:t>
            </w:r>
          </w:p>
        </w:tc>
        <w:tc>
          <w:tcPr>
            <w:tcW w:w="1265" w:type="dxa"/>
            <w:vAlign w:val="center"/>
          </w:tcPr>
          <w:p w14:paraId="6BA3D330" w14:textId="26D75BB9"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66"/>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66"/>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1</w:t>
            </w:r>
          </w:p>
        </w:tc>
        <w:tc>
          <w:tcPr>
            <w:tcW w:w="1232" w:type="dxa"/>
            <w:vAlign w:val="center"/>
          </w:tcPr>
          <w:p w14:paraId="06E9C876" w14:textId="77777777" w:rsidR="005C505D" w:rsidRPr="00DF44E4" w:rsidRDefault="005C505D" w:rsidP="00DF44E4">
            <w:pPr>
              <w:pStyle w:val="Tabletext"/>
              <w:keepNext/>
              <w:jc w:val="center"/>
            </w:pPr>
            <w:r w:rsidRPr="00DF44E4">
              <w:t>+5.0%</w:t>
            </w:r>
          </w:p>
        </w:tc>
      </w:tr>
      <w:tr w:rsidR="005C505D" w14:paraId="50D4679F" w14:textId="77777777" w:rsidTr="001F545B">
        <w:trPr>
          <w:cantSplit/>
          <w:trHeight w:val="129"/>
        </w:trPr>
        <w:tc>
          <w:tcPr>
            <w:tcW w:w="3706" w:type="dxa"/>
            <w:vAlign w:val="center"/>
          </w:tcPr>
          <w:p w14:paraId="33564121" w14:textId="77777777" w:rsidR="005C505D" w:rsidRPr="00DF44E4" w:rsidRDefault="005C505D" w:rsidP="00DF44E4">
            <w:pPr>
              <w:pStyle w:val="Tabletext"/>
              <w:keepNext/>
              <w:tabs>
                <w:tab w:val="left" w:pos="142"/>
              </w:tabs>
            </w:pPr>
            <w:r w:rsidRPr="00DF44E4">
              <w:tab/>
              <w:t>vs. metyrapone</w:t>
            </w:r>
          </w:p>
        </w:tc>
        <w:tc>
          <w:tcPr>
            <w:tcW w:w="1347" w:type="dxa"/>
            <w:vAlign w:val="center"/>
          </w:tcPr>
          <w:p w14:paraId="0F0D54E6" w14:textId="574F99EC" w:rsidR="005C505D" w:rsidRPr="00DF44E4" w:rsidRDefault="00DF44E4" w:rsidP="00DF44E4">
            <w:pPr>
              <w:pStyle w:val="Tabletext"/>
              <w:keepNext/>
              <w:jc w:val="center"/>
              <w:rPr>
                <w:rFonts w:cs="Arial"/>
                <w:szCs w:val="20"/>
              </w:rPr>
            </w:pPr>
            <w:r w:rsidRPr="00DF44E4">
              <w:rPr>
                <w:szCs w:val="20"/>
              </w:rPr>
              <w:t xml:space="preserve"> </w:t>
            </w:r>
            <w:r w:rsidR="00E228B8" w:rsidRPr="00E228B8">
              <w:rPr>
                <w:rFonts w:hint="eastAsia"/>
                <w:color w:val="000000"/>
                <w:w w:val="20"/>
                <w:szCs w:val="20"/>
                <w:shd w:val="solid" w:color="000000" w:fill="000000"/>
                <w:fitText w:val="92" w:id="-1234458365"/>
                <w14:textFill>
                  <w14:solidFill>
                    <w14:srgbClr w14:val="000000">
                      <w14:alpha w14:val="100000"/>
                    </w14:srgbClr>
                  </w14:solidFill>
                </w14:textFill>
              </w:rPr>
              <w:t xml:space="preserve">　</w:t>
            </w:r>
            <w:r w:rsidR="00E228B8" w:rsidRPr="00E228B8">
              <w:rPr>
                <w:color w:val="000000"/>
                <w:w w:val="20"/>
                <w:szCs w:val="20"/>
                <w:shd w:val="solid" w:color="000000" w:fill="000000"/>
                <w:fitText w:val="92" w:id="-1234458365"/>
                <w14:textFill>
                  <w14:solidFill>
                    <w14:srgbClr w14:val="000000">
                      <w14:alpha w14:val="100000"/>
                    </w14:srgbClr>
                  </w14:solidFill>
                </w14:textFill>
              </w:rPr>
              <w:t>|</w:t>
            </w:r>
            <w:r w:rsidR="00E228B8" w:rsidRPr="00E228B8">
              <w:rPr>
                <w:rFonts w:hint="eastAsia"/>
                <w:color w:val="000000"/>
                <w:spacing w:val="5"/>
                <w:w w:val="20"/>
                <w:szCs w:val="20"/>
                <w:shd w:val="solid" w:color="000000" w:fill="000000"/>
                <w:fitText w:val="92" w:id="-1234458365"/>
                <w14:textFill>
                  <w14:solidFill>
                    <w14:srgbClr w14:val="000000">
                      <w14:alpha w14:val="100000"/>
                    </w14:srgbClr>
                  </w14:solidFill>
                </w14:textFill>
              </w:rPr>
              <w:t xml:space="preserve">　</w:t>
            </w:r>
          </w:p>
        </w:tc>
        <w:tc>
          <w:tcPr>
            <w:tcW w:w="1467" w:type="dxa"/>
            <w:vAlign w:val="center"/>
          </w:tcPr>
          <w:p w14:paraId="0D7EC117" w14:textId="77777777" w:rsidR="005C505D" w:rsidRPr="00DF44E4" w:rsidRDefault="005C505D" w:rsidP="00DF44E4">
            <w:pPr>
              <w:pStyle w:val="Tabletext"/>
              <w:keepNext/>
              <w:jc w:val="center"/>
              <w:rPr>
                <w:rFonts w:cs="Arial"/>
                <w:szCs w:val="20"/>
              </w:rPr>
            </w:pPr>
            <w:r w:rsidRPr="00DF44E4">
              <w:rPr>
                <w:rFonts w:cs="Arial"/>
                <w:szCs w:val="20"/>
              </w:rPr>
              <w:t>26.9%</w:t>
            </w:r>
          </w:p>
        </w:tc>
        <w:tc>
          <w:tcPr>
            <w:tcW w:w="1265" w:type="dxa"/>
            <w:vAlign w:val="center"/>
          </w:tcPr>
          <w:p w14:paraId="52C25869" w14:textId="6170266F"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64"/>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64"/>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2</w:t>
            </w:r>
          </w:p>
        </w:tc>
        <w:tc>
          <w:tcPr>
            <w:tcW w:w="1232" w:type="dxa"/>
            <w:vAlign w:val="center"/>
          </w:tcPr>
          <w:p w14:paraId="04C691CF" w14:textId="77777777" w:rsidR="005C505D" w:rsidRPr="00DF44E4" w:rsidRDefault="005C505D" w:rsidP="00DF44E4">
            <w:pPr>
              <w:pStyle w:val="Tabletext"/>
              <w:keepNext/>
              <w:jc w:val="center"/>
              <w:rPr>
                <w:rFonts w:cs="Arial"/>
                <w:szCs w:val="20"/>
              </w:rPr>
            </w:pPr>
            <w:r w:rsidRPr="00DF44E4">
              <w:rPr>
                <w:rFonts w:cs="Arial"/>
                <w:szCs w:val="20"/>
              </w:rPr>
              <w:t>+12.1%</w:t>
            </w:r>
          </w:p>
        </w:tc>
      </w:tr>
      <w:tr w:rsidR="005C505D" w:rsidRPr="00A16DCF" w14:paraId="55765A5C" w14:textId="77777777" w:rsidTr="001F545B">
        <w:trPr>
          <w:cantSplit/>
          <w:trHeight w:val="129"/>
        </w:trPr>
        <w:tc>
          <w:tcPr>
            <w:tcW w:w="3706" w:type="dxa"/>
            <w:vAlign w:val="center"/>
          </w:tcPr>
          <w:p w14:paraId="7F982C27" w14:textId="77777777" w:rsidR="005C505D" w:rsidRPr="00DF44E4" w:rsidRDefault="005C505D" w:rsidP="00DF44E4">
            <w:pPr>
              <w:pStyle w:val="Tabletext"/>
              <w:keepNext/>
              <w:tabs>
                <w:tab w:val="left" w:pos="142"/>
              </w:tabs>
              <w:rPr>
                <w:iCs/>
              </w:rPr>
            </w:pPr>
            <w:r w:rsidRPr="00DF44E4">
              <w:rPr>
                <w:iCs/>
              </w:rPr>
              <w:tab/>
            </w:r>
            <w:r w:rsidRPr="00DF44E4">
              <w:t>vs. ketoconazole</w:t>
            </w:r>
          </w:p>
        </w:tc>
        <w:tc>
          <w:tcPr>
            <w:tcW w:w="1347" w:type="dxa"/>
            <w:vAlign w:val="center"/>
          </w:tcPr>
          <w:p w14:paraId="0BE2DBDE" w14:textId="54CF30A5" w:rsidR="005C505D" w:rsidRPr="00DF44E4" w:rsidRDefault="00DF44E4" w:rsidP="00DF44E4">
            <w:pPr>
              <w:pStyle w:val="Tabletext"/>
              <w:keepNext/>
              <w:jc w:val="center"/>
              <w:rPr>
                <w:rFonts w:cs="Arial"/>
                <w:szCs w:val="20"/>
              </w:rPr>
            </w:pPr>
            <w:r w:rsidRPr="00DF44E4">
              <w:rPr>
                <w:szCs w:val="20"/>
              </w:rPr>
              <w:t xml:space="preserve"> </w:t>
            </w:r>
            <w:r w:rsidR="00E228B8" w:rsidRPr="00E228B8">
              <w:rPr>
                <w:rFonts w:hint="eastAsia"/>
                <w:color w:val="000000"/>
                <w:w w:val="20"/>
                <w:szCs w:val="20"/>
                <w:shd w:val="solid" w:color="000000" w:fill="000000"/>
                <w:fitText w:val="92" w:id="-1234458363"/>
                <w14:textFill>
                  <w14:solidFill>
                    <w14:srgbClr w14:val="000000">
                      <w14:alpha w14:val="100000"/>
                    </w14:srgbClr>
                  </w14:solidFill>
                </w14:textFill>
              </w:rPr>
              <w:t xml:space="preserve">　</w:t>
            </w:r>
            <w:r w:rsidR="00E228B8" w:rsidRPr="00E228B8">
              <w:rPr>
                <w:color w:val="000000"/>
                <w:w w:val="20"/>
                <w:szCs w:val="20"/>
                <w:shd w:val="solid" w:color="000000" w:fill="000000"/>
                <w:fitText w:val="92" w:id="-1234458363"/>
                <w14:textFill>
                  <w14:solidFill>
                    <w14:srgbClr w14:val="000000">
                      <w14:alpha w14:val="100000"/>
                    </w14:srgbClr>
                  </w14:solidFill>
                </w14:textFill>
              </w:rPr>
              <w:t>|</w:t>
            </w:r>
            <w:r w:rsidR="00E228B8" w:rsidRPr="00E228B8">
              <w:rPr>
                <w:rFonts w:hint="eastAsia"/>
                <w:color w:val="000000"/>
                <w:spacing w:val="5"/>
                <w:w w:val="20"/>
                <w:szCs w:val="20"/>
                <w:shd w:val="solid" w:color="000000" w:fill="000000"/>
                <w:fitText w:val="92" w:id="-1234458363"/>
                <w14:textFill>
                  <w14:solidFill>
                    <w14:srgbClr w14:val="000000">
                      <w14:alpha w14:val="100000"/>
                    </w14:srgbClr>
                  </w14:solidFill>
                </w14:textFill>
              </w:rPr>
              <w:t xml:space="preserve">　</w:t>
            </w:r>
          </w:p>
        </w:tc>
        <w:tc>
          <w:tcPr>
            <w:tcW w:w="1467" w:type="dxa"/>
            <w:vAlign w:val="center"/>
          </w:tcPr>
          <w:p w14:paraId="19198554" w14:textId="77777777" w:rsidR="005C505D" w:rsidRPr="00DF44E4" w:rsidRDefault="005C505D" w:rsidP="00DF44E4">
            <w:pPr>
              <w:pStyle w:val="Tabletext"/>
              <w:keepNext/>
              <w:jc w:val="center"/>
              <w:rPr>
                <w:rFonts w:cs="Arial"/>
                <w:szCs w:val="20"/>
              </w:rPr>
            </w:pPr>
            <w:r w:rsidRPr="00DF44E4">
              <w:rPr>
                <w:rFonts w:cs="Arial"/>
                <w:szCs w:val="20"/>
              </w:rPr>
              <w:t>29.1%</w:t>
            </w:r>
          </w:p>
        </w:tc>
        <w:tc>
          <w:tcPr>
            <w:tcW w:w="1265" w:type="dxa"/>
            <w:vAlign w:val="center"/>
          </w:tcPr>
          <w:p w14:paraId="031CAB68" w14:textId="4B938647"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62"/>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62"/>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2</w:t>
            </w:r>
          </w:p>
        </w:tc>
        <w:tc>
          <w:tcPr>
            <w:tcW w:w="1232" w:type="dxa"/>
            <w:vAlign w:val="center"/>
          </w:tcPr>
          <w:p w14:paraId="7DE8579F" w14:textId="77777777" w:rsidR="005C505D" w:rsidRPr="00DF44E4" w:rsidRDefault="005C505D" w:rsidP="00DF44E4">
            <w:pPr>
              <w:pStyle w:val="Tabletext"/>
              <w:keepNext/>
              <w:jc w:val="center"/>
              <w:rPr>
                <w:rFonts w:cs="Arial"/>
                <w:szCs w:val="20"/>
              </w:rPr>
            </w:pPr>
            <w:r w:rsidRPr="00DF44E4">
              <w:rPr>
                <w:rFonts w:cs="Arial"/>
                <w:szCs w:val="20"/>
              </w:rPr>
              <w:t>+11.2%</w:t>
            </w:r>
          </w:p>
        </w:tc>
      </w:tr>
      <w:tr w:rsidR="005C505D" w14:paraId="0AD8A00C" w14:textId="77777777" w:rsidTr="001F545B">
        <w:trPr>
          <w:cantSplit/>
          <w:trHeight w:val="129"/>
        </w:trPr>
        <w:tc>
          <w:tcPr>
            <w:tcW w:w="9017" w:type="dxa"/>
            <w:gridSpan w:val="5"/>
            <w:vAlign w:val="center"/>
          </w:tcPr>
          <w:p w14:paraId="3875660C" w14:textId="77777777" w:rsidR="005C505D" w:rsidRPr="00DF44E4" w:rsidRDefault="005C505D" w:rsidP="00DF44E4">
            <w:pPr>
              <w:pStyle w:val="Tabletext"/>
              <w:keepNext/>
              <w:rPr>
                <w:rFonts w:cs="Arial"/>
                <w:szCs w:val="20"/>
              </w:rPr>
            </w:pPr>
            <w:r w:rsidRPr="00DF44E4">
              <w:rPr>
                <w:rFonts w:cs="Arial"/>
                <w:szCs w:val="20"/>
              </w:rPr>
              <w:t>Approximate cost of metyrapone and ketoconazole (base case: $0)</w:t>
            </w:r>
          </w:p>
        </w:tc>
      </w:tr>
      <w:tr w:rsidR="005C505D" w14:paraId="3B1727AD" w14:textId="77777777" w:rsidTr="001F545B">
        <w:trPr>
          <w:cantSplit/>
          <w:trHeight w:val="129"/>
        </w:trPr>
        <w:tc>
          <w:tcPr>
            <w:tcW w:w="3706" w:type="dxa"/>
            <w:vAlign w:val="center"/>
          </w:tcPr>
          <w:p w14:paraId="33809CFD" w14:textId="77777777" w:rsidR="005C505D" w:rsidRPr="00DF44E4" w:rsidRDefault="005C505D" w:rsidP="00DF44E4">
            <w:pPr>
              <w:pStyle w:val="Tabletext"/>
              <w:keepNext/>
              <w:tabs>
                <w:tab w:val="left" w:pos="142"/>
              </w:tabs>
            </w:pPr>
            <w:r w:rsidRPr="00DF44E4">
              <w:tab/>
              <w:t>vs. placebo</w:t>
            </w:r>
          </w:p>
        </w:tc>
        <w:tc>
          <w:tcPr>
            <w:tcW w:w="1347" w:type="dxa"/>
            <w:vAlign w:val="center"/>
          </w:tcPr>
          <w:p w14:paraId="68136B54" w14:textId="37F01474" w:rsidR="005C505D" w:rsidRPr="00DF44E4" w:rsidRDefault="00DF44E4" w:rsidP="00DF44E4">
            <w:pPr>
              <w:pStyle w:val="Tabletext"/>
              <w:keepNext/>
              <w:jc w:val="center"/>
              <w:rPr>
                <w:rFonts w:cs="Arial"/>
                <w:szCs w:val="20"/>
              </w:rPr>
            </w:pPr>
            <w:r w:rsidRPr="00DF44E4">
              <w:rPr>
                <w:szCs w:val="20"/>
              </w:rPr>
              <w:t xml:space="preserve"> </w:t>
            </w:r>
            <w:r w:rsidR="00E228B8" w:rsidRPr="00E228B8">
              <w:rPr>
                <w:rFonts w:hint="eastAsia"/>
                <w:color w:val="000000"/>
                <w:w w:val="20"/>
                <w:szCs w:val="20"/>
                <w:shd w:val="solid" w:color="000000" w:fill="000000"/>
                <w:fitText w:val="92" w:id="-1234458361"/>
                <w14:textFill>
                  <w14:solidFill>
                    <w14:srgbClr w14:val="000000">
                      <w14:alpha w14:val="100000"/>
                    </w14:srgbClr>
                  </w14:solidFill>
                </w14:textFill>
              </w:rPr>
              <w:t xml:space="preserve">　</w:t>
            </w:r>
            <w:r w:rsidR="00E228B8" w:rsidRPr="00E228B8">
              <w:rPr>
                <w:color w:val="000000"/>
                <w:w w:val="20"/>
                <w:szCs w:val="20"/>
                <w:shd w:val="solid" w:color="000000" w:fill="000000"/>
                <w:fitText w:val="92" w:id="-1234458361"/>
                <w14:textFill>
                  <w14:solidFill>
                    <w14:srgbClr w14:val="000000">
                      <w14:alpha w14:val="100000"/>
                    </w14:srgbClr>
                  </w14:solidFill>
                </w14:textFill>
              </w:rPr>
              <w:t>|</w:t>
            </w:r>
            <w:r w:rsidR="00E228B8" w:rsidRPr="00E228B8">
              <w:rPr>
                <w:rFonts w:hint="eastAsia"/>
                <w:color w:val="000000"/>
                <w:spacing w:val="5"/>
                <w:w w:val="20"/>
                <w:szCs w:val="20"/>
                <w:shd w:val="solid" w:color="000000" w:fill="000000"/>
                <w:fitText w:val="92" w:id="-1234458361"/>
                <w14:textFill>
                  <w14:solidFill>
                    <w14:srgbClr w14:val="000000">
                      <w14:alpha w14:val="100000"/>
                    </w14:srgbClr>
                  </w14:solidFill>
                </w14:textFill>
              </w:rPr>
              <w:t xml:space="preserve">　</w:t>
            </w:r>
          </w:p>
        </w:tc>
        <w:tc>
          <w:tcPr>
            <w:tcW w:w="1467" w:type="dxa"/>
            <w:vAlign w:val="center"/>
          </w:tcPr>
          <w:p w14:paraId="4C09520D" w14:textId="77777777" w:rsidR="005C505D" w:rsidRPr="00DF44E4" w:rsidRDefault="005C505D" w:rsidP="00DF44E4">
            <w:pPr>
              <w:pStyle w:val="Tabletext"/>
              <w:keepNext/>
              <w:jc w:val="center"/>
              <w:rPr>
                <w:rFonts w:cs="Arial"/>
                <w:bCs/>
                <w:szCs w:val="20"/>
              </w:rPr>
            </w:pPr>
            <w:r w:rsidRPr="00DF44E4">
              <w:rPr>
                <w:rFonts w:cs="Arial"/>
                <w:bCs/>
                <w:szCs w:val="20"/>
              </w:rPr>
              <w:t>69.1%</w:t>
            </w:r>
          </w:p>
        </w:tc>
        <w:tc>
          <w:tcPr>
            <w:tcW w:w="1265" w:type="dxa"/>
            <w:vAlign w:val="center"/>
          </w:tcPr>
          <w:p w14:paraId="1C9DA314" w14:textId="2F869BCE"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60"/>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60"/>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1</w:t>
            </w:r>
          </w:p>
        </w:tc>
        <w:tc>
          <w:tcPr>
            <w:tcW w:w="1232" w:type="dxa"/>
            <w:vAlign w:val="center"/>
          </w:tcPr>
          <w:p w14:paraId="6685EE63" w14:textId="77777777" w:rsidR="005C505D" w:rsidRPr="00DF44E4" w:rsidRDefault="005C505D" w:rsidP="00DF44E4">
            <w:pPr>
              <w:pStyle w:val="Tabletext"/>
              <w:keepNext/>
              <w:jc w:val="center"/>
              <w:rPr>
                <w:rFonts w:cs="Arial"/>
                <w:szCs w:val="20"/>
              </w:rPr>
            </w:pPr>
          </w:p>
        </w:tc>
      </w:tr>
      <w:tr w:rsidR="005C505D" w14:paraId="4F4AD9A8" w14:textId="77777777" w:rsidTr="001F545B">
        <w:trPr>
          <w:cantSplit/>
          <w:trHeight w:val="129"/>
        </w:trPr>
        <w:tc>
          <w:tcPr>
            <w:tcW w:w="3706" w:type="dxa"/>
            <w:vAlign w:val="center"/>
          </w:tcPr>
          <w:p w14:paraId="0259FE47" w14:textId="2B69B33D" w:rsidR="005C505D" w:rsidRPr="00DF44E4" w:rsidRDefault="005C505D" w:rsidP="00DF44E4">
            <w:pPr>
              <w:pStyle w:val="Tabletext"/>
              <w:keepNext/>
              <w:tabs>
                <w:tab w:val="left" w:pos="142"/>
              </w:tabs>
            </w:pPr>
            <w:r w:rsidRPr="00DF44E4">
              <w:tab/>
              <w:t>vs. metyrapone</w:t>
            </w:r>
            <w:r w:rsidR="00543897" w:rsidRPr="00DF44E4">
              <w:t xml:space="preserve"> ($2,575.00)</w:t>
            </w:r>
          </w:p>
        </w:tc>
        <w:tc>
          <w:tcPr>
            <w:tcW w:w="1347" w:type="dxa"/>
            <w:vAlign w:val="center"/>
          </w:tcPr>
          <w:p w14:paraId="517CA8E2" w14:textId="1F1EEF21" w:rsidR="005C505D" w:rsidRPr="00DF44E4" w:rsidRDefault="00DF44E4" w:rsidP="00DF44E4">
            <w:pPr>
              <w:pStyle w:val="Tabletext"/>
              <w:keepNext/>
              <w:jc w:val="center"/>
              <w:rPr>
                <w:rFonts w:cs="Arial"/>
                <w:szCs w:val="20"/>
              </w:rPr>
            </w:pPr>
            <w:r w:rsidRPr="00DF44E4">
              <w:rPr>
                <w:rFonts w:cs="Arial"/>
                <w:szCs w:val="20"/>
              </w:rPr>
              <w:t xml:space="preserve"> </w:t>
            </w:r>
            <w:r w:rsidR="00E228B8" w:rsidRPr="00E228B8">
              <w:rPr>
                <w:rFonts w:cs="Arial" w:hint="eastAsia"/>
                <w:color w:val="000000"/>
                <w:w w:val="20"/>
                <w:szCs w:val="20"/>
                <w:shd w:val="solid" w:color="000000" w:fill="000000"/>
                <w:fitText w:val="92" w:id="-1234458359"/>
                <w14:textFill>
                  <w14:solidFill>
                    <w14:srgbClr w14:val="000000">
                      <w14:alpha w14:val="100000"/>
                    </w14:srgbClr>
                  </w14:solidFill>
                </w14:textFill>
              </w:rPr>
              <w:t xml:space="preserve">　</w:t>
            </w:r>
            <w:r w:rsidR="00E228B8" w:rsidRPr="00E228B8">
              <w:rPr>
                <w:rFonts w:cs="Arial"/>
                <w:color w:val="000000"/>
                <w:w w:val="20"/>
                <w:szCs w:val="20"/>
                <w:shd w:val="solid" w:color="000000" w:fill="000000"/>
                <w:fitText w:val="92" w:id="-1234458359"/>
                <w14:textFill>
                  <w14:solidFill>
                    <w14:srgbClr w14:val="000000">
                      <w14:alpha w14:val="100000"/>
                    </w14:srgbClr>
                  </w14:solidFill>
                </w14:textFill>
              </w:rPr>
              <w:t>|</w:t>
            </w:r>
            <w:r w:rsidR="00E228B8" w:rsidRPr="00E228B8">
              <w:rPr>
                <w:rFonts w:cs="Arial" w:hint="eastAsia"/>
                <w:color w:val="000000"/>
                <w:spacing w:val="5"/>
                <w:w w:val="20"/>
                <w:szCs w:val="20"/>
                <w:shd w:val="solid" w:color="000000" w:fill="000000"/>
                <w:fitText w:val="92" w:id="-1234458359"/>
                <w14:textFill>
                  <w14:solidFill>
                    <w14:srgbClr w14:val="000000">
                      <w14:alpha w14:val="100000"/>
                    </w14:srgbClr>
                  </w14:solidFill>
                </w14:textFill>
              </w:rPr>
              <w:t xml:space="preserve">　</w:t>
            </w:r>
          </w:p>
        </w:tc>
        <w:tc>
          <w:tcPr>
            <w:tcW w:w="1467" w:type="dxa"/>
            <w:vAlign w:val="center"/>
          </w:tcPr>
          <w:p w14:paraId="3667BDB2" w14:textId="77777777" w:rsidR="005C505D" w:rsidRPr="00DF44E4" w:rsidRDefault="005C505D" w:rsidP="00DF44E4">
            <w:pPr>
              <w:pStyle w:val="Tabletext"/>
              <w:keepNext/>
              <w:jc w:val="center"/>
              <w:rPr>
                <w:rFonts w:cs="Arial"/>
                <w:bCs/>
                <w:szCs w:val="20"/>
              </w:rPr>
            </w:pPr>
            <w:r w:rsidRPr="00DF44E4">
              <w:rPr>
                <w:rFonts w:cs="Arial"/>
                <w:bCs/>
                <w:szCs w:val="20"/>
              </w:rPr>
              <w:t>30.1%</w:t>
            </w:r>
          </w:p>
        </w:tc>
        <w:tc>
          <w:tcPr>
            <w:tcW w:w="1265" w:type="dxa"/>
            <w:vAlign w:val="center"/>
          </w:tcPr>
          <w:p w14:paraId="44E52D1B" w14:textId="4B2F39D0"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58"/>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58"/>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3</w:t>
            </w:r>
          </w:p>
        </w:tc>
        <w:tc>
          <w:tcPr>
            <w:tcW w:w="1232" w:type="dxa"/>
            <w:vAlign w:val="center"/>
          </w:tcPr>
          <w:p w14:paraId="27003DAD" w14:textId="77777777" w:rsidR="005C505D" w:rsidRPr="00DF44E4" w:rsidRDefault="005C505D" w:rsidP="00DF44E4">
            <w:pPr>
              <w:pStyle w:val="Tabletext"/>
              <w:keepNext/>
              <w:jc w:val="center"/>
              <w:rPr>
                <w:rFonts w:cs="Arial"/>
                <w:szCs w:val="20"/>
              </w:rPr>
            </w:pPr>
            <w:r w:rsidRPr="00DF44E4">
              <w:rPr>
                <w:rFonts w:cs="Arial"/>
                <w:szCs w:val="20"/>
              </w:rPr>
              <w:t>-14.6%</w:t>
            </w:r>
          </w:p>
        </w:tc>
      </w:tr>
      <w:tr w:rsidR="005C505D" w14:paraId="3981A2E5" w14:textId="77777777" w:rsidTr="001F545B">
        <w:trPr>
          <w:cantSplit/>
          <w:trHeight w:val="129"/>
        </w:trPr>
        <w:tc>
          <w:tcPr>
            <w:tcW w:w="3706" w:type="dxa"/>
            <w:vAlign w:val="center"/>
          </w:tcPr>
          <w:p w14:paraId="058CEAA3" w14:textId="720B20B0" w:rsidR="005C505D" w:rsidRPr="00DF44E4" w:rsidRDefault="005C505D" w:rsidP="00DF44E4">
            <w:pPr>
              <w:pStyle w:val="Tabletext"/>
              <w:keepNext/>
              <w:tabs>
                <w:tab w:val="left" w:pos="142"/>
              </w:tabs>
            </w:pPr>
            <w:r w:rsidRPr="00DF44E4">
              <w:rPr>
                <w:iCs/>
              </w:rPr>
              <w:tab/>
            </w:r>
            <w:r w:rsidRPr="00DF44E4">
              <w:t>vs. ketoconazole</w:t>
            </w:r>
            <w:r w:rsidR="00543897" w:rsidRPr="00DF44E4">
              <w:t xml:space="preserve"> ($2,575.00)</w:t>
            </w:r>
          </w:p>
        </w:tc>
        <w:tc>
          <w:tcPr>
            <w:tcW w:w="1347" w:type="dxa"/>
            <w:vAlign w:val="center"/>
          </w:tcPr>
          <w:p w14:paraId="0A121236" w14:textId="53A7B0E3" w:rsidR="005C505D" w:rsidRPr="00DF44E4" w:rsidRDefault="00DF44E4" w:rsidP="00DF44E4">
            <w:pPr>
              <w:pStyle w:val="Tabletext"/>
              <w:keepNext/>
              <w:jc w:val="center"/>
              <w:rPr>
                <w:rFonts w:cs="Arial"/>
                <w:szCs w:val="20"/>
              </w:rPr>
            </w:pPr>
            <w:r w:rsidRPr="00DF44E4">
              <w:rPr>
                <w:rFonts w:cs="Arial"/>
                <w:szCs w:val="20"/>
              </w:rPr>
              <w:t xml:space="preserve"> </w:t>
            </w:r>
            <w:r w:rsidR="00E228B8" w:rsidRPr="00E228B8">
              <w:rPr>
                <w:rFonts w:cs="Arial" w:hint="eastAsia"/>
                <w:color w:val="000000"/>
                <w:w w:val="20"/>
                <w:szCs w:val="20"/>
                <w:shd w:val="solid" w:color="000000" w:fill="000000"/>
                <w:fitText w:val="92" w:id="-1234458357"/>
                <w14:textFill>
                  <w14:solidFill>
                    <w14:srgbClr w14:val="000000">
                      <w14:alpha w14:val="100000"/>
                    </w14:srgbClr>
                  </w14:solidFill>
                </w14:textFill>
              </w:rPr>
              <w:t xml:space="preserve">　</w:t>
            </w:r>
            <w:r w:rsidR="00E228B8" w:rsidRPr="00E228B8">
              <w:rPr>
                <w:rFonts w:cs="Arial"/>
                <w:color w:val="000000"/>
                <w:w w:val="20"/>
                <w:szCs w:val="20"/>
                <w:shd w:val="solid" w:color="000000" w:fill="000000"/>
                <w:fitText w:val="92" w:id="-1234458357"/>
                <w14:textFill>
                  <w14:solidFill>
                    <w14:srgbClr w14:val="000000">
                      <w14:alpha w14:val="100000"/>
                    </w14:srgbClr>
                  </w14:solidFill>
                </w14:textFill>
              </w:rPr>
              <w:t>|</w:t>
            </w:r>
            <w:r w:rsidR="00E228B8" w:rsidRPr="00E228B8">
              <w:rPr>
                <w:rFonts w:cs="Arial" w:hint="eastAsia"/>
                <w:color w:val="000000"/>
                <w:spacing w:val="5"/>
                <w:w w:val="20"/>
                <w:szCs w:val="20"/>
                <w:shd w:val="solid" w:color="000000" w:fill="000000"/>
                <w:fitText w:val="92" w:id="-1234458357"/>
                <w14:textFill>
                  <w14:solidFill>
                    <w14:srgbClr w14:val="000000">
                      <w14:alpha w14:val="100000"/>
                    </w14:srgbClr>
                  </w14:solidFill>
                </w14:textFill>
              </w:rPr>
              <w:t xml:space="preserve">　</w:t>
            </w:r>
          </w:p>
        </w:tc>
        <w:tc>
          <w:tcPr>
            <w:tcW w:w="1467" w:type="dxa"/>
            <w:vAlign w:val="center"/>
          </w:tcPr>
          <w:p w14:paraId="72514E6C" w14:textId="77777777" w:rsidR="005C505D" w:rsidRPr="00DF44E4" w:rsidRDefault="005C505D" w:rsidP="00DF44E4">
            <w:pPr>
              <w:pStyle w:val="Tabletext"/>
              <w:keepNext/>
              <w:jc w:val="center"/>
              <w:rPr>
                <w:rFonts w:cs="Arial"/>
                <w:bCs/>
                <w:szCs w:val="20"/>
              </w:rPr>
            </w:pPr>
            <w:r w:rsidRPr="00DF44E4">
              <w:rPr>
                <w:rFonts w:cs="Arial"/>
                <w:bCs/>
                <w:szCs w:val="20"/>
              </w:rPr>
              <w:t>32.4%</w:t>
            </w:r>
          </w:p>
        </w:tc>
        <w:tc>
          <w:tcPr>
            <w:tcW w:w="1265" w:type="dxa"/>
            <w:vAlign w:val="center"/>
          </w:tcPr>
          <w:p w14:paraId="343A76E7" w14:textId="49098BE5" w:rsidR="005C505D" w:rsidRPr="00DF44E4" w:rsidRDefault="00E228B8" w:rsidP="00DF44E4">
            <w:pPr>
              <w:keepNext/>
              <w:jc w:val="center"/>
              <w:rPr>
                <w:rFonts w:ascii="Arial Narrow" w:hAnsi="Arial Narrow"/>
                <w:sz w:val="20"/>
                <w:szCs w:val="20"/>
              </w:rPr>
            </w:pPr>
            <w:r w:rsidRPr="00E228B8">
              <w:rPr>
                <w:rFonts w:ascii="Arial Narrow" w:hAnsi="Arial Narrow"/>
                <w:color w:val="000000"/>
                <w:spacing w:val="75"/>
                <w:sz w:val="20"/>
                <w:szCs w:val="20"/>
                <w:shd w:val="solid" w:color="000000" w:fill="000000"/>
                <w:fitText w:val="161" w:id="-1234458356"/>
                <w14:textFill>
                  <w14:solidFill>
                    <w14:srgbClr w14:val="000000">
                      <w14:alpha w14:val="100000"/>
                    </w14:srgbClr>
                  </w14:solidFill>
                </w14:textFill>
              </w:rPr>
              <w:t>|</w:t>
            </w:r>
            <w:r w:rsidRPr="00E228B8">
              <w:rPr>
                <w:rFonts w:ascii="Arial Narrow" w:hAnsi="Arial Narrow"/>
                <w:color w:val="000000"/>
                <w:spacing w:val="1"/>
                <w:sz w:val="20"/>
                <w:szCs w:val="20"/>
                <w:shd w:val="solid" w:color="000000" w:fill="000000"/>
                <w:fitText w:val="161" w:id="-1234458356"/>
                <w14:textFill>
                  <w14:solidFill>
                    <w14:srgbClr w14:val="000000">
                      <w14:alpha w14:val="100000"/>
                    </w14:srgbClr>
                  </w14:solidFill>
                </w14:textFill>
              </w:rPr>
              <w:t>|</w:t>
            </w:r>
            <w:r w:rsidR="00DF44E4" w:rsidRPr="00DF44E4">
              <w:rPr>
                <w:rFonts w:ascii="Arial Narrow" w:hAnsi="Arial Narrow"/>
                <w:b/>
                <w:sz w:val="20"/>
                <w:szCs w:val="20"/>
              </w:rPr>
              <w:t xml:space="preserve"> </w:t>
            </w:r>
            <w:r w:rsidR="00DF44E4" w:rsidRPr="00DF44E4">
              <w:rPr>
                <w:rFonts w:ascii="Arial Narrow" w:hAnsi="Arial Narrow"/>
                <w:b/>
                <w:sz w:val="20"/>
                <w:szCs w:val="20"/>
                <w:vertAlign w:val="superscript"/>
              </w:rPr>
              <w:t>3</w:t>
            </w:r>
          </w:p>
        </w:tc>
        <w:tc>
          <w:tcPr>
            <w:tcW w:w="1232" w:type="dxa"/>
            <w:vAlign w:val="center"/>
          </w:tcPr>
          <w:p w14:paraId="41F04486" w14:textId="77777777" w:rsidR="005C505D" w:rsidRPr="00DF44E4" w:rsidRDefault="005C505D" w:rsidP="00DF44E4">
            <w:pPr>
              <w:pStyle w:val="Tabletext"/>
              <w:keepNext/>
              <w:jc w:val="center"/>
              <w:rPr>
                <w:rFonts w:cs="Arial"/>
                <w:szCs w:val="20"/>
              </w:rPr>
            </w:pPr>
            <w:r w:rsidRPr="00DF44E4">
              <w:rPr>
                <w:rFonts w:cs="Arial"/>
                <w:szCs w:val="20"/>
              </w:rPr>
              <w:t>-14.6%</w:t>
            </w:r>
          </w:p>
        </w:tc>
      </w:tr>
    </w:tbl>
    <w:p w14:paraId="3DE90AAE" w14:textId="3D976C9E" w:rsidR="001F4081" w:rsidRDefault="005C505D" w:rsidP="00DF44E4">
      <w:pPr>
        <w:pStyle w:val="FooterTableFigure"/>
        <w:keepNext/>
      </w:pPr>
      <w:r>
        <w:t xml:space="preserve">Source: </w:t>
      </w:r>
      <w:r w:rsidRPr="00AB08F8">
        <w:t>Table 3.8-1, p291 of the submission.</w:t>
      </w:r>
    </w:p>
    <w:p w14:paraId="1102C3AF" w14:textId="77777777" w:rsidR="00DF44E4" w:rsidRPr="00DF44E4" w:rsidRDefault="00DF44E4" w:rsidP="00DF44E4">
      <w:pPr>
        <w:pStyle w:val="FooterTableFigure"/>
        <w:keepNext/>
        <w:rPr>
          <w:i/>
        </w:rPr>
      </w:pPr>
      <w:r w:rsidRPr="00DF44E4">
        <w:rPr>
          <w:i/>
        </w:rPr>
        <w:t xml:space="preserve">The redacted values correspond to the following ranges: </w:t>
      </w:r>
    </w:p>
    <w:p w14:paraId="3219CA7F" w14:textId="77777777" w:rsidR="00DF44E4" w:rsidRPr="00DF44E4" w:rsidRDefault="00DF44E4" w:rsidP="00DF44E4">
      <w:pPr>
        <w:pStyle w:val="FooterTableFigure"/>
        <w:keepNext/>
        <w:rPr>
          <w:i/>
        </w:rPr>
      </w:pPr>
      <w:r w:rsidRPr="00DF44E4">
        <w:rPr>
          <w:i/>
          <w:vertAlign w:val="superscript"/>
        </w:rPr>
        <w:t>1</w:t>
      </w:r>
      <w:r w:rsidRPr="00DF44E4">
        <w:rPr>
          <w:i/>
        </w:rPr>
        <w:t xml:space="preserve"> $25,000 to &lt; $35,000</w:t>
      </w:r>
    </w:p>
    <w:p w14:paraId="227A2D46" w14:textId="77777777" w:rsidR="00DF44E4" w:rsidRPr="00DF44E4" w:rsidRDefault="00DF44E4" w:rsidP="00DF44E4">
      <w:pPr>
        <w:pStyle w:val="FooterTableFigure"/>
        <w:keepNext/>
        <w:rPr>
          <w:i/>
        </w:rPr>
      </w:pPr>
      <w:r w:rsidRPr="00DF44E4">
        <w:rPr>
          <w:i/>
          <w:vertAlign w:val="superscript"/>
        </w:rPr>
        <w:t>2</w:t>
      </w:r>
      <w:r w:rsidRPr="00DF44E4">
        <w:rPr>
          <w:i/>
        </w:rPr>
        <w:t xml:space="preserve"> $55,000 to &lt; $75,000</w:t>
      </w:r>
    </w:p>
    <w:p w14:paraId="752EB932" w14:textId="2158FB0A" w:rsidR="00DF44E4" w:rsidRPr="00DF44E4" w:rsidRDefault="00DF44E4" w:rsidP="00DF44E4">
      <w:pPr>
        <w:pStyle w:val="FooterTableFigure"/>
        <w:rPr>
          <w:i/>
        </w:rPr>
      </w:pPr>
      <w:r w:rsidRPr="00DF44E4">
        <w:rPr>
          <w:i/>
          <w:vertAlign w:val="superscript"/>
        </w:rPr>
        <w:t>3</w:t>
      </w:r>
      <w:r w:rsidRPr="00DF44E4">
        <w:rPr>
          <w:i/>
        </w:rPr>
        <w:t xml:space="preserve"> $45,000 to &lt; $55,000</w:t>
      </w:r>
    </w:p>
    <w:p w14:paraId="74731D21" w14:textId="3373CC1F" w:rsidR="005A373D" w:rsidRPr="00721D5A" w:rsidRDefault="009168B4" w:rsidP="00BB732D">
      <w:pPr>
        <w:pStyle w:val="3-BodyText"/>
        <w:rPr>
          <w:iCs/>
        </w:rPr>
      </w:pPr>
      <w:r w:rsidRPr="00721D5A">
        <w:rPr>
          <w:iCs/>
        </w:rPr>
        <w:t xml:space="preserve">Sensitivity analysis using pooled osilodrostat data </w:t>
      </w:r>
      <w:r w:rsidR="00D969C9" w:rsidRPr="00721D5A">
        <w:rPr>
          <w:iCs/>
        </w:rPr>
        <w:t>provided</w:t>
      </w:r>
      <w:r w:rsidRPr="00721D5A">
        <w:rPr>
          <w:iCs/>
        </w:rPr>
        <w:t xml:space="preserve"> limited informat</w:t>
      </w:r>
      <w:r w:rsidR="00D969C9" w:rsidRPr="00721D5A">
        <w:rPr>
          <w:iCs/>
        </w:rPr>
        <w:t xml:space="preserve">ion. </w:t>
      </w:r>
      <w:r w:rsidRPr="00721D5A">
        <w:rPr>
          <w:iCs/>
        </w:rPr>
        <w:t xml:space="preserve">The </w:t>
      </w:r>
      <w:r w:rsidR="00327CEC" w:rsidRPr="00721D5A">
        <w:rPr>
          <w:iCs/>
        </w:rPr>
        <w:t xml:space="preserve">selection bias in the </w:t>
      </w:r>
      <w:r w:rsidR="004C27DD" w:rsidRPr="00721D5A">
        <w:rPr>
          <w:iCs/>
        </w:rPr>
        <w:t>L</w:t>
      </w:r>
      <w:r w:rsidRPr="00721D5A">
        <w:rPr>
          <w:iCs/>
        </w:rPr>
        <w:t xml:space="preserve">INC 3 trial </w:t>
      </w:r>
      <w:r w:rsidR="00327CEC" w:rsidRPr="00721D5A">
        <w:rPr>
          <w:iCs/>
        </w:rPr>
        <w:t>mean</w:t>
      </w:r>
      <w:r w:rsidR="009C2651">
        <w:rPr>
          <w:iCs/>
        </w:rPr>
        <w:t>t</w:t>
      </w:r>
      <w:r w:rsidR="00327CEC" w:rsidRPr="00721D5A">
        <w:rPr>
          <w:iCs/>
        </w:rPr>
        <w:t xml:space="preserve"> that any estimate of effect size was likely to be overestimated</w:t>
      </w:r>
      <w:r w:rsidRPr="00721D5A">
        <w:rPr>
          <w:iCs/>
        </w:rPr>
        <w:t>, as patients were not randomised unless they were responders, and C120</w:t>
      </w:r>
      <w:r w:rsidR="00BE6BD9" w:rsidRPr="00721D5A">
        <w:rPr>
          <w:iCs/>
        </w:rPr>
        <w:t xml:space="preserve">1 </w:t>
      </w:r>
      <w:r w:rsidRPr="00721D5A">
        <w:rPr>
          <w:iCs/>
        </w:rPr>
        <w:t>was a very smal</w:t>
      </w:r>
      <w:r w:rsidR="00327CEC" w:rsidRPr="00721D5A">
        <w:rPr>
          <w:iCs/>
        </w:rPr>
        <w:t>l (N = 9) open-label single arm trial that was also at high risk of bias</w:t>
      </w:r>
      <w:r w:rsidRPr="00721D5A">
        <w:rPr>
          <w:iCs/>
        </w:rPr>
        <w:t>.</w:t>
      </w:r>
    </w:p>
    <w:p w14:paraId="782E6DCA" w14:textId="128D3737" w:rsidR="00177524" w:rsidRPr="008C713C" w:rsidRDefault="00327CEC" w:rsidP="005C505D">
      <w:pPr>
        <w:pStyle w:val="3-BodyText"/>
      </w:pPr>
      <w:r w:rsidRPr="00721D5A">
        <w:rPr>
          <w:rFonts w:eastAsia="Calibri"/>
          <w:szCs w:val="20"/>
        </w:rPr>
        <w:t>The sensitivity analysis applying a cost of $</w:t>
      </w:r>
      <w:r w:rsidR="000A3F2F" w:rsidRPr="00721D5A">
        <w:rPr>
          <w:rFonts w:eastAsia="Calibri"/>
          <w:szCs w:val="20"/>
        </w:rPr>
        <w:t>2,575</w:t>
      </w:r>
      <w:r w:rsidR="00BD1DC3" w:rsidRPr="00721D5A">
        <w:rPr>
          <w:rFonts w:eastAsia="Calibri"/>
          <w:szCs w:val="20"/>
        </w:rPr>
        <w:t>.38</w:t>
      </w:r>
      <w:r w:rsidRPr="00721D5A">
        <w:rPr>
          <w:rFonts w:eastAsia="Calibri"/>
          <w:szCs w:val="20"/>
        </w:rPr>
        <w:t xml:space="preserve"> to both metyrapone and ketoconazole</w:t>
      </w:r>
      <w:r w:rsidR="0046211D" w:rsidRPr="00721D5A">
        <w:rPr>
          <w:rFonts w:eastAsia="Calibri"/>
          <w:szCs w:val="20"/>
        </w:rPr>
        <w:t xml:space="preserve"> </w:t>
      </w:r>
      <w:r w:rsidR="00D82CAA" w:rsidRPr="00721D5A">
        <w:rPr>
          <w:rFonts w:eastAsia="Calibri"/>
          <w:szCs w:val="20"/>
        </w:rPr>
        <w:t>ha</w:t>
      </w:r>
      <w:r w:rsidR="002526D3">
        <w:rPr>
          <w:rFonts w:eastAsia="Calibri"/>
          <w:szCs w:val="20"/>
        </w:rPr>
        <w:t>d</w:t>
      </w:r>
      <w:r w:rsidR="00D82CAA" w:rsidRPr="00721D5A">
        <w:rPr>
          <w:rFonts w:eastAsia="Calibri"/>
          <w:szCs w:val="20"/>
        </w:rPr>
        <w:t xml:space="preserve"> limited</w:t>
      </w:r>
      <w:r w:rsidR="00C90C0F" w:rsidRPr="00721D5A">
        <w:rPr>
          <w:rFonts w:eastAsia="Calibri"/>
          <w:szCs w:val="20"/>
        </w:rPr>
        <w:t xml:space="preserve"> reliability.</w:t>
      </w:r>
      <w:r w:rsidR="004B485D" w:rsidRPr="00721D5A">
        <w:rPr>
          <w:rFonts w:eastAsia="Calibri"/>
          <w:szCs w:val="20"/>
        </w:rPr>
        <w:t xml:space="preserve"> </w:t>
      </w:r>
      <w:r w:rsidR="00C90C0F" w:rsidRPr="00721D5A">
        <w:rPr>
          <w:rFonts w:eastAsia="Calibri"/>
          <w:szCs w:val="20"/>
        </w:rPr>
        <w:t xml:space="preserve">The drug cost used was sourced from a single clinician questionnaire, and it </w:t>
      </w:r>
      <w:r w:rsidR="002526D3">
        <w:rPr>
          <w:rFonts w:eastAsia="Calibri"/>
          <w:szCs w:val="20"/>
        </w:rPr>
        <w:t>was</w:t>
      </w:r>
      <w:r w:rsidR="00C90C0F" w:rsidRPr="00721D5A">
        <w:rPr>
          <w:rFonts w:eastAsia="Calibri"/>
          <w:szCs w:val="20"/>
        </w:rPr>
        <w:t xml:space="preserve"> </w:t>
      </w:r>
      <w:r w:rsidR="00676CDA">
        <w:rPr>
          <w:rFonts w:eastAsia="Calibri"/>
          <w:szCs w:val="20"/>
        </w:rPr>
        <w:t>highly unlikely</w:t>
      </w:r>
      <w:r w:rsidR="00C90C0F" w:rsidRPr="00721D5A">
        <w:rPr>
          <w:rFonts w:eastAsia="Calibri"/>
          <w:szCs w:val="20"/>
        </w:rPr>
        <w:t xml:space="preserve"> the cost for metyrapone and ketoconazole w</w:t>
      </w:r>
      <w:r w:rsidR="002526D3">
        <w:rPr>
          <w:rFonts w:eastAsia="Calibri"/>
          <w:szCs w:val="20"/>
        </w:rPr>
        <w:t>ould</w:t>
      </w:r>
      <w:r w:rsidR="00C90C0F" w:rsidRPr="00721D5A">
        <w:rPr>
          <w:rFonts w:eastAsia="Calibri"/>
          <w:szCs w:val="20"/>
        </w:rPr>
        <w:t xml:space="preserve"> be identical.</w:t>
      </w:r>
      <w:r w:rsidR="004B485D" w:rsidRPr="00721D5A">
        <w:rPr>
          <w:rFonts w:eastAsia="Calibri"/>
          <w:szCs w:val="20"/>
        </w:rPr>
        <w:t xml:space="preserve"> </w:t>
      </w:r>
      <w:r w:rsidR="00167C67" w:rsidRPr="00721D5A">
        <w:rPr>
          <w:iCs/>
        </w:rPr>
        <w:t>A search of ketoconazole costs in pharmacies in the US found cost</w:t>
      </w:r>
      <w:r w:rsidR="00D969C9" w:rsidRPr="00721D5A">
        <w:rPr>
          <w:iCs/>
        </w:rPr>
        <w:t>s</w:t>
      </w:r>
      <w:r w:rsidR="00167C67" w:rsidRPr="00721D5A">
        <w:rPr>
          <w:iCs/>
        </w:rPr>
        <w:t xml:space="preserve"> ranging from $</w:t>
      </w:r>
      <w:r w:rsidR="008C1375" w:rsidRPr="00721D5A">
        <w:rPr>
          <w:iCs/>
        </w:rPr>
        <w:t>USD</w:t>
      </w:r>
      <w:r w:rsidR="00167C67" w:rsidRPr="00721D5A">
        <w:rPr>
          <w:iCs/>
        </w:rPr>
        <w:t>23.57 to $</w:t>
      </w:r>
      <w:r w:rsidR="008C1375" w:rsidRPr="00721D5A">
        <w:rPr>
          <w:iCs/>
        </w:rPr>
        <w:t>USD</w:t>
      </w:r>
      <w:r w:rsidR="00167C67" w:rsidRPr="00721D5A">
        <w:rPr>
          <w:iCs/>
        </w:rPr>
        <w:t>38.52 for 30 tablets of 200 mg, which would provide a month’s treatment for an adult.</w:t>
      </w:r>
      <w:r w:rsidR="004B485D" w:rsidRPr="00721D5A">
        <w:rPr>
          <w:iCs/>
        </w:rPr>
        <w:t xml:space="preserve"> </w:t>
      </w:r>
      <w:r w:rsidR="00167C67" w:rsidRPr="00721D5A">
        <w:rPr>
          <w:iCs/>
        </w:rPr>
        <w:t>These prices would result in a 12</w:t>
      </w:r>
      <w:r w:rsidR="004524A5">
        <w:rPr>
          <w:iCs/>
        </w:rPr>
        <w:t> </w:t>
      </w:r>
      <w:r w:rsidR="00167C67" w:rsidRPr="00721D5A">
        <w:rPr>
          <w:iCs/>
        </w:rPr>
        <w:t>week cost of $</w:t>
      </w:r>
      <w:r w:rsidR="008C1375" w:rsidRPr="00721D5A">
        <w:rPr>
          <w:iCs/>
        </w:rPr>
        <w:t>USD</w:t>
      </w:r>
      <w:r w:rsidR="00167C67" w:rsidRPr="00721D5A">
        <w:rPr>
          <w:iCs/>
        </w:rPr>
        <w:t>70.71 to $</w:t>
      </w:r>
      <w:r w:rsidR="008C1375" w:rsidRPr="00721D5A">
        <w:rPr>
          <w:iCs/>
        </w:rPr>
        <w:t>USD</w:t>
      </w:r>
      <w:r w:rsidR="00167C67" w:rsidRPr="00721D5A">
        <w:rPr>
          <w:iCs/>
        </w:rPr>
        <w:t>115.56.</w:t>
      </w:r>
      <w:r w:rsidR="004B485D" w:rsidRPr="00721D5A">
        <w:rPr>
          <w:iCs/>
        </w:rPr>
        <w:t xml:space="preserve"> </w:t>
      </w:r>
      <w:r w:rsidR="00167C67" w:rsidRPr="00721D5A">
        <w:rPr>
          <w:iCs/>
        </w:rPr>
        <w:t>Using the higher ketoconazole cost of $</w:t>
      </w:r>
      <w:r w:rsidR="008C1375" w:rsidRPr="00721D5A">
        <w:rPr>
          <w:iCs/>
        </w:rPr>
        <w:t>USD</w:t>
      </w:r>
      <w:r w:rsidR="00167C67" w:rsidRPr="00721D5A">
        <w:rPr>
          <w:iCs/>
        </w:rPr>
        <w:t xml:space="preserve">115.56, converted to </w:t>
      </w:r>
      <w:r w:rsidR="00EF7C0E">
        <w:rPr>
          <w:iCs/>
        </w:rPr>
        <w:t>AUD</w:t>
      </w:r>
      <w:r w:rsidR="00167C67" w:rsidRPr="00721D5A">
        <w:rPr>
          <w:iCs/>
        </w:rPr>
        <w:t xml:space="preserve">$172.01, would result in an ICER of </w:t>
      </w:r>
      <w:r w:rsidR="00EF7C0E">
        <w:rPr>
          <w:iCs/>
        </w:rPr>
        <w:t>AUD</w:t>
      </w:r>
      <w:r w:rsidR="004524A5" w:rsidRPr="004524A5">
        <w:rPr>
          <w:iCs/>
        </w:rPr>
        <w:t>$45,000 to &lt; $55,000</w:t>
      </w:r>
      <w:r w:rsidR="00167C67" w:rsidRPr="00721D5A">
        <w:rPr>
          <w:iCs/>
        </w:rPr>
        <w:t>, which differ</w:t>
      </w:r>
      <w:r w:rsidR="002526D3">
        <w:rPr>
          <w:iCs/>
        </w:rPr>
        <w:t>ed</w:t>
      </w:r>
      <w:r w:rsidR="00167C67" w:rsidRPr="00721D5A">
        <w:rPr>
          <w:iCs/>
        </w:rPr>
        <w:t xml:space="preserve"> from the submission’s result of </w:t>
      </w:r>
      <w:r w:rsidR="00EF7C0E">
        <w:rPr>
          <w:iCs/>
        </w:rPr>
        <w:t>AUD</w:t>
      </w:r>
      <w:r w:rsidR="004524A5" w:rsidRPr="004524A5">
        <w:rPr>
          <w:iCs/>
        </w:rPr>
        <w:t>$45,000 to &lt; $55,000</w:t>
      </w:r>
      <w:r w:rsidR="00167C67" w:rsidRPr="00721D5A">
        <w:rPr>
          <w:iCs/>
        </w:rPr>
        <w:t>.</w:t>
      </w:r>
      <w:r w:rsidR="009D04F3">
        <w:rPr>
          <w:iCs/>
        </w:rPr>
        <w:t xml:space="preserve"> </w:t>
      </w:r>
      <w:r w:rsidR="009D04F3" w:rsidRPr="008C713C">
        <w:t>The PSCR highlighted that whilst ketoconazole was not FDA approved for the treatment of CS, it was EMA approved for the treatment of CS, with the regulated pharmacy purchase (ex-manufacturer) prices for 60 x 200</w:t>
      </w:r>
      <w:r w:rsidR="004524A5">
        <w:t> </w:t>
      </w:r>
      <w:r w:rsidR="009D04F3" w:rsidRPr="008C713C">
        <w:t>mg tablets ranging between €556</w:t>
      </w:r>
      <w:r w:rsidR="006E159A">
        <w:t xml:space="preserve"> (AUD</w:t>
      </w:r>
      <w:r w:rsidR="00EF7C0E">
        <w:t>$</w:t>
      </w:r>
      <w:r w:rsidR="006E159A">
        <w:t>907)</w:t>
      </w:r>
      <w:r w:rsidR="009D04F3" w:rsidRPr="008C713C">
        <w:t xml:space="preserve"> and €627</w:t>
      </w:r>
      <w:r w:rsidR="006E159A">
        <w:t xml:space="preserve"> (AUD</w:t>
      </w:r>
      <w:r w:rsidR="00EF7C0E">
        <w:t>$</w:t>
      </w:r>
      <w:r w:rsidR="006E159A">
        <w:t>1023)</w:t>
      </w:r>
      <w:r w:rsidR="009D04F3" w:rsidRPr="008C713C">
        <w:t xml:space="preserve"> in France, Germany, and Italy and ₤515 </w:t>
      </w:r>
      <w:r w:rsidR="006E159A">
        <w:t>(AUD</w:t>
      </w:r>
      <w:r w:rsidR="00EF7C0E">
        <w:t>$</w:t>
      </w:r>
      <w:r w:rsidR="006E159A">
        <w:t xml:space="preserve">958) </w:t>
      </w:r>
      <w:r w:rsidR="009D04F3" w:rsidRPr="008C713C">
        <w:t xml:space="preserve">in the UK. </w:t>
      </w:r>
    </w:p>
    <w:p w14:paraId="5EBDA23B" w14:textId="285D2EF6" w:rsidR="00621385" w:rsidRPr="00621385" w:rsidRDefault="00593987" w:rsidP="00CB52F7">
      <w:pPr>
        <w:pStyle w:val="3-BodyText"/>
        <w:rPr>
          <w:iCs/>
        </w:rPr>
      </w:pPr>
      <w:bookmarkStart w:id="44" w:name="_Ref130477637"/>
      <w:r w:rsidRPr="008C713C">
        <w:t xml:space="preserve">The ESC considered that </w:t>
      </w:r>
      <w:r w:rsidR="007078B8">
        <w:t>i</w:t>
      </w:r>
      <w:r w:rsidRPr="008C713C">
        <w:t xml:space="preserve">nterpretation of the results </w:t>
      </w:r>
      <w:r w:rsidR="009C2651">
        <w:t>was</w:t>
      </w:r>
      <w:r w:rsidRPr="008C713C">
        <w:t xml:space="preserve"> hindered by the lack of evidence of patient-relevant health benefits over</w:t>
      </w:r>
      <w:r w:rsidR="009C2651">
        <w:t xml:space="preserve"> </w:t>
      </w:r>
      <w:r w:rsidR="009C2651" w:rsidRPr="008C713C">
        <w:t>time</w:t>
      </w:r>
      <w:r w:rsidRPr="008C713C">
        <w:t xml:space="preserve"> and the signal of a</w:t>
      </w:r>
      <w:r w:rsidR="009C2651">
        <w:t xml:space="preserve"> potential</w:t>
      </w:r>
      <w:r w:rsidRPr="008C713C">
        <w:t xml:space="preserve"> loss of response with longer term use. </w:t>
      </w:r>
      <w:r w:rsidR="009C2651">
        <w:t>The ESC advised that t</w:t>
      </w:r>
      <w:r w:rsidRPr="008C713C">
        <w:t>he model should have tested incorporating a decline in response over a longer period and should at a minimum have aligned with the duration of treatment assumed for the financial implications (in this submission the mean duration of treatment was assumed to be 169.5 weeks based on a logarithmic trendline of the time to escape data from LINC 3; this assumption ha</w:t>
      </w:r>
      <w:r w:rsidR="009C2651">
        <w:t>d</w:t>
      </w:r>
      <w:r w:rsidRPr="008C713C">
        <w:t xml:space="preserve"> not been evaluated for the purposes of this economic evaluation). </w:t>
      </w:r>
      <w:r w:rsidRPr="008C713C">
        <w:lastRenderedPageBreak/>
        <w:t xml:space="preserve">If transformation of complete response into final outcomes or QALYS was not feasible, then further qualitative description was required to support the </w:t>
      </w:r>
      <w:r w:rsidR="00C038C1" w:rsidRPr="008C713C">
        <w:t xml:space="preserve">value of the response </w:t>
      </w:r>
      <w:r w:rsidRPr="008C713C">
        <w:t xml:space="preserve">outcome being modelled and whether longer term comorbidities described in section 4 above could be expected to be improved and, if so, sustained long-term if remission </w:t>
      </w:r>
      <w:r w:rsidR="009C2651">
        <w:t>was</w:t>
      </w:r>
      <w:r w:rsidRPr="008C713C">
        <w:t xml:space="preserve"> not durable</w:t>
      </w:r>
      <w:r w:rsidR="00C038C1" w:rsidRPr="008C713C">
        <w:t xml:space="preserve"> and treatment</w:t>
      </w:r>
      <w:r w:rsidR="009C2651">
        <w:t xml:space="preserve"> </w:t>
      </w:r>
      <w:r w:rsidR="00C038C1" w:rsidRPr="008C713C">
        <w:t>discontinued</w:t>
      </w:r>
      <w:r w:rsidRPr="008C713C">
        <w:t>.</w:t>
      </w:r>
      <w:bookmarkEnd w:id="44"/>
      <w:r w:rsidR="0008725F">
        <w:t xml:space="preserve"> </w:t>
      </w:r>
    </w:p>
    <w:p w14:paraId="00B87D6D" w14:textId="26E8EFA4" w:rsidR="00CB52F7" w:rsidRPr="004524A5" w:rsidRDefault="0003102A" w:rsidP="001151DF">
      <w:pPr>
        <w:pStyle w:val="3-BodyText"/>
        <w:rPr>
          <w:iCs/>
        </w:rPr>
      </w:pPr>
      <w:r>
        <w:t xml:space="preserve">The pre-PBAC response provided a revised cost per responder analysis considering a </w:t>
      </w:r>
      <w:r w:rsidR="00621385">
        <w:t xml:space="preserve">longer </w:t>
      </w:r>
      <w:r>
        <w:t xml:space="preserve">time horizon of 48 weeks and </w:t>
      </w:r>
      <w:r w:rsidRPr="00CB52F7">
        <w:t xml:space="preserve">assuming a weekly probability of loss of response of 1.05% for both osilodrostat and placebo. The probability of loss of response was estimated based on the 68.5% of patients who achieved a complete response to osilodrostat at week 12 and maintained this response at week 48. The weekly cost of osilodrostat </w:t>
      </w:r>
      <w:r>
        <w:t>was</w:t>
      </w:r>
      <w:r w:rsidRPr="00CB52F7">
        <w:t xml:space="preserve"> applied to the proportion of patients that continue</w:t>
      </w:r>
      <w:r>
        <w:t>d</w:t>
      </w:r>
      <w:r w:rsidRPr="00CB52F7">
        <w:t xml:space="preserve"> to be responders and the cost of placebo remain</w:t>
      </w:r>
      <w:r>
        <w:t>ed</w:t>
      </w:r>
      <w:r w:rsidRPr="00CB52F7">
        <w:t xml:space="preserve"> nil. Based on these assumptions, an alternative estimate of the incremental cost per responder at week 48 </w:t>
      </w:r>
      <w:r>
        <w:t>was</w:t>
      </w:r>
      <w:r w:rsidRPr="00CB52F7">
        <w:t xml:space="preserve"> </w:t>
      </w:r>
      <w:r w:rsidR="004524A5" w:rsidRPr="004524A5">
        <w:t>$95,000 to &lt; $115,000</w:t>
      </w:r>
      <w:r>
        <w:t>. The pre-PBAC response further argued that the evidence of durability of response from LINC 3 at Week 48 coupled with improvement in QoL and physical features from LINC 4 translated to responders experiencing at least 0.04 QALYs, 12-point improvement in Cushing’s QoL, 30% improvement in BDI-II as well as improvements in physical features (i.e., facial rubor, hirsutism, striae, supraclavicular fat pad, dorsal fat pad, muscle atrophy, central obesity and ecchymoses) and bone mineral density.</w:t>
      </w:r>
    </w:p>
    <w:p w14:paraId="29766A76" w14:textId="77364F43" w:rsidR="00896D5D" w:rsidRPr="008C713C" w:rsidRDefault="00C25D9C" w:rsidP="00AB08F8">
      <w:pPr>
        <w:pStyle w:val="4-SubsectionHeading"/>
        <w:rPr>
          <w:i w:val="0"/>
        </w:rPr>
      </w:pPr>
      <w:bookmarkStart w:id="45" w:name="_Toc22897646"/>
      <w:bookmarkStart w:id="46" w:name="_Toc124928102"/>
      <w:r w:rsidRPr="008C713C">
        <w:rPr>
          <w:i w:val="0"/>
        </w:rPr>
        <w:t>Drug cost/patient/yea</w:t>
      </w:r>
      <w:r w:rsidR="00BD2B05" w:rsidRPr="008C713C">
        <w:rPr>
          <w:i w:val="0"/>
        </w:rPr>
        <w:t>r</w:t>
      </w:r>
      <w:bookmarkEnd w:id="45"/>
      <w:bookmarkEnd w:id="46"/>
      <w:r w:rsidR="009C2651">
        <w:rPr>
          <w:i w:val="0"/>
        </w:rPr>
        <w:t>: $</w:t>
      </w:r>
      <w:r w:rsidR="00E228B8" w:rsidRPr="00E228B8">
        <w:rPr>
          <w:i w:val="0"/>
          <w:color w:val="000000"/>
          <w:spacing w:val="0"/>
          <w:w w:val="45"/>
          <w:kern w:val="0"/>
          <w:shd w:val="solid" w:color="000000" w:fill="000000"/>
          <w:fitText w:val="786" w:id="-1234458355"/>
          <w14:textFill>
            <w14:solidFill>
              <w14:srgbClr w14:val="000000">
                <w14:alpha w14:val="100000"/>
              </w14:srgbClr>
            </w14:solidFill>
          </w14:textFill>
        </w:rPr>
        <w:t>||||||  |||||</w:t>
      </w:r>
      <w:r w:rsidR="00E228B8" w:rsidRPr="00E228B8">
        <w:rPr>
          <w:i w:val="0"/>
          <w:color w:val="000000"/>
          <w:spacing w:val="10"/>
          <w:w w:val="45"/>
          <w:kern w:val="0"/>
          <w:shd w:val="solid" w:color="000000" w:fill="000000"/>
          <w:fitText w:val="786" w:id="-1234458355"/>
          <w14:textFill>
            <w14:solidFill>
              <w14:srgbClr w14:val="000000">
                <w14:alpha w14:val="100000"/>
              </w14:srgbClr>
            </w14:solidFill>
          </w14:textFill>
        </w:rPr>
        <w:t>|</w:t>
      </w:r>
    </w:p>
    <w:p w14:paraId="0529A649" w14:textId="5EB383E4" w:rsidR="00494207" w:rsidRPr="00C94053" w:rsidRDefault="00BD2B05" w:rsidP="00C94053">
      <w:pPr>
        <w:pStyle w:val="TableFigureHeading"/>
        <w:rPr>
          <w:rStyle w:val="CommentReference"/>
          <w:b/>
          <w:szCs w:val="24"/>
        </w:rPr>
      </w:pPr>
      <w:r>
        <w:t xml:space="preserve">Table </w:t>
      </w:r>
      <w:fldSimple w:instr=" SEQ Table \* ARABIC ">
        <w:r w:rsidR="00A9220E">
          <w:rPr>
            <w:noProof/>
          </w:rPr>
          <w:t>18</w:t>
        </w:r>
      </w:fldSimple>
      <w:r>
        <w:rPr>
          <w:noProof/>
        </w:rPr>
        <w:t>:</w:t>
      </w:r>
      <w:r w:rsidR="00494207" w:rsidRPr="00C94053">
        <w:rPr>
          <w:rStyle w:val="CommentReference"/>
          <w:b/>
          <w:szCs w:val="24"/>
        </w:rPr>
        <w:t xml:space="preserve"> 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4"/>
        <w:gridCol w:w="1178"/>
        <w:gridCol w:w="1661"/>
        <w:gridCol w:w="1784"/>
        <w:gridCol w:w="2950"/>
      </w:tblGrid>
      <w:tr w:rsidR="00026323" w:rsidRPr="00E2771E" w14:paraId="231D534E" w14:textId="77777777" w:rsidTr="00026323">
        <w:trPr>
          <w:cantSplit/>
          <w:tblHeader/>
          <w:jc w:val="center"/>
        </w:trPr>
        <w:tc>
          <w:tcPr>
            <w:tcW w:w="800" w:type="pct"/>
            <w:shd w:val="clear" w:color="auto" w:fill="auto"/>
            <w:vAlign w:val="center"/>
          </w:tcPr>
          <w:p w14:paraId="29DCE76F" w14:textId="77777777" w:rsidR="00983F8C" w:rsidRPr="00E2771E" w:rsidRDefault="00983F8C" w:rsidP="00D04CD1">
            <w:pPr>
              <w:pStyle w:val="In-tableHeading"/>
              <w:jc w:val="center"/>
            </w:pPr>
          </w:p>
        </w:tc>
        <w:tc>
          <w:tcPr>
            <w:tcW w:w="653" w:type="pct"/>
            <w:shd w:val="clear" w:color="auto" w:fill="auto"/>
            <w:vAlign w:val="center"/>
          </w:tcPr>
          <w:p w14:paraId="1AA7478C" w14:textId="2F65D57B" w:rsidR="00983F8C" w:rsidRPr="00F65EAA" w:rsidRDefault="00983F8C" w:rsidP="00D04CD1">
            <w:pPr>
              <w:pStyle w:val="In-tableHeading"/>
              <w:jc w:val="center"/>
            </w:pPr>
            <w:r>
              <w:t xml:space="preserve">LINC 4 </w:t>
            </w:r>
            <w:r w:rsidRPr="00F65EAA">
              <w:t>dos</w:t>
            </w:r>
            <w:r>
              <w:t>e</w:t>
            </w:r>
            <w:r w:rsidRPr="00F65EAA">
              <w:t xml:space="preserve"> and duration</w:t>
            </w:r>
          </w:p>
        </w:tc>
        <w:tc>
          <w:tcPr>
            <w:tcW w:w="921" w:type="pct"/>
            <w:shd w:val="clear" w:color="auto" w:fill="auto"/>
            <w:vAlign w:val="center"/>
          </w:tcPr>
          <w:p w14:paraId="1E707E82" w14:textId="1DF1A2C3" w:rsidR="00983F8C" w:rsidRPr="00E2771E" w:rsidRDefault="00983F8C" w:rsidP="00D04CD1">
            <w:pPr>
              <w:pStyle w:val="In-tableHeading"/>
              <w:jc w:val="center"/>
            </w:pPr>
            <w:r>
              <w:t>Trial-based evaluation</w:t>
            </w:r>
          </w:p>
        </w:tc>
        <w:tc>
          <w:tcPr>
            <w:tcW w:w="989" w:type="pct"/>
            <w:shd w:val="clear" w:color="auto" w:fill="auto"/>
            <w:vAlign w:val="center"/>
          </w:tcPr>
          <w:p w14:paraId="5CB200FD" w14:textId="77777777" w:rsidR="00983F8C" w:rsidRPr="00E2771E" w:rsidRDefault="00983F8C" w:rsidP="00D04CD1">
            <w:pPr>
              <w:pStyle w:val="In-tableHeading"/>
              <w:jc w:val="center"/>
            </w:pPr>
            <w:r>
              <w:t>Financial estimates</w:t>
            </w:r>
          </w:p>
        </w:tc>
        <w:tc>
          <w:tcPr>
            <w:tcW w:w="1636" w:type="pct"/>
            <w:shd w:val="clear" w:color="auto" w:fill="FFFFFF" w:themeFill="background1"/>
            <w:vAlign w:val="center"/>
          </w:tcPr>
          <w:p w14:paraId="3AD5474E" w14:textId="5BEC348D" w:rsidR="00983F8C" w:rsidRDefault="00983F8C" w:rsidP="00D04CD1">
            <w:pPr>
              <w:pStyle w:val="In-tableHeading"/>
              <w:jc w:val="center"/>
            </w:pPr>
            <w:r>
              <w:t>Comparators: placebo; metyrapone; ketoconazole</w:t>
            </w:r>
          </w:p>
        </w:tc>
      </w:tr>
      <w:tr w:rsidR="00026323" w:rsidRPr="00E2771E" w14:paraId="78867D2F" w14:textId="77777777" w:rsidTr="00026323">
        <w:trPr>
          <w:cantSplit/>
          <w:jc w:val="center"/>
        </w:trPr>
        <w:tc>
          <w:tcPr>
            <w:tcW w:w="800" w:type="pct"/>
            <w:shd w:val="clear" w:color="auto" w:fill="auto"/>
            <w:vAlign w:val="center"/>
          </w:tcPr>
          <w:p w14:paraId="37119441" w14:textId="77777777" w:rsidR="00983F8C" w:rsidRPr="00AF757A" w:rsidRDefault="00983F8C" w:rsidP="00D04CD1">
            <w:pPr>
              <w:pStyle w:val="TableText0"/>
              <w:rPr>
                <w:lang w:val="en-US"/>
              </w:rPr>
            </w:pPr>
            <w:r>
              <w:rPr>
                <w:lang w:val="en-US"/>
              </w:rPr>
              <w:t>Mean</w:t>
            </w:r>
            <w:r w:rsidRPr="00AF757A">
              <w:rPr>
                <w:lang w:val="en-US"/>
              </w:rPr>
              <w:t xml:space="preserve"> dose</w:t>
            </w:r>
          </w:p>
        </w:tc>
        <w:tc>
          <w:tcPr>
            <w:tcW w:w="653" w:type="pct"/>
            <w:shd w:val="clear" w:color="auto" w:fill="auto"/>
            <w:vAlign w:val="center"/>
          </w:tcPr>
          <w:p w14:paraId="38714EF1" w14:textId="2FA78182" w:rsidR="00983F8C" w:rsidRPr="00AF757A" w:rsidRDefault="00983F8C" w:rsidP="00D04CD1">
            <w:pPr>
              <w:pStyle w:val="TableText0"/>
              <w:jc w:val="center"/>
              <w:rPr>
                <w:lang w:val="en-US"/>
              </w:rPr>
            </w:pPr>
            <w:r>
              <w:rPr>
                <w:lang w:val="en-US"/>
              </w:rPr>
              <w:t>8.79 mg/day</w:t>
            </w:r>
          </w:p>
        </w:tc>
        <w:tc>
          <w:tcPr>
            <w:tcW w:w="921" w:type="pct"/>
            <w:shd w:val="clear" w:color="auto" w:fill="auto"/>
            <w:vAlign w:val="center"/>
          </w:tcPr>
          <w:p w14:paraId="6DEE3868" w14:textId="1353892E" w:rsidR="00983F8C" w:rsidRPr="00AF757A" w:rsidRDefault="00983F8C" w:rsidP="00D04CD1">
            <w:pPr>
              <w:pStyle w:val="TableText0"/>
              <w:jc w:val="center"/>
              <w:rPr>
                <w:lang w:val="en-US"/>
              </w:rPr>
            </w:pPr>
            <w:r>
              <w:rPr>
                <w:lang w:val="en-US"/>
              </w:rPr>
              <w:t>8.79 mg/day</w:t>
            </w:r>
          </w:p>
        </w:tc>
        <w:tc>
          <w:tcPr>
            <w:tcW w:w="989" w:type="pct"/>
            <w:shd w:val="clear" w:color="auto" w:fill="auto"/>
            <w:vAlign w:val="center"/>
          </w:tcPr>
          <w:p w14:paraId="66F6EB36" w14:textId="3C406C32" w:rsidR="00983F8C" w:rsidRPr="00AE066E" w:rsidRDefault="00026323" w:rsidP="00D04CD1">
            <w:pPr>
              <w:pStyle w:val="TableText0"/>
              <w:jc w:val="center"/>
              <w:rPr>
                <w:lang w:val="en-US"/>
              </w:rPr>
            </w:pPr>
            <w:r>
              <w:rPr>
                <w:lang w:val="en-US"/>
              </w:rPr>
              <w:t>8.79 mg/day</w:t>
            </w:r>
          </w:p>
        </w:tc>
        <w:tc>
          <w:tcPr>
            <w:tcW w:w="1636" w:type="pct"/>
            <w:vMerge w:val="restart"/>
            <w:shd w:val="clear" w:color="auto" w:fill="FFFFFF" w:themeFill="background1"/>
            <w:vAlign w:val="center"/>
          </w:tcPr>
          <w:p w14:paraId="1C25FDCE" w14:textId="1EC07E75" w:rsidR="00983F8C" w:rsidRPr="00983F8C" w:rsidRDefault="00983F8C" w:rsidP="00D04CD1">
            <w:pPr>
              <w:pStyle w:val="TableText0"/>
              <w:rPr>
                <w:bCs w:val="0"/>
                <w:lang w:val="en-US"/>
              </w:rPr>
            </w:pPr>
            <w:r w:rsidRPr="00983F8C">
              <w:rPr>
                <w:bCs w:val="0"/>
                <w:lang w:val="en-US"/>
              </w:rPr>
              <w:t>The submission assumed no cost for the comparators in the trial-based evaluation, and metyrapone and ketoconazole were not included in the financial estimates.</w:t>
            </w:r>
          </w:p>
        </w:tc>
      </w:tr>
      <w:tr w:rsidR="00026323" w:rsidRPr="00E2771E" w14:paraId="20ED530B" w14:textId="77777777" w:rsidTr="00026323">
        <w:trPr>
          <w:cantSplit/>
          <w:jc w:val="center"/>
        </w:trPr>
        <w:tc>
          <w:tcPr>
            <w:tcW w:w="800" w:type="pct"/>
            <w:shd w:val="clear" w:color="auto" w:fill="auto"/>
            <w:vAlign w:val="center"/>
          </w:tcPr>
          <w:p w14:paraId="5A7D5A80" w14:textId="77777777" w:rsidR="00983F8C" w:rsidRPr="00AF757A" w:rsidRDefault="00983F8C" w:rsidP="00D04CD1">
            <w:pPr>
              <w:pStyle w:val="TableText0"/>
              <w:rPr>
                <w:lang w:val="en-US"/>
              </w:rPr>
            </w:pPr>
            <w:r>
              <w:rPr>
                <w:lang w:val="en-US"/>
              </w:rPr>
              <w:t>Mean d</w:t>
            </w:r>
            <w:r w:rsidRPr="00AF757A">
              <w:rPr>
                <w:lang w:val="en-US"/>
              </w:rPr>
              <w:t>uration</w:t>
            </w:r>
          </w:p>
        </w:tc>
        <w:tc>
          <w:tcPr>
            <w:tcW w:w="653" w:type="pct"/>
            <w:shd w:val="clear" w:color="auto" w:fill="auto"/>
            <w:vAlign w:val="center"/>
          </w:tcPr>
          <w:p w14:paraId="1605C608" w14:textId="3E34DDC5" w:rsidR="00983F8C" w:rsidRPr="00AF757A" w:rsidRDefault="00983F8C" w:rsidP="00D04CD1">
            <w:pPr>
              <w:pStyle w:val="TableText0"/>
              <w:jc w:val="center"/>
              <w:rPr>
                <w:lang w:val="en-US"/>
              </w:rPr>
            </w:pPr>
            <w:r>
              <w:rPr>
                <w:lang w:val="en-US"/>
              </w:rPr>
              <w:t>81.1 weeks</w:t>
            </w:r>
          </w:p>
        </w:tc>
        <w:tc>
          <w:tcPr>
            <w:tcW w:w="921" w:type="pct"/>
            <w:shd w:val="clear" w:color="auto" w:fill="auto"/>
            <w:vAlign w:val="center"/>
          </w:tcPr>
          <w:p w14:paraId="768AD919" w14:textId="5165C091" w:rsidR="00983F8C" w:rsidRPr="00AF757A" w:rsidRDefault="00983F8C" w:rsidP="00D04CD1">
            <w:pPr>
              <w:pStyle w:val="TableText0"/>
              <w:jc w:val="center"/>
              <w:rPr>
                <w:lang w:val="en-US"/>
              </w:rPr>
            </w:pPr>
            <w:r>
              <w:rPr>
                <w:lang w:val="en-US"/>
              </w:rPr>
              <w:t>1 year</w:t>
            </w:r>
          </w:p>
        </w:tc>
        <w:tc>
          <w:tcPr>
            <w:tcW w:w="989" w:type="pct"/>
            <w:shd w:val="clear" w:color="auto" w:fill="auto"/>
            <w:vAlign w:val="center"/>
          </w:tcPr>
          <w:p w14:paraId="47B79D20" w14:textId="39FB28A4" w:rsidR="00983F8C" w:rsidRPr="00AE066E" w:rsidRDefault="00983F8C" w:rsidP="00D04CD1">
            <w:pPr>
              <w:pStyle w:val="TableText0"/>
              <w:jc w:val="center"/>
              <w:rPr>
                <w:lang w:val="en-US"/>
              </w:rPr>
            </w:pPr>
            <w:r>
              <w:rPr>
                <w:lang w:val="en-US"/>
              </w:rPr>
              <w:t>1 year</w:t>
            </w:r>
          </w:p>
        </w:tc>
        <w:tc>
          <w:tcPr>
            <w:tcW w:w="1636" w:type="pct"/>
            <w:vMerge/>
            <w:shd w:val="clear" w:color="auto" w:fill="FFFFFF" w:themeFill="background1"/>
            <w:vAlign w:val="center"/>
          </w:tcPr>
          <w:p w14:paraId="403A8AD8" w14:textId="77777777" w:rsidR="00983F8C" w:rsidRDefault="00983F8C" w:rsidP="00D04CD1">
            <w:pPr>
              <w:pStyle w:val="TableText0"/>
              <w:jc w:val="center"/>
              <w:rPr>
                <w:b/>
                <w:lang w:val="en-US"/>
              </w:rPr>
            </w:pPr>
          </w:p>
        </w:tc>
      </w:tr>
      <w:tr w:rsidR="00026323" w:rsidRPr="00E2771E" w14:paraId="2C961FF5" w14:textId="77777777" w:rsidTr="00026323">
        <w:trPr>
          <w:cantSplit/>
          <w:jc w:val="center"/>
        </w:trPr>
        <w:tc>
          <w:tcPr>
            <w:tcW w:w="800" w:type="pct"/>
            <w:shd w:val="clear" w:color="auto" w:fill="auto"/>
            <w:vAlign w:val="center"/>
          </w:tcPr>
          <w:p w14:paraId="4D01BB01" w14:textId="16CAC4F1" w:rsidR="00983F8C" w:rsidRPr="00E2771E" w:rsidRDefault="00983F8C" w:rsidP="00D04CD1">
            <w:pPr>
              <w:pStyle w:val="TableText0"/>
              <w:rPr>
                <w:lang w:val="en-US"/>
              </w:rPr>
            </w:pPr>
            <w:r>
              <w:rPr>
                <w:lang w:val="en-US"/>
              </w:rPr>
              <w:t>Cost/patient/year</w:t>
            </w:r>
          </w:p>
        </w:tc>
        <w:tc>
          <w:tcPr>
            <w:tcW w:w="653" w:type="pct"/>
            <w:shd w:val="clear" w:color="auto" w:fill="auto"/>
            <w:vAlign w:val="center"/>
          </w:tcPr>
          <w:p w14:paraId="56700288" w14:textId="02852F24" w:rsidR="00983F8C" w:rsidRPr="00A0653F" w:rsidRDefault="00983F8C" w:rsidP="00D04CD1">
            <w:pPr>
              <w:pStyle w:val="TableText0"/>
              <w:jc w:val="center"/>
              <w:rPr>
                <w:lang w:val="en-US"/>
              </w:rPr>
            </w:pPr>
            <w:r>
              <w:rPr>
                <w:lang w:val="en-US"/>
              </w:rPr>
              <w:t>NR</w:t>
            </w:r>
          </w:p>
        </w:tc>
        <w:tc>
          <w:tcPr>
            <w:tcW w:w="921" w:type="pct"/>
            <w:shd w:val="clear" w:color="auto" w:fill="auto"/>
            <w:vAlign w:val="center"/>
          </w:tcPr>
          <w:p w14:paraId="221E0E33" w14:textId="5C836814" w:rsidR="00983F8C" w:rsidRPr="008F30AC" w:rsidRDefault="00983F8C" w:rsidP="00D04CD1">
            <w:pPr>
              <w:pStyle w:val="TableText0"/>
              <w:jc w:val="center"/>
              <w:rPr>
                <w:lang w:val="en-US"/>
              </w:rPr>
            </w:pPr>
            <w:r>
              <w:rPr>
                <w:lang w:val="en-US"/>
              </w:rPr>
              <w:t>$</w:t>
            </w:r>
            <w:r w:rsidR="00E228B8" w:rsidRPr="00E228B8">
              <w:rPr>
                <w:color w:val="000000"/>
                <w:shd w:val="solid" w:color="000000" w:fill="000000"/>
                <w:lang w:val="en-US"/>
                <w14:textFill>
                  <w14:solidFill>
                    <w14:srgbClr w14:val="000000">
                      <w14:alpha w14:val="100000"/>
                    </w14:srgbClr>
                  </w14:solidFill>
                </w14:textFill>
              </w:rPr>
              <w:t>|</w:t>
            </w:r>
            <w:r w:rsidRPr="00983F8C">
              <w:rPr>
                <w:vertAlign w:val="superscript"/>
                <w:lang w:val="en-US"/>
              </w:rPr>
              <w:t>a</w:t>
            </w:r>
          </w:p>
        </w:tc>
        <w:tc>
          <w:tcPr>
            <w:tcW w:w="989" w:type="pct"/>
            <w:shd w:val="clear" w:color="auto" w:fill="auto"/>
            <w:vAlign w:val="center"/>
          </w:tcPr>
          <w:p w14:paraId="6D1B1D67" w14:textId="18BD34C2" w:rsidR="00026323" w:rsidRDefault="00983F8C" w:rsidP="00D04CD1">
            <w:pPr>
              <w:pStyle w:val="TableText0"/>
              <w:jc w:val="center"/>
              <w:rPr>
                <w:iCs/>
                <w:lang w:val="en-US"/>
              </w:rPr>
            </w:pPr>
            <w:r>
              <w:rPr>
                <w:iCs/>
                <w:lang w:val="en-US"/>
              </w:rPr>
              <w:t>$</w:t>
            </w:r>
            <w:r w:rsidR="00E228B8" w:rsidRPr="00E228B8">
              <w:rPr>
                <w:iCs/>
                <w:color w:val="000000"/>
                <w:shd w:val="solid" w:color="000000" w:fill="000000"/>
                <w:lang w:val="en-US"/>
                <w14:textFill>
                  <w14:solidFill>
                    <w14:srgbClr w14:val="000000">
                      <w14:alpha w14:val="100000"/>
                    </w14:srgbClr>
                  </w14:solidFill>
                </w14:textFill>
              </w:rPr>
              <w:t>|</w:t>
            </w:r>
            <w:r w:rsidR="00026323">
              <w:rPr>
                <w:iCs/>
                <w:lang w:val="en-US"/>
              </w:rPr>
              <w:t xml:space="preserve"> </w:t>
            </w:r>
          </w:p>
          <w:p w14:paraId="7613787D" w14:textId="06930A2B" w:rsidR="00983F8C" w:rsidRPr="00983F8C" w:rsidRDefault="00026323" w:rsidP="00D04CD1">
            <w:pPr>
              <w:pStyle w:val="TableText0"/>
              <w:jc w:val="center"/>
              <w:rPr>
                <w:iCs/>
                <w:lang w:val="en-US"/>
              </w:rPr>
            </w:pPr>
            <w:r>
              <w:rPr>
                <w:iCs/>
                <w:lang w:val="en-US"/>
              </w:rPr>
              <w:t>(N = 68 continuing patients only)</w:t>
            </w:r>
          </w:p>
        </w:tc>
        <w:tc>
          <w:tcPr>
            <w:tcW w:w="1636" w:type="pct"/>
            <w:vMerge/>
            <w:shd w:val="clear" w:color="auto" w:fill="FFFFFF" w:themeFill="background1"/>
            <w:vAlign w:val="center"/>
          </w:tcPr>
          <w:p w14:paraId="5713C5BF" w14:textId="77777777" w:rsidR="00983F8C" w:rsidRPr="00E2771E" w:rsidRDefault="00983F8C" w:rsidP="00D04CD1">
            <w:pPr>
              <w:pStyle w:val="TableText0"/>
              <w:jc w:val="center"/>
              <w:rPr>
                <w:lang w:val="en-US"/>
              </w:rPr>
            </w:pPr>
          </w:p>
        </w:tc>
      </w:tr>
    </w:tbl>
    <w:p w14:paraId="108B7EE4" w14:textId="3C9997B0" w:rsidR="00494207" w:rsidRDefault="00494207" w:rsidP="00C94053">
      <w:pPr>
        <w:pStyle w:val="FooterTableFigure"/>
      </w:pPr>
      <w:r w:rsidRPr="00AB08F8">
        <w:t>Source:</w:t>
      </w:r>
      <w:r w:rsidR="00F11565" w:rsidRPr="00AB08F8">
        <w:t xml:space="preserve"> Table 2.4-6, p109 of the submission; Excel</w:t>
      </w:r>
      <w:r w:rsidR="00F11565">
        <w:t xml:space="preserve"> workbook ‘Isturisa (osilodrostat) – CEA’ and Excel workbook ‘Isturisa (osilodrostat) – UCM’.</w:t>
      </w:r>
    </w:p>
    <w:p w14:paraId="6B5D0617" w14:textId="68467C86" w:rsidR="00CE1B37" w:rsidRDefault="00CE1B37" w:rsidP="00C94053">
      <w:pPr>
        <w:pStyle w:val="FooterTableFigure"/>
      </w:pPr>
      <w:r>
        <w:t>NR = not reported</w:t>
      </w:r>
    </w:p>
    <w:p w14:paraId="1E857367" w14:textId="6E39C744" w:rsidR="00F11565" w:rsidRDefault="00F11565" w:rsidP="00F11565">
      <w:pPr>
        <w:pStyle w:val="FooterTableFigure"/>
        <w:tabs>
          <w:tab w:val="left" w:pos="142"/>
        </w:tabs>
      </w:pPr>
      <w:r w:rsidRPr="00F11565">
        <w:rPr>
          <w:vertAlign w:val="superscript"/>
        </w:rPr>
        <w:t>a</w:t>
      </w:r>
      <w:r>
        <w:tab/>
        <w:t>Based on the average annual cost for each dose used and the proportion using each dose in LINC 4</w:t>
      </w:r>
      <w:r w:rsidR="00342308">
        <w:t xml:space="preserve"> for all patients</w:t>
      </w:r>
      <w:r>
        <w:t>.</w:t>
      </w:r>
    </w:p>
    <w:p w14:paraId="399E7337" w14:textId="02BF8EDF" w:rsidR="00342308" w:rsidRPr="00F11565" w:rsidRDefault="00342308" w:rsidP="00342308">
      <w:pPr>
        <w:pStyle w:val="3-BodyText"/>
      </w:pPr>
      <w:r w:rsidRPr="00721D5A">
        <w:rPr>
          <w:iCs/>
        </w:rPr>
        <w:t>The LINC 4 CSR reported that the mean dose for patients in the osilodrostat arm of LINC 4 was higher, at 9.</w:t>
      </w:r>
      <w:r w:rsidR="004524A5" w:rsidRPr="00721D5A">
        <w:rPr>
          <w:iCs/>
        </w:rPr>
        <w:t>2</w:t>
      </w:r>
      <w:r w:rsidR="004524A5">
        <w:rPr>
          <w:iCs/>
        </w:rPr>
        <w:t> </w:t>
      </w:r>
      <w:r w:rsidRPr="00721D5A">
        <w:rPr>
          <w:iCs/>
        </w:rPr>
        <w:t>mg/day, than the dose of 8.</w:t>
      </w:r>
      <w:r w:rsidR="004524A5" w:rsidRPr="00721D5A">
        <w:rPr>
          <w:iCs/>
        </w:rPr>
        <w:t>79</w:t>
      </w:r>
      <w:r w:rsidR="004524A5">
        <w:rPr>
          <w:iCs/>
        </w:rPr>
        <w:t> </w:t>
      </w:r>
      <w:r w:rsidRPr="00721D5A">
        <w:rPr>
          <w:iCs/>
        </w:rPr>
        <w:t>mg/day calculated for all patients. This may suggest that the inclusion of placebo-treated patients in the calculation of mean osilodrostat dose underestimated the osilodrostat dose used.</w:t>
      </w:r>
    </w:p>
    <w:p w14:paraId="72C1C0E8" w14:textId="77777777" w:rsidR="000526CA" w:rsidRPr="000526CA" w:rsidRDefault="000526CA" w:rsidP="000526CA">
      <w:pPr>
        <w:pStyle w:val="4-SubsectionHeading"/>
        <w:rPr>
          <w:i w:val="0"/>
          <w:iCs/>
        </w:rPr>
      </w:pPr>
      <w:r w:rsidRPr="000526CA">
        <w:rPr>
          <w:i w:val="0"/>
          <w:iCs/>
        </w:rPr>
        <w:t>Estimated PBS usage &amp; financial implications</w:t>
      </w:r>
    </w:p>
    <w:p w14:paraId="0E127BCC" w14:textId="4A9323CA" w:rsidR="000526CA" w:rsidRPr="00E228B8" w:rsidRDefault="000526CA" w:rsidP="000526CA">
      <w:pPr>
        <w:pStyle w:val="3-BodyText"/>
      </w:pPr>
      <w:r>
        <w:t>This submission was considered by DUSC</w:t>
      </w:r>
      <w:r w:rsidRPr="008A7FC0">
        <w:rPr>
          <w:color w:val="0070C0"/>
        </w:rPr>
        <w:t>.</w:t>
      </w:r>
      <w:r>
        <w:rPr>
          <w:color w:val="0070C0"/>
        </w:rPr>
        <w:t xml:space="preserve"> </w:t>
      </w:r>
      <w:r w:rsidRPr="00E57628">
        <w:t xml:space="preserve">The submission </w:t>
      </w:r>
      <w:r>
        <w:t xml:space="preserve">used </w:t>
      </w:r>
      <w:r w:rsidRPr="00E57628">
        <w:t>an epidemiological approach to</w:t>
      </w:r>
      <w:r>
        <w:t xml:space="preserve"> calculate</w:t>
      </w:r>
      <w:r w:rsidRPr="00E57628">
        <w:t xml:space="preserve"> the financial estimates</w:t>
      </w:r>
      <w:r>
        <w:t xml:space="preserve">, outlined in </w:t>
      </w:r>
      <w:r w:rsidRPr="00681FFB">
        <w:fldChar w:fldCharType="begin"/>
      </w:r>
      <w:r w:rsidRPr="00681FFB">
        <w:instrText xml:space="preserve"> REF _Ref104805262 \h  \* MERGEFORMAT </w:instrText>
      </w:r>
      <w:r w:rsidRPr="00681FFB">
        <w:fldChar w:fldCharType="separate"/>
      </w:r>
      <w:r w:rsidR="00A9220E">
        <w:t>Table 19</w:t>
      </w:r>
      <w:r w:rsidRPr="00681FFB">
        <w:fldChar w:fldCharType="end"/>
      </w:r>
      <w:r>
        <w:t>.</w:t>
      </w:r>
      <w:r w:rsidRPr="008A7FC0">
        <w:rPr>
          <w:color w:val="0070C0"/>
        </w:rPr>
        <w:t xml:space="preserve"> </w:t>
      </w:r>
    </w:p>
    <w:p w14:paraId="64A140D2" w14:textId="77777777" w:rsidR="00E228B8" w:rsidRPr="008A7FC0" w:rsidRDefault="00E228B8" w:rsidP="00E228B8">
      <w:pPr>
        <w:pStyle w:val="3-BodyText"/>
        <w:numPr>
          <w:ilvl w:val="0"/>
          <w:numId w:val="0"/>
        </w:numPr>
      </w:pPr>
    </w:p>
    <w:p w14:paraId="4634083A" w14:textId="1ED06139" w:rsidR="00BF40BE" w:rsidRPr="00157C9C" w:rsidRDefault="000526CA" w:rsidP="00157C9C">
      <w:pPr>
        <w:pStyle w:val="Caption"/>
        <w:rPr>
          <w:szCs w:val="24"/>
        </w:rPr>
      </w:pPr>
      <w:bookmarkStart w:id="47" w:name="_Ref104805262"/>
      <w:r>
        <w:lastRenderedPageBreak/>
        <w:t xml:space="preserve">Table </w:t>
      </w:r>
      <w:fldSimple w:instr=" SEQ Table \* ARABIC ">
        <w:r w:rsidR="00A9220E">
          <w:rPr>
            <w:noProof/>
          </w:rPr>
          <w:t>19</w:t>
        </w:r>
      </w:fldSimple>
      <w:bookmarkEnd w:id="47"/>
      <w:r>
        <w:t>:</w:t>
      </w:r>
      <w:r w:rsidRPr="007925DF">
        <w:rPr>
          <w:rStyle w:val="CommentReference"/>
          <w:b/>
          <w:szCs w:val="24"/>
        </w:rPr>
        <w:t xml:space="preserve"> Key inputs for financial estimates</w:t>
      </w:r>
    </w:p>
    <w:tbl>
      <w:tblPr>
        <w:tblStyle w:val="Summarybox2"/>
        <w:tblW w:w="5052" w:type="pct"/>
        <w:tblLayout w:type="fixed"/>
        <w:tblCellMar>
          <w:left w:w="28" w:type="dxa"/>
          <w:right w:w="28" w:type="dxa"/>
        </w:tblCellMar>
        <w:tblLook w:val="04A0" w:firstRow="1" w:lastRow="0" w:firstColumn="1" w:lastColumn="0" w:noHBand="0" w:noVBand="1"/>
      </w:tblPr>
      <w:tblGrid>
        <w:gridCol w:w="1072"/>
        <w:gridCol w:w="5343"/>
        <w:gridCol w:w="7"/>
        <w:gridCol w:w="11"/>
        <w:gridCol w:w="2660"/>
        <w:gridCol w:w="7"/>
        <w:gridCol w:w="11"/>
      </w:tblGrid>
      <w:tr w:rsidR="00BF40BE" w:rsidRPr="004C56A3" w14:paraId="3BA6CF73" w14:textId="77777777" w:rsidTr="00A63686">
        <w:trPr>
          <w:gridAfter w:val="2"/>
          <w:wAfter w:w="10" w:type="pct"/>
          <w:tblHeader/>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0A07C" w14:textId="77777777" w:rsidR="00BF40BE" w:rsidRPr="004C56A3" w:rsidRDefault="00BF40BE" w:rsidP="00FA4D4F">
            <w:pPr>
              <w:widowControl w:val="0"/>
              <w:jc w:val="left"/>
              <w:rPr>
                <w:rFonts w:ascii="Arial Narrow" w:hAnsi="Arial Narrow" w:cs="Calibri"/>
                <w:b/>
                <w:bCs/>
                <w:sz w:val="20"/>
                <w:szCs w:val="20"/>
                <w:lang w:eastAsia="en-AU"/>
              </w:rPr>
            </w:pPr>
            <w:r w:rsidRPr="004C56A3">
              <w:rPr>
                <w:rFonts w:ascii="Arial Narrow" w:hAnsi="Arial Narrow" w:cs="Calibri"/>
                <w:b/>
                <w:bCs/>
                <w:sz w:val="20"/>
                <w:szCs w:val="20"/>
                <w:lang w:eastAsia="en-AU"/>
              </w:rPr>
              <w:t>Component</w:t>
            </w:r>
          </w:p>
        </w:tc>
        <w:tc>
          <w:tcPr>
            <w:tcW w:w="2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98F56" w14:textId="77777777" w:rsidR="00BF40BE" w:rsidRPr="004C56A3" w:rsidRDefault="00BF40BE" w:rsidP="00FA4D4F">
            <w:pPr>
              <w:widowControl w:val="0"/>
              <w:jc w:val="center"/>
              <w:rPr>
                <w:rFonts w:ascii="Arial Narrow" w:hAnsi="Arial Narrow" w:cs="Calibri"/>
                <w:b/>
                <w:bCs/>
                <w:sz w:val="20"/>
                <w:szCs w:val="20"/>
                <w:lang w:eastAsia="en-AU"/>
              </w:rPr>
            </w:pPr>
            <w:r w:rsidRPr="004C56A3">
              <w:rPr>
                <w:rFonts w:ascii="Arial Narrow" w:hAnsi="Arial Narrow" w:cs="Calibri"/>
                <w:b/>
                <w:bCs/>
                <w:sz w:val="20"/>
                <w:szCs w:val="20"/>
                <w:lang w:eastAsia="en-AU"/>
              </w:rPr>
              <w:t>Data source</w:t>
            </w:r>
          </w:p>
        </w:tc>
        <w:tc>
          <w:tcPr>
            <w:tcW w:w="1470" w:type="pct"/>
            <w:gridSpan w:val="3"/>
            <w:tcBorders>
              <w:top w:val="single" w:sz="4" w:space="0" w:color="auto"/>
              <w:left w:val="single" w:sz="4" w:space="0" w:color="auto"/>
              <w:bottom w:val="single" w:sz="4" w:space="0" w:color="auto"/>
              <w:right w:val="single" w:sz="4" w:space="0" w:color="auto"/>
            </w:tcBorders>
          </w:tcPr>
          <w:p w14:paraId="5BDCAB5C" w14:textId="77777777" w:rsidR="00BF40BE" w:rsidRPr="004C56A3" w:rsidRDefault="00BF40BE" w:rsidP="00FA4D4F">
            <w:pPr>
              <w:widowControl w:val="0"/>
              <w:ind w:left="-880" w:firstLine="880"/>
              <w:jc w:val="center"/>
              <w:rPr>
                <w:rFonts w:ascii="Arial Narrow" w:hAnsi="Arial Narrow" w:cs="Calibri"/>
                <w:b/>
                <w:bCs/>
                <w:sz w:val="20"/>
                <w:szCs w:val="20"/>
                <w:lang w:eastAsia="en-AU"/>
              </w:rPr>
            </w:pPr>
            <w:r w:rsidRPr="004C56A3">
              <w:rPr>
                <w:rFonts w:ascii="Arial Narrow" w:hAnsi="Arial Narrow" w:cs="Calibri"/>
                <w:b/>
                <w:bCs/>
                <w:sz w:val="20"/>
                <w:szCs w:val="20"/>
                <w:lang w:eastAsia="en-AU"/>
              </w:rPr>
              <w:t>DUSC Comment</w:t>
            </w:r>
          </w:p>
        </w:tc>
      </w:tr>
      <w:tr w:rsidR="00BF40BE" w:rsidRPr="004C56A3" w14:paraId="4DE38298" w14:textId="77777777" w:rsidTr="00A63686">
        <w:tc>
          <w:tcPr>
            <w:tcW w:w="353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713F41" w14:textId="77777777" w:rsidR="00BF40BE" w:rsidRPr="004C56A3" w:rsidRDefault="00BF40BE" w:rsidP="00FA4D4F">
            <w:pPr>
              <w:widowControl w:val="0"/>
              <w:jc w:val="left"/>
              <w:rPr>
                <w:rFonts w:ascii="Arial Narrow" w:hAnsi="Arial Narrow" w:cs="Calibri"/>
                <w:b/>
                <w:bCs/>
                <w:sz w:val="20"/>
                <w:szCs w:val="20"/>
                <w:lang w:eastAsia="en-AU"/>
              </w:rPr>
            </w:pPr>
            <w:r w:rsidRPr="004C56A3">
              <w:rPr>
                <w:rFonts w:ascii="Arial Narrow" w:hAnsi="Arial Narrow" w:cs="Calibri"/>
                <w:b/>
                <w:bCs/>
                <w:sz w:val="20"/>
                <w:szCs w:val="20"/>
                <w:lang w:eastAsia="en-AU"/>
              </w:rPr>
              <w:t>Epidemiology</w:t>
            </w:r>
          </w:p>
        </w:tc>
        <w:tc>
          <w:tcPr>
            <w:tcW w:w="1470" w:type="pct"/>
            <w:gridSpan w:val="3"/>
            <w:tcBorders>
              <w:top w:val="single" w:sz="4" w:space="0" w:color="auto"/>
              <w:left w:val="single" w:sz="4" w:space="0" w:color="auto"/>
              <w:bottom w:val="single" w:sz="4" w:space="0" w:color="auto"/>
              <w:right w:val="single" w:sz="4" w:space="0" w:color="auto"/>
            </w:tcBorders>
          </w:tcPr>
          <w:p w14:paraId="5894573C" w14:textId="77777777" w:rsidR="00BF40BE" w:rsidRPr="004C56A3" w:rsidRDefault="00BF40BE" w:rsidP="00FA4D4F">
            <w:pPr>
              <w:widowControl w:val="0"/>
              <w:jc w:val="left"/>
              <w:rPr>
                <w:rFonts w:ascii="Arial Narrow" w:hAnsi="Arial Narrow" w:cs="Calibri"/>
                <w:b/>
                <w:bCs/>
                <w:sz w:val="20"/>
                <w:szCs w:val="20"/>
                <w:lang w:eastAsia="en-AU"/>
              </w:rPr>
            </w:pPr>
          </w:p>
        </w:tc>
      </w:tr>
      <w:tr w:rsidR="00BF40BE" w:rsidRPr="004C56A3" w14:paraId="6343455F" w14:textId="77777777" w:rsidTr="00A63686">
        <w:trPr>
          <w:gridAfter w:val="2"/>
          <w:wAfter w:w="10" w:type="pct"/>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2C15ED58"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 xml:space="preserve">Incidence and prevalence: eligible patients </w:t>
            </w:r>
          </w:p>
        </w:tc>
        <w:tc>
          <w:tcPr>
            <w:tcW w:w="2932" w:type="pct"/>
            <w:tcBorders>
              <w:top w:val="single" w:sz="4" w:space="0" w:color="auto"/>
              <w:left w:val="single" w:sz="4" w:space="0" w:color="auto"/>
              <w:bottom w:val="single" w:sz="4" w:space="0" w:color="auto"/>
              <w:right w:val="single" w:sz="4" w:space="0" w:color="auto"/>
            </w:tcBorders>
            <w:shd w:val="clear" w:color="auto" w:fill="auto"/>
            <w:vAlign w:val="center"/>
          </w:tcPr>
          <w:p w14:paraId="603F0090"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u w:val="single"/>
                <w:lang w:eastAsia="en-AU"/>
              </w:rPr>
              <w:t>ABS data</w:t>
            </w:r>
            <w:r w:rsidRPr="004C56A3">
              <w:rPr>
                <w:rFonts w:ascii="Arial Narrow" w:hAnsi="Arial Narrow" w:cs="Calibri"/>
                <w:sz w:val="20"/>
                <w:szCs w:val="20"/>
                <w:lang w:eastAsia="en-AU"/>
              </w:rPr>
              <w:t>: The submission used estimates of the total Australian population, aged 18 years and older which were sourced from the ABS data included in the Department of Health and Aged Care’s Section 4 Excel workbook.</w:t>
            </w:r>
          </w:p>
          <w:p w14:paraId="6C058BF8" w14:textId="77777777" w:rsidR="00BF40BE" w:rsidRPr="004C56A3" w:rsidRDefault="00BF40BE" w:rsidP="00FA4D4F">
            <w:pPr>
              <w:widowControl w:val="0"/>
              <w:tabs>
                <w:tab w:val="left" w:pos="768"/>
              </w:tabs>
              <w:jc w:val="left"/>
              <w:rPr>
                <w:rFonts w:ascii="Arial Narrow" w:hAnsi="Arial Narrow" w:cs="Calibri"/>
                <w:sz w:val="20"/>
                <w:szCs w:val="20"/>
                <w:u w:val="single"/>
                <w:lang w:eastAsia="en-AU"/>
              </w:rPr>
            </w:pPr>
          </w:p>
          <w:p w14:paraId="2BD7AC5F"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u w:val="single"/>
                <w:lang w:eastAsia="en-AU"/>
              </w:rPr>
              <w:t>Prevalence and incidence</w:t>
            </w:r>
            <w:r w:rsidRPr="004C56A3">
              <w:rPr>
                <w:rFonts w:ascii="Arial Narrow" w:hAnsi="Arial Narrow" w:cs="Calibri"/>
                <w:sz w:val="20"/>
                <w:szCs w:val="20"/>
                <w:lang w:eastAsia="en-AU"/>
              </w:rPr>
              <w:t xml:space="preserve">: The submission selected four studies from a search of published literature which reported prevalence and/or incidence rates of CS (Bolland 2011; Lindholm 2001; Orphanet 2022; Wengander 2019;). Detail on the studies is available in Section 4.1.2 of the submission. The submission indicated the prevalence and incidence rates ranged from 57 and 79 per million persons and 1.5 and 3.2 per million persons, respectively. Given this variance in estimates, the submission used an average of the rates in the studies. Estimation of eligible patients for Year 1 was based on prevalent patients only. </w:t>
            </w:r>
          </w:p>
          <w:p w14:paraId="0BFC74FB" w14:textId="77777777" w:rsidR="00BF40BE" w:rsidRPr="004C56A3" w:rsidRDefault="00BF40BE" w:rsidP="00FA4D4F">
            <w:pPr>
              <w:widowControl w:val="0"/>
              <w:tabs>
                <w:tab w:val="left" w:pos="768"/>
              </w:tabs>
              <w:jc w:val="left"/>
              <w:rPr>
                <w:rFonts w:ascii="Arial Narrow" w:hAnsi="Arial Narrow" w:cs="Calibri"/>
                <w:i/>
                <w:iCs/>
                <w:sz w:val="20"/>
                <w:szCs w:val="20"/>
                <w:lang w:eastAsia="en-AU"/>
              </w:rPr>
            </w:pPr>
          </w:p>
          <w:p w14:paraId="6F208B0F"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Commentary:</w:t>
            </w:r>
          </w:p>
          <w:p w14:paraId="4E83C266"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This was appropriate as it avoided double-counting for incident patients in Year 1.</w:t>
            </w:r>
          </w:p>
          <w:p w14:paraId="2FC597F3" w14:textId="77777777" w:rsidR="00BF40BE" w:rsidRPr="004C56A3" w:rsidRDefault="00BF40BE" w:rsidP="00FA4D4F">
            <w:pPr>
              <w:widowControl w:val="0"/>
              <w:tabs>
                <w:tab w:val="left" w:pos="768"/>
              </w:tabs>
              <w:jc w:val="left"/>
              <w:rPr>
                <w:rFonts w:ascii="Arial Narrow" w:hAnsi="Arial Narrow" w:cs="Calibri"/>
                <w:sz w:val="20"/>
                <w:szCs w:val="20"/>
                <w:lang w:eastAsia="en-AU"/>
              </w:rPr>
            </w:pPr>
          </w:p>
          <w:p w14:paraId="4A631766"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Prevalence: 67 per million</w:t>
            </w:r>
          </w:p>
          <w:p w14:paraId="568580E4"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Incidence: 2.2 per million</w:t>
            </w:r>
          </w:p>
          <w:p w14:paraId="5AAE86B0" w14:textId="77777777" w:rsidR="00BF40BE" w:rsidRPr="004C56A3" w:rsidRDefault="00BF40BE" w:rsidP="00FA4D4F">
            <w:pPr>
              <w:widowControl w:val="0"/>
              <w:tabs>
                <w:tab w:val="left" w:pos="768"/>
              </w:tabs>
              <w:jc w:val="left"/>
              <w:rPr>
                <w:rFonts w:ascii="Arial Narrow" w:hAnsi="Arial Narrow" w:cs="Calibri"/>
                <w:sz w:val="20"/>
                <w:szCs w:val="20"/>
                <w:lang w:eastAsia="en-AU"/>
              </w:rPr>
            </w:pPr>
          </w:p>
          <w:p w14:paraId="7472024C" w14:textId="77777777" w:rsidR="00BF40BE" w:rsidRPr="004C56A3" w:rsidRDefault="00BF40BE" w:rsidP="00FA4D4F">
            <w:pPr>
              <w:widowControl w:val="0"/>
              <w:tabs>
                <w:tab w:val="left" w:pos="768"/>
              </w:tabs>
              <w:jc w:val="left"/>
              <w:rPr>
                <w:rFonts w:ascii="Arial Narrow" w:hAnsi="Arial Narrow" w:cs="Calibri"/>
                <w:sz w:val="20"/>
                <w:szCs w:val="20"/>
                <w:u w:val="single"/>
                <w:lang w:eastAsia="en-AU"/>
              </w:rPr>
            </w:pPr>
            <w:r w:rsidRPr="004C56A3">
              <w:rPr>
                <w:rFonts w:ascii="Arial Narrow" w:hAnsi="Arial Narrow" w:cs="Calibri"/>
                <w:sz w:val="20"/>
                <w:szCs w:val="20"/>
                <w:u w:val="single"/>
                <w:lang w:eastAsia="en-AU"/>
              </w:rPr>
              <w:t>Endogenous CS</w:t>
            </w:r>
          </w:p>
          <w:p w14:paraId="54CF212F"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Australian clinicians estimate that endogenous CS is due to CD in 70% of patients, ACTH-dependent ectopic tumours in 10% of patients and ACTH-independent tumours in 20%. Not all clinician surveys reported these values, as the third survey estimated that endogenous CS was due to CD in 45% of patients, ACTH-dependent in 5% and ACTH-independent in 50% of patients.</w:t>
            </w:r>
          </w:p>
          <w:p w14:paraId="2938E06B" w14:textId="77777777" w:rsidR="00BF40BE" w:rsidRPr="004C56A3" w:rsidRDefault="00BF40BE" w:rsidP="00FA4D4F">
            <w:pPr>
              <w:widowControl w:val="0"/>
              <w:tabs>
                <w:tab w:val="left" w:pos="768"/>
              </w:tabs>
              <w:jc w:val="left"/>
              <w:rPr>
                <w:rFonts w:ascii="Arial Narrow" w:hAnsi="Arial Narrow" w:cs="Calibri"/>
                <w:sz w:val="20"/>
                <w:szCs w:val="20"/>
                <w:lang w:eastAsia="en-AU"/>
              </w:rPr>
            </w:pPr>
          </w:p>
          <w:p w14:paraId="06062245" w14:textId="77777777" w:rsidR="00BF40BE" w:rsidRPr="004C56A3" w:rsidRDefault="00BF40BE" w:rsidP="00FA4D4F">
            <w:pPr>
              <w:widowControl w:val="0"/>
              <w:tabs>
                <w:tab w:val="left" w:pos="768"/>
              </w:tabs>
              <w:jc w:val="left"/>
              <w:rPr>
                <w:rFonts w:ascii="Arial Narrow" w:hAnsi="Arial Narrow" w:cs="Calibri"/>
                <w:sz w:val="20"/>
                <w:szCs w:val="20"/>
                <w:u w:val="single"/>
                <w:lang w:eastAsia="en-AU"/>
              </w:rPr>
            </w:pPr>
            <w:r w:rsidRPr="004C56A3">
              <w:rPr>
                <w:rFonts w:ascii="Arial Narrow" w:hAnsi="Arial Narrow" w:cs="Calibri"/>
                <w:sz w:val="20"/>
                <w:szCs w:val="20"/>
                <w:u w:val="single"/>
                <w:lang w:eastAsia="en-AU"/>
              </w:rPr>
              <w:t>Surgery eligibility and success rates</w:t>
            </w:r>
          </w:p>
          <w:p w14:paraId="345D69CA" w14:textId="77777777" w:rsidR="00BF40BE" w:rsidRPr="004C56A3" w:rsidRDefault="00BF40BE" w:rsidP="00FA4D4F">
            <w:pPr>
              <w:widowControl w:val="0"/>
              <w:tabs>
                <w:tab w:val="left" w:pos="768"/>
              </w:tabs>
              <w:jc w:val="left"/>
              <w:rPr>
                <w:rFonts w:ascii="Arial Narrow" w:hAnsi="Arial Narrow" w:cs="Calibri"/>
                <w:sz w:val="20"/>
                <w:szCs w:val="20"/>
                <w:lang w:eastAsia="en-AU"/>
              </w:rPr>
            </w:pPr>
            <w:r w:rsidRPr="004C56A3">
              <w:rPr>
                <w:rFonts w:ascii="Arial Narrow" w:hAnsi="Arial Narrow" w:cs="Calibri"/>
                <w:sz w:val="20"/>
                <w:szCs w:val="20"/>
                <w:lang w:eastAsia="en-AU"/>
              </w:rPr>
              <w:t>The proportions eligible for surgery and the surgery success rates were sourced from the clinician questionnaires and Palen-Tytko 2020 (single centre study of 24 patients in Poland). See Table 4.2.2 of the commentary on the submission for the rates.</w:t>
            </w:r>
          </w:p>
          <w:p w14:paraId="7EB0311D" w14:textId="77777777" w:rsidR="00BF40BE" w:rsidRPr="004C56A3" w:rsidRDefault="00BF40BE" w:rsidP="00FA4D4F">
            <w:pPr>
              <w:widowControl w:val="0"/>
              <w:tabs>
                <w:tab w:val="left" w:pos="768"/>
              </w:tabs>
              <w:jc w:val="left"/>
              <w:rPr>
                <w:rFonts w:ascii="Arial Narrow" w:hAnsi="Arial Narrow" w:cs="Calibri"/>
                <w:sz w:val="20"/>
                <w:szCs w:val="20"/>
                <w:lang w:eastAsia="en-AU"/>
              </w:rPr>
            </w:pPr>
          </w:p>
          <w:tbl>
            <w:tblPr>
              <w:tblStyle w:val="TableGrid"/>
              <w:tblW w:w="5126" w:type="dxa"/>
              <w:tblLayout w:type="fixed"/>
              <w:tblCellMar>
                <w:left w:w="28" w:type="dxa"/>
                <w:right w:w="28" w:type="dxa"/>
              </w:tblCellMar>
              <w:tblLook w:val="04A0" w:firstRow="1" w:lastRow="0" w:firstColumn="1" w:lastColumn="0" w:noHBand="0" w:noVBand="1"/>
            </w:tblPr>
            <w:tblGrid>
              <w:gridCol w:w="1724"/>
              <w:gridCol w:w="567"/>
              <w:gridCol w:w="567"/>
              <w:gridCol w:w="567"/>
              <w:gridCol w:w="567"/>
              <w:gridCol w:w="567"/>
              <w:gridCol w:w="567"/>
            </w:tblGrid>
            <w:tr w:rsidR="00BF40BE" w:rsidRPr="004C56A3" w14:paraId="29D29DFB" w14:textId="77777777" w:rsidTr="005C1ADA">
              <w:tc>
                <w:tcPr>
                  <w:tcW w:w="1724" w:type="dxa"/>
                </w:tcPr>
                <w:p w14:paraId="4859115B" w14:textId="77777777" w:rsidR="00BF40BE" w:rsidRPr="004C56A3" w:rsidRDefault="00BF40BE" w:rsidP="00FA4D4F">
                  <w:pPr>
                    <w:widowControl w:val="0"/>
                    <w:tabs>
                      <w:tab w:val="left" w:pos="101"/>
                    </w:tabs>
                    <w:jc w:val="left"/>
                    <w:rPr>
                      <w:rFonts w:ascii="Arial Narrow" w:hAnsi="Arial Narrow" w:cs="Calibri"/>
                      <w:b/>
                      <w:bCs/>
                      <w:sz w:val="20"/>
                      <w:szCs w:val="20"/>
                    </w:rPr>
                  </w:pPr>
                </w:p>
              </w:tc>
              <w:tc>
                <w:tcPr>
                  <w:tcW w:w="567" w:type="dxa"/>
                </w:tcPr>
                <w:p w14:paraId="1BFBB896"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1</w:t>
                  </w:r>
                </w:p>
              </w:tc>
              <w:tc>
                <w:tcPr>
                  <w:tcW w:w="567" w:type="dxa"/>
                </w:tcPr>
                <w:p w14:paraId="22E514E1"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2</w:t>
                  </w:r>
                </w:p>
              </w:tc>
              <w:tc>
                <w:tcPr>
                  <w:tcW w:w="567" w:type="dxa"/>
                </w:tcPr>
                <w:p w14:paraId="495ED308"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3</w:t>
                  </w:r>
                </w:p>
              </w:tc>
              <w:tc>
                <w:tcPr>
                  <w:tcW w:w="567" w:type="dxa"/>
                </w:tcPr>
                <w:p w14:paraId="55D2A4D5"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4</w:t>
                  </w:r>
                </w:p>
              </w:tc>
              <w:tc>
                <w:tcPr>
                  <w:tcW w:w="567" w:type="dxa"/>
                </w:tcPr>
                <w:p w14:paraId="0D0A71CC"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5</w:t>
                  </w:r>
                </w:p>
              </w:tc>
              <w:tc>
                <w:tcPr>
                  <w:tcW w:w="567" w:type="dxa"/>
                </w:tcPr>
                <w:p w14:paraId="64BC6098"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6</w:t>
                  </w:r>
                </w:p>
              </w:tc>
            </w:tr>
            <w:tr w:rsidR="00BF40BE" w:rsidRPr="004C56A3" w14:paraId="50DDC38F" w14:textId="77777777" w:rsidTr="005C1ADA">
              <w:tc>
                <w:tcPr>
                  <w:tcW w:w="1724" w:type="dxa"/>
                </w:tcPr>
                <w:p w14:paraId="10037C34"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Endogenous CS</w:t>
                  </w:r>
                </w:p>
              </w:tc>
              <w:tc>
                <w:tcPr>
                  <w:tcW w:w="567" w:type="dxa"/>
                  <w:vAlign w:val="center"/>
                </w:tcPr>
                <w:p w14:paraId="70C09E7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1,413</w:t>
                  </w:r>
                </w:p>
              </w:tc>
              <w:tc>
                <w:tcPr>
                  <w:tcW w:w="567" w:type="dxa"/>
                  <w:vAlign w:val="center"/>
                </w:tcPr>
                <w:p w14:paraId="288B672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47</w:t>
                  </w:r>
                </w:p>
              </w:tc>
              <w:tc>
                <w:tcPr>
                  <w:tcW w:w="567" w:type="dxa"/>
                  <w:vAlign w:val="center"/>
                </w:tcPr>
                <w:p w14:paraId="07017188"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48</w:t>
                  </w:r>
                </w:p>
              </w:tc>
              <w:tc>
                <w:tcPr>
                  <w:tcW w:w="567" w:type="dxa"/>
                  <w:vAlign w:val="center"/>
                </w:tcPr>
                <w:p w14:paraId="5D6D158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49</w:t>
                  </w:r>
                </w:p>
              </w:tc>
              <w:tc>
                <w:tcPr>
                  <w:tcW w:w="567" w:type="dxa"/>
                  <w:vAlign w:val="center"/>
                </w:tcPr>
                <w:p w14:paraId="3CDF621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49</w:t>
                  </w:r>
                </w:p>
              </w:tc>
              <w:tc>
                <w:tcPr>
                  <w:tcW w:w="567" w:type="dxa"/>
                  <w:vAlign w:val="center"/>
                </w:tcPr>
                <w:p w14:paraId="60C3C15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50</w:t>
                  </w:r>
                </w:p>
              </w:tc>
            </w:tr>
            <w:tr w:rsidR="00BF40BE" w:rsidRPr="004C56A3" w14:paraId="3FF92BAB" w14:textId="77777777" w:rsidTr="005C1ADA">
              <w:tc>
                <w:tcPr>
                  <w:tcW w:w="5126" w:type="dxa"/>
                  <w:gridSpan w:val="7"/>
                </w:tcPr>
                <w:p w14:paraId="66A41652" w14:textId="77777777" w:rsidR="00BF40BE" w:rsidRPr="004C56A3" w:rsidRDefault="00BF40BE" w:rsidP="00FA4D4F">
                  <w:pPr>
                    <w:widowControl w:val="0"/>
                    <w:tabs>
                      <w:tab w:val="left" w:pos="101"/>
                    </w:tabs>
                    <w:jc w:val="left"/>
                    <w:rPr>
                      <w:rFonts w:ascii="Arial Narrow" w:hAnsi="Arial Narrow" w:cs="Calibri"/>
                      <w:b/>
                      <w:bCs/>
                      <w:sz w:val="20"/>
                      <w:szCs w:val="20"/>
                    </w:rPr>
                  </w:pPr>
                  <w:r w:rsidRPr="004C56A3">
                    <w:rPr>
                      <w:rFonts w:ascii="Arial Narrow" w:hAnsi="Arial Narrow" w:cs="Calibri"/>
                      <w:b/>
                      <w:bCs/>
                      <w:sz w:val="20"/>
                      <w:szCs w:val="20"/>
                    </w:rPr>
                    <w:t>Cushing’s disease</w:t>
                  </w:r>
                </w:p>
              </w:tc>
            </w:tr>
            <w:tr w:rsidR="00BF40BE" w:rsidRPr="004C56A3" w14:paraId="5BF3BA53" w14:textId="77777777" w:rsidTr="005C1ADA">
              <w:tc>
                <w:tcPr>
                  <w:tcW w:w="1724" w:type="dxa"/>
                </w:tcPr>
                <w:p w14:paraId="550D1DD4"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CD: 70%</w:t>
                  </w:r>
                </w:p>
              </w:tc>
              <w:tc>
                <w:tcPr>
                  <w:tcW w:w="567" w:type="dxa"/>
                </w:tcPr>
                <w:p w14:paraId="733E3EA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989</w:t>
                  </w:r>
                </w:p>
              </w:tc>
              <w:tc>
                <w:tcPr>
                  <w:tcW w:w="567" w:type="dxa"/>
                </w:tcPr>
                <w:p w14:paraId="35F5A6E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33</w:t>
                  </w:r>
                </w:p>
              </w:tc>
              <w:tc>
                <w:tcPr>
                  <w:tcW w:w="567" w:type="dxa"/>
                </w:tcPr>
                <w:p w14:paraId="2C1145B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33</w:t>
                  </w:r>
                </w:p>
              </w:tc>
              <w:tc>
                <w:tcPr>
                  <w:tcW w:w="567" w:type="dxa"/>
                </w:tcPr>
                <w:p w14:paraId="2DAD184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34</w:t>
                  </w:r>
                </w:p>
              </w:tc>
              <w:tc>
                <w:tcPr>
                  <w:tcW w:w="567" w:type="dxa"/>
                </w:tcPr>
                <w:p w14:paraId="6488897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34</w:t>
                  </w:r>
                </w:p>
              </w:tc>
              <w:tc>
                <w:tcPr>
                  <w:tcW w:w="567" w:type="dxa"/>
                </w:tcPr>
                <w:p w14:paraId="650DC2B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35</w:t>
                  </w:r>
                </w:p>
              </w:tc>
            </w:tr>
            <w:tr w:rsidR="00BF40BE" w:rsidRPr="004C56A3" w14:paraId="1A16182C" w14:textId="77777777" w:rsidTr="005C1ADA">
              <w:tc>
                <w:tcPr>
                  <w:tcW w:w="1724" w:type="dxa"/>
                </w:tcPr>
                <w:p w14:paraId="303FE5CF"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 xml:space="preserve">Ineligible for surgery: 2% </w:t>
                  </w:r>
                  <w:r w:rsidRPr="004C56A3">
                    <w:rPr>
                      <w:rFonts w:ascii="Arial Narrow" w:hAnsi="Arial Narrow" w:cs="Calibri"/>
                      <w:sz w:val="20"/>
                      <w:szCs w:val="20"/>
                    </w:rPr>
                    <w:tab/>
                    <w:t>(= eligible)</w:t>
                  </w:r>
                </w:p>
              </w:tc>
              <w:tc>
                <w:tcPr>
                  <w:tcW w:w="567" w:type="dxa"/>
                  <w:vAlign w:val="center"/>
                </w:tcPr>
                <w:p w14:paraId="1E60000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20</w:t>
                  </w:r>
                </w:p>
              </w:tc>
              <w:tc>
                <w:tcPr>
                  <w:tcW w:w="567" w:type="dxa"/>
                  <w:vAlign w:val="center"/>
                </w:tcPr>
                <w:p w14:paraId="63ECFCF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w:t>
                  </w:r>
                </w:p>
              </w:tc>
              <w:tc>
                <w:tcPr>
                  <w:tcW w:w="567" w:type="dxa"/>
                  <w:vAlign w:val="center"/>
                </w:tcPr>
                <w:p w14:paraId="15B2022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w:t>
                  </w:r>
                </w:p>
              </w:tc>
              <w:tc>
                <w:tcPr>
                  <w:tcW w:w="567" w:type="dxa"/>
                  <w:vAlign w:val="center"/>
                </w:tcPr>
                <w:p w14:paraId="69085067"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w:t>
                  </w:r>
                </w:p>
              </w:tc>
              <w:tc>
                <w:tcPr>
                  <w:tcW w:w="567" w:type="dxa"/>
                  <w:vAlign w:val="center"/>
                </w:tcPr>
                <w:p w14:paraId="7F0163E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w:t>
                  </w:r>
                </w:p>
              </w:tc>
              <w:tc>
                <w:tcPr>
                  <w:tcW w:w="567" w:type="dxa"/>
                  <w:vAlign w:val="center"/>
                </w:tcPr>
                <w:p w14:paraId="73623848"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w:t>
                  </w:r>
                </w:p>
              </w:tc>
            </w:tr>
            <w:tr w:rsidR="00BF40BE" w:rsidRPr="004C56A3" w14:paraId="58BC810B" w14:textId="77777777" w:rsidTr="005C1ADA">
              <w:tc>
                <w:tcPr>
                  <w:tcW w:w="1724" w:type="dxa"/>
                </w:tcPr>
                <w:p w14:paraId="5CAA06C1" w14:textId="77777777" w:rsidR="00BF40BE" w:rsidRPr="004C56A3" w:rsidRDefault="00BF40BE" w:rsidP="00FA4D4F">
                  <w:pPr>
                    <w:widowControl w:val="0"/>
                    <w:tabs>
                      <w:tab w:val="left" w:pos="101"/>
                    </w:tabs>
                    <w:ind w:left="101" w:hanging="101"/>
                    <w:jc w:val="left"/>
                    <w:rPr>
                      <w:rFonts w:ascii="Arial Narrow" w:hAnsi="Arial Narrow" w:cs="Calibri"/>
                      <w:sz w:val="20"/>
                      <w:szCs w:val="20"/>
                    </w:rPr>
                  </w:pPr>
                  <w:r w:rsidRPr="004C56A3">
                    <w:rPr>
                      <w:rFonts w:ascii="Arial Narrow" w:hAnsi="Arial Narrow" w:cs="Calibri"/>
                      <w:sz w:val="20"/>
                      <w:szCs w:val="20"/>
                    </w:rPr>
                    <w:tab/>
                    <w:t>Unsuccessful 1</w:t>
                  </w:r>
                  <w:r w:rsidRPr="004C56A3">
                    <w:rPr>
                      <w:rFonts w:ascii="Arial Narrow" w:hAnsi="Arial Narrow" w:cs="Calibri"/>
                      <w:sz w:val="20"/>
                      <w:szCs w:val="20"/>
                      <w:vertAlign w:val="superscript"/>
                    </w:rPr>
                    <w:t>st</w:t>
                  </w:r>
                  <w:r w:rsidRPr="004C56A3">
                    <w:rPr>
                      <w:rFonts w:ascii="Arial Narrow" w:hAnsi="Arial Narrow" w:cs="Calibri"/>
                      <w:sz w:val="20"/>
                      <w:szCs w:val="20"/>
                    </w:rPr>
                    <w:t xml:space="preserve"> surgery (40%) and no further surgery (50%) = eligible</w:t>
                  </w:r>
                </w:p>
              </w:tc>
              <w:tc>
                <w:tcPr>
                  <w:tcW w:w="567" w:type="dxa"/>
                  <w:vAlign w:val="center"/>
                </w:tcPr>
                <w:p w14:paraId="01D211D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194</w:t>
                  </w:r>
                </w:p>
              </w:tc>
              <w:tc>
                <w:tcPr>
                  <w:tcW w:w="567" w:type="dxa"/>
                  <w:vAlign w:val="center"/>
                </w:tcPr>
                <w:p w14:paraId="730395B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6</w:t>
                  </w:r>
                </w:p>
              </w:tc>
              <w:tc>
                <w:tcPr>
                  <w:tcW w:w="567" w:type="dxa"/>
                  <w:vAlign w:val="center"/>
                </w:tcPr>
                <w:p w14:paraId="6B9345D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7</w:t>
                  </w:r>
                </w:p>
              </w:tc>
              <w:tc>
                <w:tcPr>
                  <w:tcW w:w="567" w:type="dxa"/>
                  <w:vAlign w:val="center"/>
                </w:tcPr>
                <w:p w14:paraId="0BEAB75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7</w:t>
                  </w:r>
                </w:p>
              </w:tc>
              <w:tc>
                <w:tcPr>
                  <w:tcW w:w="567" w:type="dxa"/>
                  <w:vAlign w:val="center"/>
                </w:tcPr>
                <w:p w14:paraId="4688A95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7</w:t>
                  </w:r>
                </w:p>
              </w:tc>
              <w:tc>
                <w:tcPr>
                  <w:tcW w:w="567" w:type="dxa"/>
                  <w:vAlign w:val="center"/>
                </w:tcPr>
                <w:p w14:paraId="03D68BC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7</w:t>
                  </w:r>
                </w:p>
              </w:tc>
            </w:tr>
            <w:tr w:rsidR="00BF40BE" w:rsidRPr="004C56A3" w14:paraId="6E7BEBBC" w14:textId="77777777" w:rsidTr="005C1ADA">
              <w:tc>
                <w:tcPr>
                  <w:tcW w:w="1724" w:type="dxa"/>
                </w:tcPr>
                <w:p w14:paraId="52AF6E98"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Unsuccessful 2</w:t>
                  </w:r>
                  <w:r w:rsidRPr="004C56A3">
                    <w:rPr>
                      <w:rFonts w:ascii="Arial Narrow" w:hAnsi="Arial Narrow" w:cs="Calibri"/>
                      <w:sz w:val="20"/>
                      <w:szCs w:val="20"/>
                      <w:vertAlign w:val="superscript"/>
                    </w:rPr>
                    <w:t>nd</w:t>
                  </w:r>
                  <w:r w:rsidRPr="004C56A3">
                    <w:rPr>
                      <w:rFonts w:ascii="Arial Narrow" w:hAnsi="Arial Narrow" w:cs="Calibri"/>
                      <w:sz w:val="20"/>
                      <w:szCs w:val="20"/>
                    </w:rPr>
                    <w:t xml:space="preserve"> surgery </w:t>
                  </w:r>
                  <w:r w:rsidRPr="004C56A3">
                    <w:rPr>
                      <w:rFonts w:ascii="Arial Narrow" w:hAnsi="Arial Narrow" w:cs="Calibri"/>
                      <w:sz w:val="20"/>
                      <w:szCs w:val="20"/>
                    </w:rPr>
                    <w:tab/>
                    <w:t>(60%) = eligible</w:t>
                  </w:r>
                </w:p>
              </w:tc>
              <w:tc>
                <w:tcPr>
                  <w:tcW w:w="567" w:type="dxa"/>
                  <w:vAlign w:val="center"/>
                </w:tcPr>
                <w:p w14:paraId="2F3290C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116</w:t>
                  </w:r>
                </w:p>
              </w:tc>
              <w:tc>
                <w:tcPr>
                  <w:tcW w:w="567" w:type="dxa"/>
                  <w:vAlign w:val="center"/>
                </w:tcPr>
                <w:p w14:paraId="41E876F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w:t>
                  </w:r>
                </w:p>
              </w:tc>
              <w:tc>
                <w:tcPr>
                  <w:tcW w:w="567" w:type="dxa"/>
                  <w:vAlign w:val="center"/>
                </w:tcPr>
                <w:p w14:paraId="0E297BD7"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w:t>
                  </w:r>
                </w:p>
              </w:tc>
              <w:tc>
                <w:tcPr>
                  <w:tcW w:w="567" w:type="dxa"/>
                  <w:vAlign w:val="center"/>
                </w:tcPr>
                <w:p w14:paraId="688095D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w:t>
                  </w:r>
                </w:p>
              </w:tc>
              <w:tc>
                <w:tcPr>
                  <w:tcW w:w="567" w:type="dxa"/>
                  <w:vAlign w:val="center"/>
                </w:tcPr>
                <w:p w14:paraId="2801FFF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w:t>
                  </w:r>
                </w:p>
              </w:tc>
              <w:tc>
                <w:tcPr>
                  <w:tcW w:w="567" w:type="dxa"/>
                  <w:vAlign w:val="center"/>
                </w:tcPr>
                <w:p w14:paraId="6FC4DDB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w:t>
                  </w:r>
                </w:p>
              </w:tc>
            </w:tr>
            <w:tr w:rsidR="00BF40BE" w:rsidRPr="004C56A3" w14:paraId="611B73D8" w14:textId="77777777" w:rsidTr="005C1ADA">
              <w:tc>
                <w:tcPr>
                  <w:tcW w:w="1724" w:type="dxa"/>
                </w:tcPr>
                <w:p w14:paraId="230F752C"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Eligible</w:t>
                  </w:r>
                </w:p>
              </w:tc>
              <w:tc>
                <w:tcPr>
                  <w:tcW w:w="567" w:type="dxa"/>
                </w:tcPr>
                <w:p w14:paraId="230EE5C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330</w:t>
                  </w:r>
                </w:p>
              </w:tc>
              <w:tc>
                <w:tcPr>
                  <w:tcW w:w="567" w:type="dxa"/>
                </w:tcPr>
                <w:p w14:paraId="0D9230D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67" w:type="dxa"/>
                </w:tcPr>
                <w:p w14:paraId="3C68029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67" w:type="dxa"/>
                </w:tcPr>
                <w:p w14:paraId="7D374E7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67" w:type="dxa"/>
                </w:tcPr>
                <w:p w14:paraId="4DC90FC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12</w:t>
                  </w:r>
                </w:p>
              </w:tc>
              <w:tc>
                <w:tcPr>
                  <w:tcW w:w="567" w:type="dxa"/>
                </w:tcPr>
                <w:p w14:paraId="356E3CB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12</w:t>
                  </w:r>
                </w:p>
              </w:tc>
            </w:tr>
            <w:tr w:rsidR="00BF40BE" w:rsidRPr="004C56A3" w14:paraId="03D6A282" w14:textId="77777777" w:rsidTr="005C1ADA">
              <w:tc>
                <w:tcPr>
                  <w:tcW w:w="5126" w:type="dxa"/>
                  <w:gridSpan w:val="7"/>
                </w:tcPr>
                <w:p w14:paraId="753816FB" w14:textId="77777777" w:rsidR="00BF40BE" w:rsidRPr="004C56A3" w:rsidRDefault="00BF40BE" w:rsidP="00FA4D4F">
                  <w:pPr>
                    <w:widowControl w:val="0"/>
                    <w:jc w:val="left"/>
                    <w:rPr>
                      <w:rFonts w:ascii="Arial Narrow" w:hAnsi="Arial Narrow" w:cs="Calibri"/>
                      <w:b/>
                      <w:bCs/>
                      <w:sz w:val="20"/>
                      <w:szCs w:val="20"/>
                    </w:rPr>
                  </w:pPr>
                  <w:r w:rsidRPr="004C56A3">
                    <w:rPr>
                      <w:rFonts w:ascii="Arial Narrow" w:hAnsi="Arial Narrow" w:cs="Calibri"/>
                      <w:b/>
                      <w:bCs/>
                      <w:sz w:val="20"/>
                      <w:szCs w:val="20"/>
                    </w:rPr>
                    <w:t>ACTH-dependent</w:t>
                  </w:r>
                </w:p>
              </w:tc>
            </w:tr>
            <w:tr w:rsidR="00BF40BE" w:rsidRPr="004C56A3" w14:paraId="7C681037" w14:textId="77777777" w:rsidTr="005C1ADA">
              <w:tc>
                <w:tcPr>
                  <w:tcW w:w="1724" w:type="dxa"/>
                </w:tcPr>
                <w:p w14:paraId="5C250A80"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ACTH-dependent: 10%</w:t>
                  </w:r>
                </w:p>
              </w:tc>
              <w:tc>
                <w:tcPr>
                  <w:tcW w:w="567" w:type="dxa"/>
                </w:tcPr>
                <w:p w14:paraId="1410AFF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141</w:t>
                  </w:r>
                </w:p>
              </w:tc>
              <w:tc>
                <w:tcPr>
                  <w:tcW w:w="567" w:type="dxa"/>
                </w:tcPr>
                <w:p w14:paraId="5F3B339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w:t>
                  </w:r>
                </w:p>
              </w:tc>
              <w:tc>
                <w:tcPr>
                  <w:tcW w:w="567" w:type="dxa"/>
                </w:tcPr>
                <w:p w14:paraId="7D368BF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w:t>
                  </w:r>
                </w:p>
              </w:tc>
              <w:tc>
                <w:tcPr>
                  <w:tcW w:w="567" w:type="dxa"/>
                </w:tcPr>
                <w:p w14:paraId="30A5068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w:t>
                  </w:r>
                </w:p>
              </w:tc>
              <w:tc>
                <w:tcPr>
                  <w:tcW w:w="567" w:type="dxa"/>
                </w:tcPr>
                <w:p w14:paraId="45F7797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w:t>
                  </w:r>
                </w:p>
              </w:tc>
              <w:tc>
                <w:tcPr>
                  <w:tcW w:w="567" w:type="dxa"/>
                </w:tcPr>
                <w:p w14:paraId="41FC0567"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w:t>
                  </w:r>
                </w:p>
              </w:tc>
            </w:tr>
            <w:tr w:rsidR="00BF40BE" w:rsidRPr="004C56A3" w14:paraId="5FFCAF05" w14:textId="77777777" w:rsidTr="005C1ADA">
              <w:tc>
                <w:tcPr>
                  <w:tcW w:w="1724" w:type="dxa"/>
                </w:tcPr>
                <w:p w14:paraId="3F42F8FA" w14:textId="77777777" w:rsidR="00BF40BE" w:rsidRPr="004C56A3" w:rsidRDefault="00BF40BE" w:rsidP="00FA4D4F">
                  <w:pPr>
                    <w:widowControl w:val="0"/>
                    <w:tabs>
                      <w:tab w:val="left" w:pos="101"/>
                    </w:tabs>
                    <w:ind w:left="101" w:hanging="101"/>
                    <w:jc w:val="left"/>
                    <w:rPr>
                      <w:rFonts w:ascii="Arial Narrow" w:hAnsi="Arial Narrow" w:cs="Calibri"/>
                      <w:sz w:val="20"/>
                      <w:szCs w:val="20"/>
                    </w:rPr>
                  </w:pPr>
                  <w:r w:rsidRPr="004C56A3">
                    <w:rPr>
                      <w:rFonts w:ascii="Arial Narrow" w:hAnsi="Arial Narrow" w:cs="Calibri"/>
                      <w:sz w:val="20"/>
                      <w:szCs w:val="20"/>
                    </w:rPr>
                    <w:tab/>
                    <w:t>Ineligible for surgery (50%) = eligible</w:t>
                  </w:r>
                </w:p>
              </w:tc>
              <w:tc>
                <w:tcPr>
                  <w:tcW w:w="567" w:type="dxa"/>
                  <w:vAlign w:val="center"/>
                </w:tcPr>
                <w:p w14:paraId="07567759"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71</w:t>
                  </w:r>
                </w:p>
              </w:tc>
              <w:tc>
                <w:tcPr>
                  <w:tcW w:w="567" w:type="dxa"/>
                  <w:vAlign w:val="center"/>
                </w:tcPr>
                <w:p w14:paraId="1B2D53B9"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w:t>
                  </w:r>
                </w:p>
              </w:tc>
              <w:tc>
                <w:tcPr>
                  <w:tcW w:w="567" w:type="dxa"/>
                  <w:vAlign w:val="center"/>
                </w:tcPr>
                <w:p w14:paraId="34F1912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w:t>
                  </w:r>
                </w:p>
              </w:tc>
              <w:tc>
                <w:tcPr>
                  <w:tcW w:w="567" w:type="dxa"/>
                  <w:vAlign w:val="center"/>
                </w:tcPr>
                <w:p w14:paraId="3259B6A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w:t>
                  </w:r>
                </w:p>
              </w:tc>
              <w:tc>
                <w:tcPr>
                  <w:tcW w:w="567" w:type="dxa"/>
                  <w:vAlign w:val="center"/>
                </w:tcPr>
                <w:p w14:paraId="36C0A3F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w:t>
                  </w:r>
                </w:p>
              </w:tc>
              <w:tc>
                <w:tcPr>
                  <w:tcW w:w="567" w:type="dxa"/>
                  <w:vAlign w:val="center"/>
                </w:tcPr>
                <w:p w14:paraId="17602F2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w:t>
                  </w:r>
                </w:p>
              </w:tc>
            </w:tr>
            <w:tr w:rsidR="00BF40BE" w:rsidRPr="004C56A3" w14:paraId="634C2F03" w14:textId="77777777" w:rsidTr="005C1ADA">
              <w:tc>
                <w:tcPr>
                  <w:tcW w:w="1724" w:type="dxa"/>
                </w:tcPr>
                <w:p w14:paraId="7BD34F32" w14:textId="77777777" w:rsidR="00BF40BE" w:rsidRPr="004C56A3" w:rsidRDefault="00BF40BE" w:rsidP="00FA4D4F">
                  <w:pPr>
                    <w:widowControl w:val="0"/>
                    <w:tabs>
                      <w:tab w:val="left" w:pos="101"/>
                    </w:tabs>
                    <w:ind w:left="101" w:hanging="101"/>
                    <w:jc w:val="left"/>
                    <w:rPr>
                      <w:rFonts w:ascii="Arial Narrow" w:hAnsi="Arial Narrow" w:cs="Calibri"/>
                      <w:sz w:val="20"/>
                      <w:szCs w:val="20"/>
                    </w:rPr>
                  </w:pPr>
                  <w:r w:rsidRPr="004C56A3">
                    <w:rPr>
                      <w:rFonts w:ascii="Arial Narrow" w:hAnsi="Arial Narrow" w:cs="Calibri"/>
                      <w:sz w:val="20"/>
                      <w:szCs w:val="20"/>
                    </w:rPr>
                    <w:tab/>
                    <w:t>Unsuccessful 1</w:t>
                  </w:r>
                  <w:r w:rsidRPr="004C56A3">
                    <w:rPr>
                      <w:rFonts w:ascii="Arial Narrow" w:hAnsi="Arial Narrow" w:cs="Calibri"/>
                      <w:sz w:val="20"/>
                      <w:szCs w:val="20"/>
                      <w:vertAlign w:val="superscript"/>
                    </w:rPr>
                    <w:t>st</w:t>
                  </w:r>
                  <w:r w:rsidRPr="004C56A3">
                    <w:rPr>
                      <w:rFonts w:ascii="Arial Narrow" w:hAnsi="Arial Narrow" w:cs="Calibri"/>
                      <w:sz w:val="20"/>
                      <w:szCs w:val="20"/>
                    </w:rPr>
                    <w:t xml:space="preserve"> surgery (17%) = eligible</w:t>
                  </w:r>
                </w:p>
              </w:tc>
              <w:tc>
                <w:tcPr>
                  <w:tcW w:w="567" w:type="dxa"/>
                  <w:vAlign w:val="center"/>
                </w:tcPr>
                <w:p w14:paraId="74921F1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12</w:t>
                  </w:r>
                </w:p>
              </w:tc>
              <w:tc>
                <w:tcPr>
                  <w:tcW w:w="567" w:type="dxa"/>
                  <w:vAlign w:val="center"/>
                </w:tcPr>
                <w:p w14:paraId="24BF547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5B17A84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35A07AB9"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6890E27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194E136E"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r>
            <w:tr w:rsidR="00BF40BE" w:rsidRPr="004C56A3" w14:paraId="70301174" w14:textId="77777777" w:rsidTr="005C1ADA">
              <w:tc>
                <w:tcPr>
                  <w:tcW w:w="1724" w:type="dxa"/>
                </w:tcPr>
                <w:p w14:paraId="7CB46DF0"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Eligible</w:t>
                  </w:r>
                </w:p>
              </w:tc>
              <w:tc>
                <w:tcPr>
                  <w:tcW w:w="567" w:type="dxa"/>
                </w:tcPr>
                <w:p w14:paraId="30EA86F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82</w:t>
                  </w:r>
                </w:p>
              </w:tc>
              <w:tc>
                <w:tcPr>
                  <w:tcW w:w="567" w:type="dxa"/>
                </w:tcPr>
                <w:p w14:paraId="3047EE5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67" w:type="dxa"/>
                </w:tcPr>
                <w:p w14:paraId="52908109"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67" w:type="dxa"/>
                </w:tcPr>
                <w:p w14:paraId="0CB31DE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67" w:type="dxa"/>
                </w:tcPr>
                <w:p w14:paraId="4E8EBC0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67" w:type="dxa"/>
                </w:tcPr>
                <w:p w14:paraId="54D0FAB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r>
            <w:tr w:rsidR="00BF40BE" w:rsidRPr="004C56A3" w14:paraId="377E85CA" w14:textId="77777777" w:rsidTr="005C1ADA">
              <w:tc>
                <w:tcPr>
                  <w:tcW w:w="5126" w:type="dxa"/>
                  <w:gridSpan w:val="7"/>
                </w:tcPr>
                <w:p w14:paraId="7F1A8573" w14:textId="77777777" w:rsidR="00BF40BE" w:rsidRPr="004C56A3" w:rsidRDefault="00BF40BE" w:rsidP="00FA4D4F">
                  <w:pPr>
                    <w:widowControl w:val="0"/>
                    <w:jc w:val="left"/>
                    <w:rPr>
                      <w:rFonts w:ascii="Arial Narrow" w:hAnsi="Arial Narrow" w:cs="Calibri"/>
                      <w:b/>
                      <w:bCs/>
                      <w:sz w:val="20"/>
                      <w:szCs w:val="20"/>
                    </w:rPr>
                  </w:pPr>
                  <w:r w:rsidRPr="004C56A3">
                    <w:rPr>
                      <w:rFonts w:ascii="Arial Narrow" w:hAnsi="Arial Narrow" w:cs="Calibri"/>
                      <w:b/>
                      <w:bCs/>
                      <w:sz w:val="20"/>
                      <w:szCs w:val="20"/>
                    </w:rPr>
                    <w:t>ACTH-independent</w:t>
                  </w:r>
                </w:p>
              </w:tc>
            </w:tr>
            <w:tr w:rsidR="00BF40BE" w:rsidRPr="004C56A3" w14:paraId="2C11B69D" w14:textId="77777777" w:rsidTr="005C1ADA">
              <w:tc>
                <w:tcPr>
                  <w:tcW w:w="1724" w:type="dxa"/>
                </w:tcPr>
                <w:p w14:paraId="0BDF5759"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ACTH-independent: 20%</w:t>
                  </w:r>
                </w:p>
              </w:tc>
              <w:tc>
                <w:tcPr>
                  <w:tcW w:w="567" w:type="dxa"/>
                </w:tcPr>
                <w:p w14:paraId="1226B75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283</w:t>
                  </w:r>
                </w:p>
              </w:tc>
              <w:tc>
                <w:tcPr>
                  <w:tcW w:w="567" w:type="dxa"/>
                </w:tcPr>
                <w:p w14:paraId="72536AE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9</w:t>
                  </w:r>
                </w:p>
              </w:tc>
              <w:tc>
                <w:tcPr>
                  <w:tcW w:w="567" w:type="dxa"/>
                </w:tcPr>
                <w:p w14:paraId="0539F16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10</w:t>
                  </w:r>
                </w:p>
              </w:tc>
              <w:tc>
                <w:tcPr>
                  <w:tcW w:w="567" w:type="dxa"/>
                </w:tcPr>
                <w:p w14:paraId="1AEE8DB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10</w:t>
                  </w:r>
                </w:p>
              </w:tc>
              <w:tc>
                <w:tcPr>
                  <w:tcW w:w="567" w:type="dxa"/>
                </w:tcPr>
                <w:p w14:paraId="4CBFF0D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10</w:t>
                  </w:r>
                </w:p>
              </w:tc>
              <w:tc>
                <w:tcPr>
                  <w:tcW w:w="567" w:type="dxa"/>
                </w:tcPr>
                <w:p w14:paraId="7A871A87"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10</w:t>
                  </w:r>
                </w:p>
              </w:tc>
            </w:tr>
            <w:tr w:rsidR="00BF40BE" w:rsidRPr="004C56A3" w14:paraId="509915C6" w14:textId="77777777" w:rsidTr="005C1ADA">
              <w:tc>
                <w:tcPr>
                  <w:tcW w:w="1724" w:type="dxa"/>
                </w:tcPr>
                <w:p w14:paraId="3E976B65" w14:textId="77777777" w:rsidR="00BF40BE" w:rsidRPr="004C56A3" w:rsidRDefault="00BF40BE" w:rsidP="00FA4D4F">
                  <w:pPr>
                    <w:widowControl w:val="0"/>
                    <w:tabs>
                      <w:tab w:val="left" w:pos="101"/>
                    </w:tabs>
                    <w:ind w:left="101" w:hanging="101"/>
                    <w:jc w:val="left"/>
                    <w:rPr>
                      <w:rFonts w:ascii="Arial Narrow" w:hAnsi="Arial Narrow" w:cs="Calibri"/>
                      <w:sz w:val="20"/>
                      <w:szCs w:val="20"/>
                    </w:rPr>
                  </w:pPr>
                  <w:r w:rsidRPr="004C56A3">
                    <w:rPr>
                      <w:rFonts w:ascii="Arial Narrow" w:hAnsi="Arial Narrow" w:cs="Calibri"/>
                      <w:sz w:val="20"/>
                      <w:szCs w:val="20"/>
                    </w:rPr>
                    <w:tab/>
                    <w:t>Ineligible for surgery (5%) = eligible</w:t>
                  </w:r>
                </w:p>
              </w:tc>
              <w:tc>
                <w:tcPr>
                  <w:tcW w:w="567" w:type="dxa"/>
                  <w:vAlign w:val="center"/>
                </w:tcPr>
                <w:p w14:paraId="51FFCAA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14</w:t>
                  </w:r>
                </w:p>
              </w:tc>
              <w:tc>
                <w:tcPr>
                  <w:tcW w:w="567" w:type="dxa"/>
                  <w:vAlign w:val="center"/>
                </w:tcPr>
                <w:p w14:paraId="5D0EFF2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2360414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3EB447A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252CF6B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490143F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r>
            <w:tr w:rsidR="00BF40BE" w:rsidRPr="004C56A3" w14:paraId="28A37F3B" w14:textId="77777777" w:rsidTr="005C1ADA">
              <w:tc>
                <w:tcPr>
                  <w:tcW w:w="1724" w:type="dxa"/>
                </w:tcPr>
                <w:p w14:paraId="1BE52BDE" w14:textId="77777777" w:rsidR="00BF40BE" w:rsidRPr="004C56A3" w:rsidRDefault="00BF40BE" w:rsidP="00FA4D4F">
                  <w:pPr>
                    <w:widowControl w:val="0"/>
                    <w:tabs>
                      <w:tab w:val="left" w:pos="101"/>
                    </w:tabs>
                    <w:ind w:left="101" w:hanging="101"/>
                    <w:jc w:val="left"/>
                    <w:rPr>
                      <w:rFonts w:ascii="Arial Narrow" w:hAnsi="Arial Narrow" w:cs="Calibri"/>
                      <w:sz w:val="20"/>
                      <w:szCs w:val="20"/>
                    </w:rPr>
                  </w:pPr>
                  <w:r w:rsidRPr="004C56A3">
                    <w:rPr>
                      <w:rFonts w:ascii="Arial Narrow" w:hAnsi="Arial Narrow" w:cs="Calibri"/>
                      <w:sz w:val="20"/>
                      <w:szCs w:val="20"/>
                    </w:rPr>
                    <w:tab/>
                    <w:t>Unsuccessful 1</w:t>
                  </w:r>
                  <w:r w:rsidRPr="004C56A3">
                    <w:rPr>
                      <w:rFonts w:ascii="Arial Narrow" w:hAnsi="Arial Narrow" w:cs="Calibri"/>
                      <w:sz w:val="20"/>
                      <w:szCs w:val="20"/>
                      <w:vertAlign w:val="superscript"/>
                    </w:rPr>
                    <w:t>st</w:t>
                  </w:r>
                  <w:r w:rsidRPr="004C56A3">
                    <w:rPr>
                      <w:rFonts w:ascii="Arial Narrow" w:hAnsi="Arial Narrow" w:cs="Calibri"/>
                      <w:sz w:val="20"/>
                      <w:szCs w:val="20"/>
                    </w:rPr>
                    <w:t xml:space="preserve"> surgery (5%) = eligible</w:t>
                  </w:r>
                </w:p>
              </w:tc>
              <w:tc>
                <w:tcPr>
                  <w:tcW w:w="567" w:type="dxa"/>
                  <w:vAlign w:val="center"/>
                </w:tcPr>
                <w:p w14:paraId="41D09C7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13</w:t>
                  </w:r>
                </w:p>
              </w:tc>
              <w:tc>
                <w:tcPr>
                  <w:tcW w:w="567" w:type="dxa"/>
                  <w:vAlign w:val="center"/>
                </w:tcPr>
                <w:p w14:paraId="7B0E8F1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7895333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0EDB6DA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13094B19"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vAlign w:val="center"/>
                </w:tcPr>
                <w:p w14:paraId="6692CBD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r>
            <w:tr w:rsidR="00BF40BE" w:rsidRPr="004C56A3" w14:paraId="2AEE4A5F" w14:textId="77777777" w:rsidTr="005C1ADA">
              <w:tc>
                <w:tcPr>
                  <w:tcW w:w="1724" w:type="dxa"/>
                </w:tcPr>
                <w:p w14:paraId="2354B8C7"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Eligible</w:t>
                  </w:r>
                  <w:r w:rsidRPr="004C56A3">
                    <w:rPr>
                      <w:rFonts w:ascii="Arial Narrow" w:hAnsi="Arial Narrow" w:cs="Calibri"/>
                      <w:sz w:val="20"/>
                      <w:szCs w:val="20"/>
                      <w:vertAlign w:val="superscript"/>
                    </w:rPr>
                    <w:t>a</w:t>
                  </w:r>
                </w:p>
              </w:tc>
              <w:tc>
                <w:tcPr>
                  <w:tcW w:w="567" w:type="dxa"/>
                </w:tcPr>
                <w:p w14:paraId="0441629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28</w:t>
                  </w:r>
                </w:p>
              </w:tc>
              <w:tc>
                <w:tcPr>
                  <w:tcW w:w="567" w:type="dxa"/>
                </w:tcPr>
                <w:p w14:paraId="5B6F17F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tcPr>
                <w:p w14:paraId="4FF7168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tcPr>
                <w:p w14:paraId="5529056D"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tcPr>
                <w:p w14:paraId="21C1F72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67" w:type="dxa"/>
                </w:tcPr>
                <w:p w14:paraId="29332A6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r>
            <w:tr w:rsidR="00BF40BE" w:rsidRPr="004C56A3" w14:paraId="3140AC04" w14:textId="77777777" w:rsidTr="005C1ADA">
              <w:tc>
                <w:tcPr>
                  <w:tcW w:w="1724" w:type="dxa"/>
                </w:tcPr>
                <w:p w14:paraId="12A7E4A6" w14:textId="77777777" w:rsidR="00BF40BE" w:rsidRPr="004C56A3" w:rsidRDefault="00BF40BE" w:rsidP="00FA4D4F">
                  <w:pPr>
                    <w:widowControl w:val="0"/>
                    <w:tabs>
                      <w:tab w:val="left" w:pos="101"/>
                    </w:tabs>
                    <w:jc w:val="left"/>
                    <w:rPr>
                      <w:rFonts w:ascii="Arial Narrow" w:hAnsi="Arial Narrow" w:cs="Calibri"/>
                      <w:b/>
                      <w:bCs/>
                      <w:sz w:val="20"/>
                      <w:szCs w:val="20"/>
                    </w:rPr>
                  </w:pPr>
                  <w:r w:rsidRPr="004C56A3">
                    <w:rPr>
                      <w:rFonts w:ascii="Arial Narrow" w:hAnsi="Arial Narrow" w:cs="Calibri"/>
                      <w:b/>
                      <w:bCs/>
                      <w:sz w:val="20"/>
                      <w:szCs w:val="20"/>
                    </w:rPr>
                    <w:t>Total eligible</w:t>
                  </w:r>
                </w:p>
              </w:tc>
              <w:tc>
                <w:tcPr>
                  <w:tcW w:w="567" w:type="dxa"/>
                </w:tcPr>
                <w:p w14:paraId="4DFB6861"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440</w:t>
                  </w:r>
                  <w:r w:rsidRPr="004C56A3">
                    <w:rPr>
                      <w:rFonts w:ascii="Arial Narrow" w:hAnsi="Arial Narrow" w:cs="Calibri"/>
                      <w:b/>
                      <w:bCs/>
                      <w:sz w:val="20"/>
                      <w:szCs w:val="20"/>
                      <w:vertAlign w:val="superscript"/>
                    </w:rPr>
                    <w:t>b</w:t>
                  </w:r>
                </w:p>
              </w:tc>
              <w:tc>
                <w:tcPr>
                  <w:tcW w:w="567" w:type="dxa"/>
                </w:tcPr>
                <w:p w14:paraId="40E0344B"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14</w:t>
                  </w:r>
                </w:p>
              </w:tc>
              <w:tc>
                <w:tcPr>
                  <w:tcW w:w="567" w:type="dxa"/>
                </w:tcPr>
                <w:p w14:paraId="74430007"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14</w:t>
                  </w:r>
                </w:p>
              </w:tc>
              <w:tc>
                <w:tcPr>
                  <w:tcW w:w="567" w:type="dxa"/>
                </w:tcPr>
                <w:p w14:paraId="49650421"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c>
                <w:tcPr>
                  <w:tcW w:w="567" w:type="dxa"/>
                </w:tcPr>
                <w:p w14:paraId="435C3BEE"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c>
                <w:tcPr>
                  <w:tcW w:w="567" w:type="dxa"/>
                </w:tcPr>
                <w:p w14:paraId="4474006A"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r>
          </w:tbl>
          <w:p w14:paraId="1913D033" w14:textId="77777777" w:rsidR="00BF40BE" w:rsidRPr="004C56A3" w:rsidRDefault="00BF40BE" w:rsidP="00FA4D4F">
            <w:pPr>
              <w:widowControl w:val="0"/>
              <w:tabs>
                <w:tab w:val="left" w:pos="768"/>
              </w:tabs>
              <w:ind w:right="395"/>
              <w:jc w:val="left"/>
              <w:rPr>
                <w:rFonts w:ascii="Arial Narrow" w:hAnsi="Arial Narrow" w:cs="Calibri"/>
                <w:sz w:val="20"/>
                <w:szCs w:val="20"/>
                <w:lang w:eastAsia="en-AU"/>
              </w:rPr>
            </w:pPr>
          </w:p>
          <w:tbl>
            <w:tblPr>
              <w:tblStyle w:val="TableGrid"/>
              <w:tblW w:w="5056" w:type="dxa"/>
              <w:tblLayout w:type="fixed"/>
              <w:tblCellMar>
                <w:left w:w="28" w:type="dxa"/>
                <w:right w:w="28" w:type="dxa"/>
              </w:tblCellMar>
              <w:tblLook w:val="04A0" w:firstRow="1" w:lastRow="0" w:firstColumn="1" w:lastColumn="0" w:noHBand="0" w:noVBand="1"/>
            </w:tblPr>
            <w:tblGrid>
              <w:gridCol w:w="1795"/>
              <w:gridCol w:w="543"/>
              <w:gridCol w:w="544"/>
              <w:gridCol w:w="543"/>
              <w:gridCol w:w="544"/>
              <w:gridCol w:w="543"/>
              <w:gridCol w:w="544"/>
            </w:tblGrid>
            <w:tr w:rsidR="00BF40BE" w:rsidRPr="004C56A3" w14:paraId="5396DBDD" w14:textId="77777777" w:rsidTr="00FA4D4F">
              <w:tc>
                <w:tcPr>
                  <w:tcW w:w="1795" w:type="dxa"/>
                </w:tcPr>
                <w:p w14:paraId="2826F797" w14:textId="77777777" w:rsidR="00BF40BE" w:rsidRPr="004C56A3" w:rsidRDefault="00BF40BE" w:rsidP="00FA4D4F">
                  <w:pPr>
                    <w:widowControl w:val="0"/>
                    <w:tabs>
                      <w:tab w:val="left" w:pos="101"/>
                    </w:tabs>
                    <w:jc w:val="left"/>
                    <w:rPr>
                      <w:rFonts w:ascii="Arial Narrow" w:hAnsi="Arial Narrow" w:cs="Calibri"/>
                      <w:b/>
                      <w:bCs/>
                      <w:sz w:val="20"/>
                      <w:szCs w:val="20"/>
                    </w:rPr>
                  </w:pPr>
                  <w:r w:rsidRPr="004C56A3">
                    <w:rPr>
                      <w:rFonts w:ascii="Arial Narrow" w:hAnsi="Arial Narrow" w:cs="Calibri"/>
                      <w:b/>
                      <w:bCs/>
                      <w:sz w:val="20"/>
                      <w:szCs w:val="20"/>
                    </w:rPr>
                    <w:t>Eligible patients</w:t>
                  </w:r>
                </w:p>
              </w:tc>
              <w:tc>
                <w:tcPr>
                  <w:tcW w:w="543" w:type="dxa"/>
                </w:tcPr>
                <w:p w14:paraId="79F52522"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1</w:t>
                  </w:r>
                </w:p>
              </w:tc>
              <w:tc>
                <w:tcPr>
                  <w:tcW w:w="544" w:type="dxa"/>
                </w:tcPr>
                <w:p w14:paraId="4C9E7BEB"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2</w:t>
                  </w:r>
                </w:p>
              </w:tc>
              <w:tc>
                <w:tcPr>
                  <w:tcW w:w="543" w:type="dxa"/>
                </w:tcPr>
                <w:p w14:paraId="7704B5DE"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3</w:t>
                  </w:r>
                </w:p>
              </w:tc>
              <w:tc>
                <w:tcPr>
                  <w:tcW w:w="544" w:type="dxa"/>
                </w:tcPr>
                <w:p w14:paraId="0AC1FB24"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4</w:t>
                  </w:r>
                </w:p>
              </w:tc>
              <w:tc>
                <w:tcPr>
                  <w:tcW w:w="543" w:type="dxa"/>
                </w:tcPr>
                <w:p w14:paraId="4ECC405C"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5</w:t>
                  </w:r>
                </w:p>
              </w:tc>
              <w:tc>
                <w:tcPr>
                  <w:tcW w:w="544" w:type="dxa"/>
                </w:tcPr>
                <w:p w14:paraId="0CCDF0AD"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Year 6</w:t>
                  </w:r>
                </w:p>
              </w:tc>
            </w:tr>
            <w:tr w:rsidR="00BF40BE" w:rsidRPr="004C56A3" w14:paraId="61670D7D" w14:textId="77777777" w:rsidTr="00FA4D4F">
              <w:tc>
                <w:tcPr>
                  <w:tcW w:w="1795" w:type="dxa"/>
                </w:tcPr>
                <w:p w14:paraId="5D7D7DE8"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Endogenous CS</w:t>
                  </w:r>
                </w:p>
              </w:tc>
              <w:tc>
                <w:tcPr>
                  <w:tcW w:w="543" w:type="dxa"/>
                  <w:vAlign w:val="center"/>
                </w:tcPr>
                <w:p w14:paraId="3254183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1,413</w:t>
                  </w:r>
                </w:p>
              </w:tc>
              <w:tc>
                <w:tcPr>
                  <w:tcW w:w="544" w:type="dxa"/>
                  <w:vAlign w:val="center"/>
                </w:tcPr>
                <w:p w14:paraId="5F316472"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47</w:t>
                  </w:r>
                </w:p>
              </w:tc>
              <w:tc>
                <w:tcPr>
                  <w:tcW w:w="543" w:type="dxa"/>
                  <w:vAlign w:val="center"/>
                </w:tcPr>
                <w:p w14:paraId="04E7564A"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48</w:t>
                  </w:r>
                </w:p>
              </w:tc>
              <w:tc>
                <w:tcPr>
                  <w:tcW w:w="544" w:type="dxa"/>
                  <w:vAlign w:val="center"/>
                </w:tcPr>
                <w:p w14:paraId="39E6057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49</w:t>
                  </w:r>
                </w:p>
              </w:tc>
              <w:tc>
                <w:tcPr>
                  <w:tcW w:w="543" w:type="dxa"/>
                  <w:vAlign w:val="center"/>
                </w:tcPr>
                <w:p w14:paraId="486B682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49</w:t>
                  </w:r>
                </w:p>
              </w:tc>
              <w:tc>
                <w:tcPr>
                  <w:tcW w:w="544" w:type="dxa"/>
                  <w:vAlign w:val="center"/>
                </w:tcPr>
                <w:p w14:paraId="5B86E75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50</w:t>
                  </w:r>
                </w:p>
              </w:tc>
            </w:tr>
            <w:tr w:rsidR="00BF40BE" w:rsidRPr="004C56A3" w14:paraId="6209F946" w14:textId="77777777" w:rsidTr="00FA4D4F">
              <w:tc>
                <w:tcPr>
                  <w:tcW w:w="1795" w:type="dxa"/>
                </w:tcPr>
                <w:p w14:paraId="497D566B"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Cushing’s disease</w:t>
                  </w:r>
                </w:p>
              </w:tc>
              <w:tc>
                <w:tcPr>
                  <w:tcW w:w="543" w:type="dxa"/>
                </w:tcPr>
                <w:p w14:paraId="686910D3"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330</w:t>
                  </w:r>
                </w:p>
              </w:tc>
              <w:tc>
                <w:tcPr>
                  <w:tcW w:w="544" w:type="dxa"/>
                </w:tcPr>
                <w:p w14:paraId="21B7533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43" w:type="dxa"/>
                </w:tcPr>
                <w:p w14:paraId="10FFE8F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44" w:type="dxa"/>
                </w:tcPr>
                <w:p w14:paraId="4498A42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11</w:t>
                  </w:r>
                </w:p>
              </w:tc>
              <w:tc>
                <w:tcPr>
                  <w:tcW w:w="543" w:type="dxa"/>
                </w:tcPr>
                <w:p w14:paraId="2EDEE30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12</w:t>
                  </w:r>
                </w:p>
              </w:tc>
              <w:tc>
                <w:tcPr>
                  <w:tcW w:w="544" w:type="dxa"/>
                </w:tcPr>
                <w:p w14:paraId="37B97D5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12</w:t>
                  </w:r>
                </w:p>
              </w:tc>
            </w:tr>
            <w:tr w:rsidR="00BF40BE" w:rsidRPr="004C56A3" w14:paraId="05DAA489" w14:textId="77777777" w:rsidTr="00FA4D4F">
              <w:tc>
                <w:tcPr>
                  <w:tcW w:w="1795" w:type="dxa"/>
                </w:tcPr>
                <w:p w14:paraId="33ACD2A4"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ACTH-dependent</w:t>
                  </w:r>
                </w:p>
              </w:tc>
              <w:tc>
                <w:tcPr>
                  <w:tcW w:w="543" w:type="dxa"/>
                </w:tcPr>
                <w:p w14:paraId="081999C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82</w:t>
                  </w:r>
                </w:p>
              </w:tc>
              <w:tc>
                <w:tcPr>
                  <w:tcW w:w="544" w:type="dxa"/>
                </w:tcPr>
                <w:p w14:paraId="592C08C1"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43" w:type="dxa"/>
                </w:tcPr>
                <w:p w14:paraId="0958C23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44" w:type="dxa"/>
                </w:tcPr>
                <w:p w14:paraId="2D1E5865"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43" w:type="dxa"/>
                </w:tcPr>
                <w:p w14:paraId="0031F3EF"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c>
                <w:tcPr>
                  <w:tcW w:w="544" w:type="dxa"/>
                </w:tcPr>
                <w:p w14:paraId="1767D81E"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3</w:t>
                  </w:r>
                </w:p>
              </w:tc>
            </w:tr>
            <w:tr w:rsidR="00BF40BE" w:rsidRPr="004C56A3" w14:paraId="367A3D4D" w14:textId="77777777" w:rsidTr="00FA4D4F">
              <w:tc>
                <w:tcPr>
                  <w:tcW w:w="1795" w:type="dxa"/>
                </w:tcPr>
                <w:p w14:paraId="2FE6CF01" w14:textId="77777777" w:rsidR="00BF40BE" w:rsidRPr="004C56A3" w:rsidRDefault="00BF40BE" w:rsidP="00FA4D4F">
                  <w:pPr>
                    <w:widowControl w:val="0"/>
                    <w:tabs>
                      <w:tab w:val="left" w:pos="101"/>
                    </w:tabs>
                    <w:jc w:val="left"/>
                    <w:rPr>
                      <w:rFonts w:ascii="Arial Narrow" w:hAnsi="Arial Narrow" w:cs="Calibri"/>
                      <w:sz w:val="20"/>
                      <w:szCs w:val="20"/>
                    </w:rPr>
                  </w:pPr>
                  <w:r w:rsidRPr="004C56A3">
                    <w:rPr>
                      <w:rFonts w:ascii="Arial Narrow" w:hAnsi="Arial Narrow" w:cs="Calibri"/>
                      <w:sz w:val="20"/>
                      <w:szCs w:val="20"/>
                    </w:rPr>
                    <w:tab/>
                    <w:t>ACTH-independent</w:t>
                  </w:r>
                  <w:r w:rsidRPr="004C56A3">
                    <w:rPr>
                      <w:rFonts w:ascii="Arial Narrow" w:hAnsi="Arial Narrow" w:cs="Calibri"/>
                      <w:sz w:val="20"/>
                      <w:szCs w:val="20"/>
                      <w:vertAlign w:val="superscript"/>
                    </w:rPr>
                    <w:t>a</w:t>
                  </w:r>
                </w:p>
              </w:tc>
              <w:tc>
                <w:tcPr>
                  <w:tcW w:w="543" w:type="dxa"/>
                </w:tcPr>
                <w:p w14:paraId="44A01DFB"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28</w:t>
                  </w:r>
                </w:p>
              </w:tc>
              <w:tc>
                <w:tcPr>
                  <w:tcW w:w="544" w:type="dxa"/>
                </w:tcPr>
                <w:p w14:paraId="4DAAF036"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43" w:type="dxa"/>
                </w:tcPr>
                <w:p w14:paraId="31CE3324"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44" w:type="dxa"/>
                </w:tcPr>
                <w:p w14:paraId="4E8CB8A7"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43" w:type="dxa"/>
                </w:tcPr>
                <w:p w14:paraId="0794D0F0"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c>
                <w:tcPr>
                  <w:tcW w:w="544" w:type="dxa"/>
                </w:tcPr>
                <w:p w14:paraId="73203ABC" w14:textId="77777777" w:rsidR="00BF40BE" w:rsidRPr="004C56A3" w:rsidRDefault="00BF40BE" w:rsidP="00FA4D4F">
                  <w:pPr>
                    <w:widowControl w:val="0"/>
                    <w:jc w:val="center"/>
                    <w:rPr>
                      <w:rFonts w:ascii="Arial Narrow" w:hAnsi="Arial Narrow" w:cs="Calibri"/>
                      <w:sz w:val="20"/>
                      <w:szCs w:val="20"/>
                    </w:rPr>
                  </w:pPr>
                  <w:r w:rsidRPr="004C56A3">
                    <w:rPr>
                      <w:rFonts w:ascii="Arial Narrow" w:hAnsi="Arial Narrow" w:cs="Calibri"/>
                      <w:sz w:val="20"/>
                      <w:szCs w:val="20"/>
                    </w:rPr>
                    <w:t>0</w:t>
                  </w:r>
                </w:p>
              </w:tc>
            </w:tr>
            <w:tr w:rsidR="00BF40BE" w:rsidRPr="004C56A3" w14:paraId="43AFCCF9" w14:textId="77777777" w:rsidTr="00FA4D4F">
              <w:tc>
                <w:tcPr>
                  <w:tcW w:w="1795" w:type="dxa"/>
                </w:tcPr>
                <w:p w14:paraId="0A8E8852" w14:textId="77777777" w:rsidR="00BF40BE" w:rsidRPr="004C56A3" w:rsidRDefault="00BF40BE" w:rsidP="00FA4D4F">
                  <w:pPr>
                    <w:widowControl w:val="0"/>
                    <w:tabs>
                      <w:tab w:val="left" w:pos="101"/>
                    </w:tabs>
                    <w:jc w:val="left"/>
                    <w:rPr>
                      <w:rFonts w:ascii="Arial Narrow" w:hAnsi="Arial Narrow" w:cs="Calibri"/>
                      <w:b/>
                      <w:bCs/>
                      <w:sz w:val="20"/>
                      <w:szCs w:val="20"/>
                    </w:rPr>
                  </w:pPr>
                  <w:r w:rsidRPr="004C56A3">
                    <w:rPr>
                      <w:rFonts w:ascii="Arial Narrow" w:hAnsi="Arial Narrow" w:cs="Calibri"/>
                      <w:b/>
                      <w:bCs/>
                      <w:sz w:val="20"/>
                      <w:szCs w:val="20"/>
                    </w:rPr>
                    <w:t>Total eligible</w:t>
                  </w:r>
                </w:p>
              </w:tc>
              <w:tc>
                <w:tcPr>
                  <w:tcW w:w="543" w:type="dxa"/>
                </w:tcPr>
                <w:p w14:paraId="191060FF"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440</w:t>
                  </w:r>
                  <w:r w:rsidRPr="004C56A3">
                    <w:rPr>
                      <w:rFonts w:ascii="Arial Narrow" w:hAnsi="Arial Narrow" w:cs="Calibri"/>
                      <w:b/>
                      <w:bCs/>
                      <w:sz w:val="20"/>
                      <w:szCs w:val="20"/>
                      <w:vertAlign w:val="superscript"/>
                    </w:rPr>
                    <w:t>b</w:t>
                  </w:r>
                </w:p>
              </w:tc>
              <w:tc>
                <w:tcPr>
                  <w:tcW w:w="544" w:type="dxa"/>
                </w:tcPr>
                <w:p w14:paraId="2465DAC0"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14</w:t>
                  </w:r>
                </w:p>
              </w:tc>
              <w:tc>
                <w:tcPr>
                  <w:tcW w:w="543" w:type="dxa"/>
                </w:tcPr>
                <w:p w14:paraId="7285AF7E"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14</w:t>
                  </w:r>
                </w:p>
              </w:tc>
              <w:tc>
                <w:tcPr>
                  <w:tcW w:w="544" w:type="dxa"/>
                </w:tcPr>
                <w:p w14:paraId="0DAA7A60"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c>
                <w:tcPr>
                  <w:tcW w:w="543" w:type="dxa"/>
                </w:tcPr>
                <w:p w14:paraId="60256341"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c>
                <w:tcPr>
                  <w:tcW w:w="544" w:type="dxa"/>
                </w:tcPr>
                <w:p w14:paraId="155D9F2A" w14:textId="77777777" w:rsidR="00BF40BE" w:rsidRPr="004C56A3" w:rsidRDefault="00BF40BE" w:rsidP="00FA4D4F">
                  <w:pPr>
                    <w:widowControl w:val="0"/>
                    <w:jc w:val="center"/>
                    <w:rPr>
                      <w:rFonts w:ascii="Arial Narrow" w:hAnsi="Arial Narrow" w:cs="Calibri"/>
                      <w:b/>
                      <w:bCs/>
                      <w:sz w:val="20"/>
                      <w:szCs w:val="20"/>
                    </w:rPr>
                  </w:pPr>
                  <w:r w:rsidRPr="004C56A3">
                    <w:rPr>
                      <w:rFonts w:ascii="Arial Narrow" w:hAnsi="Arial Narrow" w:cs="Calibri"/>
                      <w:b/>
                      <w:bCs/>
                      <w:sz w:val="20"/>
                      <w:szCs w:val="20"/>
                    </w:rPr>
                    <w:t>15</w:t>
                  </w:r>
                </w:p>
              </w:tc>
            </w:tr>
          </w:tbl>
          <w:p w14:paraId="4A574792" w14:textId="77777777" w:rsidR="00BF40BE" w:rsidRPr="004C56A3" w:rsidRDefault="00BF40BE" w:rsidP="00FA4D4F">
            <w:pPr>
              <w:widowControl w:val="0"/>
              <w:tabs>
                <w:tab w:val="left" w:pos="141"/>
              </w:tabs>
              <w:ind w:left="141" w:hanging="141"/>
              <w:jc w:val="left"/>
              <w:rPr>
                <w:rFonts w:ascii="Arial Narrow" w:hAnsi="Arial Narrow" w:cs="Calibri"/>
                <w:sz w:val="18"/>
                <w:szCs w:val="18"/>
                <w:vertAlign w:val="superscript"/>
                <w:lang w:eastAsia="en-AU"/>
              </w:rPr>
            </w:pPr>
            <w:r w:rsidRPr="004C56A3">
              <w:rPr>
                <w:rFonts w:ascii="Arial Narrow" w:hAnsi="Arial Narrow" w:cs="Calibri"/>
                <w:sz w:val="18"/>
                <w:szCs w:val="18"/>
                <w:vertAlign w:val="superscript"/>
                <w:lang w:eastAsia="en-AU"/>
              </w:rPr>
              <w:t>Source: 5.02.COM.90.</w:t>
            </w:r>
          </w:p>
          <w:p w14:paraId="11618116" w14:textId="77777777" w:rsidR="00BF40BE" w:rsidRPr="004C56A3" w:rsidRDefault="00BF40BE" w:rsidP="00FA4D4F">
            <w:pPr>
              <w:widowControl w:val="0"/>
              <w:tabs>
                <w:tab w:val="left" w:pos="141"/>
              </w:tabs>
              <w:ind w:left="141" w:hanging="141"/>
              <w:jc w:val="left"/>
              <w:rPr>
                <w:rFonts w:ascii="Arial Narrow" w:hAnsi="Arial Narrow" w:cs="Calibri"/>
                <w:sz w:val="18"/>
                <w:szCs w:val="18"/>
                <w:lang w:eastAsia="en-AU"/>
              </w:rPr>
            </w:pPr>
            <w:r w:rsidRPr="004C56A3">
              <w:rPr>
                <w:rFonts w:ascii="Arial Narrow" w:hAnsi="Arial Narrow" w:cs="Calibri"/>
                <w:sz w:val="18"/>
                <w:szCs w:val="18"/>
                <w:vertAlign w:val="superscript"/>
                <w:lang w:eastAsia="en-AU"/>
              </w:rPr>
              <w:t>a</w:t>
            </w:r>
            <w:r w:rsidRPr="004C56A3">
              <w:rPr>
                <w:rFonts w:ascii="Arial Narrow" w:hAnsi="Arial Narrow" w:cs="Calibri"/>
                <w:sz w:val="18"/>
                <w:szCs w:val="18"/>
                <w:lang w:eastAsia="en-AU"/>
              </w:rPr>
              <w:tab/>
              <w:t>In the submission’s Section 4 Excel workbook, the values for Years 2 to 6 ranged from 0.45 to 0.47 but the submission rounded these up to 1. The values have been returned to 0.</w:t>
            </w:r>
          </w:p>
          <w:p w14:paraId="64A1E2AF" w14:textId="77777777" w:rsidR="00BF40BE" w:rsidRPr="004C56A3" w:rsidRDefault="00BF40BE" w:rsidP="00FA4D4F">
            <w:pPr>
              <w:widowControl w:val="0"/>
              <w:tabs>
                <w:tab w:val="left" w:pos="141"/>
              </w:tabs>
              <w:ind w:left="141" w:hanging="141"/>
              <w:jc w:val="left"/>
              <w:rPr>
                <w:rFonts w:ascii="Arial Narrow" w:hAnsi="Arial Narrow" w:cs="Calibri"/>
                <w:sz w:val="20"/>
                <w:szCs w:val="20"/>
                <w:lang w:eastAsia="en-AU"/>
              </w:rPr>
            </w:pPr>
            <w:r w:rsidRPr="004C56A3">
              <w:rPr>
                <w:rFonts w:ascii="Arial Narrow" w:hAnsi="Arial Narrow" w:cs="Calibri"/>
                <w:sz w:val="18"/>
                <w:szCs w:val="18"/>
                <w:vertAlign w:val="superscript"/>
                <w:lang w:eastAsia="en-AU"/>
              </w:rPr>
              <w:t>b</w:t>
            </w:r>
            <w:r w:rsidRPr="004C56A3">
              <w:rPr>
                <w:rFonts w:ascii="Arial Narrow" w:hAnsi="Arial Narrow" w:cs="Calibri"/>
                <w:sz w:val="18"/>
                <w:szCs w:val="18"/>
                <w:lang w:eastAsia="en-AU"/>
              </w:rPr>
              <w:tab/>
              <w:t>The submission presented the total number eligible in Year 1 as 420 in Table 4.2-1 and Table 4.2-2, however 330 + 82 + 28 = 440, which corresponds to the values in the Section 4 workbook.</w:t>
            </w:r>
          </w:p>
        </w:tc>
        <w:tc>
          <w:tcPr>
            <w:tcW w:w="1470" w:type="pct"/>
            <w:gridSpan w:val="3"/>
            <w:tcBorders>
              <w:top w:val="single" w:sz="4" w:space="0" w:color="auto"/>
              <w:left w:val="single" w:sz="4" w:space="0" w:color="auto"/>
              <w:bottom w:val="single" w:sz="4" w:space="0" w:color="auto"/>
              <w:right w:val="single" w:sz="4" w:space="0" w:color="auto"/>
            </w:tcBorders>
          </w:tcPr>
          <w:p w14:paraId="31824E88" w14:textId="77777777" w:rsidR="00BF40BE" w:rsidRPr="00157C9C" w:rsidRDefault="00BF40BE" w:rsidP="00FA4D4F">
            <w:pPr>
              <w:widowControl w:val="0"/>
              <w:ind w:left="-61" w:firstLine="37"/>
              <w:jc w:val="left"/>
              <w:rPr>
                <w:rFonts w:ascii="Arial Narrow" w:hAnsi="Arial Narrow" w:cs="Calibri"/>
                <w:sz w:val="20"/>
                <w:szCs w:val="20"/>
                <w:u w:val="single"/>
                <w:lang w:eastAsia="en-AU"/>
              </w:rPr>
            </w:pPr>
            <w:r w:rsidRPr="00157C9C">
              <w:rPr>
                <w:rFonts w:ascii="Arial Narrow" w:hAnsi="Arial Narrow" w:cs="Calibri"/>
                <w:sz w:val="20"/>
                <w:szCs w:val="20"/>
                <w:u w:val="single"/>
                <w:lang w:eastAsia="en-AU"/>
              </w:rPr>
              <w:t>Prevalent Population</w:t>
            </w:r>
          </w:p>
          <w:p w14:paraId="6F0B9404" w14:textId="77777777" w:rsidR="00BF40BE" w:rsidRPr="00157C9C" w:rsidRDefault="00BF40BE" w:rsidP="0047787D">
            <w:pPr>
              <w:pStyle w:val="ListParagraph"/>
              <w:widowControl w:val="0"/>
              <w:numPr>
                <w:ilvl w:val="0"/>
                <w:numId w:val="15"/>
              </w:numPr>
              <w:tabs>
                <w:tab w:val="left" w:pos="290"/>
              </w:tabs>
              <w:spacing w:after="0"/>
              <w:ind w:left="148" w:hanging="141"/>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DUSC considered the prevalence and incidence used in the submission as reasonable, however there might be an underestimation of the incident population.</w:t>
            </w:r>
          </w:p>
          <w:p w14:paraId="2A3A4AC6" w14:textId="77777777" w:rsidR="00BF40BE" w:rsidRPr="00157C9C" w:rsidRDefault="00BF40BE" w:rsidP="0047787D">
            <w:pPr>
              <w:pStyle w:val="ListParagraph"/>
              <w:widowControl w:val="0"/>
              <w:numPr>
                <w:ilvl w:val="0"/>
                <w:numId w:val="15"/>
              </w:numPr>
              <w:tabs>
                <w:tab w:val="left" w:pos="290"/>
              </w:tabs>
              <w:spacing w:after="0"/>
              <w:ind w:left="148" w:hanging="141"/>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 xml:space="preserve">The Bolland study prevalence period of 45 years is possibly too long for a prevalence estimate. </w:t>
            </w:r>
          </w:p>
          <w:p w14:paraId="1953685F" w14:textId="77777777" w:rsidR="00BF40BE" w:rsidRPr="00157C9C" w:rsidRDefault="00BF40BE" w:rsidP="0047787D">
            <w:pPr>
              <w:pStyle w:val="ListParagraph"/>
              <w:widowControl w:val="0"/>
              <w:numPr>
                <w:ilvl w:val="0"/>
                <w:numId w:val="18"/>
              </w:numPr>
              <w:spacing w:after="0"/>
              <w:ind w:left="431" w:hanging="283"/>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DUSC noted that the submission has used a higher end average.</w:t>
            </w:r>
          </w:p>
          <w:p w14:paraId="2FD7C134" w14:textId="77777777" w:rsidR="00BF40BE" w:rsidRPr="00157C9C" w:rsidRDefault="00BF40BE" w:rsidP="00FA4D4F">
            <w:pPr>
              <w:pStyle w:val="ListParagraph"/>
              <w:widowControl w:val="0"/>
              <w:ind w:left="-24"/>
              <w:rPr>
                <w:rFonts w:ascii="Arial Narrow" w:hAnsi="Arial Narrow" w:cs="Calibri"/>
                <w:snapToGrid/>
                <w:sz w:val="20"/>
                <w:szCs w:val="20"/>
                <w:lang w:eastAsia="en-AU"/>
              </w:rPr>
            </w:pPr>
          </w:p>
          <w:p w14:paraId="031BC6AE" w14:textId="77777777" w:rsidR="00BF40BE" w:rsidRPr="00157C9C" w:rsidRDefault="00BF40BE" w:rsidP="00FA4D4F">
            <w:pPr>
              <w:pStyle w:val="ListParagraph"/>
              <w:widowControl w:val="0"/>
              <w:ind w:left="-24"/>
              <w:rPr>
                <w:rFonts w:ascii="Arial Narrow" w:hAnsi="Arial Narrow" w:cs="Calibri"/>
                <w:snapToGrid/>
                <w:sz w:val="20"/>
                <w:szCs w:val="20"/>
                <w:lang w:eastAsia="en-AU"/>
              </w:rPr>
            </w:pPr>
          </w:p>
          <w:p w14:paraId="5BA1AC12" w14:textId="77777777" w:rsidR="00BF40BE" w:rsidRPr="00157C9C" w:rsidRDefault="00BF40BE" w:rsidP="00FA4D4F">
            <w:pPr>
              <w:pStyle w:val="ListParagraph"/>
              <w:widowControl w:val="0"/>
              <w:ind w:left="-24"/>
              <w:rPr>
                <w:rFonts w:ascii="Arial Narrow" w:hAnsi="Arial Narrow" w:cs="Calibri"/>
                <w:snapToGrid/>
                <w:sz w:val="20"/>
                <w:szCs w:val="20"/>
                <w:lang w:eastAsia="en-AU"/>
              </w:rPr>
            </w:pPr>
          </w:p>
          <w:p w14:paraId="6453047B" w14:textId="77777777" w:rsidR="00BF40BE" w:rsidRPr="00157C9C" w:rsidRDefault="00BF40BE" w:rsidP="00FA4D4F">
            <w:pPr>
              <w:pStyle w:val="ListParagraph"/>
              <w:widowControl w:val="0"/>
              <w:ind w:left="-24"/>
              <w:rPr>
                <w:rFonts w:ascii="Arial Narrow" w:hAnsi="Arial Narrow" w:cs="Calibri"/>
                <w:snapToGrid/>
                <w:sz w:val="20"/>
                <w:szCs w:val="20"/>
                <w:lang w:eastAsia="en-AU"/>
              </w:rPr>
            </w:pPr>
          </w:p>
          <w:p w14:paraId="5FDFE0A3" w14:textId="77777777" w:rsidR="00BF40BE" w:rsidRPr="00157C9C" w:rsidRDefault="00BF40BE" w:rsidP="00FA4D4F">
            <w:pPr>
              <w:pStyle w:val="ListParagraph"/>
              <w:widowControl w:val="0"/>
              <w:ind w:left="-24"/>
              <w:rPr>
                <w:rFonts w:ascii="Arial Narrow" w:hAnsi="Arial Narrow" w:cs="Calibri"/>
                <w:snapToGrid/>
                <w:sz w:val="20"/>
                <w:szCs w:val="20"/>
                <w:lang w:eastAsia="en-AU"/>
              </w:rPr>
            </w:pPr>
          </w:p>
          <w:p w14:paraId="2E65EF41" w14:textId="7E197DF0" w:rsidR="00BF40BE" w:rsidRPr="00157C9C" w:rsidRDefault="00BF40BE" w:rsidP="00157C9C">
            <w:pPr>
              <w:widowControl w:val="0"/>
              <w:ind w:right="202"/>
              <w:jc w:val="left"/>
              <w:rPr>
                <w:rFonts w:ascii="Arial Narrow" w:hAnsi="Arial Narrow" w:cs="Calibri"/>
                <w:sz w:val="20"/>
                <w:szCs w:val="20"/>
                <w:lang w:eastAsia="en-AU"/>
              </w:rPr>
            </w:pPr>
          </w:p>
          <w:p w14:paraId="33014F75" w14:textId="77777777" w:rsidR="00157C9C" w:rsidRPr="00157C9C" w:rsidRDefault="00157C9C" w:rsidP="00157C9C">
            <w:pPr>
              <w:widowControl w:val="0"/>
              <w:ind w:right="202"/>
              <w:jc w:val="left"/>
              <w:rPr>
                <w:rFonts w:ascii="Arial Narrow" w:hAnsi="Arial Narrow" w:cs="Calibri"/>
                <w:sz w:val="20"/>
                <w:szCs w:val="20"/>
                <w:lang w:eastAsia="en-AU"/>
              </w:rPr>
            </w:pPr>
          </w:p>
          <w:p w14:paraId="179864C3" w14:textId="58B94195" w:rsidR="00BF40BE" w:rsidRPr="00157C9C" w:rsidRDefault="00BF40BE" w:rsidP="00FA4D4F">
            <w:pPr>
              <w:pStyle w:val="ListParagraph"/>
              <w:widowControl w:val="0"/>
              <w:ind w:left="-24" w:right="202"/>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 xml:space="preserve">DUSC commented that the distribution of CS sub-populations (Cushing’s disease (CD) 70%, other ACTH dependent 10%, and ACTH independent 20%) was reasonable, noting that the figures were obtained through a clinician survey. The </w:t>
            </w:r>
            <w:r w:rsidR="00157C9C" w:rsidRPr="00157C9C">
              <w:rPr>
                <w:rFonts w:ascii="Arial Narrow" w:hAnsi="Arial Narrow" w:cs="Calibri"/>
                <w:snapToGrid/>
                <w:sz w:val="20"/>
                <w:szCs w:val="20"/>
                <w:lang w:eastAsia="en-AU"/>
              </w:rPr>
              <w:t>PSCR</w:t>
            </w:r>
            <w:r w:rsidRPr="00157C9C">
              <w:rPr>
                <w:rFonts w:ascii="Arial Narrow" w:hAnsi="Arial Narrow" w:cs="Calibri"/>
                <w:snapToGrid/>
                <w:sz w:val="20"/>
                <w:szCs w:val="20"/>
                <w:lang w:eastAsia="en-AU"/>
              </w:rPr>
              <w:t xml:space="preserve"> stated that as endogenous CS is a rare disease with limited published data that using clinician estimates provided the best available evidence. </w:t>
            </w:r>
            <w:r w:rsidRPr="00157C9C">
              <w:rPr>
                <w:rFonts w:ascii="Arial Narrow" w:hAnsi="Arial Narrow" w:cs="Calibri"/>
                <w:sz w:val="20"/>
                <w:szCs w:val="20"/>
                <w:lang w:eastAsia="en-AU"/>
              </w:rPr>
              <w:t xml:space="preserve">DUSC noted that several published estimates in the international literature better inform CS epidemiology, but in the specific case of CS sub-populations, </w:t>
            </w:r>
            <w:r w:rsidR="00157C9C" w:rsidRPr="00157C9C">
              <w:rPr>
                <w:rFonts w:ascii="Arial Narrow" w:hAnsi="Arial Narrow" w:cs="Calibri"/>
                <w:sz w:val="20"/>
                <w:szCs w:val="20"/>
                <w:lang w:eastAsia="en-AU"/>
              </w:rPr>
              <w:t>expert estimates were reasonable.</w:t>
            </w:r>
          </w:p>
          <w:p w14:paraId="4C5E3FA4" w14:textId="77777777" w:rsidR="00BF40BE" w:rsidRPr="00157C9C" w:rsidRDefault="00BF40BE" w:rsidP="00FA4D4F">
            <w:pPr>
              <w:pStyle w:val="ListParagraph"/>
              <w:widowControl w:val="0"/>
              <w:ind w:left="-24" w:right="202"/>
              <w:jc w:val="left"/>
              <w:rPr>
                <w:rFonts w:ascii="Arial Narrow" w:hAnsi="Arial Narrow" w:cs="Calibri"/>
                <w:snapToGrid/>
                <w:sz w:val="20"/>
                <w:szCs w:val="20"/>
                <w:lang w:eastAsia="en-AU"/>
              </w:rPr>
            </w:pPr>
          </w:p>
          <w:p w14:paraId="56BC5643" w14:textId="77777777" w:rsidR="00BF40BE" w:rsidRPr="00157C9C" w:rsidRDefault="00BF40BE" w:rsidP="00FA4D4F">
            <w:pPr>
              <w:pStyle w:val="ListParagraph"/>
              <w:widowControl w:val="0"/>
              <w:ind w:left="-24" w:right="202"/>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DUSC agreed with the commentary (5.02.COM.93-96) that the CS sub-population variable estimates need testing in a sensitivity analysis. Noting that:</w:t>
            </w:r>
          </w:p>
          <w:p w14:paraId="12462075" w14:textId="77777777" w:rsidR="00BF40BE" w:rsidRPr="00157C9C" w:rsidRDefault="00BF40BE" w:rsidP="0047787D">
            <w:pPr>
              <w:pStyle w:val="ListParagraph"/>
              <w:widowControl w:val="0"/>
              <w:numPr>
                <w:ilvl w:val="0"/>
                <w:numId w:val="15"/>
              </w:numPr>
              <w:tabs>
                <w:tab w:val="left" w:pos="290"/>
              </w:tabs>
              <w:spacing w:after="0"/>
              <w:ind w:left="148" w:hanging="141"/>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One of three responses was an outlier, the Endocrine Society of Australia (ESA) collated survey responses took priority.</w:t>
            </w:r>
          </w:p>
          <w:p w14:paraId="2757F35C" w14:textId="77777777" w:rsidR="00BF40BE" w:rsidRPr="00157C9C" w:rsidRDefault="00BF40BE" w:rsidP="0047787D">
            <w:pPr>
              <w:pStyle w:val="ListParagraph"/>
              <w:widowControl w:val="0"/>
              <w:numPr>
                <w:ilvl w:val="0"/>
                <w:numId w:val="15"/>
              </w:numPr>
              <w:tabs>
                <w:tab w:val="left" w:pos="290"/>
              </w:tabs>
              <w:spacing w:after="0"/>
              <w:ind w:left="148" w:hanging="141"/>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The rates correlate with National Organization for Rare Disorders (NORD) estimates.</w:t>
            </w:r>
          </w:p>
          <w:p w14:paraId="741FD581" w14:textId="77777777" w:rsidR="00BF40BE" w:rsidRPr="00157C9C" w:rsidRDefault="00BF40BE" w:rsidP="00FA4D4F">
            <w:pPr>
              <w:widowControl w:val="0"/>
              <w:tabs>
                <w:tab w:val="left" w:pos="290"/>
              </w:tabs>
              <w:jc w:val="left"/>
              <w:rPr>
                <w:rFonts w:ascii="Arial Narrow" w:hAnsi="Arial Narrow" w:cs="Calibri"/>
                <w:sz w:val="20"/>
                <w:szCs w:val="20"/>
                <w:lang w:eastAsia="en-AU"/>
              </w:rPr>
            </w:pPr>
          </w:p>
          <w:p w14:paraId="044EA1D7" w14:textId="77777777" w:rsidR="00BF40BE" w:rsidRPr="00157C9C" w:rsidRDefault="00BF40BE" w:rsidP="00FA4D4F">
            <w:pPr>
              <w:widowControl w:val="0"/>
              <w:tabs>
                <w:tab w:val="left" w:pos="290"/>
              </w:tabs>
              <w:jc w:val="left"/>
              <w:rPr>
                <w:rFonts w:ascii="Arial Narrow" w:hAnsi="Arial Narrow" w:cs="Calibri"/>
                <w:sz w:val="20"/>
                <w:szCs w:val="20"/>
                <w:lang w:eastAsia="en-AU"/>
              </w:rPr>
            </w:pPr>
            <w:r w:rsidRPr="00157C9C">
              <w:rPr>
                <w:rFonts w:ascii="Arial Narrow" w:hAnsi="Arial Narrow" w:cs="Calibri"/>
                <w:sz w:val="20"/>
                <w:szCs w:val="20"/>
                <w:lang w:eastAsia="en-AU"/>
              </w:rPr>
              <w:t>DUSC commented that the estimate for the proportion of patients in whom first and second surgery is successful might be reasonable but dependent on the surgical setting. DUSC considered surgical eligibility and success might be informed by reports in the literature</w:t>
            </w:r>
            <w:r w:rsidRPr="00157C9C">
              <w:rPr>
                <w:rStyle w:val="FootnoteReference"/>
                <w:rFonts w:ascii="Arial Narrow" w:hAnsi="Arial Narrow" w:cs="Calibri"/>
                <w:sz w:val="20"/>
                <w:szCs w:val="20"/>
                <w:lang w:eastAsia="en-AU"/>
              </w:rPr>
              <w:footnoteReference w:id="4"/>
            </w:r>
            <w:r w:rsidRPr="00157C9C">
              <w:rPr>
                <w:rFonts w:ascii="Arial Narrow" w:hAnsi="Arial Narrow" w:cs="Calibri"/>
                <w:sz w:val="20"/>
                <w:szCs w:val="20"/>
                <w:lang w:eastAsia="en-AU"/>
              </w:rPr>
              <w:t>, with many estimates of surgical success substantially higher than those utilised by the submission, which would lead to substantial underestimation. It was however noted that that lower surgical success rates, particularly outside of specialised centres, can be a substantive source of uncertainty in the utilisation and financial estimates, the magnitude of which are unlikely to be accurately captured by either the literature or by the KOL questionnaire.</w:t>
            </w:r>
          </w:p>
          <w:p w14:paraId="57A35ED7" w14:textId="77777777" w:rsidR="00BF40BE" w:rsidRPr="00157C9C" w:rsidRDefault="00BF40BE" w:rsidP="00FA4D4F">
            <w:pPr>
              <w:widowControl w:val="0"/>
              <w:tabs>
                <w:tab w:val="left" w:pos="290"/>
              </w:tabs>
              <w:jc w:val="left"/>
              <w:rPr>
                <w:rFonts w:ascii="Arial Narrow" w:hAnsi="Arial Narrow" w:cs="Calibri"/>
                <w:sz w:val="20"/>
                <w:szCs w:val="20"/>
                <w:lang w:eastAsia="en-AU"/>
              </w:rPr>
            </w:pPr>
          </w:p>
          <w:p w14:paraId="317A3E9D" w14:textId="77777777" w:rsidR="00BF40BE" w:rsidRPr="00B066D2" w:rsidRDefault="00BF40BE" w:rsidP="00B066D2">
            <w:pPr>
              <w:widowControl w:val="0"/>
              <w:tabs>
                <w:tab w:val="left" w:pos="290"/>
              </w:tabs>
              <w:contextualSpacing/>
              <w:jc w:val="left"/>
              <w:rPr>
                <w:rFonts w:ascii="Arial Narrow" w:hAnsi="Arial Narrow" w:cs="Calibri"/>
                <w:sz w:val="20"/>
                <w:szCs w:val="20"/>
                <w:lang w:eastAsia="en-AU"/>
              </w:rPr>
            </w:pPr>
            <w:r w:rsidRPr="00B066D2">
              <w:rPr>
                <w:rFonts w:ascii="Arial Narrow" w:hAnsi="Arial Narrow" w:cs="Calibri"/>
                <w:sz w:val="20"/>
                <w:szCs w:val="20"/>
                <w:lang w:eastAsia="en-AU"/>
              </w:rPr>
              <w:t xml:space="preserve">DUSC noted that the Bolland study had 11% of patients who were not biomedically cured at follow-up (6 years average follow up), whereas the submission estimate was 30%. </w:t>
            </w:r>
          </w:p>
          <w:p w14:paraId="39C0E514" w14:textId="77777777" w:rsidR="00BF40BE" w:rsidRPr="00157C9C" w:rsidRDefault="00BF40BE" w:rsidP="00FA4D4F">
            <w:pPr>
              <w:widowControl w:val="0"/>
              <w:tabs>
                <w:tab w:val="left" w:pos="290"/>
              </w:tabs>
              <w:jc w:val="left"/>
              <w:rPr>
                <w:rFonts w:ascii="Arial Narrow" w:hAnsi="Arial Narrow" w:cs="Calibri"/>
                <w:sz w:val="20"/>
                <w:szCs w:val="20"/>
                <w:lang w:eastAsia="en-AU"/>
              </w:rPr>
            </w:pPr>
          </w:p>
          <w:p w14:paraId="3820F427" w14:textId="77777777" w:rsidR="00BF40BE" w:rsidRPr="00157C9C" w:rsidRDefault="00BF40BE" w:rsidP="00FA4D4F">
            <w:pPr>
              <w:widowControl w:val="0"/>
              <w:tabs>
                <w:tab w:val="left" w:pos="290"/>
              </w:tabs>
              <w:jc w:val="left"/>
              <w:rPr>
                <w:rFonts w:ascii="Arial Narrow" w:hAnsi="Arial Narrow" w:cs="Calibri"/>
                <w:sz w:val="20"/>
                <w:szCs w:val="20"/>
                <w:lang w:eastAsia="en-AU"/>
              </w:rPr>
            </w:pPr>
            <w:r w:rsidRPr="00157C9C">
              <w:rPr>
                <w:rFonts w:ascii="Arial Narrow" w:hAnsi="Arial Narrow" w:cs="Calibri"/>
                <w:sz w:val="20"/>
                <w:szCs w:val="20"/>
                <w:lang w:eastAsia="en-AU"/>
              </w:rPr>
              <w:t>DUSC noted the possibility of leakage to patients before and during radiotherapy and surgery might result in the estimates from the submission being underestimated.</w:t>
            </w:r>
          </w:p>
        </w:tc>
      </w:tr>
      <w:tr w:rsidR="00BF40BE" w:rsidRPr="004C56A3" w14:paraId="0127ECA1" w14:textId="77777777" w:rsidTr="00A63686">
        <w:tc>
          <w:tcPr>
            <w:tcW w:w="353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C9391C" w14:textId="77777777" w:rsidR="00BF40BE" w:rsidRPr="004C56A3" w:rsidRDefault="00BF40BE" w:rsidP="00FA4D4F">
            <w:pPr>
              <w:widowControl w:val="0"/>
              <w:jc w:val="left"/>
              <w:rPr>
                <w:rFonts w:ascii="Arial Narrow" w:hAnsi="Arial Narrow" w:cs="Calibri"/>
                <w:b/>
                <w:bCs/>
                <w:sz w:val="20"/>
                <w:szCs w:val="20"/>
                <w:lang w:eastAsia="en-AU"/>
              </w:rPr>
            </w:pPr>
            <w:r w:rsidRPr="004C56A3">
              <w:rPr>
                <w:rFonts w:ascii="Arial Narrow" w:hAnsi="Arial Narrow" w:cs="Calibri"/>
                <w:b/>
                <w:bCs/>
                <w:sz w:val="20"/>
                <w:szCs w:val="20"/>
                <w:lang w:eastAsia="en-AU"/>
              </w:rPr>
              <w:t>Utilisation</w:t>
            </w:r>
          </w:p>
        </w:tc>
        <w:tc>
          <w:tcPr>
            <w:tcW w:w="1470" w:type="pct"/>
            <w:gridSpan w:val="3"/>
            <w:tcBorders>
              <w:top w:val="single" w:sz="4" w:space="0" w:color="auto"/>
              <w:left w:val="single" w:sz="4" w:space="0" w:color="auto"/>
              <w:bottom w:val="single" w:sz="4" w:space="0" w:color="auto"/>
              <w:right w:val="single" w:sz="4" w:space="0" w:color="auto"/>
            </w:tcBorders>
          </w:tcPr>
          <w:p w14:paraId="10A0BAB8" w14:textId="77777777" w:rsidR="00BF40BE" w:rsidRPr="00157C9C" w:rsidRDefault="00BF40BE" w:rsidP="00FA4D4F">
            <w:pPr>
              <w:widowControl w:val="0"/>
              <w:jc w:val="left"/>
              <w:rPr>
                <w:rFonts w:ascii="Arial Narrow" w:hAnsi="Arial Narrow" w:cs="Calibri"/>
                <w:b/>
                <w:bCs/>
                <w:sz w:val="20"/>
                <w:szCs w:val="20"/>
                <w:lang w:eastAsia="en-AU"/>
              </w:rPr>
            </w:pPr>
          </w:p>
        </w:tc>
      </w:tr>
      <w:tr w:rsidR="00BF40BE" w:rsidRPr="004C56A3" w14:paraId="2FE4E547" w14:textId="77777777" w:rsidTr="00A63686">
        <w:trPr>
          <w:gridAfter w:val="2"/>
          <w:wAfter w:w="10" w:type="pct"/>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9069"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Uptake and treatment</w:t>
            </w:r>
          </w:p>
        </w:tc>
        <w:tc>
          <w:tcPr>
            <w:tcW w:w="2932" w:type="pct"/>
            <w:tcBorders>
              <w:top w:val="single" w:sz="4" w:space="0" w:color="auto"/>
              <w:left w:val="single" w:sz="4" w:space="0" w:color="auto"/>
              <w:bottom w:val="single" w:sz="4" w:space="0" w:color="auto"/>
              <w:right w:val="single" w:sz="4" w:space="0" w:color="auto"/>
            </w:tcBorders>
            <w:shd w:val="clear" w:color="auto" w:fill="auto"/>
            <w:vAlign w:val="center"/>
          </w:tcPr>
          <w:p w14:paraId="648A07A0" w14:textId="0DC6DC11"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u w:val="single"/>
                <w:lang w:eastAsia="en-AU"/>
              </w:rPr>
              <w:t>Uptake</w:t>
            </w:r>
            <w:r w:rsidRPr="004C56A3">
              <w:rPr>
                <w:rFonts w:ascii="Arial Narrow" w:hAnsi="Arial Narrow" w:cs="Calibri"/>
                <w:sz w:val="20"/>
                <w:szCs w:val="20"/>
                <w:lang w:eastAsia="en-AU"/>
              </w:rPr>
              <w:t xml:space="preserve">: Prevalent population: </w:t>
            </w:r>
            <w:r w:rsidR="00E228B8" w:rsidRPr="00E228B8">
              <w:rPr>
                <w:rFonts w:ascii="Arial Narrow" w:hAnsi="Arial Narrow" w:cs="Calibri"/>
                <w:color w:val="000000"/>
                <w:spacing w:val="36"/>
                <w:sz w:val="20"/>
                <w:szCs w:val="20"/>
                <w:shd w:val="solid" w:color="000000" w:fill="000000"/>
                <w:fitText w:val="438" w:id="-1234458354"/>
                <w:lang w:eastAsia="en-AU"/>
                <w14:textFill>
                  <w14:solidFill>
                    <w14:srgbClr w14:val="000000">
                      <w14:alpha w14:val="100000"/>
                    </w14:srgbClr>
                  </w14:solidFill>
                </w14:textFill>
              </w:rPr>
              <w:t>|||||</w:t>
            </w:r>
            <w:r w:rsidR="00E228B8" w:rsidRPr="00E228B8">
              <w:rPr>
                <w:rFonts w:ascii="Arial Narrow" w:hAnsi="Arial Narrow" w:cs="Calibri"/>
                <w:color w:val="000000"/>
                <w:spacing w:val="3"/>
                <w:sz w:val="20"/>
                <w:szCs w:val="20"/>
                <w:shd w:val="solid" w:color="000000" w:fill="000000"/>
                <w:fitText w:val="438" w:id="-1234458354"/>
                <w:lang w:eastAsia="en-AU"/>
                <w14:textFill>
                  <w14:solidFill>
                    <w14:srgbClr w14:val="000000">
                      <w14:alpha w14:val="100000"/>
                    </w14:srgbClr>
                  </w14:solidFill>
                </w14:textFill>
              </w:rPr>
              <w:t>|</w:t>
            </w:r>
            <w:r w:rsidRPr="004C56A3">
              <w:rPr>
                <w:rFonts w:ascii="Arial Narrow" w:hAnsi="Arial Narrow" w:cs="Calibri"/>
                <w:sz w:val="20"/>
                <w:szCs w:val="20"/>
                <w:lang w:eastAsia="en-AU"/>
              </w:rPr>
              <w:t xml:space="preserve">% in Year 1, </w:t>
            </w:r>
            <w:r w:rsidR="00E228B8" w:rsidRPr="00E228B8">
              <w:rPr>
                <w:rFonts w:ascii="Arial Narrow" w:hAnsi="Arial Narrow" w:cs="Calibri"/>
                <w:color w:val="000000"/>
                <w:spacing w:val="36"/>
                <w:sz w:val="20"/>
                <w:szCs w:val="20"/>
                <w:shd w:val="solid" w:color="000000" w:fill="000000"/>
                <w:fitText w:val="438" w:id="-1234458353"/>
                <w:lang w:eastAsia="en-AU"/>
                <w14:textFill>
                  <w14:solidFill>
                    <w14:srgbClr w14:val="000000">
                      <w14:alpha w14:val="100000"/>
                    </w14:srgbClr>
                  </w14:solidFill>
                </w14:textFill>
              </w:rPr>
              <w:t>|||||</w:t>
            </w:r>
            <w:r w:rsidR="00E228B8" w:rsidRPr="00E228B8">
              <w:rPr>
                <w:rFonts w:ascii="Arial Narrow" w:hAnsi="Arial Narrow" w:cs="Calibri"/>
                <w:color w:val="000000"/>
                <w:spacing w:val="3"/>
                <w:sz w:val="20"/>
                <w:szCs w:val="20"/>
                <w:shd w:val="solid" w:color="000000" w:fill="000000"/>
                <w:fitText w:val="438" w:id="-1234458353"/>
                <w:lang w:eastAsia="en-AU"/>
                <w14:textFill>
                  <w14:solidFill>
                    <w14:srgbClr w14:val="000000">
                      <w14:alpha w14:val="100000"/>
                    </w14:srgbClr>
                  </w14:solidFill>
                </w14:textFill>
              </w:rPr>
              <w:t>|</w:t>
            </w:r>
            <w:r w:rsidRPr="000818D9">
              <w:rPr>
                <w:rFonts w:ascii="Arial Narrow" w:hAnsi="Arial Narrow" w:cs="Calibri"/>
                <w:sz w:val="20"/>
                <w:szCs w:val="20"/>
                <w:lang w:eastAsia="en-AU"/>
              </w:rPr>
              <w:t>%</w:t>
            </w:r>
            <w:r w:rsidRPr="004C56A3">
              <w:rPr>
                <w:rFonts w:ascii="Arial Narrow" w:hAnsi="Arial Narrow" w:cs="Calibri"/>
                <w:sz w:val="20"/>
                <w:szCs w:val="20"/>
                <w:lang w:eastAsia="en-AU"/>
              </w:rPr>
              <w:t xml:space="preserve"> in Year 2 and </w:t>
            </w:r>
            <w:r w:rsidR="00E228B8" w:rsidRPr="00E228B8">
              <w:rPr>
                <w:rFonts w:ascii="Arial Narrow" w:hAnsi="Arial Narrow" w:cs="Calibri"/>
                <w:color w:val="000000"/>
                <w:spacing w:val="36"/>
                <w:sz w:val="20"/>
                <w:szCs w:val="20"/>
                <w:shd w:val="solid" w:color="000000" w:fill="000000"/>
                <w:fitText w:val="437" w:id="-1234458352"/>
                <w:lang w:eastAsia="en-AU"/>
                <w14:textFill>
                  <w14:solidFill>
                    <w14:srgbClr w14:val="000000">
                      <w14:alpha w14:val="100000"/>
                    </w14:srgbClr>
                  </w14:solidFill>
                </w14:textFill>
              </w:rPr>
              <w:t>|||||</w:t>
            </w:r>
            <w:r w:rsidR="00E228B8" w:rsidRPr="00E228B8">
              <w:rPr>
                <w:rFonts w:ascii="Arial Narrow" w:hAnsi="Arial Narrow" w:cs="Calibri"/>
                <w:color w:val="000000"/>
                <w:spacing w:val="2"/>
                <w:sz w:val="20"/>
                <w:szCs w:val="20"/>
                <w:shd w:val="solid" w:color="000000" w:fill="000000"/>
                <w:fitText w:val="437" w:id="-1234458352"/>
                <w:lang w:eastAsia="en-AU"/>
                <w14:textFill>
                  <w14:solidFill>
                    <w14:srgbClr w14:val="000000">
                      <w14:alpha w14:val="100000"/>
                    </w14:srgbClr>
                  </w14:solidFill>
                </w14:textFill>
              </w:rPr>
              <w:t>|</w:t>
            </w:r>
            <w:r w:rsidRPr="000818D9">
              <w:rPr>
                <w:rFonts w:ascii="Arial Narrow" w:hAnsi="Arial Narrow" w:cs="Calibri"/>
                <w:sz w:val="20"/>
                <w:szCs w:val="20"/>
                <w:lang w:eastAsia="en-AU"/>
              </w:rPr>
              <w:t>%</w:t>
            </w:r>
            <w:r w:rsidRPr="004C56A3">
              <w:rPr>
                <w:rFonts w:ascii="Arial Narrow" w:hAnsi="Arial Narrow" w:cs="Calibri"/>
                <w:sz w:val="20"/>
                <w:szCs w:val="20"/>
                <w:lang w:eastAsia="en-AU"/>
              </w:rPr>
              <w:t xml:space="preserve"> in Year 3. Incident population: </w:t>
            </w:r>
            <w:r w:rsidR="00E228B8" w:rsidRPr="00E228B8">
              <w:rPr>
                <w:rFonts w:ascii="Arial Narrow" w:hAnsi="Arial Narrow" w:cs="Calibri"/>
                <w:color w:val="000000"/>
                <w:spacing w:val="36"/>
                <w:sz w:val="20"/>
                <w:szCs w:val="20"/>
                <w:shd w:val="solid" w:color="000000" w:fill="000000"/>
                <w:fitText w:val="438" w:id="-1234458368"/>
                <w:lang w:eastAsia="en-AU"/>
                <w14:textFill>
                  <w14:solidFill>
                    <w14:srgbClr w14:val="000000">
                      <w14:alpha w14:val="100000"/>
                    </w14:srgbClr>
                  </w14:solidFill>
                </w14:textFill>
              </w:rPr>
              <w:t>|||||</w:t>
            </w:r>
            <w:r w:rsidR="00E228B8" w:rsidRPr="00E228B8">
              <w:rPr>
                <w:rFonts w:ascii="Arial Narrow" w:hAnsi="Arial Narrow" w:cs="Calibri"/>
                <w:color w:val="000000"/>
                <w:spacing w:val="3"/>
                <w:sz w:val="20"/>
                <w:szCs w:val="20"/>
                <w:shd w:val="solid" w:color="000000" w:fill="000000"/>
                <w:fitText w:val="438" w:id="-1234458368"/>
                <w:lang w:eastAsia="en-AU"/>
                <w14:textFill>
                  <w14:solidFill>
                    <w14:srgbClr w14:val="000000">
                      <w14:alpha w14:val="100000"/>
                    </w14:srgbClr>
                  </w14:solidFill>
                </w14:textFill>
              </w:rPr>
              <w:t>|</w:t>
            </w:r>
            <w:r w:rsidRPr="000818D9">
              <w:rPr>
                <w:rFonts w:ascii="Arial Narrow" w:hAnsi="Arial Narrow" w:cs="Calibri"/>
                <w:sz w:val="20"/>
                <w:szCs w:val="20"/>
                <w:lang w:eastAsia="en-AU"/>
              </w:rPr>
              <w:t>%</w:t>
            </w:r>
            <w:r w:rsidRPr="004C56A3">
              <w:rPr>
                <w:rFonts w:ascii="Arial Narrow" w:hAnsi="Arial Narrow" w:cs="Calibri"/>
                <w:sz w:val="20"/>
                <w:szCs w:val="20"/>
                <w:lang w:eastAsia="en-AU"/>
              </w:rPr>
              <w:t xml:space="preserve"> in Years 2 to 6. Continuing treatment based on complete response rate from LINC 4 at 12 weeks (77.1%). The estimated number of treated patients is in </w:t>
            </w:r>
            <w:r w:rsidRPr="004C56A3">
              <w:rPr>
                <w:rFonts w:ascii="Arial Narrow" w:hAnsi="Arial Narrow" w:cs="Calibri"/>
                <w:sz w:val="20"/>
                <w:szCs w:val="20"/>
              </w:rPr>
              <w:fldChar w:fldCharType="begin"/>
            </w:r>
            <w:r w:rsidRPr="004C56A3">
              <w:rPr>
                <w:rFonts w:ascii="Arial Narrow" w:hAnsi="Arial Narrow" w:cs="Calibri"/>
                <w:sz w:val="20"/>
                <w:szCs w:val="20"/>
                <w:lang w:eastAsia="en-AU"/>
              </w:rPr>
              <w:instrText xml:space="preserve"> REF _Ref104805295 \h  \* MERGEFORMAT </w:instrText>
            </w:r>
            <w:r w:rsidRPr="004C56A3">
              <w:rPr>
                <w:rFonts w:ascii="Arial Narrow" w:hAnsi="Arial Narrow" w:cs="Calibri"/>
                <w:sz w:val="20"/>
                <w:szCs w:val="20"/>
              </w:rPr>
            </w:r>
            <w:r w:rsidRPr="004C56A3">
              <w:rPr>
                <w:rFonts w:ascii="Arial Narrow" w:hAnsi="Arial Narrow" w:cs="Calibri"/>
                <w:sz w:val="20"/>
                <w:szCs w:val="20"/>
              </w:rPr>
              <w:fldChar w:fldCharType="separate"/>
            </w:r>
            <w:r w:rsidR="00A9220E" w:rsidRPr="00A9220E">
              <w:rPr>
                <w:rFonts w:ascii="Arial Narrow" w:hAnsi="Arial Narrow"/>
                <w:sz w:val="20"/>
                <w:szCs w:val="20"/>
                <w:lang w:eastAsia="en-AU"/>
              </w:rPr>
              <w:t xml:space="preserve">Table </w:t>
            </w:r>
            <w:r w:rsidR="00A9220E" w:rsidRPr="00A9220E">
              <w:rPr>
                <w:rFonts w:ascii="Arial Narrow" w:hAnsi="Arial Narrow"/>
                <w:noProof/>
                <w:sz w:val="20"/>
                <w:szCs w:val="20"/>
                <w:lang w:eastAsia="en-AU"/>
              </w:rPr>
              <w:t>20</w:t>
            </w:r>
            <w:r w:rsidRPr="004C56A3">
              <w:rPr>
                <w:rFonts w:ascii="Arial Narrow" w:hAnsi="Arial Narrow" w:cs="Calibri"/>
                <w:sz w:val="20"/>
                <w:szCs w:val="20"/>
              </w:rPr>
              <w:fldChar w:fldCharType="end"/>
            </w:r>
            <w:r w:rsidRPr="004C56A3">
              <w:rPr>
                <w:rFonts w:ascii="Arial Narrow" w:hAnsi="Arial Narrow" w:cs="Calibri"/>
                <w:sz w:val="20"/>
                <w:szCs w:val="20"/>
                <w:lang w:eastAsia="en-AU"/>
              </w:rPr>
              <w:t xml:space="preserve"> of the commentary on the submission, presented for each year separately, with continuing patients not included across years. Given the number of prevalent patients in Year 1, the assumed uptake rates and treatment duration (see below), it would be expected that patient and script numbers will decrease from Year 4 (5.02.COM.20).</w:t>
            </w:r>
          </w:p>
          <w:p w14:paraId="1E5377B1" w14:textId="77777777" w:rsidR="00BF40BE" w:rsidRPr="004C56A3" w:rsidRDefault="00BF40BE" w:rsidP="00FA4D4F">
            <w:pPr>
              <w:widowControl w:val="0"/>
              <w:jc w:val="left"/>
              <w:rPr>
                <w:rFonts w:ascii="Arial Narrow" w:hAnsi="Arial Narrow" w:cs="Calibri"/>
                <w:sz w:val="20"/>
                <w:szCs w:val="20"/>
                <w:lang w:eastAsia="en-AU"/>
              </w:rPr>
            </w:pPr>
          </w:p>
          <w:p w14:paraId="032390BB" w14:textId="77777777" w:rsidR="00BF40BE" w:rsidRPr="004C56A3" w:rsidRDefault="00BF40BE" w:rsidP="00FA4D4F">
            <w:pPr>
              <w:widowControl w:val="0"/>
              <w:jc w:val="left"/>
              <w:rPr>
                <w:rFonts w:ascii="Arial Narrow" w:hAnsi="Arial Narrow" w:cs="Calibri"/>
                <w:sz w:val="18"/>
                <w:szCs w:val="18"/>
                <w:lang w:eastAsia="en-AU"/>
              </w:rPr>
            </w:pPr>
            <w:r w:rsidRPr="004C56A3">
              <w:rPr>
                <w:rFonts w:ascii="Arial Narrow" w:hAnsi="Arial Narrow" w:cs="Calibri"/>
                <w:sz w:val="20"/>
                <w:szCs w:val="20"/>
                <w:u w:val="single"/>
                <w:lang w:eastAsia="en-AU"/>
              </w:rPr>
              <w:t>Grandfathered patients</w:t>
            </w:r>
            <w:r w:rsidRPr="004C56A3">
              <w:rPr>
                <w:rFonts w:ascii="Arial Narrow" w:hAnsi="Arial Narrow" w:cs="Calibri"/>
                <w:sz w:val="20"/>
                <w:szCs w:val="20"/>
                <w:lang w:eastAsia="en-AU"/>
              </w:rPr>
              <w:t>: From the sponsor’s managed access program, the submission estimated 5 patients will require grandfathering, and this estimate would be updated as part of the pre-PBAC response. All grandfathered patients were assumed to be incorporated in the estimated prevalent population.</w:t>
            </w:r>
            <w:r w:rsidRPr="004C56A3">
              <w:rPr>
                <w:rFonts w:ascii="Arial Narrow" w:hAnsi="Arial Narrow" w:cs="Calibri"/>
                <w:sz w:val="18"/>
                <w:szCs w:val="18"/>
                <w:lang w:eastAsia="en-AU"/>
              </w:rPr>
              <w:t xml:space="preserve"> </w:t>
            </w:r>
          </w:p>
          <w:p w14:paraId="0673F7BB" w14:textId="77777777" w:rsidR="00BF40BE" w:rsidRPr="004C56A3" w:rsidRDefault="00BF40BE" w:rsidP="00FA4D4F">
            <w:pPr>
              <w:widowControl w:val="0"/>
              <w:jc w:val="left"/>
              <w:rPr>
                <w:rFonts w:ascii="Arial Narrow" w:hAnsi="Arial Narrow" w:cs="Calibri"/>
                <w:i/>
                <w:iCs/>
                <w:sz w:val="18"/>
                <w:szCs w:val="18"/>
                <w:lang w:eastAsia="en-AU"/>
              </w:rPr>
            </w:pPr>
          </w:p>
          <w:p w14:paraId="29F37157"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Commentary:</w:t>
            </w:r>
          </w:p>
          <w:p w14:paraId="7B4FEE1C" w14:textId="77777777" w:rsidR="00BF40BE" w:rsidRPr="004C56A3" w:rsidRDefault="00BF40BE" w:rsidP="0047787D">
            <w:pPr>
              <w:pStyle w:val="ListParagraph"/>
              <w:widowControl w:val="0"/>
              <w:numPr>
                <w:ilvl w:val="0"/>
                <w:numId w:val="19"/>
              </w:numPr>
              <w:spacing w:after="0"/>
              <w:contextualSpacing/>
              <w:jc w:val="left"/>
              <w:rPr>
                <w:rFonts w:ascii="Arial Narrow" w:hAnsi="Arial Narrow" w:cs="Calibri"/>
                <w:snapToGrid/>
                <w:sz w:val="20"/>
                <w:szCs w:val="20"/>
                <w:lang w:eastAsia="en-AU"/>
              </w:rPr>
            </w:pPr>
            <w:r w:rsidRPr="004C56A3">
              <w:rPr>
                <w:rFonts w:ascii="Arial Narrow" w:hAnsi="Arial Narrow" w:cs="Calibri"/>
                <w:snapToGrid/>
                <w:sz w:val="20"/>
                <w:szCs w:val="20"/>
                <w:lang w:eastAsia="en-AU"/>
              </w:rPr>
              <w:t>This was consistent with Section 7.2.4 (p25) of the user manual for the Utilisation and Cost Model Workbook for PBAC Submissions and the PBAC Guidelines (Section 4.2.1) (</w:t>
            </w:r>
            <w:r w:rsidRPr="004C56A3">
              <w:rPr>
                <w:rFonts w:ascii="Arial Narrow" w:hAnsi="Arial Narrow" w:cs="Calibri"/>
                <w:snapToGrid/>
                <w:sz w:val="18"/>
                <w:szCs w:val="18"/>
                <w:lang w:eastAsia="en-AU"/>
              </w:rPr>
              <w:t>5.02.COM.20)</w:t>
            </w:r>
            <w:r w:rsidRPr="004C56A3">
              <w:rPr>
                <w:rFonts w:ascii="Arial Narrow" w:hAnsi="Arial Narrow" w:cs="Calibri"/>
                <w:snapToGrid/>
                <w:sz w:val="20"/>
                <w:szCs w:val="20"/>
                <w:lang w:eastAsia="en-AU"/>
              </w:rPr>
              <w:t>.</w:t>
            </w:r>
          </w:p>
          <w:p w14:paraId="446E9F1F" w14:textId="68B2BA84" w:rsidR="00BF40BE" w:rsidRPr="004C56A3" w:rsidRDefault="00BF40BE" w:rsidP="0047787D">
            <w:pPr>
              <w:pStyle w:val="ListParagraph"/>
              <w:widowControl w:val="0"/>
              <w:numPr>
                <w:ilvl w:val="0"/>
                <w:numId w:val="19"/>
              </w:numPr>
              <w:spacing w:after="0"/>
              <w:contextualSpacing/>
              <w:jc w:val="left"/>
              <w:rPr>
                <w:rFonts w:ascii="Arial Narrow" w:hAnsi="Arial Narrow" w:cs="Calibri"/>
                <w:snapToGrid/>
                <w:sz w:val="20"/>
                <w:szCs w:val="20"/>
                <w:lang w:eastAsia="en-AU"/>
              </w:rPr>
            </w:pPr>
            <w:r w:rsidRPr="004C56A3">
              <w:rPr>
                <w:rFonts w:ascii="Arial Narrow" w:hAnsi="Arial Narrow" w:cs="Calibri"/>
                <w:snapToGrid/>
                <w:sz w:val="20"/>
                <w:szCs w:val="20"/>
                <w:lang w:eastAsia="en-AU"/>
              </w:rPr>
              <w:t>The estimated net cost to the PBS/RPBS for osilodrostat was highly variable, and particularly given the low estimated uptake in Year 1 by the submission (</w:t>
            </w:r>
            <w:r w:rsidR="00E228B8" w:rsidRPr="00E228B8">
              <w:rPr>
                <w:rFonts w:ascii="Arial Narrow" w:hAnsi="Arial Narrow" w:cs="Calibri"/>
                <w:snapToGrid/>
                <w:color w:val="000000"/>
                <w:sz w:val="20"/>
                <w:szCs w:val="20"/>
                <w:shd w:val="solid" w:color="000000" w:fill="000000"/>
                <w:lang w:eastAsia="en-AU"/>
                <w14:textFill>
                  <w14:solidFill>
                    <w14:srgbClr w14:val="000000">
                      <w14:alpha w14:val="100000"/>
                    </w14:srgbClr>
                  </w14:solidFill>
                </w14:textFill>
              </w:rPr>
              <w:t>|</w:t>
            </w:r>
            <w:r w:rsidRPr="000818D9">
              <w:rPr>
                <w:rFonts w:ascii="Arial Narrow" w:hAnsi="Arial Narrow" w:cs="Calibri"/>
                <w:snapToGrid/>
                <w:sz w:val="20"/>
                <w:szCs w:val="20"/>
                <w:lang w:eastAsia="en-AU"/>
              </w:rPr>
              <w:t>%</w:t>
            </w:r>
            <w:r w:rsidRPr="004C56A3">
              <w:rPr>
                <w:rFonts w:ascii="Arial Narrow" w:hAnsi="Arial Narrow" w:cs="Calibri"/>
                <w:snapToGrid/>
                <w:sz w:val="20"/>
                <w:szCs w:val="20"/>
                <w:lang w:eastAsia="en-AU"/>
              </w:rPr>
              <w:t>), the estimates were not likely to be accurate. It is likely a risk-share arrangement will be required (5.02.COM.1).</w:t>
            </w:r>
          </w:p>
          <w:p w14:paraId="62DB3C8E" w14:textId="77777777" w:rsidR="00BF40BE" w:rsidRPr="004C56A3" w:rsidRDefault="00BF40BE" w:rsidP="00FA4D4F">
            <w:pPr>
              <w:widowControl w:val="0"/>
              <w:jc w:val="left"/>
              <w:rPr>
                <w:rFonts w:ascii="Arial Narrow" w:hAnsi="Arial Narrow" w:cs="Calibri"/>
                <w:sz w:val="20"/>
                <w:szCs w:val="20"/>
                <w:lang w:eastAsia="en-AU"/>
              </w:rPr>
            </w:pPr>
          </w:p>
        </w:tc>
        <w:tc>
          <w:tcPr>
            <w:tcW w:w="1470" w:type="pct"/>
            <w:gridSpan w:val="3"/>
            <w:tcBorders>
              <w:top w:val="single" w:sz="4" w:space="0" w:color="auto"/>
              <w:left w:val="single" w:sz="4" w:space="0" w:color="auto"/>
              <w:bottom w:val="single" w:sz="4" w:space="0" w:color="auto"/>
              <w:right w:val="single" w:sz="4" w:space="0" w:color="auto"/>
            </w:tcBorders>
          </w:tcPr>
          <w:p w14:paraId="0FAEFAB1" w14:textId="77777777" w:rsidR="00BF40BE" w:rsidRPr="00157C9C" w:rsidRDefault="00BF40BE"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DUSC considered that:</w:t>
            </w:r>
          </w:p>
          <w:p w14:paraId="46D40961" w14:textId="16023B56" w:rsidR="00BF40BE" w:rsidRPr="00157C9C" w:rsidRDefault="00E228B8"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E228B8">
              <w:rPr>
                <w:rFonts w:ascii="Arial Narrow" w:hAnsi="Arial Narrow" w:cs="Calibri"/>
                <w:snapToGrid/>
                <w:color w:val="000000"/>
                <w:spacing w:val="40"/>
                <w:sz w:val="20"/>
                <w:szCs w:val="20"/>
                <w:shd w:val="solid" w:color="000000" w:fill="000000"/>
                <w:fitText w:val="460" w:id="-1234458367"/>
                <w:lang w:eastAsia="en-AU"/>
                <w14:textFill>
                  <w14:solidFill>
                    <w14:srgbClr w14:val="000000">
                      <w14:alpha w14:val="100000"/>
                    </w14:srgbClr>
                  </w14:solidFill>
                </w14:textFill>
              </w:rPr>
              <w:t>|||||</w:t>
            </w:r>
            <w:r w:rsidRPr="00E228B8">
              <w:rPr>
                <w:rFonts w:ascii="Arial Narrow" w:hAnsi="Arial Narrow" w:cs="Calibri"/>
                <w:snapToGrid/>
                <w:color w:val="000000"/>
                <w:spacing w:val="5"/>
                <w:sz w:val="20"/>
                <w:szCs w:val="20"/>
                <w:shd w:val="solid" w:color="000000" w:fill="000000"/>
                <w:fitText w:val="460" w:id="-1234458367"/>
                <w:lang w:eastAsia="en-AU"/>
                <w14:textFill>
                  <w14:solidFill>
                    <w14:srgbClr w14:val="000000">
                      <w14:alpha w14:val="100000"/>
                    </w14:srgbClr>
                  </w14:solidFill>
                </w14:textFill>
              </w:rPr>
              <w:t>|</w:t>
            </w:r>
            <w:r w:rsidR="00BF40BE" w:rsidRPr="000818D9">
              <w:rPr>
                <w:rFonts w:ascii="Arial Narrow" w:hAnsi="Arial Narrow" w:cs="Calibri"/>
                <w:snapToGrid/>
                <w:sz w:val="20"/>
                <w:szCs w:val="20"/>
                <w:lang w:eastAsia="en-AU"/>
              </w:rPr>
              <w:t>%</w:t>
            </w:r>
            <w:r w:rsidR="00BF40BE" w:rsidRPr="00157C9C">
              <w:rPr>
                <w:rFonts w:ascii="Arial Narrow" w:hAnsi="Arial Narrow" w:cs="Calibri"/>
                <w:snapToGrid/>
                <w:sz w:val="20"/>
                <w:szCs w:val="20"/>
                <w:lang w:eastAsia="en-AU"/>
              </w:rPr>
              <w:t xml:space="preserve"> uptake in Year 1 is low and probably an underestimate, noting that complications are common with the disease without treatment. DUSC noted that the commentary changed the Year 1 uptake rate to </w:t>
            </w:r>
            <w:r w:rsidRPr="00E228B8">
              <w:rPr>
                <w:rFonts w:ascii="Arial Narrow" w:hAnsi="Arial Narrow" w:cs="Calibri"/>
                <w:snapToGrid/>
                <w:color w:val="000000"/>
                <w:spacing w:val="46"/>
                <w:sz w:val="20"/>
                <w:szCs w:val="20"/>
                <w:shd w:val="solid" w:color="000000" w:fill="000000"/>
                <w:fitText w:val="311" w:id="-1234458366"/>
                <w:lang w:eastAsia="en-AU"/>
                <w14:textFill>
                  <w14:solidFill>
                    <w14:srgbClr w14:val="000000">
                      <w14:alpha w14:val="100000"/>
                    </w14:srgbClr>
                  </w14:solidFill>
                </w14:textFill>
              </w:rPr>
              <w:t>|||</w:t>
            </w:r>
            <w:r w:rsidRPr="00E228B8">
              <w:rPr>
                <w:rFonts w:ascii="Arial Narrow" w:hAnsi="Arial Narrow" w:cs="Calibri"/>
                <w:snapToGrid/>
                <w:color w:val="000000"/>
                <w:spacing w:val="3"/>
                <w:sz w:val="20"/>
                <w:szCs w:val="20"/>
                <w:shd w:val="solid" w:color="000000" w:fill="000000"/>
                <w:fitText w:val="311" w:id="-1234458366"/>
                <w:lang w:eastAsia="en-AU"/>
                <w14:textFill>
                  <w14:solidFill>
                    <w14:srgbClr w14:val="000000">
                      <w14:alpha w14:val="100000"/>
                    </w14:srgbClr>
                  </w14:solidFill>
                </w14:textFill>
              </w:rPr>
              <w:t>|</w:t>
            </w:r>
            <w:r w:rsidR="00BF40BE" w:rsidRPr="000818D9">
              <w:rPr>
                <w:rFonts w:ascii="Arial Narrow" w:hAnsi="Arial Narrow" w:cs="Calibri"/>
                <w:snapToGrid/>
                <w:sz w:val="20"/>
                <w:szCs w:val="20"/>
                <w:lang w:eastAsia="en-AU"/>
              </w:rPr>
              <w:t>%</w:t>
            </w:r>
            <w:r w:rsidR="00BF40BE" w:rsidRPr="00157C9C">
              <w:rPr>
                <w:rFonts w:ascii="Arial Narrow" w:hAnsi="Arial Narrow" w:cs="Calibri"/>
                <w:snapToGrid/>
                <w:sz w:val="20"/>
                <w:szCs w:val="20"/>
                <w:lang w:eastAsia="en-AU"/>
              </w:rPr>
              <w:t xml:space="preserve">, however DUSC commented that since this is a small population in specialist care with symptomatic complications, that uptake is likely to be high. DUSC recommended that an initial uptake rate of </w:t>
            </w:r>
            <w:r w:rsidRPr="00E228B8">
              <w:rPr>
                <w:rFonts w:ascii="Arial Narrow" w:hAnsi="Arial Narrow" w:cs="Calibri"/>
                <w:snapToGrid/>
                <w:color w:val="000000"/>
                <w:spacing w:val="46"/>
                <w:sz w:val="20"/>
                <w:szCs w:val="20"/>
                <w:shd w:val="solid" w:color="000000" w:fill="000000"/>
                <w:fitText w:val="311" w:id="-1234458365"/>
                <w:lang w:eastAsia="en-AU"/>
                <w14:textFill>
                  <w14:solidFill>
                    <w14:srgbClr w14:val="000000">
                      <w14:alpha w14:val="100000"/>
                    </w14:srgbClr>
                  </w14:solidFill>
                </w14:textFill>
              </w:rPr>
              <w:t>|||</w:t>
            </w:r>
            <w:r w:rsidRPr="00E228B8">
              <w:rPr>
                <w:rFonts w:ascii="Arial Narrow" w:hAnsi="Arial Narrow" w:cs="Calibri"/>
                <w:snapToGrid/>
                <w:color w:val="000000"/>
                <w:spacing w:val="3"/>
                <w:sz w:val="20"/>
                <w:szCs w:val="20"/>
                <w:shd w:val="solid" w:color="000000" w:fill="000000"/>
                <w:fitText w:val="311" w:id="-1234458365"/>
                <w:lang w:eastAsia="en-AU"/>
                <w14:textFill>
                  <w14:solidFill>
                    <w14:srgbClr w14:val="000000">
                      <w14:alpha w14:val="100000"/>
                    </w14:srgbClr>
                  </w14:solidFill>
                </w14:textFill>
              </w:rPr>
              <w:t>|</w:t>
            </w:r>
            <w:r w:rsidR="00BF40BE" w:rsidRPr="000818D9">
              <w:rPr>
                <w:rFonts w:ascii="Arial Narrow" w:hAnsi="Arial Narrow" w:cs="Calibri"/>
                <w:snapToGrid/>
                <w:sz w:val="20"/>
                <w:szCs w:val="20"/>
                <w:lang w:eastAsia="en-AU"/>
              </w:rPr>
              <w:t>%</w:t>
            </w:r>
            <w:r w:rsidR="00BF40BE" w:rsidRPr="00157C9C">
              <w:rPr>
                <w:rFonts w:ascii="Arial Narrow" w:hAnsi="Arial Narrow" w:cs="Calibri"/>
                <w:snapToGrid/>
                <w:sz w:val="20"/>
                <w:szCs w:val="20"/>
                <w:lang w:eastAsia="en-AU"/>
              </w:rPr>
              <w:t xml:space="preserve"> would be more appropriate.</w:t>
            </w:r>
            <w:r w:rsidR="00BF40BE" w:rsidRPr="00157C9C">
              <w:rPr>
                <w:rFonts w:ascii="Arial Narrow" w:hAnsi="Arial Narrow" w:cs="Calibri"/>
                <w:sz w:val="20"/>
                <w:szCs w:val="20"/>
                <w:lang w:eastAsia="en-AU"/>
              </w:rPr>
              <w:t xml:space="preserve"> It should be noted that these estimates would primarily affect the distribution of uptake over time rather than overall utilisation, leading to a skew to earlier years in the estimates period, as demonstrated by the sensitivity analysis in the commentary.</w:t>
            </w:r>
          </w:p>
          <w:p w14:paraId="23CAA33B" w14:textId="09A98B4C" w:rsidR="00BF40BE" w:rsidRPr="005C1ADA" w:rsidRDefault="00BF40BE" w:rsidP="004524A5">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The proportion of patients who achieve</w:t>
            </w:r>
            <w:r w:rsidR="00157C9C">
              <w:rPr>
                <w:rFonts w:ascii="Arial Narrow" w:hAnsi="Arial Narrow" w:cs="Calibri"/>
                <w:snapToGrid/>
                <w:sz w:val="20"/>
                <w:szCs w:val="20"/>
                <w:lang w:eastAsia="en-AU"/>
              </w:rPr>
              <w:t>d</w:t>
            </w:r>
            <w:r w:rsidRPr="00157C9C">
              <w:rPr>
                <w:rFonts w:ascii="Arial Narrow" w:hAnsi="Arial Narrow" w:cs="Calibri"/>
                <w:snapToGrid/>
                <w:sz w:val="20"/>
                <w:szCs w:val="20"/>
                <w:lang w:eastAsia="en-AU"/>
              </w:rPr>
              <w:t xml:space="preserve"> a complete response at Week 12 may be underestimated. This may be higher in practice with low-grade leakage within the indication.</w:t>
            </w:r>
          </w:p>
        </w:tc>
      </w:tr>
      <w:tr w:rsidR="00BF40BE" w:rsidRPr="004C56A3" w14:paraId="5542240A" w14:textId="77777777" w:rsidTr="00A63686">
        <w:trPr>
          <w:gridAfter w:val="2"/>
          <w:wAfter w:w="10" w:type="pct"/>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7B3C9C45"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 xml:space="preserve">Number of scripts </w:t>
            </w:r>
          </w:p>
        </w:tc>
        <w:tc>
          <w:tcPr>
            <w:tcW w:w="2932" w:type="pct"/>
            <w:tcBorders>
              <w:top w:val="single" w:sz="4" w:space="0" w:color="auto"/>
              <w:left w:val="single" w:sz="4" w:space="0" w:color="auto"/>
              <w:bottom w:val="single" w:sz="4" w:space="0" w:color="auto"/>
              <w:right w:val="single" w:sz="4" w:space="0" w:color="auto"/>
            </w:tcBorders>
            <w:shd w:val="clear" w:color="auto" w:fill="auto"/>
            <w:vAlign w:val="center"/>
          </w:tcPr>
          <w:p w14:paraId="5F440E35"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u w:val="single"/>
                <w:lang w:eastAsia="en-AU"/>
              </w:rPr>
              <w:t>Dosage</w:t>
            </w:r>
            <w:r w:rsidRPr="004C56A3">
              <w:rPr>
                <w:rFonts w:ascii="Arial Narrow" w:hAnsi="Arial Narrow" w:cs="Calibri"/>
                <w:sz w:val="20"/>
                <w:szCs w:val="20"/>
                <w:lang w:eastAsia="en-AU"/>
              </w:rPr>
              <w:t xml:space="preserve">: The dosage used in the financial estimates was based on the dosage used in LINC 4. The average dose was 8.79 mg/day. </w:t>
            </w:r>
          </w:p>
          <w:p w14:paraId="50E1ECEE" w14:textId="77777777" w:rsidR="00BF40BE" w:rsidRPr="004C56A3" w:rsidRDefault="00BF40BE" w:rsidP="00FA4D4F">
            <w:pPr>
              <w:widowControl w:val="0"/>
              <w:jc w:val="left"/>
              <w:rPr>
                <w:rFonts w:ascii="Arial Narrow" w:hAnsi="Arial Narrow" w:cs="Calibri"/>
                <w:sz w:val="20"/>
                <w:szCs w:val="20"/>
                <w:lang w:eastAsia="en-AU"/>
              </w:rPr>
            </w:pPr>
          </w:p>
          <w:p w14:paraId="064B52F6"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u w:val="single"/>
                <w:lang w:eastAsia="en-AU"/>
              </w:rPr>
              <w:t>Treatment duration</w:t>
            </w:r>
            <w:r w:rsidRPr="004C56A3">
              <w:rPr>
                <w:rFonts w:ascii="Arial Narrow" w:hAnsi="Arial Narrow" w:cs="Calibri"/>
                <w:sz w:val="20"/>
                <w:szCs w:val="20"/>
                <w:lang w:eastAsia="en-AU"/>
              </w:rPr>
              <w:t xml:space="preserve">: Treatment duration was based on the time to escape data from LINC 3 (refer to Table 2.5-7 of the main submission pp. 129-130). The submission indicated that the inverse of the combined observed and extrapolated (logarithmic trendline) time to escape data, the mean duration of treatment was 169.5 weeks, with 12.0 weeks for initial treatment and 157.5 weeks for continuing treatment. </w:t>
            </w:r>
          </w:p>
          <w:p w14:paraId="12BA5B72" w14:textId="77777777" w:rsidR="00BF40BE" w:rsidRPr="004C56A3" w:rsidRDefault="00BF40BE" w:rsidP="00FA4D4F">
            <w:pPr>
              <w:widowControl w:val="0"/>
              <w:jc w:val="left"/>
              <w:rPr>
                <w:rFonts w:ascii="Arial Narrow" w:hAnsi="Arial Narrow" w:cs="Calibri"/>
                <w:sz w:val="20"/>
                <w:szCs w:val="20"/>
                <w:lang w:eastAsia="en-AU"/>
              </w:rPr>
            </w:pPr>
          </w:p>
          <w:p w14:paraId="1252E11C" w14:textId="77777777"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Commentary:</w:t>
            </w:r>
          </w:p>
          <w:p w14:paraId="1092A799" w14:textId="77777777" w:rsidR="00BF40BE" w:rsidRPr="004C56A3" w:rsidRDefault="00BF40BE" w:rsidP="0047787D">
            <w:pPr>
              <w:pStyle w:val="ListParagraph"/>
              <w:widowControl w:val="0"/>
              <w:numPr>
                <w:ilvl w:val="0"/>
                <w:numId w:val="20"/>
              </w:numPr>
              <w:spacing w:after="0"/>
              <w:contextualSpacing/>
              <w:jc w:val="left"/>
              <w:rPr>
                <w:rFonts w:ascii="Arial Narrow" w:hAnsi="Arial Narrow" w:cs="Calibri"/>
                <w:snapToGrid/>
                <w:sz w:val="20"/>
                <w:szCs w:val="20"/>
                <w:lang w:eastAsia="en-AU"/>
              </w:rPr>
            </w:pPr>
            <w:r w:rsidRPr="004C56A3">
              <w:rPr>
                <w:rFonts w:ascii="Arial Narrow" w:hAnsi="Arial Narrow" w:cs="Calibri"/>
                <w:snapToGrid/>
                <w:sz w:val="20"/>
                <w:szCs w:val="20"/>
                <w:lang w:eastAsia="en-AU"/>
              </w:rPr>
              <w:t>There is potential for inaccuracy, as LINC 3 only included responding patients in the randomised withdrawal phase and follow-up. It is possible that this enriched sample may overestimate treatment duration, or at may not accurately represent treatment duration, in what is likely to be a highly variable population.</w:t>
            </w:r>
          </w:p>
          <w:p w14:paraId="65344370" w14:textId="61E3CC1E" w:rsidR="00BF40BE" w:rsidRPr="004C56A3" w:rsidRDefault="00BF40BE" w:rsidP="0047787D">
            <w:pPr>
              <w:pStyle w:val="ListParagraph"/>
              <w:widowControl w:val="0"/>
              <w:numPr>
                <w:ilvl w:val="0"/>
                <w:numId w:val="20"/>
              </w:numPr>
              <w:spacing w:after="0"/>
              <w:contextualSpacing/>
              <w:jc w:val="left"/>
              <w:rPr>
                <w:rFonts w:ascii="Arial Narrow" w:hAnsi="Arial Narrow" w:cs="Calibri"/>
                <w:snapToGrid/>
                <w:sz w:val="20"/>
                <w:szCs w:val="20"/>
                <w:lang w:eastAsia="en-AU"/>
              </w:rPr>
            </w:pPr>
            <w:r w:rsidRPr="004C56A3">
              <w:rPr>
                <w:rFonts w:ascii="Arial Narrow" w:hAnsi="Arial Narrow" w:cs="Calibri"/>
                <w:snapToGrid/>
                <w:sz w:val="20"/>
                <w:szCs w:val="20"/>
                <w:lang w:eastAsia="en-AU"/>
              </w:rPr>
              <w:t xml:space="preserve">The incremental cost per extra responder for osilodrostat vs. placebo was </w:t>
            </w:r>
            <w:r w:rsidR="007541C1" w:rsidRPr="007541C1">
              <w:rPr>
                <w:rFonts w:ascii="Arial Narrow" w:hAnsi="Arial Narrow" w:cs="Calibri"/>
                <w:iCs/>
                <w:snapToGrid/>
                <w:sz w:val="20"/>
                <w:szCs w:val="20"/>
                <w:lang w:eastAsia="en-AU"/>
              </w:rPr>
              <w:t>$25,000 to &lt; $35,000</w:t>
            </w:r>
            <w:r w:rsidRPr="004C56A3">
              <w:rPr>
                <w:rFonts w:ascii="Arial Narrow" w:hAnsi="Arial Narrow" w:cs="Calibri"/>
                <w:snapToGrid/>
                <w:sz w:val="20"/>
                <w:szCs w:val="20"/>
                <w:lang w:eastAsia="en-AU"/>
              </w:rPr>
              <w:t>. It is likely that osilodrostat will be used for longer than 12 weeks, with mean treatment duration in the LINC trials ranging from 81.1 to 119 weeks (COM.17)</w:t>
            </w:r>
          </w:p>
          <w:p w14:paraId="210C1BFF" w14:textId="32429CA4" w:rsidR="00BF40BE" w:rsidRPr="004C56A3" w:rsidRDefault="00BF40BE" w:rsidP="0047787D">
            <w:pPr>
              <w:pStyle w:val="ListParagraph"/>
              <w:widowControl w:val="0"/>
              <w:numPr>
                <w:ilvl w:val="0"/>
                <w:numId w:val="20"/>
              </w:numPr>
              <w:spacing w:after="0"/>
              <w:contextualSpacing/>
              <w:jc w:val="left"/>
              <w:rPr>
                <w:rFonts w:ascii="Arial Narrow" w:hAnsi="Arial Narrow" w:cs="Calibri"/>
                <w:snapToGrid/>
                <w:sz w:val="20"/>
                <w:szCs w:val="20"/>
                <w:lang w:eastAsia="en-AU"/>
              </w:rPr>
            </w:pPr>
            <w:r w:rsidRPr="004C56A3">
              <w:rPr>
                <w:rFonts w:ascii="Arial Narrow" w:hAnsi="Arial Narrow" w:cs="Calibri"/>
                <w:snapToGrid/>
                <w:sz w:val="20"/>
                <w:szCs w:val="20"/>
                <w:lang w:eastAsia="en-AU"/>
              </w:rPr>
              <w:t xml:space="preserve">The cost per extra responder for osilodrostat vs. metyrapone </w:t>
            </w:r>
            <w:r w:rsidRPr="007541C1">
              <w:rPr>
                <w:rFonts w:ascii="Arial Narrow" w:hAnsi="Arial Narrow" w:cs="Calibri"/>
                <w:snapToGrid/>
                <w:sz w:val="20"/>
                <w:szCs w:val="20"/>
                <w:lang w:eastAsia="en-AU"/>
              </w:rPr>
              <w:t>(</w:t>
            </w:r>
            <w:r w:rsidR="007541C1" w:rsidRPr="007541C1">
              <w:rPr>
                <w:rFonts w:ascii="Arial Narrow" w:hAnsi="Arial Narrow" w:cs="Calibri"/>
                <w:snapToGrid/>
                <w:sz w:val="20"/>
                <w:szCs w:val="20"/>
                <w:lang w:eastAsia="en-AU"/>
              </w:rPr>
              <w:t>$55,000</w:t>
            </w:r>
            <w:r w:rsidR="00952293">
              <w:rPr>
                <w:rFonts w:ascii="Arial Narrow" w:hAnsi="Arial Narrow" w:cs="Calibri"/>
                <w:snapToGrid/>
                <w:sz w:val="20"/>
                <w:szCs w:val="20"/>
                <w:lang w:eastAsia="en-AU"/>
              </w:rPr>
              <w:t> </w:t>
            </w:r>
            <w:r w:rsidR="007541C1" w:rsidRPr="007541C1">
              <w:rPr>
                <w:rFonts w:ascii="Arial Narrow" w:hAnsi="Arial Narrow" w:cs="Calibri"/>
                <w:snapToGrid/>
                <w:sz w:val="20"/>
                <w:szCs w:val="20"/>
                <w:lang w:eastAsia="en-AU"/>
              </w:rPr>
              <w:t>to</w:t>
            </w:r>
            <w:r w:rsidR="00952293">
              <w:rPr>
                <w:rFonts w:ascii="Arial Narrow" w:hAnsi="Arial Narrow" w:cs="Calibri"/>
                <w:snapToGrid/>
                <w:sz w:val="20"/>
                <w:szCs w:val="20"/>
                <w:lang w:eastAsia="en-AU"/>
              </w:rPr>
              <w:t> </w:t>
            </w:r>
            <w:r w:rsidR="007541C1" w:rsidRPr="007541C1">
              <w:rPr>
                <w:rFonts w:ascii="Arial Narrow" w:hAnsi="Arial Narrow" w:cs="Calibri"/>
                <w:snapToGrid/>
                <w:sz w:val="20"/>
                <w:szCs w:val="20"/>
                <w:lang w:eastAsia="en-AU"/>
              </w:rPr>
              <w:t>&lt;</w:t>
            </w:r>
            <w:r w:rsidR="00952293">
              <w:rPr>
                <w:rFonts w:ascii="Arial Narrow" w:hAnsi="Arial Narrow" w:cs="Calibri"/>
                <w:snapToGrid/>
                <w:sz w:val="20"/>
                <w:szCs w:val="20"/>
                <w:lang w:eastAsia="en-AU"/>
              </w:rPr>
              <w:t> </w:t>
            </w:r>
            <w:r w:rsidR="007541C1" w:rsidRPr="007541C1">
              <w:rPr>
                <w:rFonts w:ascii="Arial Narrow" w:hAnsi="Arial Narrow" w:cs="Calibri"/>
                <w:snapToGrid/>
                <w:sz w:val="20"/>
                <w:szCs w:val="20"/>
                <w:lang w:eastAsia="en-AU"/>
              </w:rPr>
              <w:t>$75,000</w:t>
            </w:r>
            <w:r w:rsidRPr="004C56A3">
              <w:rPr>
                <w:rFonts w:ascii="Arial Narrow" w:hAnsi="Arial Narrow" w:cs="Calibri"/>
                <w:snapToGrid/>
                <w:sz w:val="20"/>
                <w:szCs w:val="20"/>
                <w:lang w:eastAsia="en-AU"/>
              </w:rPr>
              <w:t xml:space="preserve">) and for osilodrostat vs. ketoconazole </w:t>
            </w:r>
            <w:r w:rsidR="007541C1">
              <w:rPr>
                <w:rFonts w:ascii="Arial Narrow" w:hAnsi="Arial Narrow" w:cs="Calibri"/>
                <w:snapToGrid/>
                <w:sz w:val="20"/>
                <w:szCs w:val="20"/>
                <w:lang w:eastAsia="en-AU"/>
              </w:rPr>
              <w:t>(</w:t>
            </w:r>
            <w:r w:rsidR="007541C1" w:rsidRPr="007541C1">
              <w:rPr>
                <w:rFonts w:ascii="Arial Narrow" w:hAnsi="Arial Narrow" w:cs="Calibri"/>
                <w:iCs/>
                <w:snapToGrid/>
                <w:sz w:val="20"/>
                <w:szCs w:val="20"/>
                <w:lang w:eastAsia="en-AU"/>
              </w:rPr>
              <w:t>$45,000 to &lt; $55,000</w:t>
            </w:r>
            <w:r w:rsidRPr="004C56A3">
              <w:rPr>
                <w:rFonts w:ascii="Arial Narrow" w:hAnsi="Arial Narrow" w:cs="Calibri"/>
                <w:snapToGrid/>
                <w:sz w:val="20"/>
                <w:szCs w:val="20"/>
                <w:lang w:eastAsia="en-AU"/>
              </w:rPr>
              <w:t>) have the same problems with respect to duration as the comparison with placebo. These metyrapone and ketoconazole analyses are also impacted by the assumption of no cost for metyrapone and ketoconazole applied in the submission’s base case.</w:t>
            </w:r>
          </w:p>
          <w:p w14:paraId="689AC639" w14:textId="77777777" w:rsidR="00BF40BE" w:rsidRPr="004C56A3" w:rsidRDefault="00BF40BE" w:rsidP="00FA4D4F">
            <w:pPr>
              <w:widowControl w:val="0"/>
              <w:jc w:val="left"/>
              <w:rPr>
                <w:rFonts w:ascii="Arial Narrow" w:hAnsi="Arial Narrow" w:cs="Calibri"/>
                <w:sz w:val="20"/>
                <w:szCs w:val="20"/>
                <w:lang w:eastAsia="en-AU"/>
              </w:rPr>
            </w:pPr>
          </w:p>
          <w:p w14:paraId="14B36894" w14:textId="3ECB03DF" w:rsidR="00BF40BE" w:rsidRPr="004C56A3" w:rsidRDefault="00BF40BE" w:rsidP="00FA4D4F">
            <w:pPr>
              <w:widowControl w:val="0"/>
              <w:jc w:val="left"/>
              <w:rPr>
                <w:rFonts w:ascii="Arial Narrow" w:hAnsi="Arial Narrow" w:cs="Calibri"/>
                <w:sz w:val="20"/>
                <w:szCs w:val="20"/>
                <w:lang w:eastAsia="en-AU"/>
              </w:rPr>
            </w:pPr>
            <w:r w:rsidRPr="004C56A3">
              <w:rPr>
                <w:rFonts w:ascii="Arial Narrow" w:hAnsi="Arial Narrow" w:cs="Calibri"/>
                <w:sz w:val="20"/>
                <w:szCs w:val="20"/>
                <w:u w:val="single"/>
                <w:lang w:eastAsia="en-AU"/>
              </w:rPr>
              <w:t>Scripts</w:t>
            </w:r>
            <w:r w:rsidRPr="004C56A3">
              <w:rPr>
                <w:rFonts w:ascii="Arial Narrow" w:hAnsi="Arial Narrow" w:cs="Calibri"/>
                <w:sz w:val="20"/>
                <w:szCs w:val="20"/>
                <w:lang w:eastAsia="en-AU"/>
              </w:rPr>
              <w:t xml:space="preserve">: Given the distribution of doses from LINC 4 and assumed treatment duration, over one year a fully compliant patient requires </w:t>
            </w:r>
            <w:r w:rsidRPr="00EA3A2C">
              <w:rPr>
                <w:rFonts w:ascii="Arial Narrow" w:hAnsi="Arial Narrow" w:cs="Calibri"/>
                <w:sz w:val="20"/>
                <w:szCs w:val="20"/>
                <w:lang w:eastAsia="en-AU"/>
              </w:rPr>
              <w:t>12.18</w:t>
            </w:r>
            <w:r w:rsidRPr="004C56A3">
              <w:rPr>
                <w:rFonts w:ascii="Arial Narrow" w:hAnsi="Arial Narrow" w:cs="Calibri"/>
                <w:sz w:val="20"/>
                <w:szCs w:val="20"/>
                <w:lang w:eastAsia="en-AU"/>
              </w:rPr>
              <w:t xml:space="preserve"> prescriptions. Estimated script numbers are in </w:t>
            </w:r>
            <w:r w:rsidRPr="004C56A3">
              <w:rPr>
                <w:rFonts w:ascii="Arial Narrow" w:hAnsi="Arial Narrow" w:cs="Calibri"/>
                <w:sz w:val="20"/>
                <w:szCs w:val="20"/>
              </w:rPr>
              <w:fldChar w:fldCharType="begin"/>
            </w:r>
            <w:r w:rsidRPr="004C56A3">
              <w:rPr>
                <w:rFonts w:ascii="Arial Narrow" w:hAnsi="Arial Narrow" w:cs="Calibri"/>
                <w:sz w:val="20"/>
                <w:szCs w:val="20"/>
                <w:lang w:eastAsia="en-AU"/>
              </w:rPr>
              <w:instrText xml:space="preserve"> REF _Ref104805295 \h  \* MERGEFORMAT </w:instrText>
            </w:r>
            <w:r w:rsidRPr="004C56A3">
              <w:rPr>
                <w:rFonts w:ascii="Arial Narrow" w:hAnsi="Arial Narrow" w:cs="Calibri"/>
                <w:sz w:val="20"/>
                <w:szCs w:val="20"/>
              </w:rPr>
            </w:r>
            <w:r w:rsidRPr="004C56A3">
              <w:rPr>
                <w:rFonts w:ascii="Arial Narrow" w:hAnsi="Arial Narrow" w:cs="Calibri"/>
                <w:sz w:val="20"/>
                <w:szCs w:val="20"/>
              </w:rPr>
              <w:fldChar w:fldCharType="separate"/>
            </w:r>
            <w:r w:rsidR="00A9220E" w:rsidRPr="00A9220E">
              <w:rPr>
                <w:rFonts w:ascii="Arial Narrow" w:hAnsi="Arial Narrow"/>
                <w:sz w:val="20"/>
                <w:szCs w:val="20"/>
                <w:lang w:eastAsia="en-AU"/>
              </w:rPr>
              <w:t xml:space="preserve">Table </w:t>
            </w:r>
            <w:r w:rsidR="00A9220E" w:rsidRPr="00A9220E">
              <w:rPr>
                <w:rFonts w:ascii="Arial Narrow" w:hAnsi="Arial Narrow"/>
                <w:noProof/>
                <w:sz w:val="20"/>
                <w:szCs w:val="20"/>
                <w:lang w:eastAsia="en-AU"/>
              </w:rPr>
              <w:t>20</w:t>
            </w:r>
            <w:r w:rsidRPr="004C56A3">
              <w:rPr>
                <w:rFonts w:ascii="Arial Narrow" w:hAnsi="Arial Narrow" w:cs="Calibri"/>
                <w:sz w:val="20"/>
                <w:szCs w:val="20"/>
              </w:rPr>
              <w:fldChar w:fldCharType="end"/>
            </w:r>
            <w:r w:rsidRPr="004C56A3">
              <w:rPr>
                <w:rFonts w:ascii="Arial Narrow" w:hAnsi="Arial Narrow" w:cs="Calibri"/>
                <w:sz w:val="20"/>
                <w:szCs w:val="20"/>
                <w:lang w:eastAsia="en-AU"/>
              </w:rPr>
              <w:t xml:space="preserve"> of the commentary on the submission.</w:t>
            </w:r>
          </w:p>
        </w:tc>
        <w:tc>
          <w:tcPr>
            <w:tcW w:w="1470" w:type="pct"/>
            <w:gridSpan w:val="3"/>
            <w:tcBorders>
              <w:top w:val="single" w:sz="4" w:space="0" w:color="auto"/>
              <w:left w:val="single" w:sz="4" w:space="0" w:color="auto"/>
              <w:bottom w:val="single" w:sz="4" w:space="0" w:color="auto"/>
              <w:right w:val="single" w:sz="4" w:space="0" w:color="auto"/>
            </w:tcBorders>
          </w:tcPr>
          <w:p w14:paraId="41BFB082" w14:textId="77777777" w:rsidR="00BF40BE" w:rsidRPr="00157C9C" w:rsidRDefault="00BF40BE"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DUSC considered that the eventual dosage was reasonable, with data from LINC 4 correlating with that from other published cohorts, and that overtreatment being unlikely given the small upwards titration. DUSC noted that moving to a high dose too quickly was a primary cause of adverse events (AEs) including hypocortisolism.</w:t>
            </w:r>
          </w:p>
          <w:p w14:paraId="71E354A6" w14:textId="77777777" w:rsidR="00BF40BE" w:rsidRPr="00157C9C" w:rsidRDefault="00BF40BE" w:rsidP="00FA4D4F">
            <w:pPr>
              <w:widowControl w:val="0"/>
              <w:jc w:val="left"/>
              <w:rPr>
                <w:rFonts w:ascii="Arial Narrow" w:hAnsi="Arial Narrow" w:cs="Calibri"/>
                <w:sz w:val="20"/>
                <w:szCs w:val="20"/>
                <w:lang w:eastAsia="en-AU"/>
              </w:rPr>
            </w:pPr>
          </w:p>
          <w:p w14:paraId="393353F3" w14:textId="22631FF3" w:rsidR="00BF40BE" w:rsidRPr="00157C9C" w:rsidRDefault="00BF40BE" w:rsidP="00FA4D4F">
            <w:pPr>
              <w:jc w:val="left"/>
              <w:rPr>
                <w:rFonts w:ascii="Times New Roman" w:hAnsi="Times New Roman" w:cs="Times New Roman"/>
                <w:lang w:eastAsia="en-AU"/>
              </w:rPr>
            </w:pPr>
            <w:r w:rsidRPr="00157C9C">
              <w:rPr>
                <w:rFonts w:ascii="Arial Narrow" w:hAnsi="Arial Narrow" w:cs="Calibri"/>
                <w:sz w:val="20"/>
                <w:szCs w:val="20"/>
                <w:lang w:eastAsia="en-AU"/>
              </w:rPr>
              <w:t>DUSC considered treatment duration was under-estimated in the prevalent population with some people potentially needing longer or lifetime treatment, as noted in the LINC 2 and LINC 3 extension cohorts</w:t>
            </w:r>
            <w:r w:rsidRPr="00157C9C">
              <w:rPr>
                <w:rStyle w:val="FootnoteReference"/>
                <w:rFonts w:ascii="Arial Narrow" w:hAnsi="Arial Narrow" w:cs="Calibri"/>
                <w:sz w:val="20"/>
                <w:szCs w:val="20"/>
                <w:lang w:eastAsia="en-AU"/>
              </w:rPr>
              <w:footnoteReference w:id="5"/>
            </w:r>
            <w:r w:rsidRPr="00157C9C">
              <w:rPr>
                <w:rFonts w:ascii="Arial Narrow" w:hAnsi="Arial Narrow" w:cs="Calibri"/>
                <w:sz w:val="20"/>
                <w:szCs w:val="20"/>
                <w:lang w:eastAsia="en-AU"/>
              </w:rPr>
              <w:t>.</w:t>
            </w:r>
          </w:p>
          <w:p w14:paraId="01285DA2" w14:textId="221AF7FC" w:rsidR="00BF40BE" w:rsidRPr="00157C9C" w:rsidRDefault="00BF40BE"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The submission limited treatment duration to three years which results in a substantial fall in usage estimates from year 4 onwards.</w:t>
            </w:r>
            <w:r w:rsidR="0009335B">
              <w:rPr>
                <w:rFonts w:ascii="Arial Narrow" w:hAnsi="Arial Narrow" w:cs="Calibri"/>
                <w:sz w:val="20"/>
                <w:szCs w:val="20"/>
                <w:lang w:eastAsia="en-AU"/>
              </w:rPr>
              <w:t xml:space="preserve"> </w:t>
            </w:r>
            <w:r w:rsidRPr="00157C9C">
              <w:rPr>
                <w:rFonts w:ascii="Arial Narrow" w:hAnsi="Arial Narrow" w:cs="Calibri"/>
                <w:sz w:val="20"/>
                <w:szCs w:val="20"/>
                <w:lang w:eastAsia="en-AU"/>
              </w:rPr>
              <w:t xml:space="preserve">DUSC considered the usage estimates in the latter years to be under-estimated. </w:t>
            </w:r>
          </w:p>
          <w:p w14:paraId="049CC6DA" w14:textId="77777777" w:rsidR="00BF40BE" w:rsidRPr="00157C9C" w:rsidRDefault="00BF40BE" w:rsidP="00FA4D4F">
            <w:pPr>
              <w:widowControl w:val="0"/>
              <w:jc w:val="left"/>
              <w:rPr>
                <w:rFonts w:ascii="Arial Narrow" w:hAnsi="Arial Narrow" w:cs="Calibri"/>
                <w:sz w:val="20"/>
                <w:szCs w:val="20"/>
                <w:lang w:eastAsia="en-AU"/>
              </w:rPr>
            </w:pPr>
          </w:p>
          <w:p w14:paraId="0D85591D" w14:textId="77777777" w:rsidR="00BF40BE" w:rsidRPr="00157C9C" w:rsidRDefault="00BF40BE"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DUSC noted that wastage was possible, especially with uptitration using tablets of varying strengths.</w:t>
            </w:r>
          </w:p>
          <w:p w14:paraId="4FB86A2F" w14:textId="77777777" w:rsidR="00BF40BE" w:rsidRPr="00157C9C" w:rsidRDefault="00BF40BE" w:rsidP="00FA4D4F">
            <w:pPr>
              <w:widowControl w:val="0"/>
              <w:jc w:val="left"/>
              <w:rPr>
                <w:rFonts w:ascii="Arial Narrow" w:hAnsi="Arial Narrow" w:cs="Calibri"/>
                <w:sz w:val="20"/>
                <w:szCs w:val="20"/>
                <w:lang w:eastAsia="en-AU"/>
              </w:rPr>
            </w:pPr>
          </w:p>
          <w:p w14:paraId="70CE73EE" w14:textId="77777777" w:rsidR="00BF40BE" w:rsidRPr="00157C9C" w:rsidRDefault="00BF40BE"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DUSC considered that the average script count was under-estimated noting that:</w:t>
            </w:r>
          </w:p>
          <w:p w14:paraId="3B42623B" w14:textId="77777777" w:rsidR="00BF40BE" w:rsidRPr="00157C9C" w:rsidRDefault="00BF40BE"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Using the suggested dose titration, successful treatment could take up to 6 months to reach the highest dose at 1/2mg per week which has not been accounted for in the estimate of scripts</w:t>
            </w:r>
          </w:p>
          <w:p w14:paraId="7CBF3324" w14:textId="77777777" w:rsidR="00BF40BE" w:rsidRPr="00157C9C" w:rsidRDefault="00BF40BE"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It takes 3 initiation scripts and more than 6 months to get to stable for 40mg and 60mg patients. DUSC noted that this was longer than the trials.</w:t>
            </w:r>
          </w:p>
          <w:p w14:paraId="4E19F7BE" w14:textId="77777777" w:rsidR="00BF40BE" w:rsidRPr="00157C9C" w:rsidRDefault="00BF40BE"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 xml:space="preserve">Wastage due to missed or lost tablets has not been factored into the number of scripts. </w:t>
            </w:r>
          </w:p>
        </w:tc>
      </w:tr>
      <w:tr w:rsidR="00A63686" w:rsidRPr="004C56A3" w14:paraId="0886A893" w14:textId="77777777" w:rsidTr="00A63686">
        <w:trPr>
          <w:gridAfter w:val="1"/>
          <w:wAfter w:w="6" w:type="pct"/>
        </w:trPr>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B8323" w14:textId="77777777" w:rsidR="00A63686" w:rsidRPr="004C56A3" w:rsidRDefault="00A63686" w:rsidP="00FA4D4F">
            <w:pPr>
              <w:widowControl w:val="0"/>
              <w:jc w:val="left"/>
              <w:rPr>
                <w:rFonts w:ascii="Arial Narrow" w:hAnsi="Arial Narrow" w:cs="Calibri"/>
                <w:b/>
                <w:bCs/>
                <w:sz w:val="20"/>
                <w:szCs w:val="20"/>
              </w:rPr>
            </w:pPr>
            <w:r w:rsidRPr="004C56A3">
              <w:rPr>
                <w:rFonts w:ascii="Arial Narrow" w:hAnsi="Arial Narrow" w:cs="Calibri"/>
                <w:b/>
                <w:bCs/>
                <w:sz w:val="20"/>
                <w:szCs w:val="20"/>
                <w:lang w:eastAsia="en-AU"/>
              </w:rPr>
              <w:t xml:space="preserve">Cost of medicines </w:t>
            </w:r>
          </w:p>
        </w:tc>
        <w:tc>
          <w:tcPr>
            <w:tcW w:w="2936"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Summarybox2"/>
              <w:tblpPr w:leftFromText="180" w:rightFromText="180" w:vertAnchor="text" w:horzAnchor="margin" w:tblpY="-1613"/>
              <w:tblOverlap w:val="never"/>
              <w:tblW w:w="4958" w:type="pct"/>
              <w:tblLayout w:type="fixed"/>
              <w:tblCellMar>
                <w:left w:w="28" w:type="dxa"/>
                <w:right w:w="28" w:type="dxa"/>
              </w:tblCellMar>
              <w:tblLook w:val="04A0" w:firstRow="1" w:lastRow="0" w:firstColumn="1" w:lastColumn="0" w:noHBand="0" w:noVBand="1"/>
            </w:tblPr>
            <w:tblGrid>
              <w:gridCol w:w="1129"/>
              <w:gridCol w:w="4111"/>
            </w:tblGrid>
            <w:tr w:rsidR="00A63686" w:rsidRPr="004C56A3" w14:paraId="2E98A80C" w14:textId="77777777" w:rsidTr="00A63686">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46DCCA75" w14:textId="77777777" w:rsidR="00A63686" w:rsidRPr="004C56A3" w:rsidRDefault="00A63686" w:rsidP="00A63686">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Osilodrostat</w:t>
                  </w:r>
                </w:p>
              </w:tc>
              <w:tc>
                <w:tcPr>
                  <w:tcW w:w="3923" w:type="pct"/>
                  <w:tcBorders>
                    <w:top w:val="single" w:sz="4" w:space="0" w:color="auto"/>
                    <w:left w:val="single" w:sz="4" w:space="0" w:color="auto"/>
                    <w:bottom w:val="single" w:sz="4" w:space="0" w:color="auto"/>
                    <w:right w:val="single" w:sz="4" w:space="0" w:color="auto"/>
                  </w:tcBorders>
                  <w:shd w:val="clear" w:color="auto" w:fill="auto"/>
                  <w:vAlign w:val="center"/>
                </w:tcPr>
                <w:p w14:paraId="1F4FD2A8" w14:textId="2D250C75" w:rsidR="00A63686" w:rsidRPr="004C56A3" w:rsidRDefault="00A63686" w:rsidP="00A63686">
                  <w:pPr>
                    <w:keepNext/>
                    <w:keepLines/>
                    <w:tabs>
                      <w:tab w:val="left" w:pos="1417"/>
                      <w:tab w:val="left" w:pos="3543"/>
                    </w:tabs>
                    <w:jc w:val="left"/>
                    <w:rPr>
                      <w:rFonts w:ascii="Arial Narrow" w:eastAsiaTheme="majorEastAsia" w:hAnsi="Arial Narrow" w:cs="Calibri"/>
                      <w:sz w:val="18"/>
                      <w:szCs w:val="18"/>
                      <w:lang w:eastAsia="en-AU"/>
                    </w:rPr>
                  </w:pPr>
                  <w:r w:rsidRPr="004C56A3">
                    <w:rPr>
                      <w:rFonts w:ascii="Arial Narrow" w:eastAsiaTheme="majorEastAsia" w:hAnsi="Arial Narrow" w:cs="Calibri"/>
                      <w:sz w:val="18"/>
                      <w:szCs w:val="18"/>
                      <w:lang w:eastAsia="en-AU"/>
                    </w:rPr>
                    <w:t xml:space="preserve">1 mg tablet, 60: </w:t>
                  </w:r>
                  <w:r w:rsidRPr="004C56A3">
                    <w:rPr>
                      <w:rFonts w:ascii="Arial Narrow" w:eastAsiaTheme="majorEastAsia" w:hAnsi="Arial Narrow" w:cs="Calibri"/>
                      <w:sz w:val="18"/>
                      <w:szCs w:val="18"/>
                      <w:lang w:eastAsia="en-AU"/>
                    </w:rPr>
                    <w:tab/>
                    <w:t xml:space="preserve">$2,561.28 published price </w:t>
                  </w:r>
                  <w:r w:rsidRPr="004C56A3">
                    <w:rPr>
                      <w:rFonts w:ascii="Arial Narrow" w:eastAsiaTheme="majorEastAsia" w:hAnsi="Arial Narrow" w:cs="Calibri"/>
                      <w:sz w:val="18"/>
                      <w:szCs w:val="18"/>
                      <w:lang w:eastAsia="en-AU"/>
                    </w:rPr>
                    <w:tab/>
                    <w:t>$</w:t>
                  </w:r>
                  <w:r w:rsidR="00E228B8" w:rsidRPr="00E228B8">
                    <w:rPr>
                      <w:rFonts w:ascii="Arial Narrow" w:eastAsiaTheme="majorEastAsia" w:hAnsi="Arial Narrow" w:cs="Calibri"/>
                      <w:color w:val="000000"/>
                      <w:spacing w:val="79"/>
                      <w:sz w:val="18"/>
                      <w:szCs w:val="18"/>
                      <w:shd w:val="solid" w:color="000000" w:fill="000000"/>
                      <w:fitText w:val="391" w:id="-1234458364"/>
                      <w:lang w:eastAsia="en-AU"/>
                      <w14:textFill>
                        <w14:solidFill>
                          <w14:srgbClr w14:val="000000">
                            <w14:alpha w14:val="100000"/>
                          </w14:srgbClr>
                        </w14:solidFill>
                      </w14:textFill>
                    </w:rPr>
                    <w:t>|||</w:t>
                  </w:r>
                  <w:r w:rsidR="00E228B8" w:rsidRPr="00E228B8">
                    <w:rPr>
                      <w:rFonts w:ascii="Arial Narrow" w:eastAsiaTheme="majorEastAsia" w:hAnsi="Arial Narrow" w:cs="Calibri"/>
                      <w:color w:val="000000"/>
                      <w:spacing w:val="1"/>
                      <w:sz w:val="18"/>
                      <w:szCs w:val="18"/>
                      <w:shd w:val="solid" w:color="000000" w:fill="000000"/>
                      <w:fitText w:val="391" w:id="-1234458364"/>
                      <w:lang w:eastAsia="en-AU"/>
                      <w14:textFill>
                        <w14:solidFill>
                          <w14:srgbClr w14:val="000000">
                            <w14:alpha w14:val="100000"/>
                          </w14:srgbClr>
                        </w14:solidFill>
                      </w14:textFill>
                    </w:rPr>
                    <w:t>|</w:t>
                  </w:r>
                  <w:r w:rsidRPr="004C56A3">
                    <w:rPr>
                      <w:rFonts w:ascii="Arial Narrow" w:eastAsiaTheme="majorEastAsia" w:hAnsi="Arial Narrow" w:cs="Calibri"/>
                      <w:sz w:val="18"/>
                      <w:szCs w:val="18"/>
                      <w:lang w:eastAsia="en-AU"/>
                    </w:rPr>
                    <w:t xml:space="preserve"> effective price</w:t>
                  </w:r>
                </w:p>
                <w:p w14:paraId="54513CF0" w14:textId="1EB33B6B" w:rsidR="00A63686" w:rsidRPr="004C56A3" w:rsidRDefault="00A63686" w:rsidP="00A63686">
                  <w:pPr>
                    <w:keepNext/>
                    <w:keepLines/>
                    <w:tabs>
                      <w:tab w:val="left" w:pos="1417"/>
                      <w:tab w:val="left" w:pos="3543"/>
                    </w:tabs>
                    <w:jc w:val="left"/>
                    <w:rPr>
                      <w:rFonts w:ascii="Arial Narrow" w:eastAsiaTheme="majorEastAsia" w:hAnsi="Arial Narrow" w:cs="Calibri"/>
                      <w:sz w:val="18"/>
                      <w:szCs w:val="18"/>
                      <w:lang w:eastAsia="en-AU"/>
                    </w:rPr>
                  </w:pPr>
                  <w:r w:rsidRPr="004C56A3">
                    <w:rPr>
                      <w:rFonts w:ascii="Arial Narrow" w:eastAsiaTheme="majorEastAsia" w:hAnsi="Arial Narrow" w:cs="Calibri"/>
                      <w:sz w:val="18"/>
                      <w:szCs w:val="18"/>
                      <w:lang w:eastAsia="en-AU"/>
                    </w:rPr>
                    <w:t xml:space="preserve">5 mg tablet, 60: </w:t>
                  </w:r>
                  <w:r w:rsidRPr="004C56A3">
                    <w:rPr>
                      <w:rFonts w:ascii="Arial Narrow" w:eastAsiaTheme="majorEastAsia" w:hAnsi="Arial Narrow" w:cs="Calibri"/>
                      <w:sz w:val="18"/>
                      <w:szCs w:val="18"/>
                      <w:lang w:eastAsia="en-AU"/>
                    </w:rPr>
                    <w:tab/>
                    <w:t xml:space="preserve">$9,821.28 published price </w:t>
                  </w:r>
                  <w:r w:rsidRPr="004C56A3">
                    <w:rPr>
                      <w:rFonts w:ascii="Arial Narrow" w:eastAsiaTheme="majorEastAsia" w:hAnsi="Arial Narrow" w:cs="Calibri"/>
                      <w:sz w:val="18"/>
                      <w:szCs w:val="18"/>
                      <w:lang w:eastAsia="en-AU"/>
                    </w:rPr>
                    <w:tab/>
                    <w:t>$</w:t>
                  </w:r>
                  <w:r w:rsidR="00E228B8" w:rsidRPr="00E228B8">
                    <w:rPr>
                      <w:rFonts w:ascii="Arial Narrow" w:eastAsiaTheme="majorEastAsia" w:hAnsi="Arial Narrow" w:cs="Calibri"/>
                      <w:color w:val="000000"/>
                      <w:spacing w:val="79"/>
                      <w:sz w:val="18"/>
                      <w:szCs w:val="18"/>
                      <w:shd w:val="solid" w:color="000000" w:fill="000000"/>
                      <w:fitText w:val="391" w:id="-1234458363"/>
                      <w:lang w:eastAsia="en-AU"/>
                      <w14:textFill>
                        <w14:solidFill>
                          <w14:srgbClr w14:val="000000">
                            <w14:alpha w14:val="100000"/>
                          </w14:srgbClr>
                        </w14:solidFill>
                      </w14:textFill>
                    </w:rPr>
                    <w:t>|||</w:t>
                  </w:r>
                  <w:r w:rsidR="00E228B8" w:rsidRPr="00E228B8">
                    <w:rPr>
                      <w:rFonts w:ascii="Arial Narrow" w:eastAsiaTheme="majorEastAsia" w:hAnsi="Arial Narrow" w:cs="Calibri"/>
                      <w:color w:val="000000"/>
                      <w:spacing w:val="1"/>
                      <w:sz w:val="18"/>
                      <w:szCs w:val="18"/>
                      <w:shd w:val="solid" w:color="000000" w:fill="000000"/>
                      <w:fitText w:val="391" w:id="-1234458363"/>
                      <w:lang w:eastAsia="en-AU"/>
                      <w14:textFill>
                        <w14:solidFill>
                          <w14:srgbClr w14:val="000000">
                            <w14:alpha w14:val="100000"/>
                          </w14:srgbClr>
                        </w14:solidFill>
                      </w14:textFill>
                    </w:rPr>
                    <w:t>|</w:t>
                  </w:r>
                  <w:r w:rsidRPr="004C56A3">
                    <w:rPr>
                      <w:rFonts w:ascii="Arial Narrow" w:eastAsiaTheme="majorEastAsia" w:hAnsi="Arial Narrow" w:cs="Calibri"/>
                      <w:sz w:val="18"/>
                      <w:szCs w:val="18"/>
                      <w:lang w:eastAsia="en-AU"/>
                    </w:rPr>
                    <w:t xml:space="preserve"> effective price</w:t>
                  </w:r>
                </w:p>
                <w:p w14:paraId="4B9BAF15" w14:textId="3D70575E" w:rsidR="00A63686" w:rsidRPr="004C56A3" w:rsidRDefault="00A63686" w:rsidP="00A63686">
                  <w:pPr>
                    <w:keepNext/>
                    <w:keepLines/>
                    <w:tabs>
                      <w:tab w:val="left" w:pos="1417"/>
                      <w:tab w:val="left" w:pos="3543"/>
                    </w:tabs>
                    <w:jc w:val="left"/>
                    <w:rPr>
                      <w:rFonts w:ascii="Arial Narrow" w:eastAsiaTheme="majorEastAsia" w:hAnsi="Arial Narrow" w:cs="Calibri"/>
                      <w:sz w:val="20"/>
                      <w:szCs w:val="20"/>
                      <w:lang w:eastAsia="en-AU"/>
                    </w:rPr>
                  </w:pPr>
                  <w:r w:rsidRPr="004C56A3">
                    <w:rPr>
                      <w:rFonts w:ascii="Arial Narrow" w:eastAsiaTheme="majorEastAsia" w:hAnsi="Arial Narrow" w:cs="Calibri"/>
                      <w:sz w:val="18"/>
                      <w:szCs w:val="18"/>
                      <w:lang w:eastAsia="en-AU"/>
                    </w:rPr>
                    <w:t xml:space="preserve">10 mg tablet, 60: </w:t>
                  </w:r>
                  <w:r w:rsidRPr="004C56A3">
                    <w:rPr>
                      <w:rFonts w:ascii="Arial Narrow" w:eastAsiaTheme="majorEastAsia" w:hAnsi="Arial Narrow" w:cs="Calibri"/>
                      <w:sz w:val="18"/>
                      <w:szCs w:val="18"/>
                      <w:lang w:eastAsia="en-AU"/>
                    </w:rPr>
                    <w:tab/>
                    <w:t xml:space="preserve">$10,261.28 published price </w:t>
                  </w:r>
                  <w:r w:rsidRPr="004C56A3">
                    <w:rPr>
                      <w:rFonts w:ascii="Arial Narrow" w:eastAsiaTheme="majorEastAsia" w:hAnsi="Arial Narrow" w:cs="Calibri"/>
                      <w:sz w:val="18"/>
                      <w:szCs w:val="18"/>
                      <w:lang w:eastAsia="en-AU"/>
                    </w:rPr>
                    <w:tab/>
                    <w:t>$</w:t>
                  </w:r>
                  <w:r w:rsidR="00E228B8" w:rsidRPr="00E228B8">
                    <w:rPr>
                      <w:rFonts w:ascii="Arial Narrow" w:eastAsiaTheme="majorEastAsia" w:hAnsi="Arial Narrow" w:cs="Calibri"/>
                      <w:color w:val="000000"/>
                      <w:spacing w:val="79"/>
                      <w:sz w:val="18"/>
                      <w:szCs w:val="18"/>
                      <w:shd w:val="solid" w:color="000000" w:fill="000000"/>
                      <w:fitText w:val="391" w:id="-1234458362"/>
                      <w:lang w:eastAsia="en-AU"/>
                      <w14:textFill>
                        <w14:solidFill>
                          <w14:srgbClr w14:val="000000">
                            <w14:alpha w14:val="100000"/>
                          </w14:srgbClr>
                        </w14:solidFill>
                      </w14:textFill>
                    </w:rPr>
                    <w:t>|||</w:t>
                  </w:r>
                  <w:r w:rsidR="00E228B8" w:rsidRPr="00E228B8">
                    <w:rPr>
                      <w:rFonts w:ascii="Arial Narrow" w:eastAsiaTheme="majorEastAsia" w:hAnsi="Arial Narrow" w:cs="Calibri"/>
                      <w:color w:val="000000"/>
                      <w:spacing w:val="1"/>
                      <w:sz w:val="18"/>
                      <w:szCs w:val="18"/>
                      <w:shd w:val="solid" w:color="000000" w:fill="000000"/>
                      <w:fitText w:val="391" w:id="-1234458362"/>
                      <w:lang w:eastAsia="en-AU"/>
                      <w14:textFill>
                        <w14:solidFill>
                          <w14:srgbClr w14:val="000000">
                            <w14:alpha w14:val="100000"/>
                          </w14:srgbClr>
                        </w14:solidFill>
                      </w14:textFill>
                    </w:rPr>
                    <w:t>|</w:t>
                  </w:r>
                  <w:r w:rsidRPr="004C56A3">
                    <w:rPr>
                      <w:rFonts w:ascii="Arial Narrow" w:eastAsiaTheme="majorEastAsia" w:hAnsi="Arial Narrow" w:cs="Calibri"/>
                      <w:sz w:val="18"/>
                      <w:szCs w:val="18"/>
                      <w:lang w:eastAsia="en-AU"/>
                    </w:rPr>
                    <w:t xml:space="preserve"> effective price</w:t>
                  </w:r>
                </w:p>
              </w:tc>
            </w:tr>
            <w:tr w:rsidR="00A63686" w:rsidRPr="004C56A3" w14:paraId="00581258" w14:textId="77777777" w:rsidTr="004524A5">
              <w:trPr>
                <w:trHeight w:val="433"/>
              </w:trPr>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3173B205" w14:textId="77777777" w:rsidR="00A63686" w:rsidRPr="004C56A3" w:rsidRDefault="00A63686" w:rsidP="00A63686">
                  <w:pPr>
                    <w:widowControl w:val="0"/>
                    <w:jc w:val="left"/>
                    <w:rPr>
                      <w:rFonts w:ascii="Arial Narrow" w:hAnsi="Arial Narrow" w:cs="Calibri"/>
                      <w:sz w:val="18"/>
                      <w:szCs w:val="18"/>
                      <w:lang w:eastAsia="en-AU"/>
                    </w:rPr>
                  </w:pPr>
                  <w:r w:rsidRPr="004C56A3">
                    <w:rPr>
                      <w:rFonts w:ascii="Arial Narrow" w:hAnsi="Arial Narrow" w:cs="Calibri"/>
                      <w:sz w:val="18"/>
                      <w:szCs w:val="18"/>
                      <w:lang w:eastAsia="en-AU"/>
                    </w:rPr>
                    <w:t>Metyrapone and ketoconazole</w:t>
                  </w:r>
                </w:p>
              </w:tc>
              <w:tc>
                <w:tcPr>
                  <w:tcW w:w="3923" w:type="pct"/>
                  <w:tcBorders>
                    <w:top w:val="single" w:sz="4" w:space="0" w:color="auto"/>
                    <w:left w:val="single" w:sz="4" w:space="0" w:color="auto"/>
                    <w:bottom w:val="single" w:sz="4" w:space="0" w:color="auto"/>
                    <w:right w:val="single" w:sz="4" w:space="0" w:color="auto"/>
                  </w:tcBorders>
                  <w:shd w:val="clear" w:color="auto" w:fill="auto"/>
                  <w:vAlign w:val="center"/>
                </w:tcPr>
                <w:p w14:paraId="3E81459B" w14:textId="77777777" w:rsidR="00A63686" w:rsidRPr="004C56A3" w:rsidRDefault="00A63686" w:rsidP="00A63686">
                  <w:pPr>
                    <w:widowControl w:val="0"/>
                    <w:jc w:val="left"/>
                    <w:rPr>
                      <w:rFonts w:ascii="Arial Narrow" w:hAnsi="Arial Narrow" w:cs="Calibri"/>
                      <w:sz w:val="20"/>
                      <w:szCs w:val="20"/>
                      <w:lang w:eastAsia="en-AU"/>
                    </w:rPr>
                  </w:pPr>
                  <w:r w:rsidRPr="004C56A3">
                    <w:rPr>
                      <w:rFonts w:ascii="Arial Narrow" w:hAnsi="Arial Narrow" w:cs="Calibri"/>
                      <w:sz w:val="20"/>
                      <w:szCs w:val="20"/>
                      <w:lang w:eastAsia="en-AU"/>
                    </w:rPr>
                    <w:t>Not included.</w:t>
                  </w:r>
                </w:p>
              </w:tc>
            </w:tr>
          </w:tbl>
          <w:tbl>
            <w:tblPr>
              <w:tblStyle w:val="Summarybox2"/>
              <w:tblpPr w:leftFromText="180" w:rightFromText="180" w:vertAnchor="text" w:horzAnchor="margin" w:tblpY="-1689"/>
              <w:tblOverlap w:val="never"/>
              <w:tblW w:w="4959" w:type="pct"/>
              <w:tblLayout w:type="fixed"/>
              <w:tblCellMar>
                <w:left w:w="28" w:type="dxa"/>
                <w:right w:w="28" w:type="dxa"/>
              </w:tblCellMar>
              <w:tblLook w:val="04A0" w:firstRow="1" w:lastRow="0" w:firstColumn="1" w:lastColumn="0" w:noHBand="0" w:noVBand="1"/>
            </w:tblPr>
            <w:tblGrid>
              <w:gridCol w:w="1129"/>
              <w:gridCol w:w="4112"/>
            </w:tblGrid>
            <w:tr w:rsidR="00A63686" w:rsidRPr="004C56A3" w14:paraId="6B33A921" w14:textId="77777777" w:rsidTr="00A63686">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7B6F1AFF" w14:textId="77777777" w:rsidR="00A63686" w:rsidRPr="00A63686" w:rsidRDefault="00A63686" w:rsidP="00A63686">
                  <w:pPr>
                    <w:widowControl w:val="0"/>
                    <w:jc w:val="left"/>
                    <w:rPr>
                      <w:rFonts w:ascii="Arial Narrow" w:hAnsi="Arial Narrow" w:cs="Calibri"/>
                      <w:sz w:val="18"/>
                      <w:szCs w:val="18"/>
                      <w:lang w:eastAsia="en-AU"/>
                    </w:rPr>
                  </w:pPr>
                  <w:r w:rsidRPr="00A63686">
                    <w:rPr>
                      <w:rFonts w:ascii="Arial Narrow" w:hAnsi="Arial Narrow" w:cs="Calibri"/>
                      <w:sz w:val="18"/>
                      <w:szCs w:val="18"/>
                      <w:lang w:eastAsia="en-AU"/>
                    </w:rPr>
                    <w:t xml:space="preserve">Patient copayment </w:t>
                  </w:r>
                </w:p>
              </w:tc>
              <w:tc>
                <w:tcPr>
                  <w:tcW w:w="3923" w:type="pct"/>
                  <w:tcBorders>
                    <w:top w:val="single" w:sz="4" w:space="0" w:color="auto"/>
                    <w:left w:val="single" w:sz="4" w:space="0" w:color="auto"/>
                    <w:bottom w:val="single" w:sz="4" w:space="0" w:color="auto"/>
                    <w:right w:val="single" w:sz="4" w:space="0" w:color="auto"/>
                  </w:tcBorders>
                  <w:shd w:val="clear" w:color="auto" w:fill="auto"/>
                  <w:vAlign w:val="center"/>
                </w:tcPr>
                <w:p w14:paraId="706B9B59" w14:textId="77777777" w:rsidR="00A63686" w:rsidRPr="00A63686" w:rsidRDefault="00A63686" w:rsidP="00A63686">
                  <w:pPr>
                    <w:widowControl w:val="0"/>
                    <w:jc w:val="left"/>
                    <w:rPr>
                      <w:rFonts w:ascii="Arial Narrow" w:hAnsi="Arial Narrow" w:cs="Calibri"/>
                      <w:sz w:val="18"/>
                      <w:szCs w:val="18"/>
                      <w:lang w:eastAsia="en-AU"/>
                    </w:rPr>
                  </w:pPr>
                  <w:r w:rsidRPr="00A63686">
                    <w:rPr>
                      <w:rFonts w:ascii="Arial Narrow" w:hAnsi="Arial Narrow" w:cs="Calibri"/>
                      <w:sz w:val="18"/>
                      <w:szCs w:val="18"/>
                      <w:lang w:eastAsia="en-AU"/>
                    </w:rPr>
                    <w:t xml:space="preserve">Copayment was based on use of octreotide for the treatment of acromegaly in the 2021 calendar year. General copayment of $30.00 was used, as well as $6.80 for concessional and RPBS. Calculated copayment was $16.06 for PBS and $5.84 for RPBS. </w:t>
                  </w:r>
                </w:p>
              </w:tc>
            </w:tr>
          </w:tbl>
          <w:p w14:paraId="656D82AD" w14:textId="04C6F329" w:rsidR="00A63686" w:rsidRPr="004C56A3" w:rsidRDefault="00A63686" w:rsidP="00A63686">
            <w:pPr>
              <w:keepNext/>
              <w:keepLines/>
              <w:tabs>
                <w:tab w:val="left" w:pos="1417"/>
                <w:tab w:val="left" w:pos="3543"/>
              </w:tabs>
              <w:jc w:val="left"/>
              <w:rPr>
                <w:rFonts w:ascii="Arial Narrow" w:hAnsi="Arial Narrow" w:cs="Calibri"/>
                <w:b/>
                <w:bCs/>
                <w:sz w:val="20"/>
                <w:szCs w:val="20"/>
                <w:lang w:eastAsia="en-AU"/>
              </w:rPr>
            </w:pPr>
          </w:p>
        </w:tc>
        <w:tc>
          <w:tcPr>
            <w:tcW w:w="1470" w:type="pct"/>
            <w:gridSpan w:val="3"/>
            <w:tcBorders>
              <w:top w:val="single" w:sz="4" w:space="0" w:color="auto"/>
              <w:left w:val="single" w:sz="4" w:space="0" w:color="auto"/>
              <w:right w:val="single" w:sz="4" w:space="0" w:color="auto"/>
            </w:tcBorders>
          </w:tcPr>
          <w:p w14:paraId="353B0808" w14:textId="77777777" w:rsidR="00A63686" w:rsidRPr="00157C9C" w:rsidRDefault="00A63686"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DUSC considered that</w:t>
            </w:r>
          </w:p>
          <w:p w14:paraId="34AFE4F0" w14:textId="77777777" w:rsidR="00A63686" w:rsidRPr="00157C9C" w:rsidRDefault="00A63686" w:rsidP="00FA4D4F">
            <w:pPr>
              <w:widowControl w:val="0"/>
              <w:jc w:val="left"/>
              <w:rPr>
                <w:rFonts w:ascii="Arial Narrow" w:hAnsi="Arial Narrow" w:cs="Calibri"/>
                <w:sz w:val="20"/>
                <w:szCs w:val="20"/>
                <w:lang w:eastAsia="en-AU"/>
              </w:rPr>
            </w:pPr>
            <w:r w:rsidRPr="00157C9C">
              <w:rPr>
                <w:rFonts w:ascii="Arial Narrow" w:hAnsi="Arial Narrow" w:cs="Calibri"/>
                <w:sz w:val="20"/>
                <w:szCs w:val="20"/>
                <w:lang w:eastAsia="en-AU"/>
              </w:rPr>
              <w:t>monitoring costs have not been included. Noting that:</w:t>
            </w:r>
          </w:p>
          <w:p w14:paraId="5AEE9058" w14:textId="045DE286" w:rsidR="00A63686" w:rsidRPr="00157C9C" w:rsidRDefault="00A63686"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 xml:space="preserve">It </w:t>
            </w:r>
            <w:r>
              <w:rPr>
                <w:rFonts w:ascii="Arial Narrow" w:hAnsi="Arial Narrow" w:cs="Calibri"/>
                <w:snapToGrid/>
                <w:sz w:val="20"/>
                <w:szCs w:val="20"/>
                <w:lang w:eastAsia="en-AU"/>
              </w:rPr>
              <w:t>is</w:t>
            </w:r>
            <w:r w:rsidRPr="00157C9C">
              <w:rPr>
                <w:rFonts w:ascii="Arial Narrow" w:hAnsi="Arial Narrow" w:cs="Calibri"/>
                <w:snapToGrid/>
                <w:sz w:val="20"/>
                <w:szCs w:val="20"/>
                <w:lang w:eastAsia="en-AU"/>
              </w:rPr>
              <w:t xml:space="preserve"> recommended that cortisol levels (e.g. 24-hour urinary free cortisol, serum/plasma cortisol) be monitored every 1-2 weeks until adequate clinical response is maintained</w:t>
            </w:r>
            <w:r w:rsidRPr="00157C9C">
              <w:rPr>
                <w:rFonts w:ascii="Arial Narrow" w:hAnsi="Arial Narrow" w:cs="Calibri"/>
                <w:sz w:val="20"/>
                <w:szCs w:val="20"/>
                <w:lang w:eastAsia="en-AU"/>
              </w:rPr>
              <w:t xml:space="preserve"> and that on each occasion multiple readings may be required.</w:t>
            </w:r>
            <w:r w:rsidRPr="00157C9C">
              <w:rPr>
                <w:rFonts w:ascii="Arial Narrow" w:hAnsi="Arial Narrow" w:cs="Calibri"/>
                <w:snapToGrid/>
                <w:sz w:val="20"/>
                <w:szCs w:val="20"/>
                <w:lang w:eastAsia="en-AU"/>
              </w:rPr>
              <w:t xml:space="preserve"> </w:t>
            </w:r>
          </w:p>
          <w:p w14:paraId="0D2472EA" w14:textId="77777777" w:rsidR="00A63686" w:rsidRPr="00157C9C" w:rsidRDefault="00A63686" w:rsidP="0047787D">
            <w:pPr>
              <w:pStyle w:val="ListParagraph"/>
              <w:widowControl w:val="0"/>
              <w:numPr>
                <w:ilvl w:val="0"/>
                <w:numId w:val="17"/>
              </w:numPr>
              <w:spacing w:after="0"/>
              <w:ind w:left="122" w:hanging="142"/>
              <w:contextualSpacing/>
              <w:jc w:val="left"/>
              <w:rPr>
                <w:rFonts w:ascii="Arial Narrow" w:hAnsi="Arial Narrow" w:cs="Calibri"/>
                <w:snapToGrid/>
                <w:sz w:val="20"/>
                <w:szCs w:val="20"/>
                <w:lang w:eastAsia="en-AU"/>
              </w:rPr>
            </w:pPr>
            <w:r w:rsidRPr="00157C9C">
              <w:rPr>
                <w:rFonts w:ascii="Arial Narrow" w:hAnsi="Arial Narrow" w:cs="Calibri"/>
                <w:snapToGrid/>
                <w:sz w:val="20"/>
                <w:szCs w:val="20"/>
                <w:lang w:eastAsia="en-AU"/>
              </w:rPr>
              <w:t>Increases in dose should not occur more frequently than once every 1-2 weeks and should be guided by the results of cortisol assessments and by the individual clinical response</w:t>
            </w:r>
            <w:r w:rsidRPr="00157C9C">
              <w:rPr>
                <w:rFonts w:ascii="Arial Narrow" w:hAnsi="Arial Narrow" w:cs="Calibri"/>
                <w:snapToGrid/>
                <w:sz w:val="20"/>
                <w:szCs w:val="20"/>
                <w:lang w:val="en-US" w:eastAsia="en-AU"/>
              </w:rPr>
              <w:t xml:space="preserve">. </w:t>
            </w:r>
          </w:p>
          <w:p w14:paraId="4A59208C" w14:textId="77777777" w:rsidR="00A63686" w:rsidRPr="00157C9C" w:rsidRDefault="00A63686" w:rsidP="00FA4D4F">
            <w:pPr>
              <w:widowControl w:val="0"/>
              <w:ind w:left="122"/>
              <w:jc w:val="left"/>
              <w:rPr>
                <w:rFonts w:ascii="Arial Narrow" w:hAnsi="Arial Narrow" w:cs="Calibri"/>
                <w:sz w:val="20"/>
                <w:szCs w:val="20"/>
                <w:lang w:eastAsia="en-AU"/>
              </w:rPr>
            </w:pPr>
          </w:p>
          <w:p w14:paraId="584274C6" w14:textId="77777777" w:rsidR="00A63686" w:rsidRPr="004C56A3" w:rsidRDefault="00A63686" w:rsidP="00FA4D4F">
            <w:pPr>
              <w:widowControl w:val="0"/>
              <w:jc w:val="left"/>
              <w:rPr>
                <w:rFonts w:ascii="Arial Narrow" w:hAnsi="Arial Narrow" w:cs="Calibri"/>
                <w:i/>
                <w:iCs/>
                <w:sz w:val="20"/>
                <w:szCs w:val="20"/>
                <w:lang w:eastAsia="en-AU"/>
              </w:rPr>
            </w:pPr>
            <w:r w:rsidRPr="00157C9C">
              <w:rPr>
                <w:rFonts w:ascii="Arial Narrow" w:hAnsi="Arial Narrow" w:cs="Calibri"/>
                <w:sz w:val="20"/>
                <w:szCs w:val="20"/>
                <w:lang w:eastAsia="en-AU"/>
              </w:rPr>
              <w:t>The above requirements would result in patients needing approximately 15-20 UFC tests at a cost of around $30.50 per test and possibly additional endocrinologist consultations.</w:t>
            </w:r>
          </w:p>
        </w:tc>
      </w:tr>
    </w:tbl>
    <w:p w14:paraId="484BB97F" w14:textId="77777777" w:rsidR="000526CA" w:rsidRPr="005613F6" w:rsidRDefault="000526CA" w:rsidP="000526CA">
      <w:pPr>
        <w:pStyle w:val="TableFooter"/>
        <w:keepNext/>
        <w:keepLines/>
        <w:rPr>
          <w:rFonts w:cs="Calibri"/>
        </w:rPr>
      </w:pPr>
      <w:r w:rsidRPr="005613F6">
        <w:rPr>
          <w:rFonts w:cs="Calibri"/>
        </w:rPr>
        <w:t xml:space="preserve">Source: </w:t>
      </w:r>
      <w:r w:rsidRPr="00CE1B37">
        <w:rPr>
          <w:rFonts w:cs="Calibri"/>
        </w:rPr>
        <w:t>Table 4.1-4, p301; Table 4.1-</w:t>
      </w:r>
      <w:r w:rsidRPr="005613F6">
        <w:rPr>
          <w:rFonts w:cs="Calibri"/>
        </w:rPr>
        <w:t>6, p302; Table 4.2-1, p305; Table 4.2-2, p306; Table 4.2-3, p306; Table 4.2-5, p307 of the submission.</w:t>
      </w:r>
    </w:p>
    <w:p w14:paraId="1C18193A" w14:textId="600F2DC3" w:rsidR="000526CA" w:rsidRDefault="000526CA" w:rsidP="000526CA">
      <w:pPr>
        <w:pStyle w:val="FooterTableFigure"/>
        <w:rPr>
          <w:rFonts w:cs="Calibri"/>
        </w:rPr>
      </w:pPr>
      <w:r w:rsidRPr="005613F6">
        <w:rPr>
          <w:rFonts w:cs="Calibri"/>
        </w:rPr>
        <w:t>ACTH = adrenocorticotropic hormone; CD = Cushing’s disease; CS = Cushing’s syndrome</w:t>
      </w:r>
    </w:p>
    <w:p w14:paraId="638C829C" w14:textId="77777777" w:rsidR="000526CA" w:rsidRPr="008A7FC0" w:rsidRDefault="000526CA" w:rsidP="000526CA">
      <w:pPr>
        <w:pStyle w:val="3-BodyText"/>
      </w:pPr>
      <w:r>
        <w:t>The estimated patient numbers, prescription numbers and costs for the PBS/RPBS listing of osilodrostat are provided below</w:t>
      </w:r>
      <w:r w:rsidRPr="00196986">
        <w:rPr>
          <w:i/>
        </w:rPr>
        <w:t>.</w:t>
      </w:r>
    </w:p>
    <w:p w14:paraId="207B91E3" w14:textId="3F83FA4E" w:rsidR="000526CA" w:rsidRPr="00606FBA" w:rsidRDefault="000526CA" w:rsidP="000526CA">
      <w:pPr>
        <w:pStyle w:val="Caption"/>
      </w:pPr>
      <w:bookmarkStart w:id="48" w:name="_Ref104805295"/>
      <w:r>
        <w:t xml:space="preserve">Table </w:t>
      </w:r>
      <w:fldSimple w:instr=" SEQ Table \* ARABIC ">
        <w:r w:rsidR="00A9220E">
          <w:rPr>
            <w:noProof/>
          </w:rPr>
          <w:t>20</w:t>
        </w:r>
      </w:fldSimple>
      <w:bookmarkEnd w:id="48"/>
      <w:r>
        <w:t>:</w:t>
      </w:r>
      <w:r w:rsidRPr="00606FB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0526CA" w:rsidRPr="00D1078F" w14:paraId="32C87390" w14:textId="77777777" w:rsidTr="007D5757">
        <w:trPr>
          <w:tblHeader/>
        </w:trPr>
        <w:tc>
          <w:tcPr>
            <w:tcW w:w="1334" w:type="pct"/>
            <w:shd w:val="clear" w:color="auto" w:fill="auto"/>
            <w:vAlign w:val="center"/>
          </w:tcPr>
          <w:p w14:paraId="3F986491" w14:textId="77777777" w:rsidR="000526CA" w:rsidRPr="003639A6" w:rsidRDefault="000526CA" w:rsidP="007D5757">
            <w:pPr>
              <w:pStyle w:val="In-tableHeading"/>
              <w:tabs>
                <w:tab w:val="left" w:pos="102"/>
              </w:tabs>
              <w:jc w:val="center"/>
            </w:pPr>
          </w:p>
        </w:tc>
        <w:tc>
          <w:tcPr>
            <w:tcW w:w="611" w:type="pct"/>
            <w:shd w:val="clear" w:color="auto" w:fill="auto"/>
            <w:vAlign w:val="center"/>
          </w:tcPr>
          <w:p w14:paraId="5456E3DE" w14:textId="77777777" w:rsidR="000526CA" w:rsidRPr="00D1078F" w:rsidRDefault="000526CA" w:rsidP="007D5757">
            <w:pPr>
              <w:pStyle w:val="In-tableHeading"/>
              <w:jc w:val="center"/>
            </w:pPr>
            <w:r w:rsidRPr="00D1078F">
              <w:t>Year 1</w:t>
            </w:r>
          </w:p>
        </w:tc>
        <w:tc>
          <w:tcPr>
            <w:tcW w:w="611" w:type="pct"/>
            <w:shd w:val="clear" w:color="auto" w:fill="auto"/>
            <w:vAlign w:val="center"/>
          </w:tcPr>
          <w:p w14:paraId="2470A9A5" w14:textId="77777777" w:rsidR="000526CA" w:rsidRPr="00D1078F" w:rsidRDefault="000526CA" w:rsidP="007D5757">
            <w:pPr>
              <w:pStyle w:val="In-tableHeading"/>
              <w:jc w:val="center"/>
            </w:pPr>
            <w:r w:rsidRPr="00D1078F">
              <w:t>Year 2</w:t>
            </w:r>
          </w:p>
        </w:tc>
        <w:tc>
          <w:tcPr>
            <w:tcW w:w="611" w:type="pct"/>
            <w:shd w:val="clear" w:color="auto" w:fill="auto"/>
            <w:vAlign w:val="center"/>
          </w:tcPr>
          <w:p w14:paraId="1128EB4C" w14:textId="77777777" w:rsidR="000526CA" w:rsidRPr="00D1078F" w:rsidRDefault="000526CA" w:rsidP="007D5757">
            <w:pPr>
              <w:pStyle w:val="In-tableHeading"/>
              <w:jc w:val="center"/>
            </w:pPr>
            <w:r w:rsidRPr="00D1078F">
              <w:t>Year 3</w:t>
            </w:r>
          </w:p>
        </w:tc>
        <w:tc>
          <w:tcPr>
            <w:tcW w:w="611" w:type="pct"/>
            <w:shd w:val="clear" w:color="auto" w:fill="auto"/>
            <w:vAlign w:val="center"/>
          </w:tcPr>
          <w:p w14:paraId="69D7799B" w14:textId="77777777" w:rsidR="000526CA" w:rsidRPr="00D1078F" w:rsidRDefault="000526CA" w:rsidP="007D5757">
            <w:pPr>
              <w:pStyle w:val="In-tableHeading"/>
              <w:jc w:val="center"/>
            </w:pPr>
            <w:r w:rsidRPr="00D1078F">
              <w:t>Year 4</w:t>
            </w:r>
          </w:p>
        </w:tc>
        <w:tc>
          <w:tcPr>
            <w:tcW w:w="611" w:type="pct"/>
            <w:shd w:val="clear" w:color="auto" w:fill="auto"/>
            <w:vAlign w:val="center"/>
          </w:tcPr>
          <w:p w14:paraId="0A611597" w14:textId="77777777" w:rsidR="000526CA" w:rsidRPr="00D1078F" w:rsidRDefault="000526CA" w:rsidP="007D5757">
            <w:pPr>
              <w:pStyle w:val="In-tableHeading"/>
              <w:jc w:val="center"/>
            </w:pPr>
            <w:r w:rsidRPr="00D1078F">
              <w:t>Year 5</w:t>
            </w:r>
          </w:p>
        </w:tc>
        <w:tc>
          <w:tcPr>
            <w:tcW w:w="611" w:type="pct"/>
          </w:tcPr>
          <w:p w14:paraId="4985F302" w14:textId="77777777" w:rsidR="000526CA" w:rsidRPr="00D1078F" w:rsidRDefault="000526CA" w:rsidP="007D5757">
            <w:pPr>
              <w:pStyle w:val="In-tableHeading"/>
              <w:jc w:val="center"/>
            </w:pPr>
            <w:r w:rsidRPr="00D1078F">
              <w:t>Year 6</w:t>
            </w:r>
          </w:p>
        </w:tc>
      </w:tr>
      <w:tr w:rsidR="000526CA" w:rsidRPr="00D1078F" w14:paraId="3846B7FA" w14:textId="77777777" w:rsidTr="007D5757">
        <w:tc>
          <w:tcPr>
            <w:tcW w:w="5000" w:type="pct"/>
            <w:gridSpan w:val="7"/>
            <w:shd w:val="clear" w:color="auto" w:fill="auto"/>
            <w:vAlign w:val="center"/>
          </w:tcPr>
          <w:p w14:paraId="4F061B00" w14:textId="77777777" w:rsidR="000526CA" w:rsidRPr="00D1078F" w:rsidRDefault="000526CA" w:rsidP="007D5757">
            <w:pPr>
              <w:pStyle w:val="In-tableHeading"/>
              <w:tabs>
                <w:tab w:val="left" w:pos="102"/>
              </w:tabs>
              <w:rPr>
                <w:bCs/>
                <w:color w:val="000000"/>
              </w:rPr>
            </w:pPr>
            <w:r w:rsidRPr="00D1078F">
              <w:rPr>
                <w:bCs/>
                <w:color w:val="000000"/>
              </w:rPr>
              <w:t>Estimated extent of use</w:t>
            </w:r>
            <w:r w:rsidRPr="00987DFF">
              <w:rPr>
                <w:bCs/>
                <w:color w:val="000000"/>
                <w:vertAlign w:val="superscript"/>
              </w:rPr>
              <w:t>a</w:t>
            </w:r>
          </w:p>
        </w:tc>
      </w:tr>
      <w:tr w:rsidR="000526CA" w:rsidRPr="003639A6" w14:paraId="6948FF00" w14:textId="77777777" w:rsidTr="007D5757">
        <w:tc>
          <w:tcPr>
            <w:tcW w:w="1334" w:type="pct"/>
            <w:shd w:val="clear" w:color="auto" w:fill="auto"/>
          </w:tcPr>
          <w:p w14:paraId="0C0CB7A8" w14:textId="77777777" w:rsidR="000526CA" w:rsidRPr="00C9513D" w:rsidRDefault="000526CA" w:rsidP="007D5757">
            <w:pPr>
              <w:pStyle w:val="TableText0"/>
              <w:tabs>
                <w:tab w:val="left" w:pos="102"/>
              </w:tabs>
              <w:rPr>
                <w:rFonts w:ascii="Times" w:hAnsi="Times"/>
              </w:rPr>
            </w:pPr>
            <w:r w:rsidRPr="00C9513D">
              <w:rPr>
                <w:rFonts w:cs="Calibri"/>
                <w:szCs w:val="20"/>
              </w:rPr>
              <w:tab/>
              <w:t>Initiating patients</w:t>
            </w:r>
          </w:p>
        </w:tc>
        <w:tc>
          <w:tcPr>
            <w:tcW w:w="611" w:type="pct"/>
            <w:shd w:val="clear" w:color="auto" w:fill="auto"/>
            <w:vAlign w:val="center"/>
          </w:tcPr>
          <w:p w14:paraId="5EEE6698" w14:textId="6CFF590E" w:rsidR="000526CA" w:rsidRPr="00C67D59" w:rsidRDefault="00E228B8" w:rsidP="007D5757">
            <w:pPr>
              <w:pStyle w:val="TableText0"/>
              <w:jc w:val="center"/>
              <w:rPr>
                <w:color w:val="000000"/>
                <w:vertAlign w:val="superscript"/>
              </w:rPr>
            </w:pPr>
            <w:r w:rsidRPr="00E228B8">
              <w:rPr>
                <w:rFonts w:cs="Calibri"/>
                <w:color w:val="000000"/>
                <w:spacing w:val="156"/>
                <w:szCs w:val="20"/>
                <w:shd w:val="solid" w:color="000000" w:fill="000000"/>
                <w:fitText w:val="242" w:id="-1234458361"/>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1"/>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7AE2C8C1" w14:textId="7E996AE6"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0"/>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0"/>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693C97C3" w14:textId="5639E59B"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9"/>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9"/>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5496F339" w14:textId="4DC9FAF8" w:rsidR="000526CA" w:rsidRPr="00C9513D" w:rsidRDefault="00E228B8" w:rsidP="007D5757">
            <w:pPr>
              <w:pStyle w:val="TableText0"/>
              <w:jc w:val="center"/>
              <w:rPr>
                <w:color w:val="000000"/>
              </w:rPr>
            </w:pPr>
            <w:r w:rsidRPr="00E228B8">
              <w:rPr>
                <w:rFonts w:cs="Calibri"/>
                <w:color w:val="000000"/>
                <w:spacing w:val="155"/>
                <w:szCs w:val="20"/>
                <w:shd w:val="solid" w:color="000000" w:fill="000000"/>
                <w:fitText w:val="241" w:id="-1234458358"/>
                <w14:textFill>
                  <w14:solidFill>
                    <w14:srgbClr w14:val="000000">
                      <w14:alpha w14:val="100000"/>
                    </w14:srgbClr>
                  </w14:solidFill>
                </w14:textFill>
              </w:rPr>
              <w:t>|</w:t>
            </w:r>
            <w:r w:rsidRPr="00E228B8">
              <w:rPr>
                <w:rFonts w:cs="Calibri"/>
                <w:color w:val="000000"/>
                <w:spacing w:val="1"/>
                <w:szCs w:val="20"/>
                <w:shd w:val="solid" w:color="000000" w:fill="000000"/>
                <w:fitText w:val="241" w:id="-1234458358"/>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3DFDB450" w14:textId="282444D4"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7"/>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7"/>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vAlign w:val="center"/>
          </w:tcPr>
          <w:p w14:paraId="48FB3C66" w14:textId="677F55A4"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6"/>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6"/>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r>
      <w:tr w:rsidR="000526CA" w:rsidRPr="003639A6" w14:paraId="6D1C38F9" w14:textId="77777777" w:rsidTr="007D5757">
        <w:tc>
          <w:tcPr>
            <w:tcW w:w="1334" w:type="pct"/>
            <w:shd w:val="clear" w:color="auto" w:fill="auto"/>
          </w:tcPr>
          <w:p w14:paraId="306B9D0F" w14:textId="77777777" w:rsidR="000526CA" w:rsidRPr="00C9513D" w:rsidRDefault="000526CA" w:rsidP="007D5757">
            <w:pPr>
              <w:pStyle w:val="TableText0"/>
              <w:tabs>
                <w:tab w:val="left" w:pos="102"/>
              </w:tabs>
            </w:pPr>
            <w:r w:rsidRPr="00C9513D">
              <w:rPr>
                <w:rFonts w:cs="Calibri"/>
                <w:szCs w:val="20"/>
              </w:rPr>
              <w:tab/>
              <w:t>Continuing patients (77.1%</w:t>
            </w:r>
            <w:r>
              <w:rPr>
                <w:rFonts w:cs="Calibri"/>
                <w:szCs w:val="20"/>
                <w:vertAlign w:val="superscript"/>
              </w:rPr>
              <w:t>b</w:t>
            </w:r>
            <w:r w:rsidRPr="00C9513D">
              <w:rPr>
                <w:rFonts w:cs="Calibri"/>
                <w:szCs w:val="20"/>
              </w:rPr>
              <w:t>)</w:t>
            </w:r>
          </w:p>
        </w:tc>
        <w:tc>
          <w:tcPr>
            <w:tcW w:w="611" w:type="pct"/>
            <w:shd w:val="clear" w:color="auto" w:fill="auto"/>
            <w:vAlign w:val="center"/>
          </w:tcPr>
          <w:p w14:paraId="2B751E2B" w14:textId="799389C2"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5"/>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5"/>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471329AB" w14:textId="66018048"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4"/>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4"/>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45325AFD" w14:textId="554E1C5A"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53"/>
                <w14:textFill>
                  <w14:solidFill>
                    <w14:srgbClr w14:val="000000">
                      <w14:alpha w14:val="100000"/>
                    </w14:srgbClr>
                  </w14:solidFill>
                </w14:textFill>
              </w:rPr>
              <w:t>|</w:t>
            </w:r>
            <w:r w:rsidRPr="00E228B8">
              <w:rPr>
                <w:rFonts w:cs="Calibri"/>
                <w:color w:val="000000"/>
                <w:spacing w:val="1"/>
                <w:szCs w:val="20"/>
                <w:shd w:val="solid" w:color="000000" w:fill="000000"/>
                <w:fitText w:val="242" w:id="-1234458353"/>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37D97BE5" w14:textId="15CC2FB6" w:rsidR="000526CA" w:rsidRPr="00C9513D" w:rsidRDefault="00E228B8" w:rsidP="007D5757">
            <w:pPr>
              <w:pStyle w:val="TableText0"/>
              <w:jc w:val="center"/>
              <w:rPr>
                <w:color w:val="000000"/>
              </w:rPr>
            </w:pPr>
            <w:r w:rsidRPr="00E228B8">
              <w:rPr>
                <w:rFonts w:cs="Calibri"/>
                <w:color w:val="000000"/>
                <w:spacing w:val="155"/>
                <w:szCs w:val="20"/>
                <w:shd w:val="solid" w:color="000000" w:fill="000000"/>
                <w:fitText w:val="241" w:id="-1234458352"/>
                <w14:textFill>
                  <w14:solidFill>
                    <w14:srgbClr w14:val="000000">
                      <w14:alpha w14:val="100000"/>
                    </w14:srgbClr>
                  </w14:solidFill>
                </w14:textFill>
              </w:rPr>
              <w:t>|</w:t>
            </w:r>
            <w:r w:rsidRPr="00E228B8">
              <w:rPr>
                <w:rFonts w:cs="Calibri"/>
                <w:color w:val="000000"/>
                <w:spacing w:val="1"/>
                <w:szCs w:val="20"/>
                <w:shd w:val="solid" w:color="000000" w:fill="000000"/>
                <w:fitText w:val="241" w:id="-1234458352"/>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shd w:val="clear" w:color="auto" w:fill="auto"/>
            <w:vAlign w:val="center"/>
          </w:tcPr>
          <w:p w14:paraId="2D72CDD2" w14:textId="53241FD8"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8"/>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8"/>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c>
          <w:tcPr>
            <w:tcW w:w="611" w:type="pct"/>
            <w:vAlign w:val="center"/>
          </w:tcPr>
          <w:p w14:paraId="284EABA9" w14:textId="2CA895DE"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7"/>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7"/>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1</w:t>
            </w:r>
          </w:p>
        </w:tc>
      </w:tr>
      <w:tr w:rsidR="000526CA" w:rsidRPr="003639A6" w14:paraId="004366EC" w14:textId="77777777" w:rsidTr="007D5757">
        <w:tc>
          <w:tcPr>
            <w:tcW w:w="1334" w:type="pct"/>
            <w:shd w:val="clear" w:color="auto" w:fill="auto"/>
            <w:vAlign w:val="center"/>
          </w:tcPr>
          <w:p w14:paraId="6EC2ACB4" w14:textId="77777777" w:rsidR="000526CA" w:rsidRPr="003639A6" w:rsidRDefault="000526CA" w:rsidP="007D5757">
            <w:pPr>
              <w:pStyle w:val="TableText0"/>
              <w:tabs>
                <w:tab w:val="left" w:pos="102"/>
              </w:tabs>
              <w:rPr>
                <w:rFonts w:ascii="Times" w:hAnsi="Times"/>
              </w:rPr>
            </w:pPr>
            <w:r w:rsidRPr="003639A6">
              <w:t xml:space="preserve">Number of </w:t>
            </w:r>
            <w:r>
              <w:t>scripts</w:t>
            </w:r>
            <w:r w:rsidRPr="003639A6">
              <w:t xml:space="preserve"> dispensed</w:t>
            </w:r>
            <w:r>
              <w:rPr>
                <w:vertAlign w:val="superscript"/>
              </w:rPr>
              <w:t>c</w:t>
            </w:r>
          </w:p>
        </w:tc>
        <w:tc>
          <w:tcPr>
            <w:tcW w:w="611" w:type="pct"/>
            <w:shd w:val="clear" w:color="auto" w:fill="auto"/>
            <w:vAlign w:val="center"/>
          </w:tcPr>
          <w:p w14:paraId="3D686628" w14:textId="6FE7A14B" w:rsidR="000526CA" w:rsidRPr="00C67D59" w:rsidRDefault="00E228B8" w:rsidP="007D5757">
            <w:pPr>
              <w:pStyle w:val="TableText0"/>
              <w:jc w:val="center"/>
              <w:rPr>
                <w:color w:val="000000"/>
                <w:vertAlign w:val="superscript"/>
              </w:rPr>
            </w:pPr>
            <w:r w:rsidRPr="00E228B8">
              <w:rPr>
                <w:rFonts w:cs="Calibri"/>
                <w:color w:val="000000"/>
                <w:spacing w:val="156"/>
                <w:szCs w:val="20"/>
                <w:shd w:val="solid" w:color="000000" w:fill="000000"/>
                <w:fitText w:val="242" w:id="-1234458366"/>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6"/>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c>
          <w:tcPr>
            <w:tcW w:w="611" w:type="pct"/>
            <w:shd w:val="clear" w:color="auto" w:fill="auto"/>
            <w:vAlign w:val="center"/>
          </w:tcPr>
          <w:p w14:paraId="6923F49B" w14:textId="3D2F1841"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5"/>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5"/>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c>
          <w:tcPr>
            <w:tcW w:w="611" w:type="pct"/>
            <w:shd w:val="clear" w:color="auto" w:fill="auto"/>
            <w:vAlign w:val="center"/>
          </w:tcPr>
          <w:p w14:paraId="236BC39D" w14:textId="5A36CE6D"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4"/>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4"/>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c>
          <w:tcPr>
            <w:tcW w:w="611" w:type="pct"/>
            <w:shd w:val="clear" w:color="auto" w:fill="auto"/>
            <w:vAlign w:val="center"/>
          </w:tcPr>
          <w:p w14:paraId="783C27B0" w14:textId="41537446" w:rsidR="000526CA" w:rsidRPr="00C9513D" w:rsidRDefault="00E228B8" w:rsidP="007D5757">
            <w:pPr>
              <w:pStyle w:val="TableText0"/>
              <w:jc w:val="center"/>
              <w:rPr>
                <w:color w:val="000000"/>
              </w:rPr>
            </w:pPr>
            <w:r w:rsidRPr="00E228B8">
              <w:rPr>
                <w:rFonts w:cs="Calibri"/>
                <w:color w:val="000000"/>
                <w:spacing w:val="155"/>
                <w:szCs w:val="20"/>
                <w:shd w:val="solid" w:color="000000" w:fill="000000"/>
                <w:fitText w:val="241" w:id="-1234458363"/>
                <w14:textFill>
                  <w14:solidFill>
                    <w14:srgbClr w14:val="000000">
                      <w14:alpha w14:val="100000"/>
                    </w14:srgbClr>
                  </w14:solidFill>
                </w14:textFill>
              </w:rPr>
              <w:t>|</w:t>
            </w:r>
            <w:r w:rsidRPr="00E228B8">
              <w:rPr>
                <w:rFonts w:cs="Calibri"/>
                <w:color w:val="000000"/>
                <w:spacing w:val="1"/>
                <w:szCs w:val="20"/>
                <w:shd w:val="solid" w:color="000000" w:fill="000000"/>
                <w:fitText w:val="241" w:id="-1234458363"/>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c>
          <w:tcPr>
            <w:tcW w:w="611" w:type="pct"/>
            <w:shd w:val="clear" w:color="auto" w:fill="auto"/>
            <w:vAlign w:val="center"/>
          </w:tcPr>
          <w:p w14:paraId="36CB79FB" w14:textId="6895F437"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2"/>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2"/>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c>
          <w:tcPr>
            <w:tcW w:w="611" w:type="pct"/>
            <w:vAlign w:val="center"/>
          </w:tcPr>
          <w:p w14:paraId="37137384" w14:textId="36688966" w:rsidR="000526CA" w:rsidRPr="00C9513D" w:rsidRDefault="00E228B8" w:rsidP="007D5757">
            <w:pPr>
              <w:pStyle w:val="TableText0"/>
              <w:jc w:val="center"/>
              <w:rPr>
                <w:color w:val="000000"/>
              </w:rPr>
            </w:pPr>
            <w:r w:rsidRPr="00E228B8">
              <w:rPr>
                <w:rFonts w:cs="Calibri"/>
                <w:color w:val="000000"/>
                <w:spacing w:val="156"/>
                <w:szCs w:val="20"/>
                <w:shd w:val="solid" w:color="000000" w:fill="000000"/>
                <w:fitText w:val="242" w:id="-1234458361"/>
                <w14:textFill>
                  <w14:solidFill>
                    <w14:srgbClr w14:val="000000">
                      <w14:alpha w14:val="100000"/>
                    </w14:srgbClr>
                  </w14:solidFill>
                </w14:textFill>
              </w:rPr>
              <w:t>|</w:t>
            </w:r>
            <w:r w:rsidRPr="00E228B8">
              <w:rPr>
                <w:rFonts w:cs="Calibri"/>
                <w:color w:val="000000"/>
                <w:spacing w:val="1"/>
                <w:szCs w:val="20"/>
                <w:shd w:val="solid" w:color="000000" w:fill="000000"/>
                <w:fitText w:val="242" w:id="-1234458361"/>
                <w14:textFill>
                  <w14:solidFill>
                    <w14:srgbClr w14:val="000000">
                      <w14:alpha w14:val="100000"/>
                    </w14:srgbClr>
                  </w14:solidFill>
                </w14:textFill>
              </w:rPr>
              <w:t>|</w:t>
            </w:r>
            <w:r w:rsidR="000526CA" w:rsidRPr="00C9513D">
              <w:rPr>
                <w:rFonts w:cs="Calibri"/>
                <w:color w:val="000000"/>
                <w:szCs w:val="20"/>
              </w:rPr>
              <w:t xml:space="preserve"> </w:t>
            </w:r>
            <w:r w:rsidR="00C67D59">
              <w:rPr>
                <w:rFonts w:cs="Calibri"/>
                <w:color w:val="000000"/>
                <w:szCs w:val="20"/>
                <w:vertAlign w:val="superscript"/>
              </w:rPr>
              <w:t>2</w:t>
            </w:r>
          </w:p>
        </w:tc>
      </w:tr>
      <w:tr w:rsidR="000526CA" w:rsidRPr="00D1078F" w14:paraId="30B45BFF" w14:textId="77777777" w:rsidTr="007D5757">
        <w:tc>
          <w:tcPr>
            <w:tcW w:w="5000" w:type="pct"/>
            <w:gridSpan w:val="7"/>
            <w:tcBorders>
              <w:bottom w:val="single" w:sz="4" w:space="0" w:color="auto"/>
            </w:tcBorders>
            <w:shd w:val="clear" w:color="auto" w:fill="auto"/>
            <w:vAlign w:val="center"/>
          </w:tcPr>
          <w:p w14:paraId="34D028A7" w14:textId="77777777" w:rsidR="000526CA" w:rsidRPr="00D1078F" w:rsidRDefault="000526CA" w:rsidP="007D5757">
            <w:pPr>
              <w:pStyle w:val="In-tableHeading"/>
              <w:tabs>
                <w:tab w:val="left" w:pos="102"/>
              </w:tabs>
            </w:pPr>
            <w:r w:rsidRPr="00D1078F">
              <w:t xml:space="preserve">Estimated </w:t>
            </w:r>
            <w:r>
              <w:t>financial implications of osilodrostat</w:t>
            </w:r>
          </w:p>
        </w:tc>
      </w:tr>
      <w:tr w:rsidR="000526CA" w:rsidRPr="003639A6" w14:paraId="4207F72E" w14:textId="77777777" w:rsidTr="007D5757">
        <w:tc>
          <w:tcPr>
            <w:tcW w:w="1334" w:type="pct"/>
            <w:shd w:val="clear" w:color="auto" w:fill="auto"/>
            <w:vAlign w:val="center"/>
          </w:tcPr>
          <w:p w14:paraId="123A18E3" w14:textId="77777777" w:rsidR="000526CA" w:rsidRPr="009675EE" w:rsidRDefault="000526CA" w:rsidP="007D5757">
            <w:pPr>
              <w:pStyle w:val="TableText0"/>
              <w:tabs>
                <w:tab w:val="left" w:pos="102"/>
              </w:tabs>
              <w:rPr>
                <w:b/>
                <w:bCs w:val="0"/>
                <w:sz w:val="19"/>
                <w:szCs w:val="19"/>
              </w:rPr>
            </w:pPr>
            <w:r w:rsidRPr="009675EE">
              <w:rPr>
                <w:b/>
                <w:bCs w:val="0"/>
                <w:sz w:val="19"/>
                <w:szCs w:val="19"/>
              </w:rPr>
              <w:t>Cost to PBS/RPBS less copayments</w:t>
            </w:r>
            <w:r>
              <w:rPr>
                <w:b/>
                <w:bCs w:val="0"/>
                <w:sz w:val="19"/>
                <w:szCs w:val="19"/>
                <w:vertAlign w:val="superscript"/>
              </w:rPr>
              <w:t>d</w:t>
            </w:r>
          </w:p>
        </w:tc>
        <w:tc>
          <w:tcPr>
            <w:tcW w:w="611" w:type="pct"/>
            <w:shd w:val="clear" w:color="auto" w:fill="auto"/>
            <w:vAlign w:val="center"/>
          </w:tcPr>
          <w:p w14:paraId="59D9685F" w14:textId="033B8A3C" w:rsidR="000526CA" w:rsidRPr="00C67D59" w:rsidRDefault="00E228B8" w:rsidP="007D5757">
            <w:pPr>
              <w:pStyle w:val="TableText0"/>
              <w:jc w:val="center"/>
              <w:rPr>
                <w:vertAlign w:val="superscript"/>
              </w:rPr>
            </w:pPr>
            <w:r w:rsidRPr="00E228B8">
              <w:rPr>
                <w:rFonts w:cs="Calibri"/>
                <w:b/>
                <w:bCs w:val="0"/>
                <w:color w:val="000000"/>
                <w:spacing w:val="42"/>
                <w:szCs w:val="20"/>
                <w:shd w:val="solid" w:color="000000" w:fill="000000"/>
                <w:fitText w:val="311" w:id="-1234458360"/>
                <w14:textFill>
                  <w14:solidFill>
                    <w14:srgbClr w14:val="000000">
                      <w14:alpha w14:val="100000"/>
                    </w14:srgbClr>
                  </w14:solidFill>
                </w14:textFill>
              </w:rPr>
              <w:t>|||</w:t>
            </w:r>
            <w:r w:rsidRPr="00E228B8">
              <w:rPr>
                <w:rFonts w:cs="Calibri"/>
                <w:b/>
                <w:bCs w:val="0"/>
                <w:color w:val="000000"/>
                <w:spacing w:val="2"/>
                <w:szCs w:val="20"/>
                <w:shd w:val="solid" w:color="000000" w:fill="000000"/>
                <w:fitText w:val="311" w:id="-1234458360"/>
                <w14:textFill>
                  <w14:solidFill>
                    <w14:srgbClr w14:val="000000">
                      <w14:alpha w14:val="100000"/>
                    </w14:srgbClr>
                  </w14:solidFill>
                </w14:textFill>
              </w:rPr>
              <w:t>|</w:t>
            </w:r>
            <w:r w:rsidR="00C67D59">
              <w:rPr>
                <w:rFonts w:cs="Calibri"/>
                <w:b/>
                <w:bCs w:val="0"/>
                <w:color w:val="000000"/>
                <w:szCs w:val="20"/>
              </w:rPr>
              <w:t xml:space="preserve"> </w:t>
            </w:r>
            <w:r w:rsidR="00C67D59">
              <w:rPr>
                <w:rFonts w:cs="Calibri"/>
                <w:b/>
                <w:bCs w:val="0"/>
                <w:color w:val="000000"/>
                <w:szCs w:val="20"/>
                <w:vertAlign w:val="superscript"/>
              </w:rPr>
              <w:t>3</w:t>
            </w:r>
          </w:p>
        </w:tc>
        <w:tc>
          <w:tcPr>
            <w:tcW w:w="611" w:type="pct"/>
            <w:shd w:val="clear" w:color="auto" w:fill="auto"/>
            <w:vAlign w:val="center"/>
          </w:tcPr>
          <w:p w14:paraId="0485EF4A" w14:textId="2562C3AC" w:rsidR="000526CA" w:rsidRPr="003639A6" w:rsidRDefault="00E228B8" w:rsidP="007D5757">
            <w:pPr>
              <w:pStyle w:val="TableText0"/>
              <w:jc w:val="center"/>
            </w:pPr>
            <w:r w:rsidRPr="00E228B8">
              <w:rPr>
                <w:rFonts w:cs="Calibri"/>
                <w:b/>
                <w:bCs w:val="0"/>
                <w:color w:val="000000"/>
                <w:spacing w:val="42"/>
                <w:szCs w:val="20"/>
                <w:shd w:val="solid" w:color="000000" w:fill="000000"/>
                <w:fitText w:val="311" w:id="-1234458359"/>
                <w14:textFill>
                  <w14:solidFill>
                    <w14:srgbClr w14:val="000000">
                      <w14:alpha w14:val="100000"/>
                    </w14:srgbClr>
                  </w14:solidFill>
                </w14:textFill>
              </w:rPr>
              <w:t>|||</w:t>
            </w:r>
            <w:r w:rsidRPr="00E228B8">
              <w:rPr>
                <w:rFonts w:cs="Calibri"/>
                <w:b/>
                <w:bCs w:val="0"/>
                <w:color w:val="000000"/>
                <w:spacing w:val="2"/>
                <w:szCs w:val="20"/>
                <w:shd w:val="solid" w:color="000000" w:fill="000000"/>
                <w:fitText w:val="311" w:id="-1234458359"/>
                <w14:textFill>
                  <w14:solidFill>
                    <w14:srgbClr w14:val="000000">
                      <w14:alpha w14:val="100000"/>
                    </w14:srgbClr>
                  </w14:solidFill>
                </w14:textFill>
              </w:rPr>
              <w:t>|</w:t>
            </w:r>
            <w:r w:rsidR="00C67D59">
              <w:rPr>
                <w:rFonts w:cs="Calibri"/>
                <w:b/>
                <w:bCs w:val="0"/>
                <w:color w:val="000000"/>
                <w:szCs w:val="20"/>
              </w:rPr>
              <w:t xml:space="preserve"> </w:t>
            </w:r>
            <w:r w:rsidR="00C67D59">
              <w:rPr>
                <w:rFonts w:cs="Calibri"/>
                <w:b/>
                <w:bCs w:val="0"/>
                <w:color w:val="000000"/>
                <w:szCs w:val="20"/>
                <w:vertAlign w:val="superscript"/>
              </w:rPr>
              <w:t>4</w:t>
            </w:r>
          </w:p>
        </w:tc>
        <w:tc>
          <w:tcPr>
            <w:tcW w:w="611" w:type="pct"/>
            <w:shd w:val="clear" w:color="auto" w:fill="auto"/>
            <w:vAlign w:val="center"/>
          </w:tcPr>
          <w:p w14:paraId="21399724" w14:textId="62E7AE05" w:rsidR="000526CA" w:rsidRPr="003639A6" w:rsidRDefault="00E228B8" w:rsidP="007D5757">
            <w:pPr>
              <w:pStyle w:val="TableText0"/>
              <w:jc w:val="center"/>
            </w:pPr>
            <w:r w:rsidRPr="00E228B8">
              <w:rPr>
                <w:rFonts w:cs="Calibri"/>
                <w:b/>
                <w:bCs w:val="0"/>
                <w:color w:val="000000"/>
                <w:spacing w:val="42"/>
                <w:szCs w:val="20"/>
                <w:shd w:val="solid" w:color="000000" w:fill="000000"/>
                <w:fitText w:val="311" w:id="-1234458358"/>
                <w14:textFill>
                  <w14:solidFill>
                    <w14:srgbClr w14:val="000000">
                      <w14:alpha w14:val="100000"/>
                    </w14:srgbClr>
                  </w14:solidFill>
                </w14:textFill>
              </w:rPr>
              <w:t>|||</w:t>
            </w:r>
            <w:r w:rsidRPr="00E228B8">
              <w:rPr>
                <w:rFonts w:cs="Calibri"/>
                <w:b/>
                <w:bCs w:val="0"/>
                <w:color w:val="000000"/>
                <w:spacing w:val="2"/>
                <w:szCs w:val="20"/>
                <w:shd w:val="solid" w:color="000000" w:fill="000000"/>
                <w:fitText w:val="311" w:id="-1234458358"/>
                <w14:textFill>
                  <w14:solidFill>
                    <w14:srgbClr w14:val="000000">
                      <w14:alpha w14:val="100000"/>
                    </w14:srgbClr>
                  </w14:solidFill>
                </w14:textFill>
              </w:rPr>
              <w:t>|</w:t>
            </w:r>
            <w:r w:rsidR="00C67D59">
              <w:rPr>
                <w:rFonts w:cs="Calibri"/>
                <w:b/>
                <w:bCs w:val="0"/>
                <w:color w:val="000000"/>
                <w:szCs w:val="20"/>
              </w:rPr>
              <w:t xml:space="preserve"> </w:t>
            </w:r>
            <w:r w:rsidR="00C67D59" w:rsidRPr="00C67D59">
              <w:rPr>
                <w:rFonts w:cs="Calibri"/>
                <w:b/>
                <w:bCs w:val="0"/>
                <w:color w:val="000000"/>
                <w:szCs w:val="20"/>
                <w:vertAlign w:val="superscript"/>
              </w:rPr>
              <w:t>5</w:t>
            </w:r>
          </w:p>
        </w:tc>
        <w:tc>
          <w:tcPr>
            <w:tcW w:w="611" w:type="pct"/>
            <w:shd w:val="clear" w:color="auto" w:fill="auto"/>
            <w:vAlign w:val="center"/>
          </w:tcPr>
          <w:p w14:paraId="39680ED4" w14:textId="58AE1056" w:rsidR="000526CA" w:rsidRPr="003639A6" w:rsidRDefault="00E228B8" w:rsidP="007D5757">
            <w:pPr>
              <w:pStyle w:val="TableText0"/>
              <w:jc w:val="center"/>
            </w:pPr>
            <w:r w:rsidRPr="00E228B8">
              <w:rPr>
                <w:rFonts w:cs="Calibri"/>
                <w:b/>
                <w:bCs w:val="0"/>
                <w:color w:val="000000"/>
                <w:spacing w:val="42"/>
                <w:szCs w:val="20"/>
                <w:shd w:val="solid" w:color="000000" w:fill="000000"/>
                <w:fitText w:val="312" w:id="-1234458357"/>
                <w14:textFill>
                  <w14:solidFill>
                    <w14:srgbClr w14:val="000000">
                      <w14:alpha w14:val="100000"/>
                    </w14:srgbClr>
                  </w14:solidFill>
                </w14:textFill>
              </w:rPr>
              <w:t>|||</w:t>
            </w:r>
            <w:r w:rsidRPr="00E228B8">
              <w:rPr>
                <w:rFonts w:cs="Calibri"/>
                <w:b/>
                <w:bCs w:val="0"/>
                <w:color w:val="000000"/>
                <w:spacing w:val="3"/>
                <w:szCs w:val="20"/>
                <w:shd w:val="solid" w:color="000000" w:fill="000000"/>
                <w:fitText w:val="312" w:id="-1234458357"/>
                <w14:textFill>
                  <w14:solidFill>
                    <w14:srgbClr w14:val="000000">
                      <w14:alpha w14:val="100000"/>
                    </w14:srgbClr>
                  </w14:solidFill>
                </w14:textFill>
              </w:rPr>
              <w:t>|</w:t>
            </w:r>
            <w:r w:rsidR="00C67D59">
              <w:rPr>
                <w:rFonts w:cs="Calibri"/>
                <w:b/>
                <w:bCs w:val="0"/>
                <w:color w:val="000000"/>
                <w:szCs w:val="20"/>
              </w:rPr>
              <w:t xml:space="preserve"> </w:t>
            </w:r>
            <w:r w:rsidR="00C67D59">
              <w:rPr>
                <w:rFonts w:cs="Calibri"/>
                <w:b/>
                <w:bCs w:val="0"/>
                <w:color w:val="000000"/>
                <w:szCs w:val="20"/>
                <w:vertAlign w:val="superscript"/>
              </w:rPr>
              <w:t>4</w:t>
            </w:r>
          </w:p>
        </w:tc>
        <w:tc>
          <w:tcPr>
            <w:tcW w:w="611" w:type="pct"/>
            <w:shd w:val="clear" w:color="auto" w:fill="auto"/>
            <w:vAlign w:val="center"/>
          </w:tcPr>
          <w:p w14:paraId="680DB12E" w14:textId="29F0605C" w:rsidR="000526CA" w:rsidRPr="003639A6" w:rsidRDefault="00E228B8" w:rsidP="007D5757">
            <w:pPr>
              <w:pStyle w:val="TableText0"/>
              <w:jc w:val="center"/>
            </w:pPr>
            <w:r w:rsidRPr="00E228B8">
              <w:rPr>
                <w:rFonts w:cs="Calibri"/>
                <w:b/>
                <w:bCs w:val="0"/>
                <w:color w:val="000000"/>
                <w:spacing w:val="42"/>
                <w:szCs w:val="20"/>
                <w:shd w:val="solid" w:color="000000" w:fill="000000"/>
                <w:fitText w:val="311" w:id="-1234458356"/>
                <w14:textFill>
                  <w14:solidFill>
                    <w14:srgbClr w14:val="000000">
                      <w14:alpha w14:val="100000"/>
                    </w14:srgbClr>
                  </w14:solidFill>
                </w14:textFill>
              </w:rPr>
              <w:t>|||</w:t>
            </w:r>
            <w:r w:rsidRPr="00E228B8">
              <w:rPr>
                <w:rFonts w:cs="Calibri"/>
                <w:b/>
                <w:bCs w:val="0"/>
                <w:color w:val="000000"/>
                <w:spacing w:val="2"/>
                <w:szCs w:val="20"/>
                <w:shd w:val="solid" w:color="000000" w:fill="000000"/>
                <w:fitText w:val="311" w:id="-1234458356"/>
                <w14:textFill>
                  <w14:solidFill>
                    <w14:srgbClr w14:val="000000">
                      <w14:alpha w14:val="100000"/>
                    </w14:srgbClr>
                  </w14:solidFill>
                </w14:textFill>
              </w:rPr>
              <w:t>|</w:t>
            </w:r>
            <w:r w:rsidR="00C67D59">
              <w:rPr>
                <w:rFonts w:cs="Calibri"/>
                <w:b/>
                <w:bCs w:val="0"/>
                <w:color w:val="000000"/>
                <w:szCs w:val="20"/>
              </w:rPr>
              <w:t xml:space="preserve"> </w:t>
            </w:r>
            <w:r w:rsidR="00C67D59">
              <w:rPr>
                <w:rFonts w:cs="Calibri"/>
                <w:b/>
                <w:bCs w:val="0"/>
                <w:color w:val="000000"/>
                <w:szCs w:val="20"/>
                <w:vertAlign w:val="superscript"/>
              </w:rPr>
              <w:t>4</w:t>
            </w:r>
          </w:p>
        </w:tc>
        <w:tc>
          <w:tcPr>
            <w:tcW w:w="611" w:type="pct"/>
            <w:vAlign w:val="center"/>
          </w:tcPr>
          <w:p w14:paraId="70532D91" w14:textId="13D33E16" w:rsidR="000526CA" w:rsidRPr="003639A6" w:rsidRDefault="00E228B8" w:rsidP="007D5757">
            <w:pPr>
              <w:pStyle w:val="TableText0"/>
              <w:jc w:val="center"/>
            </w:pPr>
            <w:r w:rsidRPr="00E228B8">
              <w:rPr>
                <w:rFonts w:cs="Calibri"/>
                <w:b/>
                <w:bCs w:val="0"/>
                <w:color w:val="000000"/>
                <w:spacing w:val="42"/>
                <w:szCs w:val="20"/>
                <w:shd w:val="solid" w:color="000000" w:fill="000000"/>
                <w:fitText w:val="311" w:id="-1234458355"/>
                <w14:textFill>
                  <w14:solidFill>
                    <w14:srgbClr w14:val="000000">
                      <w14:alpha w14:val="100000"/>
                    </w14:srgbClr>
                  </w14:solidFill>
                </w14:textFill>
              </w:rPr>
              <w:t>|||</w:t>
            </w:r>
            <w:r w:rsidRPr="00E228B8">
              <w:rPr>
                <w:rFonts w:cs="Calibri"/>
                <w:b/>
                <w:bCs w:val="0"/>
                <w:color w:val="000000"/>
                <w:spacing w:val="2"/>
                <w:szCs w:val="20"/>
                <w:shd w:val="solid" w:color="000000" w:fill="000000"/>
                <w:fitText w:val="311" w:id="-1234458355"/>
                <w14:textFill>
                  <w14:solidFill>
                    <w14:srgbClr w14:val="000000">
                      <w14:alpha w14:val="100000"/>
                    </w14:srgbClr>
                  </w14:solidFill>
                </w14:textFill>
              </w:rPr>
              <w:t>|</w:t>
            </w:r>
            <w:r w:rsidR="00C67D59">
              <w:rPr>
                <w:rFonts w:cs="Calibri"/>
                <w:b/>
                <w:bCs w:val="0"/>
                <w:color w:val="000000"/>
                <w:szCs w:val="20"/>
              </w:rPr>
              <w:t xml:space="preserve"> </w:t>
            </w:r>
            <w:r w:rsidR="00C67D59">
              <w:rPr>
                <w:rFonts w:cs="Calibri"/>
                <w:b/>
                <w:bCs w:val="0"/>
                <w:color w:val="000000"/>
                <w:szCs w:val="20"/>
                <w:vertAlign w:val="superscript"/>
              </w:rPr>
              <w:t>3</w:t>
            </w:r>
          </w:p>
        </w:tc>
      </w:tr>
    </w:tbl>
    <w:p w14:paraId="46A281F1" w14:textId="77777777" w:rsidR="000526CA" w:rsidRDefault="000526CA" w:rsidP="000526CA">
      <w:pPr>
        <w:pStyle w:val="FooterTableFigure"/>
      </w:pPr>
      <w:r>
        <w:t>Source: Table 4.2-2, p306; Table 4.3-1, p309 of the submission.</w:t>
      </w:r>
    </w:p>
    <w:p w14:paraId="635FD968" w14:textId="77777777" w:rsidR="000526CA" w:rsidRDefault="000526CA" w:rsidP="000526CA">
      <w:pPr>
        <w:pStyle w:val="FooterTableFigure"/>
        <w:tabs>
          <w:tab w:val="left" w:pos="142"/>
        </w:tabs>
        <w:ind w:left="142" w:hanging="142"/>
        <w:rPr>
          <w:rStyle w:val="CommentReference"/>
        </w:rPr>
      </w:pPr>
      <w:r w:rsidRPr="003639A6">
        <w:rPr>
          <w:vertAlign w:val="superscript"/>
        </w:rPr>
        <w:t>a</w:t>
      </w:r>
      <w:r>
        <w:tab/>
        <w:t>The submission’s presentation of initiating and continuing patients was based on the number of estimated patients for each year separately, continuing patients were not included across years. The number of scripts dispensed provides a representation of estimated usage over time, e.g. see script numbers in Year 4.</w:t>
      </w:r>
    </w:p>
    <w:p w14:paraId="6F246955" w14:textId="77777777" w:rsidR="000526CA" w:rsidRDefault="000526CA" w:rsidP="000526CA">
      <w:pPr>
        <w:pStyle w:val="FooterTableFigure"/>
        <w:tabs>
          <w:tab w:val="left" w:pos="142"/>
        </w:tabs>
        <w:ind w:left="142" w:hanging="142"/>
        <w:rPr>
          <w:vertAlign w:val="superscript"/>
        </w:rPr>
      </w:pPr>
      <w:r>
        <w:rPr>
          <w:vertAlign w:val="superscript"/>
        </w:rPr>
        <w:t>b</w:t>
      </w:r>
      <w:r>
        <w:tab/>
        <w:t>Complete response rate from LINC 4.</w:t>
      </w:r>
    </w:p>
    <w:p w14:paraId="62E9DA10" w14:textId="77777777" w:rsidR="000526CA" w:rsidRDefault="000526CA" w:rsidP="000526CA">
      <w:pPr>
        <w:pStyle w:val="FooterTableFigure"/>
        <w:tabs>
          <w:tab w:val="left" w:pos="142"/>
        </w:tabs>
        <w:ind w:left="142" w:hanging="142"/>
      </w:pPr>
      <w:r>
        <w:rPr>
          <w:vertAlign w:val="superscript"/>
        </w:rPr>
        <w:t>c</w:t>
      </w:r>
      <w:r>
        <w:tab/>
      </w:r>
      <w:r w:rsidRPr="003639A6">
        <w:t xml:space="preserve">Assuming </w:t>
      </w:r>
      <w:r w:rsidRPr="00EA3A2C">
        <w:t>12.18</w:t>
      </w:r>
      <w:r>
        <w:t xml:space="preserve"> scripts </w:t>
      </w:r>
      <w:r w:rsidRPr="003639A6">
        <w:t xml:space="preserve">per year </w:t>
      </w:r>
      <w:r>
        <w:t xml:space="preserve">for a fully compliant patient </w:t>
      </w:r>
      <w:r w:rsidRPr="003639A6">
        <w:t>as estimated by the submission.</w:t>
      </w:r>
      <w:r>
        <w:t xml:space="preserve"> Based on distribution of doses from LINC 4 and assumed treatment duration from LINC 3.</w:t>
      </w:r>
    </w:p>
    <w:p w14:paraId="405F7F24" w14:textId="34D77259" w:rsidR="000526CA" w:rsidRDefault="000526CA" w:rsidP="000526CA">
      <w:pPr>
        <w:pStyle w:val="FooterTableFigure"/>
        <w:tabs>
          <w:tab w:val="left" w:pos="142"/>
        </w:tabs>
        <w:ind w:left="142" w:hanging="142"/>
        <w:rPr>
          <w:rFonts w:cs="Calibri"/>
          <w:szCs w:val="18"/>
        </w:rPr>
      </w:pPr>
      <w:r>
        <w:rPr>
          <w:vertAlign w:val="superscript"/>
        </w:rPr>
        <w:t>d</w:t>
      </w:r>
      <w:r>
        <w:tab/>
      </w:r>
      <w:r w:rsidRPr="00647B19">
        <w:rPr>
          <w:rFonts w:cs="Calibri"/>
          <w:szCs w:val="18"/>
        </w:rPr>
        <w:t>General copayment of $30.00 was used, as well as $6.80 for concessional and RPBS.</w:t>
      </w:r>
      <w:r>
        <w:rPr>
          <w:rFonts w:cs="Calibri"/>
          <w:szCs w:val="18"/>
        </w:rPr>
        <w:t xml:space="preserve"> </w:t>
      </w:r>
      <w:r w:rsidRPr="00647B19">
        <w:rPr>
          <w:rFonts w:cs="Calibri"/>
          <w:szCs w:val="18"/>
        </w:rPr>
        <w:t>Calculated copayment based on use of octreotide for the treatment of acromegaly in the 2021 calendar year was $16.06 for PBS and $5.84 for RPBS.</w:t>
      </w:r>
    </w:p>
    <w:p w14:paraId="26FD3052" w14:textId="77777777" w:rsidR="00C67D59" w:rsidRPr="00C67D59" w:rsidRDefault="00C67D59" w:rsidP="00C67D59">
      <w:pPr>
        <w:pStyle w:val="FooterTableFigure"/>
        <w:tabs>
          <w:tab w:val="left" w:pos="142"/>
        </w:tabs>
        <w:ind w:left="142" w:hanging="142"/>
        <w:rPr>
          <w:i/>
        </w:rPr>
      </w:pPr>
      <w:r w:rsidRPr="00C67D59">
        <w:rPr>
          <w:i/>
        </w:rPr>
        <w:t xml:space="preserve">The redacted values correspond to the following ranges: </w:t>
      </w:r>
    </w:p>
    <w:p w14:paraId="5A337BE0" w14:textId="022D7543" w:rsidR="00C67D59" w:rsidRPr="00C67D59" w:rsidRDefault="00C67D59" w:rsidP="00C67D59">
      <w:pPr>
        <w:pStyle w:val="FooterTableFigure"/>
        <w:tabs>
          <w:tab w:val="left" w:pos="142"/>
        </w:tabs>
        <w:ind w:left="142" w:hanging="142"/>
        <w:rPr>
          <w:i/>
        </w:rPr>
      </w:pPr>
      <w:r w:rsidRPr="00C67D59">
        <w:rPr>
          <w:i/>
          <w:vertAlign w:val="superscript"/>
        </w:rPr>
        <w:t>1</w:t>
      </w:r>
      <w:r w:rsidRPr="00C67D59">
        <w:rPr>
          <w:i/>
        </w:rPr>
        <w:t xml:space="preserve"> </w:t>
      </w:r>
      <w:r>
        <w:rPr>
          <w:i/>
        </w:rPr>
        <w:t>&lt; 500</w:t>
      </w:r>
    </w:p>
    <w:p w14:paraId="04242229" w14:textId="2CF20C83" w:rsidR="00C67D59" w:rsidRPr="00C67D59" w:rsidRDefault="00C67D59" w:rsidP="00C67D59">
      <w:pPr>
        <w:pStyle w:val="FooterTableFigure"/>
        <w:tabs>
          <w:tab w:val="left" w:pos="142"/>
        </w:tabs>
        <w:ind w:left="142" w:hanging="142"/>
        <w:rPr>
          <w:i/>
        </w:rPr>
      </w:pPr>
      <w:r w:rsidRPr="00C67D59">
        <w:rPr>
          <w:i/>
          <w:vertAlign w:val="superscript"/>
        </w:rPr>
        <w:t>2</w:t>
      </w:r>
      <w:r w:rsidRPr="00C67D59">
        <w:rPr>
          <w:i/>
        </w:rPr>
        <w:t xml:space="preserve"> </w:t>
      </w:r>
      <w:r>
        <w:rPr>
          <w:i/>
        </w:rPr>
        <w:t>500 to &lt; 5000</w:t>
      </w:r>
    </w:p>
    <w:p w14:paraId="793F33F1" w14:textId="1C1E316C" w:rsidR="00C67D59" w:rsidRPr="00C67D59" w:rsidRDefault="00C67D59" w:rsidP="00C67D59">
      <w:pPr>
        <w:pStyle w:val="FooterTableFigure"/>
        <w:tabs>
          <w:tab w:val="left" w:pos="142"/>
        </w:tabs>
        <w:ind w:left="142" w:hanging="142"/>
        <w:rPr>
          <w:i/>
        </w:rPr>
      </w:pPr>
      <w:r w:rsidRPr="00C67D59">
        <w:rPr>
          <w:i/>
          <w:vertAlign w:val="superscript"/>
        </w:rPr>
        <w:t>3</w:t>
      </w:r>
      <w:r w:rsidRPr="00C67D59">
        <w:rPr>
          <w:i/>
        </w:rPr>
        <w:t xml:space="preserve"> $0 to &lt; $10 million</w:t>
      </w:r>
    </w:p>
    <w:p w14:paraId="08B89579" w14:textId="69146E68" w:rsidR="00C67D59" w:rsidRPr="00C67D59" w:rsidRDefault="00C67D59" w:rsidP="00C67D59">
      <w:pPr>
        <w:pStyle w:val="FooterTableFigure"/>
        <w:tabs>
          <w:tab w:val="left" w:pos="142"/>
        </w:tabs>
        <w:ind w:left="142" w:hanging="142"/>
        <w:rPr>
          <w:i/>
        </w:rPr>
      </w:pPr>
      <w:r w:rsidRPr="00C67D59">
        <w:rPr>
          <w:i/>
          <w:vertAlign w:val="superscript"/>
        </w:rPr>
        <w:t>4</w:t>
      </w:r>
      <w:r w:rsidRPr="00C67D59">
        <w:rPr>
          <w:i/>
        </w:rPr>
        <w:t xml:space="preserve"> $10 million to &lt; $20 million</w:t>
      </w:r>
    </w:p>
    <w:p w14:paraId="484A9AFF" w14:textId="22ACD90E" w:rsidR="00C67D59" w:rsidRPr="00AE5954" w:rsidRDefault="00C67D59" w:rsidP="00AE5954">
      <w:pPr>
        <w:pStyle w:val="FooterTableFigure"/>
        <w:tabs>
          <w:tab w:val="left" w:pos="142"/>
        </w:tabs>
        <w:ind w:left="142" w:hanging="142"/>
        <w:rPr>
          <w:i/>
        </w:rPr>
      </w:pPr>
      <w:r w:rsidRPr="00C67D59">
        <w:rPr>
          <w:i/>
          <w:vertAlign w:val="superscript"/>
        </w:rPr>
        <w:t>5</w:t>
      </w:r>
      <w:r w:rsidRPr="00C67D59">
        <w:rPr>
          <w:i/>
        </w:rPr>
        <w:t xml:space="preserve"> $20 million to &lt; $30 million</w:t>
      </w:r>
    </w:p>
    <w:p w14:paraId="0DF22AFE" w14:textId="367FF5B9" w:rsidR="00372D8E" w:rsidRDefault="000526CA" w:rsidP="00372D8E">
      <w:pPr>
        <w:pStyle w:val="3-BodyText"/>
      </w:pPr>
      <w:r w:rsidRPr="00BF27C9">
        <w:t xml:space="preserve">The estimated total cost to the PBS/RPBS varied across the first 6 years of listing, from </w:t>
      </w:r>
      <w:r w:rsidR="00AE5954" w:rsidRPr="00AE5954">
        <w:rPr>
          <w:iCs/>
        </w:rPr>
        <w:t>$0 to &lt; $10 million</w:t>
      </w:r>
      <w:r w:rsidR="00AE5954" w:rsidRPr="00AE5954" w:rsidDel="00AE5954">
        <w:t xml:space="preserve"> </w:t>
      </w:r>
      <w:r w:rsidRPr="00BF27C9">
        <w:t xml:space="preserve">in Year 1 to </w:t>
      </w:r>
      <w:r w:rsidR="00AE5954" w:rsidRPr="00AE5954">
        <w:t>$20</w:t>
      </w:r>
      <w:r w:rsidR="00AE5954">
        <w:t> </w:t>
      </w:r>
      <w:r w:rsidR="00AE5954" w:rsidRPr="00AE5954">
        <w:t>million</w:t>
      </w:r>
      <w:r w:rsidR="00AE5954">
        <w:t> </w:t>
      </w:r>
      <w:r w:rsidR="00AE5954" w:rsidRPr="00AE5954">
        <w:t>to</w:t>
      </w:r>
      <w:r w:rsidR="00AE5954">
        <w:t> </w:t>
      </w:r>
      <w:r w:rsidR="00AE5954" w:rsidRPr="00AE5954">
        <w:t>&lt;</w:t>
      </w:r>
      <w:r w:rsidR="00AE5954">
        <w:t> </w:t>
      </w:r>
      <w:r w:rsidR="00AE5954" w:rsidRPr="00AE5954">
        <w:t>$30</w:t>
      </w:r>
      <w:r w:rsidR="00AE5954">
        <w:t> </w:t>
      </w:r>
      <w:r w:rsidR="00AE5954" w:rsidRPr="00AE5954">
        <w:t>million</w:t>
      </w:r>
      <w:r w:rsidR="00AE5954" w:rsidRPr="00AE5954" w:rsidDel="00AE5954">
        <w:t xml:space="preserve"> </w:t>
      </w:r>
      <w:r w:rsidRPr="00BF27C9">
        <w:t xml:space="preserve">in Year 3 to </w:t>
      </w:r>
      <w:r w:rsidR="00AE5954" w:rsidRPr="00AE5954">
        <w:rPr>
          <w:iCs/>
        </w:rPr>
        <w:t>$0 to &lt; $10 million</w:t>
      </w:r>
      <w:r w:rsidR="00AE5954" w:rsidRPr="00AE5954" w:rsidDel="00AE5954">
        <w:t xml:space="preserve"> </w:t>
      </w:r>
      <w:r w:rsidRPr="00BF27C9">
        <w:t xml:space="preserve">in Year 6, with a total of </w:t>
      </w:r>
      <w:r w:rsidR="00AE5954" w:rsidRPr="00AE5954">
        <w:rPr>
          <w:iCs/>
        </w:rPr>
        <w:t>$</w:t>
      </w:r>
      <w:r w:rsidR="00AE5954">
        <w:rPr>
          <w:iCs/>
        </w:rPr>
        <w:t>8</w:t>
      </w:r>
      <w:r w:rsidR="00AE5954" w:rsidRPr="00AE5954">
        <w:rPr>
          <w:iCs/>
        </w:rPr>
        <w:t>0 to &lt; $</w:t>
      </w:r>
      <w:r w:rsidR="00AE5954">
        <w:rPr>
          <w:iCs/>
        </w:rPr>
        <w:t>9</w:t>
      </w:r>
      <w:r w:rsidR="00AE5954" w:rsidRPr="00AE5954">
        <w:rPr>
          <w:iCs/>
        </w:rPr>
        <w:t>0 million</w:t>
      </w:r>
      <w:r w:rsidR="00AE5954" w:rsidRPr="00AE5954" w:rsidDel="00AE5954">
        <w:t xml:space="preserve"> </w:t>
      </w:r>
      <w:r w:rsidRPr="00BF27C9">
        <w:t xml:space="preserve">in the first 6 years of listing. </w:t>
      </w:r>
    </w:p>
    <w:p w14:paraId="1AC504FD" w14:textId="20C7E18F" w:rsidR="00372D8E" w:rsidRDefault="000526CA" w:rsidP="00372D8E">
      <w:pPr>
        <w:pStyle w:val="3-BodyText"/>
      </w:pPr>
      <w:bookmarkStart w:id="49" w:name="_Ref134538244"/>
      <w:r w:rsidRPr="00372D8E">
        <w:t xml:space="preserve">The estimated total cost to the PBS/RPBS for osilodrostat </w:t>
      </w:r>
      <w:r w:rsidR="00372D8E">
        <w:t>varied highly in the sensitivity analyses below (Table 21). The sensitivity analyses showed that</w:t>
      </w:r>
      <w:bookmarkEnd w:id="49"/>
      <w:r w:rsidR="00372D8E">
        <w:t xml:space="preserve"> </w:t>
      </w:r>
    </w:p>
    <w:p w14:paraId="0208E8B5" w14:textId="6EC3297D" w:rsidR="00372D8E" w:rsidRPr="00372D8E" w:rsidRDefault="00372D8E" w:rsidP="008646FC">
      <w:pPr>
        <w:pStyle w:val="BulletPoint"/>
      </w:pPr>
      <w:r w:rsidRPr="00372D8E">
        <w:t xml:space="preserve">Changes in prevalence rate altered net cost by approximately 15%. As prevalent patients made up the bulk of the treated population, variation in these estimates would be expected to have </w:t>
      </w:r>
      <w:r w:rsidR="00676CDA" w:rsidRPr="00372D8E">
        <w:t>a</w:t>
      </w:r>
      <w:r w:rsidR="00676CDA">
        <w:t xml:space="preserve"> significant</w:t>
      </w:r>
      <w:r w:rsidR="00676CDA" w:rsidRPr="00372D8E">
        <w:t xml:space="preserve"> </w:t>
      </w:r>
      <w:r w:rsidRPr="00372D8E">
        <w:t>impact.</w:t>
      </w:r>
    </w:p>
    <w:p w14:paraId="2AD42127" w14:textId="77777777" w:rsidR="00372D8E" w:rsidRPr="00372D8E" w:rsidRDefault="00372D8E" w:rsidP="008646FC">
      <w:pPr>
        <w:pStyle w:val="BulletPoint"/>
      </w:pPr>
      <w:r w:rsidRPr="00372D8E">
        <w:t>As patients with CD made up the majority of the patient population (70%), variation in the proportion eligible for surgery changed the financial estimates by -17% to +28%.</w:t>
      </w:r>
    </w:p>
    <w:p w14:paraId="0F37B054" w14:textId="3CCA3348" w:rsidR="00C32DE6" w:rsidRPr="00372D8E" w:rsidRDefault="00372D8E" w:rsidP="008646FC">
      <w:pPr>
        <w:pStyle w:val="BulletPoint"/>
      </w:pPr>
      <w:r w:rsidRPr="00372D8E">
        <w:t>Change to the surgery success rate had considerable impact on the financial estimates. If surgery is successful, patients would not require osilodrostat, so decreases in surgery success resulted in increased net cost, and vice versa. The changes ranged from -62% to +35%.</w:t>
      </w:r>
    </w:p>
    <w:p w14:paraId="05B0F9A9" w14:textId="7EFB8B28" w:rsidR="00372D8E" w:rsidRDefault="00372D8E" w:rsidP="008646FC">
      <w:pPr>
        <w:pStyle w:val="BulletPoint"/>
      </w:pPr>
      <w:bookmarkStart w:id="50" w:name="_Hlk129781796"/>
      <w:r w:rsidRPr="00372D8E">
        <w:t xml:space="preserve">Altering uptake had essentially no impact on estimated cost over the 6 years of listing, but had considerable impact on individual years. This has particular relevance given the submission has assumed uptake in prevalent patients of only </w:t>
      </w:r>
      <w:r w:rsidR="00E228B8" w:rsidRPr="00A9220E">
        <w:rPr>
          <w:color w:val="000000"/>
          <w:w w:val="15"/>
          <w:shd w:val="solid" w:color="000000" w:fill="000000"/>
          <w:fitText w:val="-20" w:id="-1234458354"/>
          <w14:textFill>
            <w14:solidFill>
              <w14:srgbClr w14:val="000000">
                <w14:alpha w14:val="100000"/>
              </w14:srgbClr>
            </w14:solidFill>
          </w14:textFill>
        </w:rPr>
        <w:t xml:space="preserve">|  </w:t>
      </w:r>
      <w:r w:rsidR="00E228B8" w:rsidRPr="00A9220E">
        <w:rPr>
          <w:color w:val="000000"/>
          <w:spacing w:val="-69"/>
          <w:w w:val="15"/>
          <w:shd w:val="solid" w:color="000000" w:fill="000000"/>
          <w:fitText w:val="-20" w:id="-1234458354"/>
          <w14:textFill>
            <w14:solidFill>
              <w14:srgbClr w14:val="000000">
                <w14:alpha w14:val="100000"/>
              </w14:srgbClr>
            </w14:solidFill>
          </w14:textFill>
        </w:rPr>
        <w:t>|</w:t>
      </w:r>
      <w:r w:rsidRPr="000818D9">
        <w:t>%</w:t>
      </w:r>
      <w:r w:rsidRPr="00372D8E">
        <w:t xml:space="preserve"> in Year 1, which appears quite low. If uptake in Year 1 is increased to </w:t>
      </w:r>
      <w:r w:rsidR="00E228B8" w:rsidRPr="00A9220E">
        <w:rPr>
          <w:color w:val="000000"/>
          <w:w w:val="15"/>
          <w:shd w:val="solid" w:color="000000" w:fill="000000"/>
          <w:fitText w:val="-20" w:id="-1234458353"/>
          <w14:textFill>
            <w14:solidFill>
              <w14:srgbClr w14:val="000000">
                <w14:alpha w14:val="100000"/>
              </w14:srgbClr>
            </w14:solidFill>
          </w14:textFill>
        </w:rPr>
        <w:t xml:space="preserve">|  </w:t>
      </w:r>
      <w:r w:rsidR="00E228B8" w:rsidRPr="00A9220E">
        <w:rPr>
          <w:color w:val="000000"/>
          <w:spacing w:val="-69"/>
          <w:w w:val="15"/>
          <w:shd w:val="solid" w:color="000000" w:fill="000000"/>
          <w:fitText w:val="-20" w:id="-1234458353"/>
          <w14:textFill>
            <w14:solidFill>
              <w14:srgbClr w14:val="000000">
                <w14:alpha w14:val="100000"/>
              </w14:srgbClr>
            </w14:solidFill>
          </w14:textFill>
        </w:rPr>
        <w:t>|</w:t>
      </w:r>
      <w:r w:rsidRPr="000818D9">
        <w:t>%,</w:t>
      </w:r>
      <w:r w:rsidRPr="00372D8E">
        <w:t xml:space="preserve"> the Year 1 costs increase 150%. The remaining years show a decrease, or little or no change. </w:t>
      </w:r>
      <w:bookmarkEnd w:id="50"/>
    </w:p>
    <w:p w14:paraId="48622009" w14:textId="77777777" w:rsidR="00157C9C" w:rsidRDefault="00157C9C" w:rsidP="005F5505">
      <w:pPr>
        <w:pStyle w:val="3-BodyText"/>
        <w:numPr>
          <w:ilvl w:val="0"/>
          <w:numId w:val="0"/>
        </w:numPr>
        <w:spacing w:after="0"/>
        <w:ind w:left="720"/>
      </w:pPr>
    </w:p>
    <w:p w14:paraId="7B22505B" w14:textId="71C86FB8" w:rsidR="000526CA" w:rsidRDefault="000526CA" w:rsidP="000526CA">
      <w:pPr>
        <w:keepNext/>
      </w:pPr>
      <w:bookmarkStart w:id="51" w:name="_Ref123511775"/>
      <w:r w:rsidRPr="00991356">
        <w:rPr>
          <w:rFonts w:ascii="Arial Narrow" w:hAnsi="Arial Narrow"/>
          <w:b/>
          <w:bCs/>
          <w:sz w:val="20"/>
          <w:szCs w:val="20"/>
        </w:rPr>
        <w:t xml:space="preserve">Table </w:t>
      </w:r>
      <w:r w:rsidRPr="00991356">
        <w:rPr>
          <w:rFonts w:ascii="Arial Narrow" w:hAnsi="Arial Narrow"/>
          <w:b/>
          <w:bCs/>
          <w:sz w:val="20"/>
          <w:szCs w:val="20"/>
        </w:rPr>
        <w:fldChar w:fldCharType="begin"/>
      </w:r>
      <w:r w:rsidRPr="00991356">
        <w:rPr>
          <w:rFonts w:ascii="Arial Narrow" w:hAnsi="Arial Narrow"/>
          <w:b/>
          <w:bCs/>
          <w:sz w:val="20"/>
          <w:szCs w:val="20"/>
        </w:rPr>
        <w:instrText xml:space="preserve"> SEQ Table \* ARABIC </w:instrText>
      </w:r>
      <w:r w:rsidRPr="00991356">
        <w:rPr>
          <w:rFonts w:ascii="Arial Narrow" w:hAnsi="Arial Narrow"/>
          <w:b/>
          <w:bCs/>
          <w:sz w:val="20"/>
          <w:szCs w:val="20"/>
        </w:rPr>
        <w:fldChar w:fldCharType="separate"/>
      </w:r>
      <w:r w:rsidR="00A9220E">
        <w:rPr>
          <w:rFonts w:ascii="Arial Narrow" w:hAnsi="Arial Narrow"/>
          <w:b/>
          <w:bCs/>
          <w:noProof/>
          <w:sz w:val="20"/>
          <w:szCs w:val="20"/>
        </w:rPr>
        <w:t>21</w:t>
      </w:r>
      <w:r w:rsidRPr="00991356">
        <w:rPr>
          <w:rFonts w:ascii="Arial Narrow" w:hAnsi="Arial Narrow"/>
          <w:b/>
          <w:bCs/>
          <w:noProof/>
          <w:sz w:val="20"/>
          <w:szCs w:val="20"/>
        </w:rPr>
        <w:fldChar w:fldCharType="end"/>
      </w:r>
      <w:bookmarkEnd w:id="51"/>
      <w:r w:rsidRPr="00991356">
        <w:rPr>
          <w:rFonts w:ascii="Arial Narrow" w:hAnsi="Arial Narrow"/>
          <w:b/>
          <w:bCs/>
          <w:sz w:val="20"/>
          <w:szCs w:val="20"/>
        </w:rPr>
        <w:t>:</w:t>
      </w:r>
      <w:r w:rsidRPr="00606FBA">
        <w:rPr>
          <w:rStyle w:val="CommentReference"/>
          <w:szCs w:val="24"/>
        </w:rPr>
        <w:t xml:space="preserve"> </w:t>
      </w:r>
      <w:r w:rsidRPr="00A60CFC">
        <w:rPr>
          <w:rFonts w:ascii="Arial Narrow" w:hAnsi="Arial Narrow" w:cs="Calibri"/>
          <w:b/>
          <w:bCs/>
          <w:sz w:val="20"/>
          <w:szCs w:val="20"/>
        </w:rPr>
        <w:t xml:space="preserve">Sensitivity analyses – estimated financial implications of PBS/RPBS listing of osilodrostat </w:t>
      </w:r>
      <w:r w:rsidRPr="00290694">
        <w:rPr>
          <w:rStyle w:val="CommentReference"/>
          <w:rFonts w:cs="Calibri"/>
        </w:rPr>
        <w:t>for treatment of endogenous CS</w:t>
      </w:r>
    </w:p>
    <w:tbl>
      <w:tblPr>
        <w:tblStyle w:val="TableGrid"/>
        <w:tblW w:w="5000" w:type="pct"/>
        <w:tblLayout w:type="fixed"/>
        <w:tblCellMar>
          <w:left w:w="28" w:type="dxa"/>
          <w:right w:w="28" w:type="dxa"/>
        </w:tblCellMar>
        <w:tblLook w:val="04A0" w:firstRow="1" w:lastRow="0" w:firstColumn="1" w:lastColumn="0" w:noHBand="0" w:noVBand="1"/>
      </w:tblPr>
      <w:tblGrid>
        <w:gridCol w:w="1696"/>
        <w:gridCol w:w="971"/>
        <w:gridCol w:w="1070"/>
        <w:gridCol w:w="1078"/>
        <w:gridCol w:w="1134"/>
        <w:gridCol w:w="1134"/>
        <w:gridCol w:w="992"/>
        <w:gridCol w:w="942"/>
      </w:tblGrid>
      <w:tr w:rsidR="000526CA" w:rsidRPr="00A60CFC" w14:paraId="5C8EBB51" w14:textId="77777777" w:rsidTr="005141D0">
        <w:trPr>
          <w:tblHeader/>
        </w:trPr>
        <w:tc>
          <w:tcPr>
            <w:tcW w:w="1696" w:type="dxa"/>
            <w:shd w:val="clear" w:color="auto" w:fill="auto"/>
            <w:vAlign w:val="center"/>
          </w:tcPr>
          <w:p w14:paraId="6E71B774" w14:textId="77777777" w:rsidR="000526CA" w:rsidRPr="00A60CFC" w:rsidRDefault="000526CA" w:rsidP="007D5757">
            <w:pPr>
              <w:keepNext/>
              <w:tabs>
                <w:tab w:val="left" w:pos="142"/>
              </w:tabs>
              <w:ind w:left="102" w:hanging="102"/>
              <w:jc w:val="left"/>
              <w:rPr>
                <w:rFonts w:ascii="Arial Narrow" w:hAnsi="Arial Narrow" w:cs="Calibri"/>
                <w:b/>
                <w:bCs/>
                <w:sz w:val="20"/>
                <w:szCs w:val="20"/>
              </w:rPr>
            </w:pPr>
            <w:r w:rsidRPr="00A60CFC">
              <w:rPr>
                <w:rFonts w:ascii="Arial Narrow" w:hAnsi="Arial Narrow" w:cs="Calibri"/>
                <w:b/>
                <w:bCs/>
                <w:sz w:val="20"/>
                <w:szCs w:val="20"/>
              </w:rPr>
              <w:t>Analysis</w:t>
            </w:r>
          </w:p>
        </w:tc>
        <w:tc>
          <w:tcPr>
            <w:tcW w:w="971" w:type="dxa"/>
            <w:shd w:val="clear" w:color="auto" w:fill="auto"/>
            <w:vAlign w:val="center"/>
          </w:tcPr>
          <w:p w14:paraId="1B97DBD9"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1</w:t>
            </w:r>
          </w:p>
        </w:tc>
        <w:tc>
          <w:tcPr>
            <w:tcW w:w="1070" w:type="dxa"/>
            <w:shd w:val="clear" w:color="auto" w:fill="auto"/>
            <w:vAlign w:val="center"/>
          </w:tcPr>
          <w:p w14:paraId="2BD9CD4E"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2</w:t>
            </w:r>
          </w:p>
        </w:tc>
        <w:tc>
          <w:tcPr>
            <w:tcW w:w="1078" w:type="dxa"/>
            <w:shd w:val="clear" w:color="auto" w:fill="auto"/>
            <w:vAlign w:val="center"/>
          </w:tcPr>
          <w:p w14:paraId="5DA5E906"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3</w:t>
            </w:r>
          </w:p>
        </w:tc>
        <w:tc>
          <w:tcPr>
            <w:tcW w:w="1134" w:type="dxa"/>
            <w:shd w:val="clear" w:color="auto" w:fill="auto"/>
            <w:vAlign w:val="center"/>
          </w:tcPr>
          <w:p w14:paraId="40E97428"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4</w:t>
            </w:r>
          </w:p>
        </w:tc>
        <w:tc>
          <w:tcPr>
            <w:tcW w:w="1134" w:type="dxa"/>
            <w:shd w:val="clear" w:color="auto" w:fill="auto"/>
            <w:vAlign w:val="center"/>
          </w:tcPr>
          <w:p w14:paraId="5719E85D"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5</w:t>
            </w:r>
          </w:p>
        </w:tc>
        <w:tc>
          <w:tcPr>
            <w:tcW w:w="992" w:type="dxa"/>
            <w:shd w:val="clear" w:color="auto" w:fill="auto"/>
            <w:vAlign w:val="center"/>
          </w:tcPr>
          <w:p w14:paraId="17F41CB7"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Year 6</w:t>
            </w:r>
          </w:p>
        </w:tc>
        <w:tc>
          <w:tcPr>
            <w:tcW w:w="942" w:type="dxa"/>
            <w:vAlign w:val="center"/>
          </w:tcPr>
          <w:p w14:paraId="0AFE65A9" w14:textId="77777777" w:rsidR="000526CA" w:rsidRPr="00A60CFC" w:rsidRDefault="000526CA" w:rsidP="007D5757">
            <w:pPr>
              <w:keepNext/>
              <w:jc w:val="center"/>
              <w:rPr>
                <w:rFonts w:ascii="Arial Narrow" w:hAnsi="Arial Narrow" w:cs="Calibri"/>
                <w:b/>
                <w:bCs/>
                <w:sz w:val="20"/>
                <w:szCs w:val="20"/>
              </w:rPr>
            </w:pPr>
            <w:r w:rsidRPr="00A60CFC">
              <w:rPr>
                <w:rFonts w:ascii="Arial Narrow" w:hAnsi="Arial Narrow" w:cs="Calibri"/>
                <w:b/>
                <w:bCs/>
                <w:sz w:val="20"/>
                <w:szCs w:val="20"/>
              </w:rPr>
              <w:t>% change</w:t>
            </w:r>
          </w:p>
        </w:tc>
      </w:tr>
      <w:tr w:rsidR="000526CA" w:rsidRPr="00A60CFC" w14:paraId="7194AC52" w14:textId="77777777" w:rsidTr="005141D0">
        <w:tc>
          <w:tcPr>
            <w:tcW w:w="1696" w:type="dxa"/>
            <w:shd w:val="clear" w:color="auto" w:fill="auto"/>
            <w:vAlign w:val="center"/>
          </w:tcPr>
          <w:p w14:paraId="6AB4F1BB" w14:textId="78AFDD20" w:rsidR="000526CA" w:rsidRPr="00A60CFC" w:rsidRDefault="000526CA" w:rsidP="007D5757">
            <w:pPr>
              <w:keepNext/>
              <w:tabs>
                <w:tab w:val="left" w:pos="142"/>
              </w:tabs>
              <w:ind w:left="102" w:hanging="102"/>
              <w:jc w:val="left"/>
              <w:rPr>
                <w:rFonts w:ascii="Arial Narrow" w:hAnsi="Arial Narrow" w:cs="Calibri"/>
                <w:b/>
                <w:bCs/>
                <w:sz w:val="20"/>
                <w:szCs w:val="20"/>
              </w:rPr>
            </w:pPr>
            <w:r w:rsidRPr="00A60CFC">
              <w:rPr>
                <w:rFonts w:ascii="Arial Narrow" w:hAnsi="Arial Narrow" w:cs="Calibri"/>
                <w:b/>
                <w:bCs/>
                <w:sz w:val="20"/>
                <w:szCs w:val="20"/>
              </w:rPr>
              <w:t>Base case</w:t>
            </w:r>
            <w:r w:rsidR="007647CD">
              <w:rPr>
                <w:rFonts w:ascii="Arial Narrow" w:hAnsi="Arial Narrow" w:cs="Calibri"/>
                <w:b/>
                <w:bCs/>
                <w:sz w:val="20"/>
                <w:szCs w:val="20"/>
              </w:rPr>
              <w:t xml:space="preserve"> ($)</w:t>
            </w:r>
          </w:p>
        </w:tc>
        <w:tc>
          <w:tcPr>
            <w:tcW w:w="971" w:type="dxa"/>
            <w:shd w:val="clear" w:color="auto" w:fill="auto"/>
            <w:vAlign w:val="center"/>
          </w:tcPr>
          <w:p w14:paraId="3AAA94EF" w14:textId="713DDD3A" w:rsidR="000526CA" w:rsidRPr="00AE5954" w:rsidRDefault="00E228B8" w:rsidP="007D5757">
            <w:pPr>
              <w:keepNext/>
              <w:jc w:val="center"/>
              <w:rPr>
                <w:rFonts w:ascii="Arial Narrow" w:hAnsi="Arial Narrow" w:cs="Calibri"/>
                <w:b/>
                <w:bCs/>
                <w:sz w:val="20"/>
                <w:szCs w:val="20"/>
                <w:vertAlign w:val="superscript"/>
              </w:rPr>
            </w:pPr>
            <w:r w:rsidRPr="00E228B8">
              <w:rPr>
                <w:rFonts w:ascii="Arial Narrow" w:hAnsi="Arial Narrow" w:cs="Calibri"/>
                <w:b/>
                <w:bCs/>
                <w:color w:val="000000"/>
                <w:spacing w:val="61"/>
                <w:sz w:val="20"/>
                <w:szCs w:val="20"/>
                <w:shd w:val="solid" w:color="000000" w:fill="000000"/>
                <w:fitText w:val="369" w:id="-1234458352"/>
                <w14:textFill>
                  <w14:solidFill>
                    <w14:srgbClr w14:val="000000">
                      <w14:alpha w14:val="100000"/>
                    </w14:srgbClr>
                  </w14:solidFill>
                </w14:textFill>
              </w:rPr>
              <w:t>|||</w:t>
            </w:r>
            <w:r w:rsidRPr="00E228B8">
              <w:rPr>
                <w:rFonts w:ascii="Arial Narrow" w:hAnsi="Arial Narrow" w:cs="Calibri"/>
                <w:b/>
                <w:bCs/>
                <w:color w:val="000000"/>
                <w:spacing w:val="3"/>
                <w:sz w:val="20"/>
                <w:szCs w:val="20"/>
                <w:shd w:val="solid" w:color="000000" w:fill="000000"/>
                <w:fitText w:val="369" w:id="-1234458352"/>
                <w14:textFill>
                  <w14:solidFill>
                    <w14:srgbClr w14:val="000000">
                      <w14:alpha w14:val="100000"/>
                    </w14:srgbClr>
                  </w14:solidFill>
                </w14:textFill>
              </w:rPr>
              <w:t>|</w:t>
            </w:r>
            <w:r w:rsidR="00AE5954">
              <w:rPr>
                <w:rFonts w:ascii="Arial Narrow" w:hAnsi="Arial Narrow" w:cs="Calibri"/>
                <w:b/>
                <w:bCs/>
                <w:color w:val="000000"/>
                <w:sz w:val="20"/>
                <w:szCs w:val="20"/>
              </w:rPr>
              <w:t xml:space="preserve"> </w:t>
            </w:r>
            <w:r w:rsidR="00AE5954">
              <w:rPr>
                <w:rFonts w:ascii="Arial Narrow" w:hAnsi="Arial Narrow" w:cs="Calibri"/>
                <w:b/>
                <w:bCs/>
                <w:color w:val="000000"/>
                <w:sz w:val="20"/>
                <w:szCs w:val="20"/>
                <w:vertAlign w:val="superscript"/>
              </w:rPr>
              <w:t>1</w:t>
            </w:r>
          </w:p>
        </w:tc>
        <w:tc>
          <w:tcPr>
            <w:tcW w:w="1070" w:type="dxa"/>
            <w:shd w:val="clear" w:color="auto" w:fill="auto"/>
            <w:vAlign w:val="center"/>
          </w:tcPr>
          <w:p w14:paraId="3D207449" w14:textId="015ACCDB" w:rsidR="000526CA" w:rsidRPr="00A60CFC" w:rsidRDefault="00E228B8" w:rsidP="007D5757">
            <w:pPr>
              <w:keepNext/>
              <w:jc w:val="center"/>
              <w:rPr>
                <w:rFonts w:ascii="Arial Narrow" w:hAnsi="Arial Narrow" w:cs="Calibri"/>
                <w:b/>
                <w:bCs/>
                <w:sz w:val="20"/>
                <w:szCs w:val="20"/>
              </w:rPr>
            </w:pPr>
            <w:r w:rsidRPr="00E228B8">
              <w:rPr>
                <w:rFonts w:ascii="Arial Narrow" w:hAnsi="Arial Narrow" w:cs="Calibri"/>
                <w:b/>
                <w:bCs/>
                <w:color w:val="000000"/>
                <w:spacing w:val="42"/>
                <w:sz w:val="20"/>
                <w:szCs w:val="20"/>
                <w:shd w:val="solid" w:color="000000" w:fill="000000"/>
                <w:fitText w:val="311" w:id="-1234458368"/>
                <w14:textFill>
                  <w14:solidFill>
                    <w14:srgbClr w14:val="000000">
                      <w14:alpha w14:val="100000"/>
                    </w14:srgbClr>
                  </w14:solidFill>
                </w14:textFill>
              </w:rPr>
              <w:t>|||</w:t>
            </w:r>
            <w:r w:rsidRPr="00E228B8">
              <w:rPr>
                <w:rFonts w:ascii="Arial Narrow" w:hAnsi="Arial Narrow" w:cs="Calibri"/>
                <w:b/>
                <w:bCs/>
                <w:color w:val="000000"/>
                <w:spacing w:val="2"/>
                <w:sz w:val="20"/>
                <w:szCs w:val="20"/>
                <w:shd w:val="solid" w:color="000000" w:fill="000000"/>
                <w:fitText w:val="311" w:id="-1234458368"/>
                <w14:textFill>
                  <w14:solidFill>
                    <w14:srgbClr w14:val="000000">
                      <w14:alpha w14:val="100000"/>
                    </w14:srgbClr>
                  </w14:solidFill>
                </w14:textFill>
              </w:rPr>
              <w:t>|</w:t>
            </w:r>
            <w:r w:rsidR="007D500C">
              <w:rPr>
                <w:rFonts w:ascii="Arial Narrow" w:hAnsi="Arial Narrow" w:cs="Calibri"/>
                <w:color w:val="000000"/>
                <w:sz w:val="20"/>
                <w:szCs w:val="20"/>
              </w:rPr>
              <w:t xml:space="preserve"> </w:t>
            </w:r>
            <w:r w:rsidR="007D500C">
              <w:rPr>
                <w:rFonts w:ascii="Arial Narrow" w:hAnsi="Arial Narrow" w:cs="Calibri"/>
                <w:color w:val="000000"/>
                <w:sz w:val="20"/>
                <w:szCs w:val="20"/>
                <w:vertAlign w:val="superscript"/>
              </w:rPr>
              <w:t>2</w:t>
            </w:r>
          </w:p>
        </w:tc>
        <w:tc>
          <w:tcPr>
            <w:tcW w:w="1078" w:type="dxa"/>
            <w:shd w:val="clear" w:color="auto" w:fill="auto"/>
            <w:vAlign w:val="center"/>
          </w:tcPr>
          <w:p w14:paraId="2119D7BC" w14:textId="6799C633" w:rsidR="000526CA" w:rsidRPr="007D500C" w:rsidRDefault="00E228B8" w:rsidP="007D5757">
            <w:pPr>
              <w:keepNext/>
              <w:jc w:val="center"/>
              <w:rPr>
                <w:rFonts w:ascii="Arial Narrow" w:hAnsi="Arial Narrow" w:cs="Calibri"/>
                <w:b/>
                <w:bCs/>
                <w:sz w:val="20"/>
                <w:szCs w:val="20"/>
                <w:vertAlign w:val="superscript"/>
              </w:rPr>
            </w:pPr>
            <w:r w:rsidRPr="00E228B8">
              <w:rPr>
                <w:rFonts w:ascii="Arial Narrow" w:hAnsi="Arial Narrow" w:cs="Calibri"/>
                <w:b/>
                <w:bCs/>
                <w:color w:val="000000"/>
                <w:spacing w:val="42"/>
                <w:sz w:val="20"/>
                <w:szCs w:val="20"/>
                <w:shd w:val="solid" w:color="000000" w:fill="000000"/>
                <w:fitText w:val="311" w:id="-1234458367"/>
                <w14:textFill>
                  <w14:solidFill>
                    <w14:srgbClr w14:val="000000">
                      <w14:alpha w14:val="100000"/>
                    </w14:srgbClr>
                  </w14:solidFill>
                </w14:textFill>
              </w:rPr>
              <w:t>|||</w:t>
            </w:r>
            <w:r w:rsidRPr="00E228B8">
              <w:rPr>
                <w:rFonts w:ascii="Arial Narrow" w:hAnsi="Arial Narrow" w:cs="Calibri"/>
                <w:b/>
                <w:bCs/>
                <w:color w:val="000000"/>
                <w:spacing w:val="2"/>
                <w:sz w:val="20"/>
                <w:szCs w:val="20"/>
                <w:shd w:val="solid" w:color="000000" w:fill="000000"/>
                <w:fitText w:val="311" w:id="-1234458367"/>
                <w14:textFill>
                  <w14:solidFill>
                    <w14:srgbClr w14:val="000000">
                      <w14:alpha w14:val="100000"/>
                    </w14:srgbClr>
                  </w14:solidFill>
                </w14:textFill>
              </w:rPr>
              <w:t>|</w:t>
            </w:r>
            <w:r w:rsidR="007D500C">
              <w:rPr>
                <w:rFonts w:ascii="Arial Narrow" w:hAnsi="Arial Narrow" w:cs="Calibri"/>
                <w:b/>
                <w:bCs/>
                <w:color w:val="000000"/>
                <w:sz w:val="20"/>
                <w:szCs w:val="20"/>
              </w:rPr>
              <w:t xml:space="preserve"> </w:t>
            </w:r>
            <w:r w:rsidR="007D500C">
              <w:rPr>
                <w:rFonts w:ascii="Arial Narrow" w:hAnsi="Arial Narrow" w:cs="Calibri"/>
                <w:b/>
                <w:bCs/>
                <w:color w:val="000000"/>
                <w:sz w:val="20"/>
                <w:szCs w:val="20"/>
                <w:vertAlign w:val="superscript"/>
              </w:rPr>
              <w:t>3</w:t>
            </w:r>
          </w:p>
        </w:tc>
        <w:tc>
          <w:tcPr>
            <w:tcW w:w="1134" w:type="dxa"/>
            <w:shd w:val="clear" w:color="auto" w:fill="auto"/>
            <w:vAlign w:val="center"/>
          </w:tcPr>
          <w:p w14:paraId="7775F826" w14:textId="505B2699" w:rsidR="000526CA" w:rsidRPr="00A60CFC" w:rsidRDefault="00E228B8" w:rsidP="007D5757">
            <w:pPr>
              <w:keepNext/>
              <w:jc w:val="center"/>
              <w:rPr>
                <w:rFonts w:ascii="Arial Narrow" w:hAnsi="Arial Narrow" w:cs="Calibri"/>
                <w:b/>
                <w:bCs/>
                <w:sz w:val="20"/>
                <w:szCs w:val="20"/>
              </w:rPr>
            </w:pPr>
            <w:r w:rsidRPr="00E228B8">
              <w:rPr>
                <w:rFonts w:ascii="Arial Narrow" w:hAnsi="Arial Narrow" w:cs="Calibri"/>
                <w:b/>
                <w:bCs/>
                <w:color w:val="000000"/>
                <w:spacing w:val="184"/>
                <w:sz w:val="20"/>
                <w:szCs w:val="20"/>
                <w:shd w:val="solid" w:color="000000" w:fill="000000"/>
                <w:fitText w:val="276" w:id="-1234458366"/>
                <w14:textFill>
                  <w14:solidFill>
                    <w14:srgbClr w14:val="000000">
                      <w14:alpha w14:val="100000"/>
                    </w14:srgbClr>
                  </w14:solidFill>
                </w14:textFill>
              </w:rPr>
              <w:t>|</w:t>
            </w:r>
            <w:r w:rsidRPr="00E228B8">
              <w:rPr>
                <w:rFonts w:ascii="Arial Narrow" w:hAnsi="Arial Narrow" w:cs="Calibri"/>
                <w:b/>
                <w:bCs/>
                <w:color w:val="000000"/>
                <w:spacing w:val="1"/>
                <w:sz w:val="20"/>
                <w:szCs w:val="20"/>
                <w:shd w:val="solid" w:color="000000" w:fill="000000"/>
                <w:fitText w:val="276" w:id="-1234458366"/>
                <w14:textFill>
                  <w14:solidFill>
                    <w14:srgbClr w14:val="000000">
                      <w14:alpha w14:val="100000"/>
                    </w14:srgbClr>
                  </w14:solidFill>
                </w14:textFill>
              </w:rPr>
              <w:t>|</w:t>
            </w:r>
            <w:r w:rsidR="007D500C">
              <w:rPr>
                <w:rFonts w:ascii="Arial Narrow" w:hAnsi="Arial Narrow" w:cs="Calibri"/>
                <w:color w:val="000000"/>
                <w:sz w:val="20"/>
                <w:szCs w:val="20"/>
              </w:rPr>
              <w:t xml:space="preserve"> </w:t>
            </w:r>
            <w:r w:rsidR="007D500C">
              <w:rPr>
                <w:rFonts w:ascii="Arial Narrow" w:hAnsi="Arial Narrow" w:cs="Calibri"/>
                <w:color w:val="000000"/>
                <w:sz w:val="20"/>
                <w:szCs w:val="20"/>
                <w:vertAlign w:val="superscript"/>
              </w:rPr>
              <w:t>2</w:t>
            </w:r>
          </w:p>
        </w:tc>
        <w:tc>
          <w:tcPr>
            <w:tcW w:w="1134" w:type="dxa"/>
            <w:shd w:val="clear" w:color="auto" w:fill="auto"/>
            <w:vAlign w:val="center"/>
          </w:tcPr>
          <w:p w14:paraId="03BDB422" w14:textId="71BBC665" w:rsidR="000526CA" w:rsidRPr="00A60CFC" w:rsidRDefault="00E228B8" w:rsidP="007D5757">
            <w:pPr>
              <w:keepNext/>
              <w:jc w:val="center"/>
              <w:rPr>
                <w:rFonts w:ascii="Arial Narrow" w:hAnsi="Arial Narrow" w:cs="Calibri"/>
                <w:b/>
                <w:bCs/>
                <w:sz w:val="20"/>
                <w:szCs w:val="20"/>
              </w:rPr>
            </w:pPr>
            <w:r w:rsidRPr="00E228B8">
              <w:rPr>
                <w:rFonts w:ascii="Arial Narrow" w:hAnsi="Arial Narrow" w:cs="Calibri"/>
                <w:b/>
                <w:bCs/>
                <w:color w:val="000000"/>
                <w:spacing w:val="184"/>
                <w:sz w:val="20"/>
                <w:szCs w:val="20"/>
                <w:shd w:val="solid" w:color="000000" w:fill="000000"/>
                <w:fitText w:val="276" w:id="-1234458365"/>
                <w14:textFill>
                  <w14:solidFill>
                    <w14:srgbClr w14:val="000000">
                      <w14:alpha w14:val="100000"/>
                    </w14:srgbClr>
                  </w14:solidFill>
                </w14:textFill>
              </w:rPr>
              <w:t>|</w:t>
            </w:r>
            <w:r w:rsidRPr="00E228B8">
              <w:rPr>
                <w:rFonts w:ascii="Arial Narrow" w:hAnsi="Arial Narrow" w:cs="Calibri"/>
                <w:b/>
                <w:bCs/>
                <w:color w:val="000000"/>
                <w:spacing w:val="1"/>
                <w:sz w:val="20"/>
                <w:szCs w:val="20"/>
                <w:shd w:val="solid" w:color="000000" w:fill="000000"/>
                <w:fitText w:val="276" w:id="-1234458365"/>
                <w14:textFill>
                  <w14:solidFill>
                    <w14:srgbClr w14:val="000000">
                      <w14:alpha w14:val="100000"/>
                    </w14:srgbClr>
                  </w14:solidFill>
                </w14:textFill>
              </w:rPr>
              <w:t>|</w:t>
            </w:r>
            <w:r w:rsidR="007D500C">
              <w:rPr>
                <w:rFonts w:ascii="Arial Narrow" w:hAnsi="Arial Narrow" w:cs="Calibri"/>
                <w:color w:val="000000"/>
                <w:sz w:val="20"/>
                <w:szCs w:val="20"/>
              </w:rPr>
              <w:t xml:space="preserve"> </w:t>
            </w:r>
            <w:r w:rsidR="007D500C">
              <w:rPr>
                <w:rFonts w:ascii="Arial Narrow" w:hAnsi="Arial Narrow" w:cs="Calibri"/>
                <w:color w:val="000000"/>
                <w:sz w:val="20"/>
                <w:szCs w:val="20"/>
                <w:vertAlign w:val="superscript"/>
              </w:rPr>
              <w:t>2</w:t>
            </w:r>
          </w:p>
        </w:tc>
        <w:tc>
          <w:tcPr>
            <w:tcW w:w="992" w:type="dxa"/>
            <w:shd w:val="clear" w:color="auto" w:fill="auto"/>
            <w:vAlign w:val="center"/>
          </w:tcPr>
          <w:p w14:paraId="1FB4263D" w14:textId="556CB3EE" w:rsidR="000526CA" w:rsidRPr="00A60CFC" w:rsidRDefault="00E228B8" w:rsidP="007D5757">
            <w:pPr>
              <w:keepNext/>
              <w:jc w:val="center"/>
              <w:rPr>
                <w:rFonts w:ascii="Arial Narrow" w:hAnsi="Arial Narrow" w:cs="Calibri"/>
                <w:b/>
                <w:bCs/>
                <w:sz w:val="20"/>
                <w:szCs w:val="20"/>
              </w:rPr>
            </w:pPr>
            <w:r w:rsidRPr="00E228B8">
              <w:rPr>
                <w:rFonts w:ascii="Arial Narrow" w:hAnsi="Arial Narrow" w:cs="Calibri"/>
                <w:b/>
                <w:bCs/>
                <w:color w:val="000000"/>
                <w:spacing w:val="57"/>
                <w:sz w:val="20"/>
                <w:szCs w:val="20"/>
                <w:shd w:val="solid" w:color="000000" w:fill="000000"/>
                <w:fitText w:val="357" w:id="-1234458364"/>
                <w14:textFill>
                  <w14:solidFill>
                    <w14:srgbClr w14:val="000000">
                      <w14:alpha w14:val="100000"/>
                    </w14:srgbClr>
                  </w14:solidFill>
                </w14:textFill>
              </w:rPr>
              <w:t>|||</w:t>
            </w:r>
            <w:r w:rsidRPr="00E228B8">
              <w:rPr>
                <w:rFonts w:ascii="Arial Narrow" w:hAnsi="Arial Narrow" w:cs="Calibri"/>
                <w:b/>
                <w:bCs/>
                <w:color w:val="000000"/>
                <w:spacing w:val="3"/>
                <w:sz w:val="20"/>
                <w:szCs w:val="20"/>
                <w:shd w:val="solid" w:color="000000" w:fill="000000"/>
                <w:fitText w:val="357" w:id="-1234458364"/>
                <w14:textFill>
                  <w14:solidFill>
                    <w14:srgbClr w14:val="000000">
                      <w14:alpha w14:val="100000"/>
                    </w14:srgbClr>
                  </w14:solidFill>
                </w14:textFill>
              </w:rPr>
              <w:t>|</w:t>
            </w:r>
            <w:r w:rsidR="00AE5954">
              <w:rPr>
                <w:rFonts w:ascii="Arial Narrow" w:hAnsi="Arial Narrow" w:cs="Calibri"/>
                <w:b/>
                <w:bCs/>
                <w:color w:val="000000"/>
                <w:sz w:val="20"/>
                <w:szCs w:val="20"/>
              </w:rPr>
              <w:t xml:space="preserve"> </w:t>
            </w:r>
            <w:r w:rsidR="00AE5954">
              <w:rPr>
                <w:rFonts w:ascii="Arial Narrow" w:hAnsi="Arial Narrow" w:cs="Calibri"/>
                <w:b/>
                <w:bCs/>
                <w:color w:val="000000"/>
                <w:sz w:val="20"/>
                <w:szCs w:val="20"/>
                <w:vertAlign w:val="superscript"/>
              </w:rPr>
              <w:t>1</w:t>
            </w:r>
          </w:p>
        </w:tc>
        <w:tc>
          <w:tcPr>
            <w:tcW w:w="942" w:type="dxa"/>
            <w:vAlign w:val="center"/>
          </w:tcPr>
          <w:p w14:paraId="5D2BBA3D" w14:textId="77777777" w:rsidR="000526CA" w:rsidRPr="00A60CFC" w:rsidRDefault="000526CA" w:rsidP="007D5757">
            <w:pPr>
              <w:keepNext/>
              <w:jc w:val="center"/>
              <w:rPr>
                <w:rFonts w:ascii="Arial Narrow" w:hAnsi="Arial Narrow" w:cs="Calibri"/>
                <w:b/>
                <w:bCs/>
                <w:color w:val="000000"/>
                <w:sz w:val="20"/>
                <w:szCs w:val="20"/>
              </w:rPr>
            </w:pPr>
            <w:r>
              <w:rPr>
                <w:rFonts w:ascii="Arial Narrow" w:hAnsi="Arial Narrow" w:cs="Calibri"/>
                <w:b/>
                <w:bCs/>
                <w:color w:val="000000"/>
                <w:sz w:val="20"/>
                <w:szCs w:val="20"/>
              </w:rPr>
              <w:t>-</w:t>
            </w:r>
          </w:p>
        </w:tc>
      </w:tr>
      <w:tr w:rsidR="000526CA" w:rsidRPr="00A60CFC" w14:paraId="75C1F78B" w14:textId="77777777" w:rsidTr="007D5757">
        <w:tc>
          <w:tcPr>
            <w:tcW w:w="9017" w:type="dxa"/>
            <w:gridSpan w:val="8"/>
            <w:shd w:val="clear" w:color="auto" w:fill="auto"/>
            <w:vAlign w:val="center"/>
          </w:tcPr>
          <w:p w14:paraId="6FA3B0C9" w14:textId="77777777" w:rsidR="000526CA" w:rsidRPr="00A60CFC" w:rsidRDefault="000526CA" w:rsidP="007D5757">
            <w:pPr>
              <w:keepNext/>
              <w:jc w:val="left"/>
              <w:rPr>
                <w:rFonts w:ascii="Arial Narrow" w:hAnsi="Arial Narrow" w:cs="Calibri"/>
                <w:b/>
                <w:bCs/>
                <w:color w:val="000000"/>
                <w:sz w:val="20"/>
                <w:szCs w:val="20"/>
              </w:rPr>
            </w:pPr>
            <w:r w:rsidRPr="00A60CFC">
              <w:rPr>
                <w:rFonts w:ascii="Arial Narrow" w:hAnsi="Arial Narrow" w:cs="Calibri"/>
                <w:b/>
                <w:bCs/>
                <w:sz w:val="20"/>
                <w:szCs w:val="20"/>
              </w:rPr>
              <w:t>Prevalence rate (base case: 67 per million)</w:t>
            </w:r>
          </w:p>
        </w:tc>
      </w:tr>
      <w:tr w:rsidR="000526CA" w:rsidRPr="00A60CFC" w14:paraId="4A38C800" w14:textId="77777777" w:rsidTr="005141D0">
        <w:tc>
          <w:tcPr>
            <w:tcW w:w="1696" w:type="dxa"/>
            <w:shd w:val="clear" w:color="auto" w:fill="auto"/>
            <w:vAlign w:val="center"/>
          </w:tcPr>
          <w:p w14:paraId="2D427852" w14:textId="2D102C47"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57 per million</w:t>
            </w:r>
            <w:r w:rsidR="007647CD">
              <w:rPr>
                <w:rFonts w:ascii="Arial Narrow" w:hAnsi="Arial Narrow" w:cs="Calibri"/>
                <w:color w:val="000000"/>
                <w:sz w:val="20"/>
                <w:szCs w:val="20"/>
              </w:rPr>
              <w:t xml:space="preserve"> ($)</w:t>
            </w:r>
          </w:p>
        </w:tc>
        <w:tc>
          <w:tcPr>
            <w:tcW w:w="971" w:type="dxa"/>
            <w:shd w:val="clear" w:color="auto" w:fill="auto"/>
            <w:vAlign w:val="center"/>
          </w:tcPr>
          <w:p w14:paraId="6A0EC01F" w14:textId="21A41B76"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63"/>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63"/>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52ED5966" w14:textId="78E4CED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6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2"/>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768B8CB9" w14:textId="0FFED843"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6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62A279E9" w14:textId="3AB542C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60"/>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6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0E2BBE48" w14:textId="3800A90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9"/>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3F2F9371" w14:textId="55A1B20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358"/>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35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1F38343D"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-13%</w:t>
            </w:r>
          </w:p>
        </w:tc>
      </w:tr>
      <w:tr w:rsidR="000526CA" w:rsidRPr="00A60CFC" w14:paraId="43500604" w14:textId="77777777" w:rsidTr="005141D0">
        <w:tc>
          <w:tcPr>
            <w:tcW w:w="1696" w:type="dxa"/>
            <w:shd w:val="clear" w:color="auto" w:fill="auto"/>
            <w:vAlign w:val="center"/>
          </w:tcPr>
          <w:p w14:paraId="7F5D788B" w14:textId="1AA5E3B1"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79 per million</w:t>
            </w:r>
            <w:r w:rsidR="007647CD">
              <w:rPr>
                <w:rFonts w:ascii="Arial Narrow" w:hAnsi="Arial Narrow" w:cs="Calibri"/>
                <w:color w:val="000000"/>
                <w:sz w:val="20"/>
                <w:szCs w:val="20"/>
              </w:rPr>
              <w:t xml:space="preserve"> ($)</w:t>
            </w:r>
          </w:p>
        </w:tc>
        <w:tc>
          <w:tcPr>
            <w:tcW w:w="971" w:type="dxa"/>
            <w:shd w:val="clear" w:color="auto" w:fill="auto"/>
            <w:vAlign w:val="center"/>
          </w:tcPr>
          <w:p w14:paraId="3FE676D0" w14:textId="11D59BA6"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57"/>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57"/>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0768EF65" w14:textId="78AF278C"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5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5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5FB4A365" w14:textId="3E4E62D3"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55"/>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55"/>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2FED5241" w14:textId="45EDC9F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4"/>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4"/>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3E79450E" w14:textId="0B114D47"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3"/>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3"/>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4D5B01D4" w14:textId="4842CE3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35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35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3761F064"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+16%</w:t>
            </w:r>
          </w:p>
        </w:tc>
      </w:tr>
      <w:tr w:rsidR="000526CA" w:rsidRPr="00A60CFC" w14:paraId="58BF4FDA" w14:textId="77777777" w:rsidTr="007D5757">
        <w:tc>
          <w:tcPr>
            <w:tcW w:w="9017" w:type="dxa"/>
            <w:gridSpan w:val="8"/>
            <w:shd w:val="clear" w:color="auto" w:fill="auto"/>
            <w:vAlign w:val="center"/>
          </w:tcPr>
          <w:p w14:paraId="7003B18D" w14:textId="77777777" w:rsidR="000526CA" w:rsidRPr="00A60CFC" w:rsidRDefault="000526CA" w:rsidP="007D5757">
            <w:pPr>
              <w:keepNext/>
              <w:jc w:val="left"/>
              <w:rPr>
                <w:rFonts w:ascii="Arial Narrow" w:hAnsi="Arial Narrow" w:cs="Calibri"/>
                <w:b/>
                <w:bCs/>
                <w:color w:val="000000"/>
                <w:sz w:val="20"/>
                <w:szCs w:val="20"/>
              </w:rPr>
            </w:pPr>
            <w:r w:rsidRPr="00A60CFC">
              <w:rPr>
                <w:rFonts w:ascii="Arial Narrow" w:hAnsi="Arial Narrow" w:cs="Calibri"/>
                <w:b/>
                <w:bCs/>
                <w:color w:val="000000"/>
                <w:sz w:val="20"/>
                <w:szCs w:val="20"/>
              </w:rPr>
              <w:t>Proportion eligible for surgery (base case: CD 98% 1</w:t>
            </w:r>
            <w:r w:rsidRPr="00A60CFC">
              <w:rPr>
                <w:rFonts w:ascii="Arial Narrow" w:hAnsi="Arial Narrow" w:cs="Calibri"/>
                <w:b/>
                <w:bCs/>
                <w:color w:val="000000"/>
                <w:sz w:val="20"/>
                <w:szCs w:val="20"/>
                <w:vertAlign w:val="superscript"/>
              </w:rPr>
              <w:t>st</w:t>
            </w:r>
            <w:r w:rsidRPr="00A60CFC">
              <w:rPr>
                <w:rFonts w:ascii="Arial Narrow" w:hAnsi="Arial Narrow" w:cs="Calibri"/>
                <w:b/>
                <w:bCs/>
                <w:color w:val="000000"/>
                <w:sz w:val="20"/>
                <w:szCs w:val="20"/>
              </w:rPr>
              <w:t>, 50% 2</w:t>
            </w:r>
            <w:r w:rsidRPr="00A60CFC">
              <w:rPr>
                <w:rFonts w:ascii="Arial Narrow" w:hAnsi="Arial Narrow" w:cs="Calibri"/>
                <w:b/>
                <w:bCs/>
                <w:color w:val="000000"/>
                <w:sz w:val="20"/>
                <w:szCs w:val="20"/>
                <w:vertAlign w:val="superscript"/>
              </w:rPr>
              <w:t>nd</w:t>
            </w:r>
            <w:r w:rsidRPr="00A60CFC">
              <w:rPr>
                <w:rFonts w:ascii="Arial Narrow" w:hAnsi="Arial Narrow" w:cs="Calibri"/>
                <w:b/>
                <w:bCs/>
                <w:color w:val="000000"/>
                <w:sz w:val="20"/>
                <w:szCs w:val="20"/>
              </w:rPr>
              <w:t>; ACTH-dependent 50%; ACTH-independent 95%)</w:t>
            </w:r>
          </w:p>
        </w:tc>
      </w:tr>
      <w:tr w:rsidR="000526CA" w:rsidRPr="00A60CFC" w14:paraId="5132CF82" w14:textId="77777777" w:rsidTr="005141D0">
        <w:tc>
          <w:tcPr>
            <w:tcW w:w="1696" w:type="dxa"/>
            <w:shd w:val="clear" w:color="auto" w:fill="auto"/>
            <w:vAlign w:val="center"/>
          </w:tcPr>
          <w:p w14:paraId="3E67521C" w14:textId="691CAE4D"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CD 1st: 80%</w:t>
            </w:r>
            <w:r w:rsidR="007647CD">
              <w:rPr>
                <w:rFonts w:ascii="Arial Narrow" w:hAnsi="Arial Narrow" w:cs="Calibri"/>
                <w:color w:val="000000"/>
                <w:sz w:val="20"/>
                <w:szCs w:val="20"/>
              </w:rPr>
              <w:t xml:space="preserve"> ($)</w:t>
            </w:r>
          </w:p>
        </w:tc>
        <w:tc>
          <w:tcPr>
            <w:tcW w:w="971" w:type="dxa"/>
            <w:shd w:val="clear" w:color="auto" w:fill="auto"/>
            <w:vAlign w:val="center"/>
          </w:tcPr>
          <w:p w14:paraId="1CC5D5F0" w14:textId="12F0E27E"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68"/>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6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6CAD22E3" w14:textId="78890E74" w:rsidR="000526CA" w:rsidRPr="005141D0" w:rsidRDefault="00E228B8" w:rsidP="007D5757">
            <w:pPr>
              <w:keepNext/>
              <w:jc w:val="center"/>
              <w:rPr>
                <w:rFonts w:ascii="Arial Narrow" w:hAnsi="Arial Narrow" w:cs="Calibri"/>
                <w:color w:val="000000"/>
                <w:sz w:val="20"/>
                <w:szCs w:val="20"/>
                <w:highlight w:val="darkGray"/>
              </w:rPr>
            </w:pPr>
            <w:r w:rsidRPr="00E228B8">
              <w:rPr>
                <w:rFonts w:ascii="Arial Narrow" w:hAnsi="Arial Narrow" w:cs="Calibri"/>
                <w:color w:val="000000"/>
                <w:spacing w:val="167"/>
                <w:sz w:val="20"/>
                <w:szCs w:val="20"/>
                <w:shd w:val="solid" w:color="000000" w:fill="000000"/>
                <w:fitText w:val="253" w:id="-123445836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7"/>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49206257" w14:textId="07B11F5B" w:rsidR="000526CA" w:rsidRPr="005141D0" w:rsidRDefault="00E228B8" w:rsidP="007D5757">
            <w:pPr>
              <w:keepNext/>
              <w:jc w:val="center"/>
              <w:rPr>
                <w:rFonts w:ascii="Arial Narrow" w:hAnsi="Arial Narrow" w:cs="Calibri"/>
                <w:color w:val="000000"/>
                <w:sz w:val="20"/>
                <w:szCs w:val="20"/>
                <w:highlight w:val="darkGray"/>
              </w:rPr>
            </w:pPr>
            <w:r w:rsidRPr="00E228B8">
              <w:rPr>
                <w:rFonts w:ascii="Arial Narrow" w:hAnsi="Arial Narrow" w:cs="Calibri"/>
                <w:color w:val="000000"/>
                <w:spacing w:val="167"/>
                <w:sz w:val="20"/>
                <w:szCs w:val="20"/>
                <w:shd w:val="solid" w:color="000000" w:fill="000000"/>
                <w:fitText w:val="253" w:id="-123445836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7A697174" w14:textId="4E69A5E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65"/>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65"/>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3A3264C7" w14:textId="2051336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64"/>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64"/>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3A510707" w14:textId="36D03DF0" w:rsidR="000526CA" w:rsidRPr="005141D0" w:rsidRDefault="00E228B8" w:rsidP="007D5757">
            <w:pPr>
              <w:keepNext/>
              <w:jc w:val="center"/>
              <w:rPr>
                <w:rFonts w:ascii="Arial Narrow" w:hAnsi="Arial Narrow" w:cs="Calibri"/>
                <w:color w:val="000000"/>
                <w:sz w:val="20"/>
                <w:szCs w:val="20"/>
                <w:highlight w:val="darkGray"/>
              </w:rPr>
            </w:pPr>
            <w:r w:rsidRPr="00E228B8">
              <w:rPr>
                <w:rFonts w:ascii="Arial Narrow" w:hAnsi="Arial Narrow" w:cs="Calibri"/>
                <w:color w:val="000000"/>
                <w:spacing w:val="213"/>
                <w:sz w:val="20"/>
                <w:szCs w:val="20"/>
                <w:shd w:val="solid" w:color="000000" w:fill="000000"/>
                <w:fitText w:val="299" w:id="-1234458363"/>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363"/>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51875E20"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+28%</w:t>
            </w:r>
          </w:p>
        </w:tc>
      </w:tr>
      <w:tr w:rsidR="000526CA" w:rsidRPr="00A60CFC" w14:paraId="7440FD43" w14:textId="77777777" w:rsidTr="005141D0">
        <w:tc>
          <w:tcPr>
            <w:tcW w:w="1696" w:type="dxa"/>
            <w:shd w:val="clear" w:color="auto" w:fill="auto"/>
            <w:vAlign w:val="center"/>
          </w:tcPr>
          <w:p w14:paraId="254F9EEC" w14:textId="0C57B83C"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CD 2</w:t>
            </w:r>
            <w:r w:rsidRPr="00A60CFC">
              <w:rPr>
                <w:rFonts w:ascii="Arial Narrow" w:hAnsi="Arial Narrow" w:cs="Calibri"/>
                <w:color w:val="000000"/>
                <w:sz w:val="20"/>
                <w:szCs w:val="20"/>
                <w:vertAlign w:val="superscript"/>
              </w:rPr>
              <w:t>nd</w:t>
            </w:r>
            <w:r w:rsidRPr="00A60CFC">
              <w:rPr>
                <w:rFonts w:ascii="Arial Narrow" w:hAnsi="Arial Narrow" w:cs="Calibri"/>
                <w:color w:val="000000"/>
                <w:sz w:val="20"/>
                <w:szCs w:val="20"/>
              </w:rPr>
              <w:t>: 98%</w:t>
            </w:r>
            <w:r w:rsidR="007647CD">
              <w:rPr>
                <w:rFonts w:ascii="Arial Narrow" w:hAnsi="Arial Narrow" w:cs="Calibri"/>
                <w:color w:val="000000"/>
                <w:sz w:val="20"/>
                <w:szCs w:val="20"/>
              </w:rPr>
              <w:t xml:space="preserve"> ($)</w:t>
            </w:r>
          </w:p>
        </w:tc>
        <w:tc>
          <w:tcPr>
            <w:tcW w:w="971" w:type="dxa"/>
            <w:shd w:val="clear" w:color="auto" w:fill="auto"/>
            <w:vAlign w:val="center"/>
          </w:tcPr>
          <w:p w14:paraId="7A907E66" w14:textId="222B246E"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62"/>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6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144E17E0" w14:textId="12CC6E54"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6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12F6B9EE" w14:textId="1565BE3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60"/>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1E4792DD" w14:textId="085C705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9"/>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3AD9F2FD" w14:textId="0E93A08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8"/>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8"/>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564BB16B" w14:textId="2485F674" w:rsidR="000526CA" w:rsidRPr="005141D0" w:rsidRDefault="00E228B8" w:rsidP="007D5757">
            <w:pPr>
              <w:keepNext/>
              <w:jc w:val="center"/>
              <w:rPr>
                <w:rFonts w:ascii="Arial Narrow" w:hAnsi="Arial Narrow" w:cs="Calibri"/>
                <w:color w:val="000000"/>
                <w:sz w:val="20"/>
                <w:szCs w:val="20"/>
                <w:highlight w:val="darkGray"/>
              </w:rPr>
            </w:pPr>
            <w:r w:rsidRPr="00E228B8">
              <w:rPr>
                <w:rFonts w:ascii="Arial Narrow" w:hAnsi="Arial Narrow" w:cs="Calibri"/>
                <w:color w:val="000000"/>
                <w:spacing w:val="213"/>
                <w:sz w:val="20"/>
                <w:szCs w:val="20"/>
                <w:shd w:val="solid" w:color="000000" w:fill="000000"/>
                <w:fitText w:val="299" w:id="-123445835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357"/>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30E24A16"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-17%</w:t>
            </w:r>
          </w:p>
        </w:tc>
      </w:tr>
      <w:tr w:rsidR="000526CA" w:rsidRPr="00A60CFC" w14:paraId="63CEA19A" w14:textId="77777777" w:rsidTr="007D5757">
        <w:tc>
          <w:tcPr>
            <w:tcW w:w="9017" w:type="dxa"/>
            <w:gridSpan w:val="8"/>
            <w:shd w:val="clear" w:color="auto" w:fill="auto"/>
            <w:vAlign w:val="center"/>
          </w:tcPr>
          <w:p w14:paraId="7C40FA48" w14:textId="77777777" w:rsidR="000526CA" w:rsidRPr="00A60CFC" w:rsidRDefault="000526CA" w:rsidP="007D5757">
            <w:pPr>
              <w:keepNext/>
              <w:jc w:val="left"/>
              <w:rPr>
                <w:rFonts w:ascii="Arial Narrow" w:hAnsi="Arial Narrow" w:cs="Calibri"/>
                <w:b/>
                <w:bCs/>
                <w:color w:val="000000"/>
                <w:sz w:val="20"/>
                <w:szCs w:val="20"/>
              </w:rPr>
            </w:pPr>
            <w:r w:rsidRPr="00A60CFC">
              <w:rPr>
                <w:rFonts w:ascii="Arial Narrow" w:hAnsi="Arial Narrow" w:cs="Calibri"/>
                <w:b/>
                <w:bCs/>
                <w:color w:val="000000"/>
                <w:sz w:val="20"/>
                <w:szCs w:val="20"/>
              </w:rPr>
              <w:t>Surgery success rate (base case: CD 60% 1</w:t>
            </w:r>
            <w:r w:rsidRPr="00A60CFC">
              <w:rPr>
                <w:rFonts w:ascii="Arial Narrow" w:hAnsi="Arial Narrow" w:cs="Calibri"/>
                <w:b/>
                <w:bCs/>
                <w:color w:val="000000"/>
                <w:sz w:val="20"/>
                <w:szCs w:val="20"/>
                <w:vertAlign w:val="superscript"/>
              </w:rPr>
              <w:t>st</w:t>
            </w:r>
            <w:r w:rsidRPr="00A60CFC">
              <w:rPr>
                <w:rFonts w:ascii="Arial Narrow" w:hAnsi="Arial Narrow" w:cs="Calibri"/>
                <w:b/>
                <w:bCs/>
                <w:color w:val="000000"/>
                <w:sz w:val="20"/>
                <w:szCs w:val="20"/>
              </w:rPr>
              <w:t>, 40% 2</w:t>
            </w:r>
            <w:r w:rsidRPr="00A60CFC">
              <w:rPr>
                <w:rFonts w:ascii="Arial Narrow" w:hAnsi="Arial Narrow" w:cs="Calibri"/>
                <w:b/>
                <w:bCs/>
                <w:color w:val="000000"/>
                <w:sz w:val="20"/>
                <w:szCs w:val="20"/>
                <w:vertAlign w:val="superscript"/>
              </w:rPr>
              <w:t>nd</w:t>
            </w:r>
            <w:r w:rsidRPr="00A60CFC">
              <w:rPr>
                <w:rFonts w:ascii="Arial Narrow" w:hAnsi="Arial Narrow" w:cs="Calibri"/>
                <w:b/>
                <w:bCs/>
                <w:color w:val="000000"/>
                <w:sz w:val="20"/>
                <w:szCs w:val="20"/>
              </w:rPr>
              <w:t>; ACTH-dependent 83%; ACTH-independent 95%)</w:t>
            </w:r>
          </w:p>
        </w:tc>
      </w:tr>
      <w:tr w:rsidR="000526CA" w:rsidRPr="00A60CFC" w14:paraId="76421CAC" w14:textId="77777777" w:rsidTr="005141D0">
        <w:tc>
          <w:tcPr>
            <w:tcW w:w="1696" w:type="dxa"/>
            <w:shd w:val="clear" w:color="auto" w:fill="auto"/>
            <w:vAlign w:val="center"/>
          </w:tcPr>
          <w:p w14:paraId="091A7E1F" w14:textId="1C439DBB"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CD 1st: 80%</w:t>
            </w:r>
            <w:r w:rsidR="007647CD">
              <w:rPr>
                <w:rFonts w:ascii="Arial Narrow" w:hAnsi="Arial Narrow" w:cs="Calibri"/>
                <w:color w:val="000000"/>
                <w:sz w:val="20"/>
                <w:szCs w:val="20"/>
              </w:rPr>
              <w:t xml:space="preserve"> ($)</w:t>
            </w:r>
          </w:p>
        </w:tc>
        <w:tc>
          <w:tcPr>
            <w:tcW w:w="971" w:type="dxa"/>
            <w:shd w:val="clear" w:color="auto" w:fill="auto"/>
            <w:vAlign w:val="center"/>
          </w:tcPr>
          <w:p w14:paraId="58651153" w14:textId="5F1D0B9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56"/>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56"/>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3856817B" w14:textId="5843780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55"/>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55"/>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8" w:type="dxa"/>
            <w:shd w:val="clear" w:color="auto" w:fill="auto"/>
            <w:vAlign w:val="center"/>
          </w:tcPr>
          <w:p w14:paraId="69B22DD6" w14:textId="6C89A50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54"/>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54"/>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739568FE" w14:textId="0D142318"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3"/>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3"/>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45E9DAF3" w14:textId="6E6C2D1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352"/>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35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92" w:type="dxa"/>
            <w:shd w:val="clear" w:color="auto" w:fill="auto"/>
            <w:vAlign w:val="center"/>
          </w:tcPr>
          <w:p w14:paraId="37816DBA" w14:textId="5F31D1E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368"/>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36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7B5B3D0D"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-35%</w:t>
            </w:r>
          </w:p>
        </w:tc>
      </w:tr>
      <w:tr w:rsidR="000526CA" w:rsidRPr="00A60CFC" w14:paraId="441CC9F8" w14:textId="77777777" w:rsidTr="005141D0">
        <w:tc>
          <w:tcPr>
            <w:tcW w:w="1696" w:type="dxa"/>
            <w:shd w:val="clear" w:color="auto" w:fill="auto"/>
            <w:vAlign w:val="center"/>
          </w:tcPr>
          <w:p w14:paraId="6152E38D" w14:textId="6906D0CB"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CD 1st: 40%</w:t>
            </w:r>
            <w:r w:rsidR="007647CD">
              <w:rPr>
                <w:rFonts w:ascii="Arial Narrow" w:hAnsi="Arial Narrow" w:cs="Calibri"/>
                <w:color w:val="000000"/>
                <w:sz w:val="20"/>
                <w:szCs w:val="20"/>
              </w:rPr>
              <w:t xml:space="preserve"> ($)</w:t>
            </w:r>
          </w:p>
        </w:tc>
        <w:tc>
          <w:tcPr>
            <w:tcW w:w="971" w:type="dxa"/>
            <w:shd w:val="clear" w:color="auto" w:fill="auto"/>
            <w:vAlign w:val="center"/>
          </w:tcPr>
          <w:p w14:paraId="43F075CF" w14:textId="268B03CE"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367"/>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367"/>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7AE45B04" w14:textId="79626D56"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36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36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258499F9" w14:textId="416334CD" w:rsidR="000526CA" w:rsidRPr="005141D0" w:rsidRDefault="00E228B8" w:rsidP="007D5757">
            <w:pPr>
              <w:keepNext/>
              <w:jc w:val="center"/>
              <w:rPr>
                <w:rFonts w:ascii="Arial Narrow" w:hAnsi="Arial Narrow" w:cs="Calibri"/>
                <w:color w:val="000000"/>
                <w:sz w:val="20"/>
                <w:szCs w:val="20"/>
                <w:highlight w:val="darkGray"/>
              </w:rPr>
            </w:pPr>
            <w:r w:rsidRPr="00E228B8">
              <w:rPr>
                <w:rFonts w:ascii="Arial Narrow" w:hAnsi="Arial Narrow" w:cs="Calibri"/>
                <w:color w:val="000000"/>
                <w:spacing w:val="167"/>
                <w:sz w:val="20"/>
                <w:szCs w:val="20"/>
                <w:shd w:val="solid" w:color="000000" w:fill="000000"/>
                <w:fitText w:val="253" w:id="-123445811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12"/>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4</w:t>
            </w:r>
          </w:p>
        </w:tc>
        <w:tc>
          <w:tcPr>
            <w:tcW w:w="1134" w:type="dxa"/>
            <w:shd w:val="clear" w:color="auto" w:fill="auto"/>
            <w:vAlign w:val="center"/>
          </w:tcPr>
          <w:p w14:paraId="6B13A020" w14:textId="498D807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11"/>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1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6AF2CE14" w14:textId="63BFC94C"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10"/>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1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7FD8C92D" w14:textId="172F7F0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9"/>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9"/>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3AAAC38D"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+35%</w:t>
            </w:r>
          </w:p>
        </w:tc>
      </w:tr>
      <w:tr w:rsidR="000526CA" w:rsidRPr="00A60CFC" w14:paraId="0EE02326" w14:textId="77777777" w:rsidTr="005141D0">
        <w:tc>
          <w:tcPr>
            <w:tcW w:w="1696" w:type="dxa"/>
            <w:shd w:val="clear" w:color="auto" w:fill="auto"/>
            <w:vAlign w:val="center"/>
          </w:tcPr>
          <w:p w14:paraId="1F7D0F74" w14:textId="4584EEFC"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ACTH-independent: 60%</w:t>
            </w:r>
            <w:r w:rsidR="007647CD">
              <w:rPr>
                <w:rFonts w:ascii="Arial Narrow" w:hAnsi="Arial Narrow" w:cs="Calibri"/>
                <w:color w:val="000000"/>
                <w:sz w:val="20"/>
                <w:szCs w:val="20"/>
              </w:rPr>
              <w:t xml:space="preserve"> ($)</w:t>
            </w:r>
          </w:p>
        </w:tc>
        <w:tc>
          <w:tcPr>
            <w:tcW w:w="971" w:type="dxa"/>
            <w:shd w:val="clear" w:color="auto" w:fill="auto"/>
            <w:vAlign w:val="center"/>
          </w:tcPr>
          <w:p w14:paraId="1BC69F3F" w14:textId="28BE48B9"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108"/>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2DD80004" w14:textId="2E1D6FE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7"/>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528561E8" w14:textId="15AD742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6209F3EB" w14:textId="3016097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5"/>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5"/>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32DF7B21" w14:textId="644DD05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4"/>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4"/>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42836506" w14:textId="589C161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3"/>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3"/>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45C76E52" w14:textId="77777777" w:rsidR="000526CA" w:rsidRPr="00A60CFC" w:rsidRDefault="000526CA" w:rsidP="007D5757">
            <w:pPr>
              <w:keepNext/>
              <w:jc w:val="center"/>
              <w:rPr>
                <w:rFonts w:ascii="Arial Narrow" w:hAnsi="Arial Narrow" w:cs="Calibri"/>
                <w:color w:val="000000"/>
                <w:sz w:val="20"/>
                <w:szCs w:val="20"/>
              </w:rPr>
            </w:pPr>
            <w:r w:rsidRPr="00A60CFC">
              <w:rPr>
                <w:rFonts w:ascii="Arial Narrow" w:hAnsi="Arial Narrow" w:cs="Calibri"/>
                <w:color w:val="000000"/>
                <w:sz w:val="20"/>
                <w:szCs w:val="20"/>
              </w:rPr>
              <w:t>+21%</w:t>
            </w:r>
          </w:p>
        </w:tc>
      </w:tr>
      <w:tr w:rsidR="000526CA" w:rsidRPr="00A60CFC" w14:paraId="336251D3" w14:textId="77777777" w:rsidTr="005141D0">
        <w:tc>
          <w:tcPr>
            <w:tcW w:w="1696" w:type="dxa"/>
            <w:shd w:val="clear" w:color="auto" w:fill="auto"/>
            <w:vAlign w:val="center"/>
          </w:tcPr>
          <w:p w14:paraId="47B116BC" w14:textId="17D12153" w:rsidR="000526CA" w:rsidRPr="00A60CFC" w:rsidRDefault="000526CA" w:rsidP="007D5757">
            <w:pPr>
              <w:keepNext/>
              <w:tabs>
                <w:tab w:val="left" w:pos="142"/>
              </w:tabs>
              <w:ind w:left="102" w:hanging="102"/>
              <w:jc w:val="left"/>
              <w:rPr>
                <w:rFonts w:ascii="Arial Narrow" w:hAnsi="Arial Narrow" w:cs="Calibri"/>
                <w:color w:val="000000"/>
                <w:sz w:val="20"/>
                <w:szCs w:val="20"/>
              </w:rPr>
            </w:pPr>
            <w:r w:rsidRPr="00A60CFC">
              <w:rPr>
                <w:rFonts w:ascii="Arial Narrow" w:hAnsi="Arial Narrow" w:cs="Calibri"/>
                <w:color w:val="000000"/>
                <w:sz w:val="20"/>
                <w:szCs w:val="20"/>
              </w:rPr>
              <w:tab/>
              <w:t>ACTH-independent: 40%</w:t>
            </w:r>
            <w:r w:rsidR="007647CD">
              <w:rPr>
                <w:rFonts w:ascii="Arial Narrow" w:hAnsi="Arial Narrow" w:cs="Calibri"/>
                <w:color w:val="000000"/>
                <w:sz w:val="20"/>
                <w:szCs w:val="20"/>
              </w:rPr>
              <w:t xml:space="preserve"> ($)</w:t>
            </w:r>
          </w:p>
        </w:tc>
        <w:tc>
          <w:tcPr>
            <w:tcW w:w="971" w:type="dxa"/>
            <w:shd w:val="clear" w:color="auto" w:fill="auto"/>
            <w:vAlign w:val="center"/>
          </w:tcPr>
          <w:p w14:paraId="6FC21165" w14:textId="3041924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102"/>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03224D80" w14:textId="1AF1564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5603DA13" w14:textId="1F1F80F0" w:rsidR="000526CA" w:rsidRPr="005141D0" w:rsidRDefault="00E228B8" w:rsidP="007D5757">
            <w:pPr>
              <w:keepNext/>
              <w:jc w:val="center"/>
              <w:rPr>
                <w:rFonts w:ascii="Arial Narrow" w:hAnsi="Arial Narrow" w:cs="Calibri"/>
                <w:color w:val="000000"/>
                <w:sz w:val="20"/>
                <w:szCs w:val="20"/>
                <w:vertAlign w:val="superscript"/>
              </w:rPr>
            </w:pPr>
            <w:r w:rsidRPr="00E228B8">
              <w:rPr>
                <w:rFonts w:ascii="Arial Narrow" w:hAnsi="Arial Narrow" w:cs="Calibri"/>
                <w:color w:val="000000"/>
                <w:spacing w:val="167"/>
                <w:sz w:val="20"/>
                <w:szCs w:val="20"/>
                <w:shd w:val="solid" w:color="000000" w:fill="000000"/>
                <w:fitText w:val="253" w:id="-1234458100"/>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0"/>
                <w14:textFill>
                  <w14:solidFill>
                    <w14:srgbClr w14:val="000000">
                      <w14:alpha w14:val="100000"/>
                    </w14:srgbClr>
                  </w14:solidFill>
                </w14:textFill>
              </w:rPr>
              <w:t>|</w:t>
            </w:r>
            <w:r w:rsidR="007647CD" w:rsidRPr="005141D0">
              <w:rPr>
                <w:rFonts w:ascii="Arial Narrow" w:hAnsi="Arial Narrow" w:cs="Calibri"/>
                <w:color w:val="000000"/>
                <w:sz w:val="20"/>
                <w:szCs w:val="20"/>
              </w:rPr>
              <w:t xml:space="preserve"> </w:t>
            </w:r>
            <w:r w:rsidR="007647CD" w:rsidRPr="005141D0">
              <w:rPr>
                <w:rFonts w:ascii="Arial Narrow" w:hAnsi="Arial Narrow" w:cs="Calibri"/>
                <w:color w:val="000000"/>
                <w:sz w:val="20"/>
                <w:szCs w:val="20"/>
                <w:vertAlign w:val="superscript"/>
              </w:rPr>
              <w:t>4</w:t>
            </w:r>
          </w:p>
        </w:tc>
        <w:tc>
          <w:tcPr>
            <w:tcW w:w="1134" w:type="dxa"/>
            <w:shd w:val="clear" w:color="auto" w:fill="auto"/>
            <w:vAlign w:val="center"/>
          </w:tcPr>
          <w:p w14:paraId="6CD1FC0B" w14:textId="77E551D9"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09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099"/>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4EBF2D7A" w14:textId="3439E3CE"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098"/>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098"/>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17408859" w14:textId="7DC90D2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09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097"/>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21BB8ECF" w14:textId="77777777" w:rsidR="000526CA" w:rsidRPr="007647CD" w:rsidRDefault="000526CA" w:rsidP="007D5757">
            <w:pPr>
              <w:keepNext/>
              <w:jc w:val="center"/>
              <w:rPr>
                <w:rFonts w:ascii="Arial Narrow" w:hAnsi="Arial Narrow" w:cs="Calibri"/>
                <w:color w:val="000000"/>
                <w:sz w:val="20"/>
                <w:szCs w:val="20"/>
              </w:rPr>
            </w:pPr>
            <w:r w:rsidRPr="007647CD">
              <w:rPr>
                <w:rFonts w:ascii="Arial Narrow" w:hAnsi="Arial Narrow" w:cs="Calibri"/>
                <w:color w:val="000000"/>
                <w:sz w:val="20"/>
                <w:szCs w:val="20"/>
              </w:rPr>
              <w:t>+34%</w:t>
            </w:r>
          </w:p>
        </w:tc>
      </w:tr>
      <w:tr w:rsidR="000526CA" w:rsidRPr="00A60CFC" w14:paraId="6DBA6B1C" w14:textId="77777777" w:rsidTr="007D5757">
        <w:tc>
          <w:tcPr>
            <w:tcW w:w="9017" w:type="dxa"/>
            <w:gridSpan w:val="8"/>
            <w:shd w:val="clear" w:color="auto" w:fill="auto"/>
            <w:vAlign w:val="center"/>
          </w:tcPr>
          <w:p w14:paraId="5DE9CF16" w14:textId="79440B74" w:rsidR="000526CA" w:rsidRPr="00A63686" w:rsidRDefault="000526CA" w:rsidP="007D5757">
            <w:pPr>
              <w:keepNext/>
              <w:jc w:val="left"/>
              <w:rPr>
                <w:rFonts w:ascii="Arial Narrow" w:hAnsi="Arial Narrow" w:cs="Calibri"/>
                <w:b/>
                <w:bCs/>
                <w:color w:val="000000"/>
                <w:sz w:val="20"/>
                <w:szCs w:val="20"/>
              </w:rPr>
            </w:pPr>
            <w:r w:rsidRPr="00A63686">
              <w:rPr>
                <w:rFonts w:ascii="Arial Narrow" w:hAnsi="Arial Narrow" w:cs="Calibri"/>
                <w:b/>
                <w:bCs/>
                <w:sz w:val="20"/>
                <w:szCs w:val="20"/>
              </w:rPr>
              <w:t xml:space="preserve">Uptake (base case: prevalent population </w:t>
            </w:r>
            <w:r w:rsidR="00E228B8" w:rsidRPr="00E228B8">
              <w:rPr>
                <w:rFonts w:ascii="Arial Narrow" w:hAnsi="Arial Narrow" w:cs="Calibri"/>
                <w:b/>
                <w:bCs/>
                <w:color w:val="000000"/>
                <w:spacing w:val="39"/>
                <w:sz w:val="20"/>
                <w:szCs w:val="20"/>
                <w:shd w:val="solid" w:color="000000" w:fill="000000"/>
                <w:fitText w:val="472" w:id="-1234458096"/>
                <w14:textFill>
                  <w14:solidFill>
                    <w14:srgbClr w14:val="000000">
                      <w14:alpha w14:val="100000"/>
                    </w14:srgbClr>
                  </w14:solidFill>
                </w14:textFill>
              </w:rPr>
              <w:t>|||||</w:t>
            </w:r>
            <w:r w:rsidR="00E228B8" w:rsidRPr="00E228B8">
              <w:rPr>
                <w:rFonts w:ascii="Arial Narrow" w:hAnsi="Arial Narrow" w:cs="Calibri"/>
                <w:b/>
                <w:bCs/>
                <w:color w:val="000000"/>
                <w:spacing w:val="2"/>
                <w:sz w:val="20"/>
                <w:szCs w:val="20"/>
                <w:shd w:val="solid" w:color="000000" w:fill="000000"/>
                <w:fitText w:val="472" w:id="-1234458096"/>
                <w14:textFill>
                  <w14:solidFill>
                    <w14:srgbClr w14:val="000000">
                      <w14:alpha w14:val="100000"/>
                    </w14:srgbClr>
                  </w14:solidFill>
                </w14:textFill>
              </w:rPr>
              <w:t>|</w:t>
            </w:r>
            <w:r w:rsidRPr="000818D9">
              <w:rPr>
                <w:rFonts w:ascii="Arial Narrow" w:hAnsi="Arial Narrow" w:cs="Calibri"/>
                <w:b/>
                <w:bCs/>
                <w:sz w:val="20"/>
                <w:szCs w:val="20"/>
              </w:rPr>
              <w:t>%</w:t>
            </w:r>
            <w:r w:rsidRPr="00A63686">
              <w:rPr>
                <w:rFonts w:ascii="Arial Narrow" w:hAnsi="Arial Narrow" w:cs="Calibri"/>
                <w:b/>
                <w:bCs/>
                <w:sz w:val="20"/>
                <w:szCs w:val="20"/>
              </w:rPr>
              <w:t xml:space="preserve"> Year 1, </w:t>
            </w:r>
            <w:r w:rsidR="00E228B8" w:rsidRPr="00E228B8">
              <w:rPr>
                <w:rFonts w:ascii="Arial Narrow" w:hAnsi="Arial Narrow" w:cs="Calibri"/>
                <w:b/>
                <w:bCs/>
                <w:color w:val="000000"/>
                <w:spacing w:val="39"/>
                <w:sz w:val="20"/>
                <w:szCs w:val="20"/>
                <w:shd w:val="solid" w:color="000000" w:fill="000000"/>
                <w:fitText w:val="473" w:id="-1234458112"/>
                <w14:textFill>
                  <w14:solidFill>
                    <w14:srgbClr w14:val="000000">
                      <w14:alpha w14:val="100000"/>
                    </w14:srgbClr>
                  </w14:solidFill>
                </w14:textFill>
              </w:rPr>
              <w:t>|||||</w:t>
            </w:r>
            <w:r w:rsidR="00E228B8" w:rsidRPr="00E228B8">
              <w:rPr>
                <w:rFonts w:ascii="Arial Narrow" w:hAnsi="Arial Narrow" w:cs="Calibri"/>
                <w:b/>
                <w:bCs/>
                <w:color w:val="000000"/>
                <w:spacing w:val="3"/>
                <w:sz w:val="20"/>
                <w:szCs w:val="20"/>
                <w:shd w:val="solid" w:color="000000" w:fill="000000"/>
                <w:fitText w:val="473" w:id="-1234458112"/>
                <w14:textFill>
                  <w14:solidFill>
                    <w14:srgbClr w14:val="000000">
                      <w14:alpha w14:val="100000"/>
                    </w14:srgbClr>
                  </w14:solidFill>
                </w14:textFill>
              </w:rPr>
              <w:t>|</w:t>
            </w:r>
            <w:r w:rsidRPr="000818D9">
              <w:rPr>
                <w:rFonts w:ascii="Arial Narrow" w:hAnsi="Arial Narrow" w:cs="Calibri"/>
                <w:b/>
                <w:bCs/>
                <w:sz w:val="20"/>
                <w:szCs w:val="20"/>
              </w:rPr>
              <w:t>%</w:t>
            </w:r>
            <w:r w:rsidRPr="00A63686">
              <w:rPr>
                <w:rFonts w:ascii="Arial Narrow" w:hAnsi="Arial Narrow" w:cs="Calibri"/>
                <w:b/>
                <w:bCs/>
                <w:sz w:val="20"/>
                <w:szCs w:val="20"/>
              </w:rPr>
              <w:t xml:space="preserve"> Year 2, </w:t>
            </w:r>
            <w:r w:rsidR="00E228B8" w:rsidRPr="00E228B8">
              <w:rPr>
                <w:rFonts w:ascii="Arial Narrow" w:hAnsi="Arial Narrow" w:cs="Calibri"/>
                <w:b/>
                <w:bCs/>
                <w:color w:val="000000"/>
                <w:spacing w:val="39"/>
                <w:sz w:val="20"/>
                <w:szCs w:val="20"/>
                <w:shd w:val="solid" w:color="000000" w:fill="000000"/>
                <w:fitText w:val="472" w:id="-1234458111"/>
                <w14:textFill>
                  <w14:solidFill>
                    <w14:srgbClr w14:val="000000">
                      <w14:alpha w14:val="100000"/>
                    </w14:srgbClr>
                  </w14:solidFill>
                </w14:textFill>
              </w:rPr>
              <w:t>|||||</w:t>
            </w:r>
            <w:r w:rsidR="00E228B8" w:rsidRPr="00E228B8">
              <w:rPr>
                <w:rFonts w:ascii="Arial Narrow" w:hAnsi="Arial Narrow" w:cs="Calibri"/>
                <w:b/>
                <w:bCs/>
                <w:color w:val="000000"/>
                <w:spacing w:val="2"/>
                <w:sz w:val="20"/>
                <w:szCs w:val="20"/>
                <w:shd w:val="solid" w:color="000000" w:fill="000000"/>
                <w:fitText w:val="472" w:id="-1234458111"/>
                <w14:textFill>
                  <w14:solidFill>
                    <w14:srgbClr w14:val="000000">
                      <w14:alpha w14:val="100000"/>
                    </w14:srgbClr>
                  </w14:solidFill>
                </w14:textFill>
              </w:rPr>
              <w:t>|</w:t>
            </w:r>
            <w:r w:rsidRPr="000818D9">
              <w:rPr>
                <w:rFonts w:ascii="Arial Narrow" w:hAnsi="Arial Narrow" w:cs="Calibri"/>
                <w:b/>
                <w:bCs/>
                <w:sz w:val="20"/>
                <w:szCs w:val="20"/>
              </w:rPr>
              <w:t>%</w:t>
            </w:r>
            <w:r w:rsidRPr="00A63686">
              <w:rPr>
                <w:rFonts w:ascii="Arial Narrow" w:hAnsi="Arial Narrow" w:cs="Calibri"/>
                <w:b/>
                <w:bCs/>
                <w:sz w:val="20"/>
                <w:szCs w:val="20"/>
              </w:rPr>
              <w:t xml:space="preserve"> Year 3; incident population </w:t>
            </w:r>
            <w:r w:rsidR="00E228B8" w:rsidRPr="00E228B8">
              <w:rPr>
                <w:rFonts w:ascii="Arial Narrow" w:hAnsi="Arial Narrow" w:cs="Calibri"/>
                <w:b/>
                <w:bCs/>
                <w:color w:val="000000"/>
                <w:spacing w:val="39"/>
                <w:sz w:val="20"/>
                <w:szCs w:val="20"/>
                <w:shd w:val="solid" w:color="000000" w:fill="000000"/>
                <w:fitText w:val="472" w:id="-1234458110"/>
                <w14:textFill>
                  <w14:solidFill>
                    <w14:srgbClr w14:val="000000">
                      <w14:alpha w14:val="100000"/>
                    </w14:srgbClr>
                  </w14:solidFill>
                </w14:textFill>
              </w:rPr>
              <w:t>|||||</w:t>
            </w:r>
            <w:r w:rsidR="00E228B8" w:rsidRPr="00E228B8">
              <w:rPr>
                <w:rFonts w:ascii="Arial Narrow" w:hAnsi="Arial Narrow" w:cs="Calibri"/>
                <w:b/>
                <w:bCs/>
                <w:color w:val="000000"/>
                <w:spacing w:val="2"/>
                <w:sz w:val="20"/>
                <w:szCs w:val="20"/>
                <w:shd w:val="solid" w:color="000000" w:fill="000000"/>
                <w:fitText w:val="472" w:id="-1234458110"/>
                <w14:textFill>
                  <w14:solidFill>
                    <w14:srgbClr w14:val="000000">
                      <w14:alpha w14:val="100000"/>
                    </w14:srgbClr>
                  </w14:solidFill>
                </w14:textFill>
              </w:rPr>
              <w:t>|</w:t>
            </w:r>
            <w:r w:rsidRPr="000818D9">
              <w:rPr>
                <w:rFonts w:ascii="Arial Narrow" w:hAnsi="Arial Narrow" w:cs="Calibri"/>
                <w:b/>
                <w:bCs/>
                <w:sz w:val="20"/>
                <w:szCs w:val="20"/>
              </w:rPr>
              <w:t>%</w:t>
            </w:r>
            <w:r w:rsidRPr="00A63686">
              <w:rPr>
                <w:rFonts w:ascii="Arial Narrow" w:hAnsi="Arial Narrow" w:cs="Calibri"/>
                <w:b/>
                <w:bCs/>
                <w:sz w:val="20"/>
                <w:szCs w:val="20"/>
              </w:rPr>
              <w:t xml:space="preserve"> Years 2–6)</w:t>
            </w:r>
            <w:r w:rsidRPr="00A63686">
              <w:rPr>
                <w:rFonts w:ascii="Arial Narrow" w:hAnsi="Arial Narrow" w:cs="Calibri"/>
                <w:b/>
                <w:bCs/>
                <w:color w:val="000000"/>
                <w:sz w:val="20"/>
                <w:szCs w:val="20"/>
                <w:lang w:eastAsia="zh-TW"/>
              </w:rPr>
              <w:t> </w:t>
            </w:r>
          </w:p>
        </w:tc>
      </w:tr>
      <w:tr w:rsidR="000526CA" w:rsidRPr="00A60CFC" w14:paraId="085F6A9B" w14:textId="77777777" w:rsidTr="005141D0">
        <w:tc>
          <w:tcPr>
            <w:tcW w:w="1696" w:type="dxa"/>
            <w:shd w:val="clear" w:color="auto" w:fill="auto"/>
            <w:vAlign w:val="center"/>
          </w:tcPr>
          <w:p w14:paraId="23AC157F" w14:textId="4CF83695"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sz w:val="20"/>
                <w:szCs w:val="20"/>
              </w:rPr>
              <w:tab/>
              <w:t>50% Year 1 prevalent</w:t>
            </w:r>
            <w:r w:rsidR="007647CD">
              <w:rPr>
                <w:rFonts w:ascii="Arial Narrow" w:hAnsi="Arial Narrow" w:cs="Calibri"/>
                <w:color w:val="000000"/>
                <w:sz w:val="20"/>
                <w:szCs w:val="20"/>
              </w:rPr>
              <w:t xml:space="preserve"> ($)</w:t>
            </w:r>
          </w:p>
        </w:tc>
        <w:tc>
          <w:tcPr>
            <w:tcW w:w="971" w:type="dxa"/>
            <w:shd w:val="clear" w:color="auto" w:fill="auto"/>
            <w:vAlign w:val="center"/>
          </w:tcPr>
          <w:p w14:paraId="1BC17A96" w14:textId="39D77127" w:rsidR="000526CA" w:rsidRPr="005141D0" w:rsidRDefault="00E228B8" w:rsidP="007D5757">
            <w:pPr>
              <w:keepNext/>
              <w:jc w:val="center"/>
              <w:rPr>
                <w:rFonts w:ascii="Arial Narrow" w:hAnsi="Arial Narrow" w:cs="Calibri"/>
                <w:color w:val="000000"/>
                <w:sz w:val="20"/>
                <w:szCs w:val="20"/>
                <w:vertAlign w:val="superscript"/>
              </w:rPr>
            </w:pPr>
            <w:r w:rsidRPr="00E228B8">
              <w:rPr>
                <w:rFonts w:ascii="Arial Narrow" w:hAnsi="Arial Narrow" w:cs="Calibri"/>
                <w:color w:val="000000"/>
                <w:spacing w:val="46"/>
                <w:sz w:val="20"/>
                <w:szCs w:val="20"/>
                <w:shd w:val="solid" w:color="000000" w:fill="000000"/>
                <w:fitText w:val="311" w:id="-1234458109"/>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9"/>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0" w:type="dxa"/>
            <w:shd w:val="clear" w:color="auto" w:fill="auto"/>
            <w:vAlign w:val="center"/>
          </w:tcPr>
          <w:p w14:paraId="688890F9" w14:textId="04A60AD0"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8"/>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8"/>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5A2EA168" w14:textId="3FFE84E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7"/>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49F303C6" w14:textId="163646F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6"/>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0AE4997A" w14:textId="5753834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5"/>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5"/>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7EE088ED" w14:textId="6178ABB7"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4"/>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4"/>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Merge w:val="restart"/>
            <w:vAlign w:val="center"/>
          </w:tcPr>
          <w:p w14:paraId="06F1E15D"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-0.0002%</w:t>
            </w:r>
          </w:p>
        </w:tc>
      </w:tr>
      <w:tr w:rsidR="000526CA" w:rsidRPr="00A60CFC" w14:paraId="7A7556FE" w14:textId="77777777" w:rsidTr="005141D0">
        <w:tc>
          <w:tcPr>
            <w:tcW w:w="1696" w:type="dxa"/>
            <w:shd w:val="clear" w:color="auto" w:fill="auto"/>
            <w:vAlign w:val="center"/>
          </w:tcPr>
          <w:p w14:paraId="4F896A2A" w14:textId="77777777" w:rsidR="000526CA" w:rsidRPr="00A63686" w:rsidRDefault="000526CA" w:rsidP="007D5757">
            <w:pPr>
              <w:keepNext/>
              <w:tabs>
                <w:tab w:val="left" w:pos="142"/>
              </w:tabs>
              <w:ind w:left="102" w:hanging="102"/>
              <w:rPr>
                <w:rFonts w:ascii="Arial Narrow" w:hAnsi="Arial Narrow" w:cs="Calibri"/>
                <w:color w:val="000000"/>
                <w:sz w:val="20"/>
                <w:szCs w:val="20"/>
              </w:rPr>
            </w:pPr>
            <w:r w:rsidRPr="00A63686">
              <w:rPr>
                <w:rFonts w:ascii="Arial Narrow" w:hAnsi="Arial Narrow" w:cs="Calibri"/>
                <w:color w:val="000000"/>
                <w:sz w:val="20"/>
                <w:szCs w:val="20"/>
              </w:rPr>
              <w:tab/>
              <w:t>% change per year</w:t>
            </w:r>
          </w:p>
        </w:tc>
        <w:tc>
          <w:tcPr>
            <w:tcW w:w="971" w:type="dxa"/>
            <w:shd w:val="clear" w:color="auto" w:fill="auto"/>
            <w:vAlign w:val="center"/>
          </w:tcPr>
          <w:p w14:paraId="65BAAD64"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+150%</w:t>
            </w:r>
          </w:p>
        </w:tc>
        <w:tc>
          <w:tcPr>
            <w:tcW w:w="1070" w:type="dxa"/>
            <w:shd w:val="clear" w:color="auto" w:fill="auto"/>
            <w:vAlign w:val="center"/>
          </w:tcPr>
          <w:p w14:paraId="459AB0E4"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-4%</w:t>
            </w:r>
          </w:p>
        </w:tc>
        <w:tc>
          <w:tcPr>
            <w:tcW w:w="1078" w:type="dxa"/>
            <w:shd w:val="clear" w:color="auto" w:fill="auto"/>
            <w:vAlign w:val="center"/>
          </w:tcPr>
          <w:p w14:paraId="5A80F351"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0%</w:t>
            </w:r>
          </w:p>
        </w:tc>
        <w:tc>
          <w:tcPr>
            <w:tcW w:w="1134" w:type="dxa"/>
            <w:shd w:val="clear" w:color="auto" w:fill="auto"/>
            <w:vAlign w:val="center"/>
          </w:tcPr>
          <w:p w14:paraId="20035820"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-30%</w:t>
            </w:r>
          </w:p>
        </w:tc>
        <w:tc>
          <w:tcPr>
            <w:tcW w:w="1134" w:type="dxa"/>
            <w:shd w:val="clear" w:color="auto" w:fill="auto"/>
            <w:vAlign w:val="center"/>
          </w:tcPr>
          <w:p w14:paraId="3B58741B"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-17%</w:t>
            </w:r>
          </w:p>
        </w:tc>
        <w:tc>
          <w:tcPr>
            <w:tcW w:w="992" w:type="dxa"/>
            <w:shd w:val="clear" w:color="auto" w:fill="auto"/>
            <w:vAlign w:val="center"/>
          </w:tcPr>
          <w:p w14:paraId="4B6AF74A"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0%</w:t>
            </w:r>
          </w:p>
        </w:tc>
        <w:tc>
          <w:tcPr>
            <w:tcW w:w="942" w:type="dxa"/>
            <w:vMerge/>
            <w:vAlign w:val="center"/>
          </w:tcPr>
          <w:p w14:paraId="619DB6A9" w14:textId="77777777" w:rsidR="000526CA" w:rsidRPr="00A63686" w:rsidRDefault="000526CA" w:rsidP="007D5757">
            <w:pPr>
              <w:keepNext/>
              <w:jc w:val="center"/>
              <w:rPr>
                <w:rFonts w:ascii="Arial Narrow" w:hAnsi="Arial Narrow" w:cs="Calibri"/>
                <w:color w:val="000000"/>
                <w:sz w:val="20"/>
                <w:szCs w:val="20"/>
              </w:rPr>
            </w:pPr>
          </w:p>
        </w:tc>
      </w:tr>
      <w:tr w:rsidR="000526CA" w:rsidRPr="00A60CFC" w14:paraId="75E537E3" w14:textId="77777777" w:rsidTr="005141D0">
        <w:tc>
          <w:tcPr>
            <w:tcW w:w="1696" w:type="dxa"/>
            <w:shd w:val="clear" w:color="auto" w:fill="auto"/>
            <w:vAlign w:val="center"/>
          </w:tcPr>
          <w:p w14:paraId="02975A2B" w14:textId="6952CC44"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sz w:val="20"/>
                <w:szCs w:val="20"/>
              </w:rPr>
              <w:tab/>
              <w:t>50% Year 1 + 70% Year 2 prevalent</w:t>
            </w:r>
            <w:r w:rsidR="007647CD">
              <w:rPr>
                <w:rFonts w:ascii="Arial Narrow" w:hAnsi="Arial Narrow" w:cs="Calibri"/>
                <w:color w:val="000000"/>
                <w:sz w:val="20"/>
                <w:szCs w:val="20"/>
              </w:rPr>
              <w:t xml:space="preserve"> ($)</w:t>
            </w:r>
          </w:p>
        </w:tc>
        <w:tc>
          <w:tcPr>
            <w:tcW w:w="971" w:type="dxa"/>
            <w:shd w:val="clear" w:color="auto" w:fill="auto"/>
            <w:vAlign w:val="center"/>
          </w:tcPr>
          <w:p w14:paraId="036ADBE5" w14:textId="626BFF39"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103"/>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3"/>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0" w:type="dxa"/>
            <w:shd w:val="clear" w:color="auto" w:fill="auto"/>
            <w:vAlign w:val="center"/>
          </w:tcPr>
          <w:p w14:paraId="3582A37B" w14:textId="5A3C75B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2"/>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6FC6747F" w14:textId="75DFBA36"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2B70205A" w14:textId="3514959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0"/>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0795EC0C" w14:textId="58F9ABE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09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099"/>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92" w:type="dxa"/>
            <w:shd w:val="clear" w:color="auto" w:fill="auto"/>
            <w:vAlign w:val="center"/>
          </w:tcPr>
          <w:p w14:paraId="1D8D498D" w14:textId="1D9DC89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098"/>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09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Merge w:val="restart"/>
            <w:vAlign w:val="center"/>
          </w:tcPr>
          <w:p w14:paraId="504B5ABF"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0%</w:t>
            </w:r>
          </w:p>
        </w:tc>
      </w:tr>
      <w:tr w:rsidR="000526CA" w:rsidRPr="00A60CFC" w14:paraId="73EB496B" w14:textId="77777777" w:rsidTr="005141D0">
        <w:tc>
          <w:tcPr>
            <w:tcW w:w="1696" w:type="dxa"/>
            <w:shd w:val="clear" w:color="auto" w:fill="auto"/>
            <w:vAlign w:val="center"/>
          </w:tcPr>
          <w:p w14:paraId="759DEBE2" w14:textId="77777777" w:rsidR="000526CA" w:rsidRPr="00A63686" w:rsidRDefault="000526CA" w:rsidP="007D5757">
            <w:pPr>
              <w:keepNext/>
              <w:tabs>
                <w:tab w:val="left" w:pos="142"/>
              </w:tabs>
              <w:ind w:left="102" w:hanging="102"/>
              <w:rPr>
                <w:rFonts w:ascii="Arial Narrow" w:hAnsi="Arial Narrow" w:cs="Calibri"/>
                <w:color w:val="000000"/>
                <w:sz w:val="20"/>
                <w:szCs w:val="20"/>
              </w:rPr>
            </w:pPr>
            <w:r w:rsidRPr="00A63686">
              <w:rPr>
                <w:rFonts w:ascii="Arial Narrow" w:hAnsi="Arial Narrow" w:cs="Calibri"/>
                <w:color w:val="000000"/>
                <w:sz w:val="20"/>
                <w:szCs w:val="20"/>
              </w:rPr>
              <w:tab/>
              <w:t>% change per year</w:t>
            </w:r>
          </w:p>
        </w:tc>
        <w:tc>
          <w:tcPr>
            <w:tcW w:w="971" w:type="dxa"/>
            <w:shd w:val="clear" w:color="auto" w:fill="auto"/>
            <w:vAlign w:val="center"/>
          </w:tcPr>
          <w:p w14:paraId="466F3703"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+150%</w:t>
            </w:r>
          </w:p>
        </w:tc>
        <w:tc>
          <w:tcPr>
            <w:tcW w:w="1070" w:type="dxa"/>
            <w:shd w:val="clear" w:color="auto" w:fill="auto"/>
            <w:vAlign w:val="center"/>
          </w:tcPr>
          <w:p w14:paraId="339E35F2"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+35%</w:t>
            </w:r>
          </w:p>
        </w:tc>
        <w:tc>
          <w:tcPr>
            <w:tcW w:w="1078" w:type="dxa"/>
            <w:shd w:val="clear" w:color="auto" w:fill="auto"/>
            <w:vAlign w:val="center"/>
          </w:tcPr>
          <w:p w14:paraId="5788662B"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-2%</w:t>
            </w:r>
          </w:p>
        </w:tc>
        <w:tc>
          <w:tcPr>
            <w:tcW w:w="1134" w:type="dxa"/>
            <w:shd w:val="clear" w:color="auto" w:fill="auto"/>
            <w:vAlign w:val="center"/>
          </w:tcPr>
          <w:p w14:paraId="26C476FC"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-30%</w:t>
            </w:r>
          </w:p>
        </w:tc>
        <w:tc>
          <w:tcPr>
            <w:tcW w:w="1134" w:type="dxa"/>
            <w:shd w:val="clear" w:color="auto" w:fill="auto"/>
            <w:vAlign w:val="center"/>
          </w:tcPr>
          <w:p w14:paraId="5A156295"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-48%</w:t>
            </w:r>
          </w:p>
        </w:tc>
        <w:tc>
          <w:tcPr>
            <w:tcW w:w="992" w:type="dxa"/>
            <w:shd w:val="clear" w:color="auto" w:fill="auto"/>
            <w:vAlign w:val="center"/>
          </w:tcPr>
          <w:p w14:paraId="0173E173"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-30%</w:t>
            </w:r>
          </w:p>
        </w:tc>
        <w:tc>
          <w:tcPr>
            <w:tcW w:w="942" w:type="dxa"/>
            <w:vMerge/>
            <w:vAlign w:val="center"/>
          </w:tcPr>
          <w:p w14:paraId="559C9ACB" w14:textId="77777777" w:rsidR="000526CA" w:rsidRPr="00A63686" w:rsidRDefault="000526CA" w:rsidP="007D5757">
            <w:pPr>
              <w:keepNext/>
              <w:jc w:val="center"/>
              <w:rPr>
                <w:rFonts w:ascii="Arial Narrow" w:hAnsi="Arial Narrow" w:cs="Calibri"/>
                <w:color w:val="000000"/>
                <w:sz w:val="20"/>
                <w:szCs w:val="20"/>
              </w:rPr>
            </w:pPr>
          </w:p>
        </w:tc>
      </w:tr>
      <w:tr w:rsidR="000526CA" w:rsidRPr="00A60CFC" w14:paraId="1BD8A60F" w14:textId="77777777" w:rsidTr="005141D0">
        <w:tc>
          <w:tcPr>
            <w:tcW w:w="1696" w:type="dxa"/>
            <w:shd w:val="clear" w:color="auto" w:fill="auto"/>
            <w:vAlign w:val="center"/>
          </w:tcPr>
          <w:p w14:paraId="246C73DA" w14:textId="753785B8"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sz w:val="20"/>
                <w:szCs w:val="20"/>
              </w:rPr>
              <w:tab/>
              <w:t>50% Year 2 prevalent+90% Year 2</w:t>
            </w:r>
            <w:r w:rsidR="007647CD">
              <w:rPr>
                <w:rFonts w:ascii="Arial Narrow" w:hAnsi="Arial Narrow" w:cs="Calibri"/>
                <w:color w:val="000000"/>
                <w:sz w:val="20"/>
                <w:szCs w:val="20"/>
              </w:rPr>
              <w:t> </w:t>
            </w:r>
            <w:r w:rsidR="007647CD" w:rsidRPr="00A63686">
              <w:rPr>
                <w:rFonts w:ascii="Arial Narrow" w:hAnsi="Arial Narrow" w:cs="Calibri"/>
                <w:color w:val="000000"/>
                <w:sz w:val="20"/>
                <w:szCs w:val="20"/>
              </w:rPr>
              <w:t>–</w:t>
            </w:r>
            <w:r w:rsidR="007647CD">
              <w:rPr>
                <w:rFonts w:ascii="Arial Narrow" w:hAnsi="Arial Narrow" w:cs="Calibri"/>
                <w:color w:val="000000"/>
                <w:sz w:val="20"/>
                <w:szCs w:val="20"/>
              </w:rPr>
              <w:t> </w:t>
            </w:r>
            <w:r w:rsidRPr="00A63686">
              <w:rPr>
                <w:rFonts w:ascii="Arial Narrow" w:hAnsi="Arial Narrow" w:cs="Calibri"/>
                <w:color w:val="000000"/>
                <w:sz w:val="20"/>
                <w:szCs w:val="20"/>
              </w:rPr>
              <w:t>6 incident</w:t>
            </w:r>
            <w:r w:rsidR="007647CD">
              <w:rPr>
                <w:rFonts w:ascii="Arial Narrow" w:hAnsi="Arial Narrow" w:cs="Calibri"/>
                <w:color w:val="000000"/>
                <w:sz w:val="20"/>
                <w:szCs w:val="20"/>
              </w:rPr>
              <w:t xml:space="preserve"> ($)</w:t>
            </w:r>
          </w:p>
        </w:tc>
        <w:tc>
          <w:tcPr>
            <w:tcW w:w="971" w:type="dxa"/>
            <w:shd w:val="clear" w:color="auto" w:fill="auto"/>
            <w:vAlign w:val="center"/>
          </w:tcPr>
          <w:p w14:paraId="6FA52DE9" w14:textId="7C0E93C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097"/>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097"/>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0" w:type="dxa"/>
            <w:shd w:val="clear" w:color="auto" w:fill="auto"/>
            <w:vAlign w:val="center"/>
          </w:tcPr>
          <w:p w14:paraId="2EDF3AEF" w14:textId="1A3A579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09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09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44E49CE5" w14:textId="3DEC2BB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1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12"/>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1163CE44" w14:textId="0808D8B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11"/>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1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134" w:type="dxa"/>
            <w:shd w:val="clear" w:color="auto" w:fill="auto"/>
            <w:vAlign w:val="center"/>
          </w:tcPr>
          <w:p w14:paraId="3CECCEB6" w14:textId="45B8A67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10"/>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1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63C2E4F2" w14:textId="4A7250CB"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9"/>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9"/>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Merge w:val="restart"/>
            <w:vAlign w:val="center"/>
          </w:tcPr>
          <w:p w14:paraId="46D60708"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w:t>
            </w:r>
          </w:p>
        </w:tc>
      </w:tr>
      <w:tr w:rsidR="000526CA" w:rsidRPr="00A60CFC" w14:paraId="7D6C63E3" w14:textId="77777777" w:rsidTr="005141D0">
        <w:tc>
          <w:tcPr>
            <w:tcW w:w="1696" w:type="dxa"/>
            <w:shd w:val="clear" w:color="auto" w:fill="auto"/>
            <w:vAlign w:val="center"/>
          </w:tcPr>
          <w:p w14:paraId="6167535B" w14:textId="77777777" w:rsidR="000526CA" w:rsidRPr="00A63686" w:rsidRDefault="000526CA" w:rsidP="007D5757">
            <w:pPr>
              <w:keepNext/>
              <w:tabs>
                <w:tab w:val="left" w:pos="142"/>
              </w:tabs>
              <w:ind w:left="102" w:hanging="102"/>
              <w:rPr>
                <w:rFonts w:ascii="Arial Narrow" w:hAnsi="Arial Narrow" w:cs="Calibri"/>
                <w:color w:val="000000"/>
                <w:sz w:val="20"/>
                <w:szCs w:val="20"/>
              </w:rPr>
            </w:pPr>
            <w:r w:rsidRPr="00A63686">
              <w:rPr>
                <w:rFonts w:ascii="Arial Narrow" w:hAnsi="Arial Narrow" w:cs="Calibri"/>
                <w:color w:val="000000"/>
                <w:sz w:val="20"/>
                <w:szCs w:val="20"/>
              </w:rPr>
              <w:tab/>
              <w:t>% change per year</w:t>
            </w:r>
          </w:p>
        </w:tc>
        <w:tc>
          <w:tcPr>
            <w:tcW w:w="971" w:type="dxa"/>
            <w:shd w:val="clear" w:color="auto" w:fill="auto"/>
            <w:vAlign w:val="center"/>
          </w:tcPr>
          <w:p w14:paraId="53F5B5F4"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+150%</w:t>
            </w:r>
          </w:p>
        </w:tc>
        <w:tc>
          <w:tcPr>
            <w:tcW w:w="1070" w:type="dxa"/>
            <w:shd w:val="clear" w:color="auto" w:fill="auto"/>
            <w:vAlign w:val="center"/>
          </w:tcPr>
          <w:p w14:paraId="14524110"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-3%</w:t>
            </w:r>
          </w:p>
        </w:tc>
        <w:tc>
          <w:tcPr>
            <w:tcW w:w="1078" w:type="dxa"/>
            <w:shd w:val="clear" w:color="auto" w:fill="auto"/>
            <w:vAlign w:val="center"/>
          </w:tcPr>
          <w:p w14:paraId="3296BA1C"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w:t>
            </w:r>
          </w:p>
        </w:tc>
        <w:tc>
          <w:tcPr>
            <w:tcW w:w="1134" w:type="dxa"/>
            <w:shd w:val="clear" w:color="auto" w:fill="auto"/>
            <w:vAlign w:val="center"/>
          </w:tcPr>
          <w:p w14:paraId="5B6E9FF5"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-29%</w:t>
            </w:r>
          </w:p>
        </w:tc>
        <w:tc>
          <w:tcPr>
            <w:tcW w:w="1134" w:type="dxa"/>
            <w:shd w:val="clear" w:color="auto" w:fill="auto"/>
            <w:vAlign w:val="center"/>
          </w:tcPr>
          <w:p w14:paraId="3DFB6766"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-14%</w:t>
            </w:r>
          </w:p>
        </w:tc>
        <w:tc>
          <w:tcPr>
            <w:tcW w:w="992" w:type="dxa"/>
            <w:shd w:val="clear" w:color="auto" w:fill="auto"/>
            <w:vAlign w:val="center"/>
          </w:tcPr>
          <w:p w14:paraId="70BA9562"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+7%</w:t>
            </w:r>
          </w:p>
        </w:tc>
        <w:tc>
          <w:tcPr>
            <w:tcW w:w="942" w:type="dxa"/>
            <w:vMerge/>
            <w:vAlign w:val="center"/>
          </w:tcPr>
          <w:p w14:paraId="4101CEEE" w14:textId="77777777" w:rsidR="000526CA" w:rsidRPr="00A63686" w:rsidRDefault="000526CA" w:rsidP="007D5757">
            <w:pPr>
              <w:keepNext/>
              <w:jc w:val="center"/>
              <w:rPr>
                <w:rFonts w:ascii="Arial Narrow" w:hAnsi="Arial Narrow" w:cs="Calibri"/>
                <w:color w:val="000000"/>
                <w:sz w:val="20"/>
                <w:szCs w:val="20"/>
              </w:rPr>
            </w:pPr>
          </w:p>
        </w:tc>
      </w:tr>
      <w:tr w:rsidR="000526CA" w:rsidRPr="00A60CFC" w14:paraId="523A3E7C" w14:textId="77777777" w:rsidTr="007D5757">
        <w:tc>
          <w:tcPr>
            <w:tcW w:w="9017" w:type="dxa"/>
            <w:gridSpan w:val="8"/>
            <w:shd w:val="clear" w:color="auto" w:fill="auto"/>
            <w:vAlign w:val="center"/>
          </w:tcPr>
          <w:p w14:paraId="4240FD17" w14:textId="77777777" w:rsidR="000526CA" w:rsidRPr="00A63686" w:rsidRDefault="000526CA" w:rsidP="007D5757">
            <w:pPr>
              <w:keepNext/>
              <w:jc w:val="left"/>
              <w:rPr>
                <w:rFonts w:ascii="Arial Narrow" w:hAnsi="Arial Narrow" w:cs="Calibri"/>
                <w:b/>
                <w:bCs/>
                <w:color w:val="000000"/>
                <w:sz w:val="20"/>
                <w:szCs w:val="20"/>
              </w:rPr>
            </w:pPr>
            <w:r w:rsidRPr="00A63686">
              <w:rPr>
                <w:rFonts w:ascii="Arial Narrow" w:hAnsi="Arial Narrow" w:cs="Calibri"/>
                <w:b/>
                <w:bCs/>
                <w:color w:val="000000"/>
                <w:sz w:val="20"/>
                <w:szCs w:val="20"/>
              </w:rPr>
              <w:t>Surgery eligibility and surgery success rate (base case: CD: 98% and 60% first-line; 50% and 40% second-line)</w:t>
            </w:r>
          </w:p>
        </w:tc>
      </w:tr>
      <w:tr w:rsidR="000526CA" w:rsidRPr="00A60CFC" w14:paraId="2790AF1C" w14:textId="77777777" w:rsidTr="005141D0">
        <w:tc>
          <w:tcPr>
            <w:tcW w:w="1696" w:type="dxa"/>
            <w:shd w:val="clear" w:color="auto" w:fill="auto"/>
            <w:vAlign w:val="center"/>
          </w:tcPr>
          <w:p w14:paraId="1F7C00CD" w14:textId="77777777" w:rsidR="000526CA" w:rsidRPr="00A63686" w:rsidRDefault="000526CA" w:rsidP="007D5757">
            <w:pPr>
              <w:keepNext/>
              <w:tabs>
                <w:tab w:val="left" w:pos="142"/>
              </w:tabs>
              <w:ind w:left="102" w:hanging="102"/>
              <w:rPr>
                <w:rFonts w:ascii="Arial Narrow" w:hAnsi="Arial Narrow" w:cs="Calibri"/>
                <w:color w:val="000000"/>
              </w:rPr>
            </w:pPr>
            <w:r w:rsidRPr="00A63686">
              <w:rPr>
                <w:rFonts w:ascii="Arial Narrow" w:hAnsi="Arial Narrow" w:cs="Calibri"/>
                <w:color w:val="000000"/>
                <w:sz w:val="20"/>
                <w:szCs w:val="20"/>
              </w:rPr>
              <w:tab/>
              <w:t xml:space="preserve">85% eligible </w:t>
            </w:r>
          </w:p>
          <w:p w14:paraId="73378592" w14:textId="4280F9A5"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rPr>
              <w:tab/>
            </w:r>
            <w:r w:rsidRPr="00A63686">
              <w:rPr>
                <w:rFonts w:ascii="Arial Narrow" w:hAnsi="Arial Narrow" w:cs="Calibri"/>
                <w:color w:val="000000"/>
                <w:sz w:val="20"/>
                <w:szCs w:val="20"/>
              </w:rPr>
              <w:t>1</w:t>
            </w:r>
            <w:r w:rsidRPr="00A63686">
              <w:rPr>
                <w:rFonts w:ascii="Arial Narrow" w:hAnsi="Arial Narrow" w:cs="Calibri"/>
                <w:color w:val="000000"/>
                <w:sz w:val="20"/>
                <w:szCs w:val="20"/>
                <w:vertAlign w:val="superscript"/>
              </w:rPr>
              <w:t>st</w:t>
            </w:r>
            <w:r w:rsidRPr="00A63686">
              <w:rPr>
                <w:rFonts w:ascii="Arial Narrow" w:hAnsi="Arial Narrow" w:cs="Calibri"/>
                <w:color w:val="000000"/>
                <w:sz w:val="20"/>
                <w:szCs w:val="20"/>
              </w:rPr>
              <w:t xml:space="preserve"> line: CD</w:t>
            </w:r>
            <w:r w:rsidR="007647CD">
              <w:rPr>
                <w:rFonts w:ascii="Arial Narrow" w:hAnsi="Arial Narrow" w:cs="Calibri"/>
                <w:color w:val="000000"/>
                <w:sz w:val="20"/>
                <w:szCs w:val="20"/>
              </w:rPr>
              <w:t xml:space="preserve"> ($)</w:t>
            </w:r>
          </w:p>
        </w:tc>
        <w:tc>
          <w:tcPr>
            <w:tcW w:w="971" w:type="dxa"/>
            <w:shd w:val="clear" w:color="auto" w:fill="auto"/>
            <w:vAlign w:val="center"/>
          </w:tcPr>
          <w:p w14:paraId="340C2EB9" w14:textId="6832368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108"/>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52692C46" w14:textId="5B3D7682"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7"/>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27D454B2" w14:textId="24FDA617"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6"/>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6"/>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17C1ED49" w14:textId="26ECA47C"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5"/>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5"/>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05B8BAFA" w14:textId="6EA349FF"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4"/>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4"/>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1AE9B7CE" w14:textId="463E714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3"/>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3"/>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133D090B"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+20%</w:t>
            </w:r>
          </w:p>
        </w:tc>
      </w:tr>
      <w:tr w:rsidR="000526CA" w:rsidRPr="00A60CFC" w14:paraId="3DD5C192" w14:textId="77777777" w:rsidTr="005141D0">
        <w:tc>
          <w:tcPr>
            <w:tcW w:w="1696" w:type="dxa"/>
            <w:shd w:val="clear" w:color="auto" w:fill="auto"/>
            <w:vAlign w:val="center"/>
          </w:tcPr>
          <w:p w14:paraId="749A7CEA" w14:textId="77777777" w:rsidR="000526CA" w:rsidRPr="00A63686" w:rsidRDefault="000526CA" w:rsidP="007D5757">
            <w:pPr>
              <w:keepNext/>
              <w:tabs>
                <w:tab w:val="left" w:pos="142"/>
              </w:tabs>
              <w:ind w:left="102" w:hanging="102"/>
              <w:rPr>
                <w:rFonts w:ascii="Arial Narrow" w:hAnsi="Arial Narrow" w:cs="Calibri"/>
                <w:color w:val="000000"/>
              </w:rPr>
            </w:pPr>
            <w:r w:rsidRPr="00A63686">
              <w:rPr>
                <w:rFonts w:ascii="Arial Narrow" w:hAnsi="Arial Narrow" w:cs="Calibri"/>
                <w:color w:val="000000"/>
                <w:sz w:val="20"/>
                <w:szCs w:val="20"/>
              </w:rPr>
              <w:tab/>
              <w:t xml:space="preserve">50% success </w:t>
            </w:r>
          </w:p>
          <w:p w14:paraId="65B7229A" w14:textId="68F5F539"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rPr>
              <w:tab/>
            </w:r>
            <w:r w:rsidRPr="00A63686">
              <w:rPr>
                <w:rFonts w:ascii="Arial Narrow" w:hAnsi="Arial Narrow" w:cs="Calibri"/>
                <w:color w:val="000000"/>
                <w:sz w:val="20"/>
                <w:szCs w:val="20"/>
              </w:rPr>
              <w:t>1</w:t>
            </w:r>
            <w:r w:rsidRPr="00A63686">
              <w:rPr>
                <w:rFonts w:ascii="Arial Narrow" w:hAnsi="Arial Narrow" w:cs="Calibri"/>
                <w:color w:val="000000"/>
                <w:sz w:val="20"/>
                <w:szCs w:val="20"/>
                <w:vertAlign w:val="superscript"/>
              </w:rPr>
              <w:t>st</w:t>
            </w:r>
            <w:r w:rsidRPr="00A63686">
              <w:rPr>
                <w:rFonts w:ascii="Arial Narrow" w:hAnsi="Arial Narrow" w:cs="Calibri"/>
                <w:color w:val="000000"/>
                <w:sz w:val="20"/>
                <w:szCs w:val="20"/>
              </w:rPr>
              <w:t xml:space="preserve"> line: CD</w:t>
            </w:r>
            <w:r w:rsidR="007647CD">
              <w:rPr>
                <w:rFonts w:ascii="Arial Narrow" w:hAnsi="Arial Narrow" w:cs="Calibri"/>
                <w:color w:val="000000"/>
                <w:sz w:val="20"/>
                <w:szCs w:val="20"/>
              </w:rPr>
              <w:t xml:space="preserve"> ($)</w:t>
            </w:r>
          </w:p>
        </w:tc>
        <w:tc>
          <w:tcPr>
            <w:tcW w:w="971" w:type="dxa"/>
            <w:shd w:val="clear" w:color="auto" w:fill="auto"/>
            <w:vAlign w:val="center"/>
          </w:tcPr>
          <w:p w14:paraId="3DB7690E" w14:textId="2D3E8C0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102"/>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10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40460245" w14:textId="7808035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1"/>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1078" w:type="dxa"/>
            <w:shd w:val="clear" w:color="auto" w:fill="auto"/>
            <w:vAlign w:val="center"/>
          </w:tcPr>
          <w:p w14:paraId="58D1F625" w14:textId="7686984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00"/>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00"/>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09DCC48F" w14:textId="6F07316D"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09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099"/>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3</w:t>
            </w:r>
          </w:p>
        </w:tc>
        <w:tc>
          <w:tcPr>
            <w:tcW w:w="1134" w:type="dxa"/>
            <w:shd w:val="clear" w:color="auto" w:fill="auto"/>
            <w:vAlign w:val="center"/>
          </w:tcPr>
          <w:p w14:paraId="756D50A0" w14:textId="30E1D29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098"/>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098"/>
                <w14:textFill>
                  <w14:solidFill>
                    <w14:srgbClr w14:val="000000">
                      <w14:alpha w14:val="100000"/>
                    </w14:srgbClr>
                  </w14:solidFill>
                </w14:textFill>
              </w:rPr>
              <w:t>|</w:t>
            </w:r>
            <w:r w:rsidR="007D500C" w:rsidRPr="005141D0">
              <w:rPr>
                <w:rFonts w:ascii="Arial Narrow" w:hAnsi="Arial Narrow" w:cs="Calibri"/>
                <w:color w:val="000000"/>
                <w:sz w:val="20"/>
                <w:szCs w:val="20"/>
              </w:rPr>
              <w:t xml:space="preserve"> </w:t>
            </w:r>
            <w:r w:rsidR="007D500C" w:rsidRPr="005141D0">
              <w:rPr>
                <w:rFonts w:ascii="Arial Narrow" w:hAnsi="Arial Narrow" w:cs="Calibri"/>
                <w:color w:val="000000"/>
                <w:sz w:val="20"/>
                <w:szCs w:val="20"/>
                <w:vertAlign w:val="superscript"/>
              </w:rPr>
              <w:t>2</w:t>
            </w:r>
          </w:p>
        </w:tc>
        <w:tc>
          <w:tcPr>
            <w:tcW w:w="992" w:type="dxa"/>
            <w:shd w:val="clear" w:color="auto" w:fill="auto"/>
            <w:vAlign w:val="center"/>
          </w:tcPr>
          <w:p w14:paraId="7DBB108B" w14:textId="3FEF448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097"/>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097"/>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0C769F9B"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+18%</w:t>
            </w:r>
          </w:p>
        </w:tc>
      </w:tr>
      <w:tr w:rsidR="000526CA" w:rsidRPr="00A60CFC" w14:paraId="763FC002" w14:textId="77777777" w:rsidTr="005141D0">
        <w:tc>
          <w:tcPr>
            <w:tcW w:w="1696" w:type="dxa"/>
            <w:shd w:val="clear" w:color="auto" w:fill="auto"/>
            <w:vAlign w:val="center"/>
          </w:tcPr>
          <w:p w14:paraId="4C6FC3B9" w14:textId="77777777" w:rsidR="000526CA" w:rsidRPr="00A63686" w:rsidRDefault="000526CA" w:rsidP="007D5757">
            <w:pPr>
              <w:keepNext/>
              <w:tabs>
                <w:tab w:val="left" w:pos="142"/>
              </w:tabs>
              <w:ind w:left="102" w:hanging="102"/>
              <w:rPr>
                <w:rFonts w:ascii="Arial Narrow" w:hAnsi="Arial Narrow" w:cs="Calibri"/>
                <w:color w:val="000000"/>
              </w:rPr>
            </w:pPr>
            <w:r w:rsidRPr="00A63686">
              <w:rPr>
                <w:rFonts w:ascii="Arial Narrow" w:hAnsi="Arial Narrow" w:cs="Calibri"/>
                <w:color w:val="000000"/>
                <w:sz w:val="20"/>
                <w:szCs w:val="20"/>
              </w:rPr>
              <w:tab/>
              <w:t xml:space="preserve">95% success </w:t>
            </w:r>
          </w:p>
          <w:p w14:paraId="76B46732" w14:textId="3ECD7415" w:rsidR="000526CA" w:rsidRPr="00A63686" w:rsidRDefault="000526CA" w:rsidP="007D5757">
            <w:pPr>
              <w:keepNext/>
              <w:tabs>
                <w:tab w:val="left" w:pos="142"/>
              </w:tabs>
              <w:ind w:left="102" w:hanging="102"/>
              <w:jc w:val="left"/>
              <w:rPr>
                <w:rFonts w:ascii="Arial Narrow" w:hAnsi="Arial Narrow" w:cs="Calibri"/>
                <w:color w:val="000000"/>
                <w:sz w:val="20"/>
                <w:szCs w:val="20"/>
              </w:rPr>
            </w:pPr>
            <w:r w:rsidRPr="00A63686">
              <w:rPr>
                <w:rFonts w:ascii="Arial Narrow" w:hAnsi="Arial Narrow" w:cs="Calibri"/>
                <w:color w:val="000000"/>
              </w:rPr>
              <w:tab/>
            </w:r>
            <w:r w:rsidRPr="00A63686">
              <w:rPr>
                <w:rFonts w:ascii="Arial Narrow" w:hAnsi="Arial Narrow" w:cs="Calibri"/>
                <w:color w:val="000000"/>
                <w:sz w:val="20"/>
                <w:szCs w:val="20"/>
              </w:rPr>
              <w:t>1</w:t>
            </w:r>
            <w:r w:rsidRPr="00A63686">
              <w:rPr>
                <w:rFonts w:ascii="Arial Narrow" w:hAnsi="Arial Narrow" w:cs="Calibri"/>
                <w:color w:val="000000"/>
                <w:sz w:val="20"/>
                <w:szCs w:val="20"/>
                <w:vertAlign w:val="superscript"/>
              </w:rPr>
              <w:t>st</w:t>
            </w:r>
            <w:r w:rsidRPr="00A63686">
              <w:rPr>
                <w:rFonts w:ascii="Arial Narrow" w:hAnsi="Arial Narrow" w:cs="Calibri"/>
                <w:color w:val="000000"/>
                <w:sz w:val="20"/>
                <w:szCs w:val="20"/>
              </w:rPr>
              <w:t xml:space="preserve"> line: CD</w:t>
            </w:r>
            <w:r w:rsidR="007647CD">
              <w:rPr>
                <w:rFonts w:ascii="Arial Narrow" w:hAnsi="Arial Narrow" w:cs="Calibri"/>
                <w:color w:val="000000"/>
                <w:sz w:val="20"/>
                <w:szCs w:val="20"/>
              </w:rPr>
              <w:t xml:space="preserve"> ($)</w:t>
            </w:r>
          </w:p>
        </w:tc>
        <w:tc>
          <w:tcPr>
            <w:tcW w:w="971" w:type="dxa"/>
            <w:shd w:val="clear" w:color="auto" w:fill="auto"/>
            <w:vAlign w:val="center"/>
          </w:tcPr>
          <w:p w14:paraId="01E7E4F3" w14:textId="558F53F1"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46"/>
                <w:sz w:val="20"/>
                <w:szCs w:val="20"/>
                <w:shd w:val="solid" w:color="000000" w:fill="000000"/>
                <w:fitText w:val="311" w:id="-1234458096"/>
                <w14:textFill>
                  <w14:solidFill>
                    <w14:srgbClr w14:val="000000">
                      <w14:alpha w14:val="100000"/>
                    </w14:srgbClr>
                  </w14:solidFill>
                </w14:textFill>
              </w:rPr>
              <w:t>|||</w:t>
            </w:r>
            <w:r w:rsidRPr="00E228B8">
              <w:rPr>
                <w:rFonts w:ascii="Arial Narrow" w:hAnsi="Arial Narrow" w:cs="Calibri"/>
                <w:color w:val="000000"/>
                <w:spacing w:val="3"/>
                <w:sz w:val="20"/>
                <w:szCs w:val="20"/>
                <w:shd w:val="solid" w:color="000000" w:fill="000000"/>
                <w:fitText w:val="311" w:id="-1234458096"/>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0" w:type="dxa"/>
            <w:shd w:val="clear" w:color="auto" w:fill="auto"/>
            <w:vAlign w:val="center"/>
          </w:tcPr>
          <w:p w14:paraId="3846F474" w14:textId="6644CE13"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12"/>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12"/>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078" w:type="dxa"/>
            <w:shd w:val="clear" w:color="auto" w:fill="auto"/>
            <w:vAlign w:val="center"/>
          </w:tcPr>
          <w:p w14:paraId="151CC622" w14:textId="2920EF35"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167"/>
                <w:sz w:val="20"/>
                <w:szCs w:val="20"/>
                <w:shd w:val="solid" w:color="000000" w:fill="000000"/>
                <w:fitText w:val="253" w:id="-1234458111"/>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53" w:id="-1234458111"/>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134" w:type="dxa"/>
            <w:shd w:val="clear" w:color="auto" w:fill="auto"/>
            <w:vAlign w:val="center"/>
          </w:tcPr>
          <w:p w14:paraId="0BE9D57B" w14:textId="08BEC254"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10"/>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10"/>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1134" w:type="dxa"/>
            <w:shd w:val="clear" w:color="auto" w:fill="auto"/>
            <w:vAlign w:val="center"/>
          </w:tcPr>
          <w:p w14:paraId="24AF7BF8" w14:textId="1972498C"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51"/>
                <w:sz w:val="20"/>
                <w:szCs w:val="20"/>
                <w:shd w:val="solid" w:color="000000" w:fill="000000"/>
                <w:fitText w:val="231" w:id="-1234458109"/>
                <w14:textFill>
                  <w14:solidFill>
                    <w14:srgbClr w14:val="000000">
                      <w14:alpha w14:val="100000"/>
                    </w14:srgbClr>
                  </w14:solidFill>
                </w14:textFill>
              </w:rPr>
              <w:t>||</w:t>
            </w:r>
            <w:r w:rsidRPr="00E228B8">
              <w:rPr>
                <w:rFonts w:ascii="Arial Narrow" w:hAnsi="Arial Narrow" w:cs="Calibri"/>
                <w:color w:val="000000"/>
                <w:spacing w:val="2"/>
                <w:sz w:val="20"/>
                <w:szCs w:val="20"/>
                <w:shd w:val="solid" w:color="000000" w:fill="000000"/>
                <w:fitText w:val="231" w:id="-1234458109"/>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92" w:type="dxa"/>
            <w:shd w:val="clear" w:color="auto" w:fill="auto"/>
            <w:vAlign w:val="center"/>
          </w:tcPr>
          <w:p w14:paraId="7B3399FA" w14:textId="539A8BFA" w:rsidR="000526CA" w:rsidRPr="005141D0" w:rsidRDefault="00E228B8" w:rsidP="007D5757">
            <w:pPr>
              <w:keepNext/>
              <w:jc w:val="center"/>
              <w:rPr>
                <w:rFonts w:ascii="Arial Narrow" w:hAnsi="Arial Narrow" w:cs="Calibri"/>
                <w:color w:val="000000"/>
                <w:sz w:val="20"/>
                <w:szCs w:val="20"/>
              </w:rPr>
            </w:pPr>
            <w:r w:rsidRPr="00E228B8">
              <w:rPr>
                <w:rFonts w:ascii="Arial Narrow" w:hAnsi="Arial Narrow" w:cs="Calibri"/>
                <w:color w:val="000000"/>
                <w:spacing w:val="213"/>
                <w:sz w:val="20"/>
                <w:szCs w:val="20"/>
                <w:shd w:val="solid" w:color="000000" w:fill="000000"/>
                <w:fitText w:val="299" w:id="-1234458108"/>
                <w14:textFill>
                  <w14:solidFill>
                    <w14:srgbClr w14:val="000000">
                      <w14:alpha w14:val="100000"/>
                    </w14:srgbClr>
                  </w14:solidFill>
                </w14:textFill>
              </w:rPr>
              <w:t>|</w:t>
            </w:r>
            <w:r w:rsidRPr="00E228B8">
              <w:rPr>
                <w:rFonts w:ascii="Arial Narrow" w:hAnsi="Arial Narrow" w:cs="Calibri"/>
                <w:color w:val="000000"/>
                <w:spacing w:val="1"/>
                <w:sz w:val="20"/>
                <w:szCs w:val="20"/>
                <w:shd w:val="solid" w:color="000000" w:fill="000000"/>
                <w:fitText w:val="299" w:id="-1234458108"/>
                <w14:textFill>
                  <w14:solidFill>
                    <w14:srgbClr w14:val="000000">
                      <w14:alpha w14:val="100000"/>
                    </w14:srgbClr>
                  </w14:solidFill>
                </w14:textFill>
              </w:rPr>
              <w:t>|</w:t>
            </w:r>
            <w:r w:rsidR="00AE5954" w:rsidRPr="005141D0">
              <w:rPr>
                <w:rFonts w:ascii="Arial Narrow" w:hAnsi="Arial Narrow" w:cs="Calibri"/>
                <w:color w:val="000000"/>
                <w:sz w:val="20"/>
                <w:szCs w:val="20"/>
              </w:rPr>
              <w:t xml:space="preserve"> </w:t>
            </w:r>
            <w:r w:rsidR="00AE5954" w:rsidRPr="005141D0">
              <w:rPr>
                <w:rFonts w:ascii="Arial Narrow" w:hAnsi="Arial Narrow" w:cs="Calibri"/>
                <w:color w:val="000000"/>
                <w:sz w:val="20"/>
                <w:szCs w:val="20"/>
                <w:vertAlign w:val="superscript"/>
              </w:rPr>
              <w:t>1</w:t>
            </w:r>
          </w:p>
        </w:tc>
        <w:tc>
          <w:tcPr>
            <w:tcW w:w="942" w:type="dxa"/>
            <w:vAlign w:val="center"/>
          </w:tcPr>
          <w:p w14:paraId="05A71791" w14:textId="77777777" w:rsidR="000526CA" w:rsidRPr="00A63686" w:rsidRDefault="000526CA" w:rsidP="007D5757">
            <w:pPr>
              <w:keepNext/>
              <w:jc w:val="center"/>
              <w:rPr>
                <w:rFonts w:ascii="Arial Narrow" w:hAnsi="Arial Narrow" w:cs="Calibri"/>
                <w:color w:val="000000"/>
                <w:sz w:val="20"/>
                <w:szCs w:val="20"/>
              </w:rPr>
            </w:pPr>
            <w:r w:rsidRPr="00A63686">
              <w:rPr>
                <w:rFonts w:ascii="Arial Narrow" w:hAnsi="Arial Narrow" w:cs="Calibri"/>
                <w:color w:val="000000"/>
                <w:sz w:val="20"/>
                <w:szCs w:val="20"/>
              </w:rPr>
              <w:t>-62%</w:t>
            </w:r>
          </w:p>
        </w:tc>
      </w:tr>
    </w:tbl>
    <w:p w14:paraId="06B5FE9F" w14:textId="77777777" w:rsidR="000526CA" w:rsidRPr="00A60CFC" w:rsidRDefault="000526CA" w:rsidP="000526CA">
      <w:pPr>
        <w:pStyle w:val="TableFooter"/>
        <w:keepNext/>
        <w:rPr>
          <w:rFonts w:cs="Calibri"/>
        </w:rPr>
      </w:pPr>
      <w:r w:rsidRPr="00A60CFC">
        <w:rPr>
          <w:rFonts w:cs="Calibri"/>
        </w:rPr>
        <w:t>Source: Table 4.5-1, p311 of the submission</w:t>
      </w:r>
      <w:r>
        <w:rPr>
          <w:rFonts w:cs="Calibri"/>
        </w:rPr>
        <w:t>; Excel workbook ‘Isturisa (osilodrostat) – UCM’</w:t>
      </w:r>
      <w:r w:rsidRPr="00A60CFC">
        <w:rPr>
          <w:rFonts w:cs="Calibri"/>
        </w:rPr>
        <w:t>.</w:t>
      </w:r>
    </w:p>
    <w:p w14:paraId="0EF5D0D6" w14:textId="7F5B2596" w:rsidR="000526CA" w:rsidRDefault="000526CA" w:rsidP="00AE5954">
      <w:pPr>
        <w:rPr>
          <w:rFonts w:ascii="Arial Narrow" w:hAnsi="Arial Narrow" w:cs="Calibri"/>
          <w:sz w:val="18"/>
          <w:szCs w:val="18"/>
        </w:rPr>
      </w:pPr>
      <w:r w:rsidRPr="00991356">
        <w:rPr>
          <w:rFonts w:ascii="Arial Narrow" w:hAnsi="Arial Narrow" w:cs="Calibri"/>
          <w:sz w:val="18"/>
          <w:szCs w:val="18"/>
        </w:rPr>
        <w:t>ACTH = adrenocorticotropic hormone;</w:t>
      </w:r>
      <w:r w:rsidRPr="00991356">
        <w:rPr>
          <w:rFonts w:ascii="Arial Narrow" w:hAnsi="Arial Narrow" w:cs="Calibri"/>
          <w:i/>
          <w:iCs/>
          <w:sz w:val="18"/>
          <w:szCs w:val="18"/>
        </w:rPr>
        <w:t xml:space="preserve"> </w:t>
      </w:r>
      <w:r w:rsidRPr="00991356">
        <w:rPr>
          <w:rFonts w:ascii="Arial Narrow" w:hAnsi="Arial Narrow" w:cs="Calibri"/>
          <w:sz w:val="18"/>
          <w:szCs w:val="18"/>
        </w:rPr>
        <w:t>CD = Cushing’s disease; CS = Cushing’s syndrome</w:t>
      </w:r>
    </w:p>
    <w:p w14:paraId="2F087F74" w14:textId="77777777" w:rsidR="00AE5954" w:rsidRPr="00C67D59" w:rsidRDefault="00AE5954" w:rsidP="00AE5954">
      <w:pPr>
        <w:pStyle w:val="FooterTableFigure"/>
        <w:tabs>
          <w:tab w:val="left" w:pos="142"/>
        </w:tabs>
        <w:ind w:left="142" w:hanging="142"/>
        <w:rPr>
          <w:i/>
        </w:rPr>
      </w:pPr>
      <w:r w:rsidRPr="00C67D59">
        <w:rPr>
          <w:i/>
        </w:rPr>
        <w:t xml:space="preserve">The redacted values correspond to the following ranges: </w:t>
      </w:r>
    </w:p>
    <w:p w14:paraId="740E4859" w14:textId="516DDF3E" w:rsidR="00AE5954" w:rsidRPr="00C67D59" w:rsidRDefault="00AE5954" w:rsidP="00AE5954">
      <w:pPr>
        <w:pStyle w:val="FooterTableFigure"/>
        <w:tabs>
          <w:tab w:val="left" w:pos="142"/>
        </w:tabs>
        <w:ind w:left="142" w:hanging="142"/>
        <w:rPr>
          <w:i/>
        </w:rPr>
      </w:pPr>
      <w:r w:rsidRPr="00C67D59">
        <w:rPr>
          <w:i/>
          <w:vertAlign w:val="superscript"/>
        </w:rPr>
        <w:t>1</w:t>
      </w:r>
      <w:r w:rsidRPr="00C67D59">
        <w:rPr>
          <w:i/>
        </w:rPr>
        <w:t xml:space="preserve"> $0 to &lt; $10 million</w:t>
      </w:r>
      <w:r>
        <w:rPr>
          <w:i/>
        </w:rPr>
        <w:t xml:space="preserve"> </w:t>
      </w:r>
    </w:p>
    <w:p w14:paraId="62FA7BE9" w14:textId="5A9D4F7E" w:rsidR="00AE5954" w:rsidRPr="00C67D59" w:rsidRDefault="00AE5954" w:rsidP="00AE5954">
      <w:pPr>
        <w:pStyle w:val="FooterTableFigure"/>
        <w:tabs>
          <w:tab w:val="left" w:pos="142"/>
        </w:tabs>
        <w:ind w:left="142" w:hanging="142"/>
        <w:rPr>
          <w:i/>
        </w:rPr>
      </w:pPr>
      <w:r w:rsidRPr="00C67D59">
        <w:rPr>
          <w:i/>
          <w:vertAlign w:val="superscript"/>
        </w:rPr>
        <w:t>2</w:t>
      </w:r>
      <w:r w:rsidRPr="00C67D59">
        <w:rPr>
          <w:i/>
        </w:rPr>
        <w:t xml:space="preserve"> </w:t>
      </w:r>
      <w:r w:rsidR="007D500C" w:rsidRPr="00C67D59">
        <w:rPr>
          <w:i/>
        </w:rPr>
        <w:t>$10 million to &lt; $20 million</w:t>
      </w:r>
    </w:p>
    <w:p w14:paraId="3E7083F8" w14:textId="039C7B12" w:rsidR="00AE5954" w:rsidRPr="00C67D59" w:rsidRDefault="00AE5954" w:rsidP="00AE5954">
      <w:pPr>
        <w:pStyle w:val="FooterTableFigure"/>
        <w:tabs>
          <w:tab w:val="left" w:pos="142"/>
        </w:tabs>
        <w:ind w:left="142" w:hanging="142"/>
        <w:rPr>
          <w:i/>
        </w:rPr>
      </w:pPr>
      <w:r w:rsidRPr="00C67D59">
        <w:rPr>
          <w:i/>
          <w:vertAlign w:val="superscript"/>
        </w:rPr>
        <w:t>3</w:t>
      </w:r>
      <w:r w:rsidRPr="00C67D59">
        <w:rPr>
          <w:i/>
        </w:rPr>
        <w:t xml:space="preserve"> </w:t>
      </w:r>
      <w:r w:rsidR="007D500C" w:rsidRPr="00C67D59">
        <w:rPr>
          <w:i/>
        </w:rPr>
        <w:t>$20 million to &lt; $30 million</w:t>
      </w:r>
    </w:p>
    <w:p w14:paraId="66BDF189" w14:textId="4E5FC782" w:rsidR="00AE5954" w:rsidRPr="00AE5954" w:rsidRDefault="00AE5954" w:rsidP="007D500C">
      <w:pPr>
        <w:pStyle w:val="FooterTableFigure"/>
        <w:tabs>
          <w:tab w:val="left" w:pos="142"/>
        </w:tabs>
        <w:ind w:left="142" w:hanging="142"/>
        <w:rPr>
          <w:i/>
        </w:rPr>
      </w:pPr>
      <w:r w:rsidRPr="00C67D59">
        <w:rPr>
          <w:i/>
          <w:vertAlign w:val="superscript"/>
        </w:rPr>
        <w:t>4</w:t>
      </w:r>
      <w:r w:rsidRPr="00C67D59">
        <w:rPr>
          <w:i/>
        </w:rPr>
        <w:t xml:space="preserve"> </w:t>
      </w:r>
      <w:r w:rsidR="007D500C" w:rsidRPr="00C67D59">
        <w:rPr>
          <w:i/>
        </w:rPr>
        <w:t>$</w:t>
      </w:r>
      <w:r w:rsidR="007D500C">
        <w:rPr>
          <w:i/>
        </w:rPr>
        <w:t>3</w:t>
      </w:r>
      <w:r w:rsidR="007D500C" w:rsidRPr="00C67D59">
        <w:rPr>
          <w:i/>
        </w:rPr>
        <w:t>0 million to &lt; $</w:t>
      </w:r>
      <w:r w:rsidR="007D500C">
        <w:rPr>
          <w:i/>
        </w:rPr>
        <w:t>4</w:t>
      </w:r>
      <w:r w:rsidR="007D500C" w:rsidRPr="00C67D59">
        <w:rPr>
          <w:i/>
        </w:rPr>
        <w:t>0 million</w:t>
      </w:r>
    </w:p>
    <w:p w14:paraId="21183832" w14:textId="6D1F44AC" w:rsidR="0003102A" w:rsidRDefault="0003102A" w:rsidP="0003102A">
      <w:pPr>
        <w:pStyle w:val="3-BodyText"/>
      </w:pPr>
      <w:bookmarkStart w:id="52" w:name="_Ref134538262"/>
      <w:r>
        <w:t xml:space="preserve">DUSC </w:t>
      </w:r>
      <w:r w:rsidR="00B066D2">
        <w:t>not</w:t>
      </w:r>
      <w:r>
        <w:t xml:space="preserve">ed that </w:t>
      </w:r>
      <w:r w:rsidR="00B066D2">
        <w:t>MBS</w:t>
      </w:r>
      <w:r>
        <w:t xml:space="preserve"> costs </w:t>
      </w:r>
      <w:r w:rsidR="00B066D2">
        <w:t xml:space="preserve">for </w:t>
      </w:r>
      <w:r w:rsidR="003E1FB8">
        <w:t xml:space="preserve">the </w:t>
      </w:r>
      <w:r w:rsidR="00B066D2">
        <w:t>UFC tests</w:t>
      </w:r>
      <w:r>
        <w:t xml:space="preserve"> </w:t>
      </w:r>
      <w:r w:rsidR="00B066D2">
        <w:t xml:space="preserve">required for monitoring </w:t>
      </w:r>
      <w:r>
        <w:t xml:space="preserve">were not accounted for in the </w:t>
      </w:r>
      <w:r w:rsidR="003E1FB8">
        <w:t xml:space="preserve">utilisation and cost </w:t>
      </w:r>
      <w:r>
        <w:t>model.</w:t>
      </w:r>
      <w:bookmarkEnd w:id="52"/>
    </w:p>
    <w:p w14:paraId="3930AA76" w14:textId="65DE9716" w:rsidR="0003102A" w:rsidRDefault="0003102A" w:rsidP="0003102A">
      <w:pPr>
        <w:pStyle w:val="3-BodyText"/>
      </w:pPr>
      <w:r>
        <w:t>DUSC advised that t</w:t>
      </w:r>
      <w:r w:rsidRPr="00372D8E">
        <w:t xml:space="preserve">he eligible population who </w:t>
      </w:r>
      <w:r>
        <w:t>were</w:t>
      </w:r>
      <w:r w:rsidRPr="00372D8E">
        <w:t xml:space="preserve"> unable to achieve a surgical cure</w:t>
      </w:r>
      <w:r>
        <w:t xml:space="preserve"> and</w:t>
      </w:r>
      <w:r w:rsidRPr="00372D8E">
        <w:t xml:space="preserve"> </w:t>
      </w:r>
      <w:r>
        <w:t>the p</w:t>
      </w:r>
      <w:r w:rsidRPr="00372D8E">
        <w:t xml:space="preserve">revalent uptake rate of </w:t>
      </w:r>
      <w:r w:rsidR="00E228B8" w:rsidRPr="00A9220E">
        <w:rPr>
          <w:color w:val="000000"/>
          <w:w w:val="15"/>
          <w:shd w:val="solid" w:color="000000" w:fill="000000"/>
          <w:fitText w:val="-20" w:id="-1234458107"/>
          <w14:textFill>
            <w14:solidFill>
              <w14:srgbClr w14:val="000000">
                <w14:alpha w14:val="100000"/>
              </w14:srgbClr>
            </w14:solidFill>
          </w14:textFill>
        </w:rPr>
        <w:t xml:space="preserve">|  </w:t>
      </w:r>
      <w:r w:rsidR="00E228B8" w:rsidRPr="00A9220E">
        <w:rPr>
          <w:color w:val="000000"/>
          <w:spacing w:val="-69"/>
          <w:w w:val="15"/>
          <w:shd w:val="solid" w:color="000000" w:fill="000000"/>
          <w:fitText w:val="-20" w:id="-1234458107"/>
          <w14:textFill>
            <w14:solidFill>
              <w14:srgbClr w14:val="000000">
                <w14:alpha w14:val="100000"/>
              </w14:srgbClr>
            </w14:solidFill>
          </w14:textFill>
        </w:rPr>
        <w:t>|</w:t>
      </w:r>
      <w:r w:rsidRPr="000818D9">
        <w:t>%</w:t>
      </w:r>
      <w:r w:rsidRPr="00372D8E">
        <w:t xml:space="preserve"> in Year 1</w:t>
      </w:r>
      <w:r>
        <w:t xml:space="preserve"> were underestimated. </w:t>
      </w:r>
      <w:r>
        <w:rPr>
          <w:szCs w:val="22"/>
        </w:rPr>
        <w:t xml:space="preserve">The DUSC recommended an initial uptake of </w:t>
      </w:r>
      <w:r w:rsidR="00E228B8" w:rsidRPr="00A9220E">
        <w:rPr>
          <w:color w:val="000000"/>
          <w:w w:val="15"/>
          <w:szCs w:val="22"/>
          <w:shd w:val="solid" w:color="000000" w:fill="000000"/>
          <w:fitText w:val="-20" w:id="-1234458106"/>
          <w14:textFill>
            <w14:solidFill>
              <w14:srgbClr w14:val="000000">
                <w14:alpha w14:val="100000"/>
              </w14:srgbClr>
            </w14:solidFill>
          </w14:textFill>
        </w:rPr>
        <w:t xml:space="preserve">|  </w:t>
      </w:r>
      <w:r w:rsidR="00E228B8" w:rsidRPr="00A9220E">
        <w:rPr>
          <w:color w:val="000000"/>
          <w:spacing w:val="-69"/>
          <w:w w:val="15"/>
          <w:szCs w:val="22"/>
          <w:shd w:val="solid" w:color="000000" w:fill="000000"/>
          <w:fitText w:val="-20" w:id="-1234458106"/>
          <w14:textFill>
            <w14:solidFill>
              <w14:srgbClr w14:val="000000">
                <w14:alpha w14:val="100000"/>
              </w14:srgbClr>
            </w14:solidFill>
          </w14:textFill>
        </w:rPr>
        <w:t>|</w:t>
      </w:r>
      <w:r w:rsidRPr="000818D9">
        <w:rPr>
          <w:szCs w:val="22"/>
        </w:rPr>
        <w:t>%</w:t>
      </w:r>
      <w:r>
        <w:rPr>
          <w:szCs w:val="22"/>
        </w:rPr>
        <w:t xml:space="preserve"> in Year 1, </w:t>
      </w:r>
      <w:r w:rsidR="00E228B8" w:rsidRPr="00A9220E">
        <w:rPr>
          <w:color w:val="000000"/>
          <w:w w:val="15"/>
          <w:szCs w:val="22"/>
          <w:shd w:val="solid" w:color="000000" w:fill="000000"/>
          <w:fitText w:val="-20" w:id="-1234458105"/>
          <w14:textFill>
            <w14:solidFill>
              <w14:srgbClr w14:val="000000">
                <w14:alpha w14:val="100000"/>
              </w14:srgbClr>
            </w14:solidFill>
          </w14:textFill>
        </w:rPr>
        <w:t xml:space="preserve">|  </w:t>
      </w:r>
      <w:r w:rsidR="00E228B8" w:rsidRPr="00A9220E">
        <w:rPr>
          <w:color w:val="000000"/>
          <w:spacing w:val="-69"/>
          <w:w w:val="15"/>
          <w:szCs w:val="22"/>
          <w:shd w:val="solid" w:color="000000" w:fill="000000"/>
          <w:fitText w:val="-20" w:id="-1234458105"/>
          <w14:textFill>
            <w14:solidFill>
              <w14:srgbClr w14:val="000000">
                <w14:alpha w14:val="100000"/>
              </w14:srgbClr>
            </w14:solidFill>
          </w14:textFill>
        </w:rPr>
        <w:t>|</w:t>
      </w:r>
      <w:r w:rsidRPr="000818D9">
        <w:rPr>
          <w:szCs w:val="22"/>
        </w:rPr>
        <w:t>%</w:t>
      </w:r>
      <w:r>
        <w:rPr>
          <w:szCs w:val="22"/>
        </w:rPr>
        <w:t xml:space="preserve"> in Year 2 and </w:t>
      </w:r>
      <w:r w:rsidR="00E228B8" w:rsidRPr="00A9220E">
        <w:rPr>
          <w:color w:val="000000"/>
          <w:w w:val="15"/>
          <w:szCs w:val="22"/>
          <w:shd w:val="solid" w:color="000000" w:fill="000000"/>
          <w:fitText w:val="-20" w:id="-1234458104"/>
          <w14:textFill>
            <w14:solidFill>
              <w14:srgbClr w14:val="000000">
                <w14:alpha w14:val="100000"/>
              </w14:srgbClr>
            </w14:solidFill>
          </w14:textFill>
        </w:rPr>
        <w:t xml:space="preserve">|  </w:t>
      </w:r>
      <w:r w:rsidR="00E228B8" w:rsidRPr="00A9220E">
        <w:rPr>
          <w:color w:val="000000"/>
          <w:spacing w:val="-69"/>
          <w:w w:val="15"/>
          <w:szCs w:val="22"/>
          <w:shd w:val="solid" w:color="000000" w:fill="000000"/>
          <w:fitText w:val="-20" w:id="-1234458104"/>
          <w14:textFill>
            <w14:solidFill>
              <w14:srgbClr w14:val="000000">
                <w14:alpha w14:val="100000"/>
              </w14:srgbClr>
            </w14:solidFill>
          </w14:textFill>
        </w:rPr>
        <w:t>|</w:t>
      </w:r>
      <w:r w:rsidRPr="000818D9">
        <w:rPr>
          <w:szCs w:val="22"/>
        </w:rPr>
        <w:t>%</w:t>
      </w:r>
      <w:r>
        <w:rPr>
          <w:szCs w:val="22"/>
        </w:rPr>
        <w:t xml:space="preserve"> for all subsequent years. The DUSC further considered that the usage estimates in later years to be underestimated and the utilisation and cost model should be revised by flowing half the prevalent population through the entire 6 year of estimates. The pre-PBAC response agreed with the DUSC advice </w:t>
      </w:r>
      <w:r w:rsidR="00B066D2">
        <w:rPr>
          <w:szCs w:val="22"/>
        </w:rPr>
        <w:t>and</w:t>
      </w:r>
      <w:r>
        <w:rPr>
          <w:szCs w:val="22"/>
        </w:rPr>
        <w:t xml:space="preserve"> provided a revised financial estimate, using </w:t>
      </w:r>
      <w:r w:rsidR="00B066D2">
        <w:rPr>
          <w:szCs w:val="22"/>
        </w:rPr>
        <w:t xml:space="preserve">the </w:t>
      </w:r>
      <w:r>
        <w:rPr>
          <w:szCs w:val="22"/>
        </w:rPr>
        <w:t>DUSC approach as below (Table 22; Revised UCM DUSC).</w:t>
      </w:r>
    </w:p>
    <w:p w14:paraId="07BE476A" w14:textId="7C16F107" w:rsidR="00C36C34" w:rsidRPr="004D34BF" w:rsidRDefault="00C36C34" w:rsidP="00C36C34">
      <w:pPr>
        <w:pStyle w:val="Caption"/>
      </w:pPr>
      <w:bookmarkStart w:id="53" w:name="_Ref128411303"/>
      <w:r>
        <w:t xml:space="preserve">Table </w:t>
      </w:r>
      <w:bookmarkEnd w:id="53"/>
      <w:r>
        <w:t>22 Net financial implications to the R/PBS</w:t>
      </w:r>
    </w:p>
    <w:tbl>
      <w:tblPr>
        <w:tblStyle w:val="TableGrid"/>
        <w:tblW w:w="9128" w:type="dxa"/>
        <w:tblLayout w:type="fixed"/>
        <w:tblCellMar>
          <w:left w:w="85" w:type="dxa"/>
          <w:right w:w="85" w:type="dxa"/>
        </w:tblCellMar>
        <w:tblLook w:val="04A0" w:firstRow="1" w:lastRow="0" w:firstColumn="1" w:lastColumn="0" w:noHBand="0" w:noVBand="1"/>
      </w:tblPr>
      <w:tblGrid>
        <w:gridCol w:w="2324"/>
        <w:gridCol w:w="1134"/>
        <w:gridCol w:w="1134"/>
        <w:gridCol w:w="1134"/>
        <w:gridCol w:w="1134"/>
        <w:gridCol w:w="1134"/>
        <w:gridCol w:w="1134"/>
      </w:tblGrid>
      <w:tr w:rsidR="00C36C34" w:rsidRPr="00B066D2" w14:paraId="29CAD74F" w14:textId="77777777" w:rsidTr="005141D0">
        <w:tc>
          <w:tcPr>
            <w:tcW w:w="2324" w:type="dxa"/>
            <w:shd w:val="clear" w:color="auto" w:fill="F2F2F2" w:themeFill="background1" w:themeFillShade="F2"/>
          </w:tcPr>
          <w:p w14:paraId="29C657FE" w14:textId="77777777" w:rsidR="00C36C34" w:rsidRPr="00B066D2" w:rsidRDefault="00C36C34" w:rsidP="00FA4D4F">
            <w:pPr>
              <w:jc w:val="center"/>
              <w:rPr>
                <w:rFonts w:ascii="Arial Narrow" w:hAnsi="Arial Narrow" w:cstheme="minorHAnsi"/>
                <w:sz w:val="18"/>
                <w:szCs w:val="18"/>
              </w:rPr>
            </w:pPr>
          </w:p>
        </w:tc>
        <w:tc>
          <w:tcPr>
            <w:tcW w:w="1134" w:type="dxa"/>
            <w:shd w:val="clear" w:color="auto" w:fill="F2F2F2" w:themeFill="background1" w:themeFillShade="F2"/>
          </w:tcPr>
          <w:p w14:paraId="392A84BD"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1</w:t>
            </w:r>
          </w:p>
        </w:tc>
        <w:tc>
          <w:tcPr>
            <w:tcW w:w="1134" w:type="dxa"/>
            <w:shd w:val="clear" w:color="auto" w:fill="F2F2F2" w:themeFill="background1" w:themeFillShade="F2"/>
          </w:tcPr>
          <w:p w14:paraId="2F331BDB"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2</w:t>
            </w:r>
          </w:p>
        </w:tc>
        <w:tc>
          <w:tcPr>
            <w:tcW w:w="1134" w:type="dxa"/>
            <w:shd w:val="clear" w:color="auto" w:fill="F2F2F2" w:themeFill="background1" w:themeFillShade="F2"/>
          </w:tcPr>
          <w:p w14:paraId="56C06830"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3</w:t>
            </w:r>
          </w:p>
        </w:tc>
        <w:tc>
          <w:tcPr>
            <w:tcW w:w="1134" w:type="dxa"/>
            <w:shd w:val="clear" w:color="auto" w:fill="F2F2F2" w:themeFill="background1" w:themeFillShade="F2"/>
          </w:tcPr>
          <w:p w14:paraId="2E69EC27"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4</w:t>
            </w:r>
          </w:p>
        </w:tc>
        <w:tc>
          <w:tcPr>
            <w:tcW w:w="1134" w:type="dxa"/>
            <w:shd w:val="clear" w:color="auto" w:fill="F2F2F2" w:themeFill="background1" w:themeFillShade="F2"/>
          </w:tcPr>
          <w:p w14:paraId="30957188"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5</w:t>
            </w:r>
          </w:p>
        </w:tc>
        <w:tc>
          <w:tcPr>
            <w:tcW w:w="1134" w:type="dxa"/>
            <w:shd w:val="clear" w:color="auto" w:fill="F2F2F2" w:themeFill="background1" w:themeFillShade="F2"/>
          </w:tcPr>
          <w:p w14:paraId="70312E51" w14:textId="77777777" w:rsidR="00C36C34" w:rsidRPr="00B066D2" w:rsidRDefault="00C36C34" w:rsidP="00FA4D4F">
            <w:pPr>
              <w:spacing w:line="276" w:lineRule="auto"/>
              <w:jc w:val="center"/>
              <w:rPr>
                <w:rFonts w:ascii="Arial Narrow" w:hAnsi="Arial Narrow" w:cstheme="minorHAnsi"/>
                <w:b/>
                <w:bCs/>
                <w:sz w:val="18"/>
                <w:szCs w:val="18"/>
              </w:rPr>
            </w:pPr>
            <w:r w:rsidRPr="00B066D2">
              <w:rPr>
                <w:rFonts w:ascii="Arial Narrow" w:hAnsi="Arial Narrow" w:cstheme="minorHAnsi"/>
                <w:b/>
                <w:bCs/>
                <w:sz w:val="18"/>
                <w:szCs w:val="18"/>
              </w:rPr>
              <w:t>Year 6</w:t>
            </w:r>
          </w:p>
        </w:tc>
      </w:tr>
      <w:tr w:rsidR="00C36C34" w:rsidRPr="00B066D2" w14:paraId="12F6A6F3" w14:textId="77777777" w:rsidTr="005141D0">
        <w:tc>
          <w:tcPr>
            <w:tcW w:w="2324" w:type="dxa"/>
          </w:tcPr>
          <w:p w14:paraId="65B2AB2B" w14:textId="533A477C" w:rsidR="00C36C34" w:rsidRPr="00F8229A" w:rsidRDefault="00C36C34" w:rsidP="00FA4D4F">
            <w:pPr>
              <w:rPr>
                <w:rFonts w:ascii="Arial Narrow" w:hAnsi="Arial Narrow" w:cstheme="minorHAnsi"/>
                <w:sz w:val="20"/>
                <w:szCs w:val="20"/>
              </w:rPr>
            </w:pPr>
            <w:r w:rsidRPr="00F8229A">
              <w:rPr>
                <w:rFonts w:ascii="Arial Narrow" w:hAnsi="Arial Narrow" w:cstheme="minorHAnsi"/>
                <w:sz w:val="20"/>
                <w:szCs w:val="20"/>
              </w:rPr>
              <w:t>DUSC Advice</w:t>
            </w:r>
            <w:r w:rsidR="005141D0">
              <w:rPr>
                <w:rFonts w:ascii="Arial Narrow" w:hAnsi="Arial Narrow" w:cstheme="minorHAnsi"/>
                <w:sz w:val="20"/>
                <w:szCs w:val="20"/>
              </w:rPr>
              <w:t xml:space="preserve"> ($)</w:t>
            </w:r>
          </w:p>
        </w:tc>
        <w:tc>
          <w:tcPr>
            <w:tcW w:w="1134" w:type="dxa"/>
            <w:vAlign w:val="center"/>
          </w:tcPr>
          <w:p w14:paraId="125D76AD" w14:textId="076F3F22" w:rsidR="00C36C34" w:rsidRPr="005141D0" w:rsidRDefault="00E228B8" w:rsidP="00FA4D4F">
            <w:pPr>
              <w:spacing w:line="276" w:lineRule="auto"/>
              <w:jc w:val="center"/>
              <w:rPr>
                <w:rFonts w:ascii="Arial Narrow" w:hAnsi="Arial Narrow" w:cstheme="minorHAnsi"/>
                <w:sz w:val="20"/>
                <w:szCs w:val="20"/>
                <w:vertAlign w:val="superscript"/>
              </w:rPr>
            </w:pPr>
            <w:r w:rsidRPr="00E228B8">
              <w:rPr>
                <w:rFonts w:ascii="Arial Narrow" w:hAnsi="Arial Narrow" w:cstheme="minorHAnsi"/>
                <w:color w:val="000000"/>
                <w:spacing w:val="191"/>
                <w:sz w:val="20"/>
                <w:szCs w:val="20"/>
                <w:shd w:val="solid" w:color="000000" w:fill="000000"/>
                <w:fitText w:val="277" w:id="-1234458103"/>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03"/>
                <w14:textFill>
                  <w14:solidFill>
                    <w14:srgbClr w14:val="000000">
                      <w14:alpha w14:val="100000"/>
                    </w14:srgbClr>
                  </w14:solidFill>
                </w14:textFill>
              </w:rPr>
              <w:t>|</w:t>
            </w:r>
            <w:r w:rsidR="005141D0">
              <w:rPr>
                <w:rFonts w:ascii="Arial Narrow" w:hAnsi="Arial Narrow" w:cstheme="minorHAnsi"/>
                <w:sz w:val="20"/>
                <w:szCs w:val="20"/>
              </w:rPr>
              <w:t xml:space="preserve"> </w:t>
            </w:r>
            <w:r w:rsidR="005141D0">
              <w:rPr>
                <w:rFonts w:ascii="Arial Narrow" w:hAnsi="Arial Narrow" w:cstheme="minorHAnsi"/>
                <w:sz w:val="20"/>
                <w:szCs w:val="20"/>
                <w:vertAlign w:val="superscript"/>
              </w:rPr>
              <w:t>1</w:t>
            </w:r>
          </w:p>
        </w:tc>
        <w:tc>
          <w:tcPr>
            <w:tcW w:w="1134" w:type="dxa"/>
            <w:vAlign w:val="center"/>
          </w:tcPr>
          <w:p w14:paraId="269E8D76" w14:textId="4A37107A"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2"/>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2"/>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2BA5ADB4" w14:textId="637359B4"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1"/>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1"/>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0E0590F6" w14:textId="136912CE"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100"/>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00"/>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0696D42F" w14:textId="324CFBD3"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099"/>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099"/>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6356C5FF" w14:textId="470D52DD"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098"/>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098"/>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r>
      <w:tr w:rsidR="00C36C34" w:rsidRPr="00B066D2" w14:paraId="4F4CC964" w14:textId="77777777" w:rsidTr="005141D0">
        <w:tc>
          <w:tcPr>
            <w:tcW w:w="2324" w:type="dxa"/>
          </w:tcPr>
          <w:p w14:paraId="1B6F6D8E" w14:textId="7C479F01" w:rsidR="00C36C34" w:rsidRPr="00F8229A" w:rsidRDefault="00C36C34" w:rsidP="00FA4D4F">
            <w:pPr>
              <w:rPr>
                <w:rFonts w:ascii="Arial Narrow" w:hAnsi="Arial Narrow" w:cstheme="minorHAnsi"/>
                <w:sz w:val="20"/>
                <w:szCs w:val="20"/>
              </w:rPr>
            </w:pPr>
            <w:r w:rsidRPr="00F8229A">
              <w:rPr>
                <w:rFonts w:ascii="Arial Narrow" w:hAnsi="Arial Narrow" w:cstheme="minorHAnsi"/>
                <w:sz w:val="20"/>
                <w:szCs w:val="20"/>
              </w:rPr>
              <w:t>Revised UCM DUSC (incl. 50% prev. pat. cont. 6 years)</w:t>
            </w:r>
            <w:r w:rsidR="005141D0">
              <w:rPr>
                <w:rFonts w:ascii="Arial Narrow" w:hAnsi="Arial Narrow" w:cstheme="minorHAnsi"/>
                <w:sz w:val="20"/>
                <w:szCs w:val="20"/>
              </w:rPr>
              <w:t xml:space="preserve"> ($)</w:t>
            </w:r>
          </w:p>
        </w:tc>
        <w:tc>
          <w:tcPr>
            <w:tcW w:w="1134" w:type="dxa"/>
            <w:vAlign w:val="center"/>
          </w:tcPr>
          <w:p w14:paraId="1CCA99AF" w14:textId="2B44DD66"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097"/>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097"/>
                <w14:textFill>
                  <w14:solidFill>
                    <w14:srgbClr w14:val="000000">
                      <w14:alpha w14:val="100000"/>
                    </w14:srgbClr>
                  </w14:solidFill>
                </w14:textFill>
              </w:rPr>
              <w:t>|</w:t>
            </w:r>
            <w:r w:rsidR="005141D0">
              <w:rPr>
                <w:rFonts w:ascii="Arial Narrow" w:hAnsi="Arial Narrow" w:cstheme="minorHAnsi"/>
                <w:color w:val="000000"/>
                <w:sz w:val="20"/>
                <w:szCs w:val="20"/>
              </w:rPr>
              <w:t xml:space="preserve"> </w:t>
            </w:r>
            <w:r w:rsidR="005141D0">
              <w:rPr>
                <w:rFonts w:ascii="Arial Narrow" w:hAnsi="Arial Narrow" w:cstheme="minorHAnsi"/>
                <w:sz w:val="20"/>
                <w:szCs w:val="20"/>
                <w:vertAlign w:val="superscript"/>
              </w:rPr>
              <w:t>1</w:t>
            </w:r>
          </w:p>
        </w:tc>
        <w:tc>
          <w:tcPr>
            <w:tcW w:w="1134" w:type="dxa"/>
            <w:vAlign w:val="center"/>
          </w:tcPr>
          <w:p w14:paraId="237691C9" w14:textId="60374726"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096"/>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096"/>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16C3A33D" w14:textId="0087FAD5"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12"/>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12"/>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2</w:t>
            </w:r>
          </w:p>
        </w:tc>
        <w:tc>
          <w:tcPr>
            <w:tcW w:w="1134" w:type="dxa"/>
            <w:vAlign w:val="center"/>
          </w:tcPr>
          <w:p w14:paraId="6A5A1F1E" w14:textId="25B7D786"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111"/>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11"/>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1E68B870" w14:textId="49C3A585"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110"/>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10"/>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327861CD" w14:textId="0868CBA3"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9"/>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9"/>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r>
      <w:tr w:rsidR="00C36C34" w:rsidRPr="00B066D2" w14:paraId="523A3A29" w14:textId="77777777" w:rsidTr="005141D0">
        <w:tc>
          <w:tcPr>
            <w:tcW w:w="2324" w:type="dxa"/>
          </w:tcPr>
          <w:p w14:paraId="4FD6EBF3" w14:textId="5EFCDCA3" w:rsidR="00C36C34" w:rsidRPr="00F8229A" w:rsidRDefault="00C36C34" w:rsidP="00FA4D4F">
            <w:pPr>
              <w:rPr>
                <w:rFonts w:ascii="Arial Narrow" w:hAnsi="Arial Narrow" w:cstheme="minorHAnsi"/>
                <w:sz w:val="20"/>
                <w:szCs w:val="20"/>
              </w:rPr>
            </w:pPr>
            <w:r w:rsidRPr="00F8229A">
              <w:rPr>
                <w:rFonts w:ascii="Arial Narrow" w:hAnsi="Arial Narrow" w:cstheme="minorHAnsi"/>
                <w:sz w:val="20"/>
                <w:szCs w:val="20"/>
              </w:rPr>
              <w:t>Revised UCM^</w:t>
            </w:r>
            <w:r w:rsidR="005141D0">
              <w:rPr>
                <w:rFonts w:ascii="Arial Narrow" w:hAnsi="Arial Narrow" w:cstheme="minorHAnsi"/>
                <w:sz w:val="20"/>
                <w:szCs w:val="20"/>
              </w:rPr>
              <w:t xml:space="preserve"> ($)</w:t>
            </w:r>
          </w:p>
        </w:tc>
        <w:tc>
          <w:tcPr>
            <w:tcW w:w="1134" w:type="dxa"/>
            <w:vAlign w:val="center"/>
          </w:tcPr>
          <w:p w14:paraId="0326B554" w14:textId="3CA2250D"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8"/>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8"/>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7F070824" w14:textId="4396EE26"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7"/>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7"/>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4BD048DD" w14:textId="639371A5"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6"/>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6"/>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2</w:t>
            </w:r>
          </w:p>
        </w:tc>
        <w:tc>
          <w:tcPr>
            <w:tcW w:w="1134" w:type="dxa"/>
            <w:vAlign w:val="center"/>
          </w:tcPr>
          <w:p w14:paraId="1088138A" w14:textId="3D97C166"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105"/>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05"/>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1</w:t>
            </w:r>
          </w:p>
        </w:tc>
        <w:tc>
          <w:tcPr>
            <w:tcW w:w="1134" w:type="dxa"/>
            <w:vAlign w:val="center"/>
          </w:tcPr>
          <w:p w14:paraId="4F625306" w14:textId="6DC9D74D" w:rsidR="00C36C34" w:rsidRPr="00F8229A"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1"/>
                <w:sz w:val="20"/>
                <w:szCs w:val="20"/>
                <w:shd w:val="solid" w:color="000000" w:fill="000000"/>
                <w:fitText w:val="277" w:id="-1234458104"/>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7" w:id="-1234458104"/>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3</w:t>
            </w:r>
          </w:p>
        </w:tc>
        <w:tc>
          <w:tcPr>
            <w:tcW w:w="1134" w:type="dxa"/>
            <w:vAlign w:val="center"/>
          </w:tcPr>
          <w:p w14:paraId="0A17E85F" w14:textId="16099126" w:rsidR="00C36C34" w:rsidRPr="005141D0" w:rsidRDefault="00E228B8" w:rsidP="00FA4D4F">
            <w:pPr>
              <w:spacing w:line="276" w:lineRule="auto"/>
              <w:jc w:val="center"/>
              <w:rPr>
                <w:rFonts w:ascii="Arial Narrow" w:hAnsi="Arial Narrow" w:cstheme="minorHAnsi"/>
                <w:sz w:val="20"/>
                <w:szCs w:val="20"/>
              </w:rPr>
            </w:pPr>
            <w:r w:rsidRPr="00E228B8">
              <w:rPr>
                <w:rFonts w:ascii="Arial Narrow" w:hAnsi="Arial Narrow" w:cstheme="minorHAnsi"/>
                <w:color w:val="000000"/>
                <w:spacing w:val="190"/>
                <w:sz w:val="20"/>
                <w:szCs w:val="20"/>
                <w:shd w:val="solid" w:color="000000" w:fill="000000"/>
                <w:fitText w:val="276" w:id="-1234458103"/>
                <w14:textFill>
                  <w14:solidFill>
                    <w14:srgbClr w14:val="000000">
                      <w14:alpha w14:val="100000"/>
                    </w14:srgbClr>
                  </w14:solidFill>
                </w14:textFill>
              </w:rPr>
              <w:t>|</w:t>
            </w:r>
            <w:r w:rsidRPr="00E228B8">
              <w:rPr>
                <w:rFonts w:ascii="Arial Narrow" w:hAnsi="Arial Narrow" w:cstheme="minorHAnsi"/>
                <w:color w:val="000000"/>
                <w:spacing w:val="1"/>
                <w:sz w:val="20"/>
                <w:szCs w:val="20"/>
                <w:shd w:val="solid" w:color="000000" w:fill="000000"/>
                <w:fitText w:val="276" w:id="-1234458103"/>
                <w14:textFill>
                  <w14:solidFill>
                    <w14:srgbClr w14:val="000000">
                      <w14:alpha w14:val="100000"/>
                    </w14:srgbClr>
                  </w14:solidFill>
                </w14:textFill>
              </w:rPr>
              <w:t>|</w:t>
            </w:r>
            <w:r w:rsidR="005141D0">
              <w:rPr>
                <w:rFonts w:ascii="Arial Narrow" w:hAnsi="Arial Narrow" w:cstheme="minorHAnsi"/>
                <w:sz w:val="20"/>
                <w:szCs w:val="20"/>
                <w:vertAlign w:val="superscript"/>
              </w:rPr>
              <w:t xml:space="preserve"> 3</w:t>
            </w:r>
          </w:p>
        </w:tc>
      </w:tr>
    </w:tbl>
    <w:p w14:paraId="1ED612D5" w14:textId="77777777" w:rsidR="00C36C34" w:rsidRDefault="00C36C34" w:rsidP="00C36C34">
      <w:pPr>
        <w:rPr>
          <w:sz w:val="18"/>
          <w:szCs w:val="18"/>
        </w:rPr>
      </w:pPr>
      <w:r>
        <w:rPr>
          <w:sz w:val="18"/>
          <w:szCs w:val="18"/>
        </w:rPr>
        <w:t>Source: Isturisa (osilodrostat) – UCM – Pre PBAC.xlsx (Attachment 3)</w:t>
      </w:r>
    </w:p>
    <w:p w14:paraId="159D4A5A" w14:textId="77777777" w:rsidR="00C36C34" w:rsidRDefault="00C36C34" w:rsidP="00C36C34">
      <w:pPr>
        <w:rPr>
          <w:sz w:val="18"/>
          <w:szCs w:val="18"/>
        </w:rPr>
      </w:pPr>
      <w:r>
        <w:rPr>
          <w:sz w:val="18"/>
          <w:szCs w:val="18"/>
        </w:rPr>
        <w:t xml:space="preserve">Abbreviations: incl. = include; prev. = prevalent; cont. = continuing; UCM = utilisation and cost model. </w:t>
      </w:r>
    </w:p>
    <w:p w14:paraId="5AE24E70" w14:textId="45B84C66" w:rsidR="00C36C34" w:rsidRDefault="00C36C34" w:rsidP="005141D0">
      <w:pPr>
        <w:rPr>
          <w:sz w:val="18"/>
          <w:szCs w:val="18"/>
        </w:rPr>
      </w:pPr>
      <w:r>
        <w:rPr>
          <w:sz w:val="18"/>
          <w:szCs w:val="18"/>
        </w:rPr>
        <w:t>^ revised UCM applies the methods used in the submission but increases the uptake of the prevalent population to 60% in Year 1 and 70% in Year 2.</w:t>
      </w:r>
    </w:p>
    <w:p w14:paraId="53E9B7E3" w14:textId="77777777" w:rsidR="005141D0" w:rsidRPr="00C67D59" w:rsidRDefault="005141D0" w:rsidP="005141D0">
      <w:pPr>
        <w:pStyle w:val="FooterTableFigure"/>
        <w:tabs>
          <w:tab w:val="left" w:pos="142"/>
        </w:tabs>
        <w:ind w:left="142" w:hanging="142"/>
        <w:rPr>
          <w:i/>
        </w:rPr>
      </w:pPr>
      <w:r w:rsidRPr="00C67D59">
        <w:rPr>
          <w:i/>
        </w:rPr>
        <w:t xml:space="preserve">The redacted values correspond to the following ranges: </w:t>
      </w:r>
    </w:p>
    <w:p w14:paraId="48406A9D" w14:textId="72A15272" w:rsidR="005141D0" w:rsidRPr="00C67D59" w:rsidRDefault="005141D0" w:rsidP="005141D0">
      <w:pPr>
        <w:pStyle w:val="FooterTableFigure"/>
        <w:tabs>
          <w:tab w:val="left" w:pos="142"/>
        </w:tabs>
        <w:ind w:left="142" w:hanging="142"/>
        <w:rPr>
          <w:i/>
        </w:rPr>
      </w:pPr>
      <w:r w:rsidRPr="00C67D59">
        <w:rPr>
          <w:i/>
          <w:vertAlign w:val="superscript"/>
        </w:rPr>
        <w:t>1</w:t>
      </w:r>
      <w:r w:rsidRPr="00C67D59">
        <w:rPr>
          <w:i/>
        </w:rPr>
        <w:t xml:space="preserve"> $10 million to &lt; $20 million </w:t>
      </w:r>
    </w:p>
    <w:p w14:paraId="6A46D922" w14:textId="4F0590E2" w:rsidR="005141D0" w:rsidRPr="00C67D59" w:rsidRDefault="005141D0" w:rsidP="005141D0">
      <w:pPr>
        <w:pStyle w:val="FooterTableFigure"/>
        <w:tabs>
          <w:tab w:val="left" w:pos="142"/>
        </w:tabs>
        <w:ind w:left="142" w:hanging="142"/>
        <w:rPr>
          <w:i/>
        </w:rPr>
      </w:pPr>
      <w:r w:rsidRPr="00C67D59">
        <w:rPr>
          <w:i/>
          <w:vertAlign w:val="superscript"/>
        </w:rPr>
        <w:t>2</w:t>
      </w:r>
      <w:r w:rsidRPr="00C67D59">
        <w:rPr>
          <w:i/>
        </w:rPr>
        <w:t xml:space="preserve"> $20 million to &lt; $30 million</w:t>
      </w:r>
    </w:p>
    <w:p w14:paraId="3B04CDDC" w14:textId="37178995" w:rsidR="005141D0" w:rsidRPr="00C67D59" w:rsidRDefault="005141D0" w:rsidP="005141D0">
      <w:pPr>
        <w:pStyle w:val="FooterTableFigure"/>
        <w:tabs>
          <w:tab w:val="left" w:pos="142"/>
        </w:tabs>
        <w:ind w:left="142" w:hanging="142"/>
        <w:rPr>
          <w:i/>
        </w:rPr>
      </w:pPr>
      <w:r w:rsidRPr="00C67D59">
        <w:rPr>
          <w:i/>
          <w:vertAlign w:val="superscript"/>
        </w:rPr>
        <w:t>3</w:t>
      </w:r>
      <w:r w:rsidRPr="00C67D59">
        <w:rPr>
          <w:i/>
        </w:rPr>
        <w:t xml:space="preserve"> $0 to &lt; $10 million</w:t>
      </w:r>
    </w:p>
    <w:p w14:paraId="292AAAC5" w14:textId="35C8681C" w:rsidR="000526CA" w:rsidRDefault="000526CA" w:rsidP="000526CA">
      <w:pPr>
        <w:pStyle w:val="4-SubsectionHeading"/>
      </w:pPr>
      <w:bookmarkStart w:id="54" w:name="_Toc22897648"/>
      <w:bookmarkStart w:id="55" w:name="_Toc124928104"/>
      <w:r w:rsidRPr="00C9624D">
        <w:t>Quality Use of Medicines</w:t>
      </w:r>
      <w:bookmarkEnd w:id="54"/>
      <w:bookmarkEnd w:id="55"/>
    </w:p>
    <w:p w14:paraId="3B022883" w14:textId="77777777" w:rsidR="0003102A" w:rsidRPr="00B1760D" w:rsidRDefault="0003102A" w:rsidP="0003102A">
      <w:pPr>
        <w:pStyle w:val="3-BodyText"/>
        <w:rPr>
          <w:rFonts w:ascii="Calibri" w:hAnsi="Calibri" w:cs="Calibri"/>
        </w:rPr>
      </w:pPr>
      <w:r w:rsidRPr="00FA272A">
        <w:t>The submission did not include discussion of the quality use of medicines</w:t>
      </w:r>
      <w:r>
        <w:t xml:space="preserve"> despite there being risks of hypercortisolism, </w:t>
      </w:r>
      <w:r w:rsidRPr="00B1760D">
        <w:rPr>
          <w:rFonts w:ascii="Calibri" w:hAnsi="Calibri" w:cs="Calibri"/>
        </w:rPr>
        <w:t>glucocorticoid withdrawal syndrome, QT prolongation and interaction with enzymes which break down other drugs. DUSC noted that the</w:t>
      </w:r>
      <w:r>
        <w:rPr>
          <w:rFonts w:ascii="Calibri" w:hAnsi="Calibri" w:cs="Calibri"/>
        </w:rPr>
        <w:t>se</w:t>
      </w:r>
      <w:r w:rsidRPr="00B1760D">
        <w:rPr>
          <w:rFonts w:ascii="Calibri" w:hAnsi="Calibri" w:cs="Calibri"/>
        </w:rPr>
        <w:t xml:space="preserve"> risks could be mitigated by keeping the listing as a speciality endocrinology prescriber base.</w:t>
      </w:r>
    </w:p>
    <w:p w14:paraId="6015A395" w14:textId="3D3CFB76" w:rsidR="00576972" w:rsidRPr="008C713C" w:rsidRDefault="00576972" w:rsidP="00AB08F8">
      <w:pPr>
        <w:pStyle w:val="4-SubsectionHeading"/>
        <w:rPr>
          <w:i w:val="0"/>
        </w:rPr>
      </w:pPr>
      <w:bookmarkStart w:id="56" w:name="_Toc22897649"/>
      <w:bookmarkStart w:id="57" w:name="_Toc124928105"/>
      <w:r w:rsidRPr="008C713C">
        <w:rPr>
          <w:i w:val="0"/>
        </w:rPr>
        <w:t>Financial Management – Risk Sharing Arrangements</w:t>
      </w:r>
      <w:bookmarkEnd w:id="56"/>
      <w:bookmarkEnd w:id="57"/>
    </w:p>
    <w:p w14:paraId="25BA2464" w14:textId="6894047B" w:rsidR="00894CD6" w:rsidRPr="000B367E" w:rsidRDefault="001D5DFB" w:rsidP="004C2AC2">
      <w:pPr>
        <w:pStyle w:val="3-BodyText"/>
      </w:pPr>
      <w:r w:rsidRPr="000B367E">
        <w:rPr>
          <w:rFonts w:ascii="Calibri" w:hAnsi="Calibri" w:cs="Calibri"/>
        </w:rPr>
        <w:t xml:space="preserve">The submission did not propose </w:t>
      </w:r>
      <w:r w:rsidR="002B5452" w:rsidRPr="000B367E">
        <w:rPr>
          <w:rFonts w:ascii="Calibri" w:hAnsi="Calibri" w:cs="Calibri"/>
        </w:rPr>
        <w:t>an RSA</w:t>
      </w:r>
      <w:r w:rsidRPr="000B367E">
        <w:rPr>
          <w:rFonts w:ascii="Calibri" w:hAnsi="Calibri" w:cs="Calibri"/>
        </w:rPr>
        <w:t>.</w:t>
      </w:r>
      <w:r w:rsidR="004B485D" w:rsidRPr="000B367E">
        <w:rPr>
          <w:rFonts w:cs="Calibri"/>
          <w:iCs/>
        </w:rPr>
        <w:t xml:space="preserve"> </w:t>
      </w:r>
    </w:p>
    <w:p w14:paraId="44E6D751" w14:textId="6CECF6CF" w:rsidR="00FE3B94" w:rsidRPr="00FE3B94" w:rsidRDefault="00FE3B94" w:rsidP="00FE3B94">
      <w:pPr>
        <w:pStyle w:val="3-BodyText"/>
        <w:numPr>
          <w:ilvl w:val="0"/>
          <w:numId w:val="0"/>
        </w:numPr>
        <w:ind w:left="720"/>
        <w:rPr>
          <w:i/>
          <w:iCs/>
        </w:rPr>
      </w:pPr>
      <w:r w:rsidRPr="00FE3B94">
        <w:rPr>
          <w:i/>
          <w:iCs/>
        </w:rPr>
        <w:t>For more detail on PBAC’s view, see section 7 PBAC outcome.</w:t>
      </w:r>
    </w:p>
    <w:p w14:paraId="3E5E006E" w14:textId="77777777" w:rsidR="00861F0E" w:rsidRDefault="00861F0E">
      <w:pPr>
        <w:jc w:val="left"/>
        <w:rPr>
          <w:b/>
          <w:caps/>
          <w:sz w:val="32"/>
        </w:rPr>
      </w:pPr>
    </w:p>
    <w:p w14:paraId="222F0E50" w14:textId="1608B2A0" w:rsidR="00D83E5E" w:rsidRDefault="00AB08F8" w:rsidP="00D83E5E">
      <w:pPr>
        <w:pStyle w:val="2-SectionHeading"/>
      </w:pPr>
      <w:bookmarkStart w:id="58" w:name="_Toc124928107"/>
      <w:r>
        <w:br w:type="page"/>
      </w:r>
      <w:r w:rsidR="0047787D" w:rsidRPr="0047787D">
        <w:t>PBAC Outcome</w:t>
      </w:r>
    </w:p>
    <w:p w14:paraId="66B94FA8" w14:textId="17634959" w:rsidR="00D83E5E" w:rsidRDefault="00D0624F" w:rsidP="0092118B">
      <w:pPr>
        <w:pStyle w:val="3-BodyText"/>
      </w:pPr>
      <w:r>
        <w:t>The PBAC</w:t>
      </w:r>
      <w:r w:rsidR="0092118B">
        <w:t xml:space="preserve"> </w:t>
      </w:r>
      <w:r w:rsidR="00EE0467">
        <w:t xml:space="preserve">did </w:t>
      </w:r>
      <w:r>
        <w:t xml:space="preserve">not recommend osilodrostat for the treatment of </w:t>
      </w:r>
      <w:r w:rsidR="00EE0467">
        <w:t xml:space="preserve">adult patients with </w:t>
      </w:r>
      <w:r>
        <w:t xml:space="preserve">endogenous Cushing’s syndrome </w:t>
      </w:r>
      <w:r w:rsidR="00EE0467">
        <w:t>(CS) who are not candidates for surgery or for whom surgery was not curative</w:t>
      </w:r>
      <w:r>
        <w:t xml:space="preserve">. </w:t>
      </w:r>
      <w:r w:rsidR="00157C9C">
        <w:t xml:space="preserve">The PBAC considered that although there was evidence </w:t>
      </w:r>
      <w:r w:rsidR="0092118B">
        <w:t xml:space="preserve">that osilodrostat </w:t>
      </w:r>
      <w:r w:rsidR="009A7BBA">
        <w:t>was</w:t>
      </w:r>
      <w:r w:rsidR="0092118B">
        <w:t xml:space="preserve"> effective in the short term and </w:t>
      </w:r>
      <w:r w:rsidR="00EE0467">
        <w:t xml:space="preserve">response </w:t>
      </w:r>
      <w:r w:rsidR="003F6A32">
        <w:t>would</w:t>
      </w:r>
      <w:r w:rsidR="00EE0467">
        <w:t xml:space="preserve"> likely</w:t>
      </w:r>
      <w:r w:rsidR="0092118B">
        <w:t xml:space="preserve"> </w:t>
      </w:r>
      <w:r w:rsidR="003F6A32">
        <w:t xml:space="preserve">be </w:t>
      </w:r>
      <w:r w:rsidR="0092118B">
        <w:t>maintain</w:t>
      </w:r>
      <w:r w:rsidR="00EE0467">
        <w:t>ed</w:t>
      </w:r>
      <w:r w:rsidR="0092118B">
        <w:t xml:space="preserve"> for longer periods, the magnitude of the benefit of this therapy and its cost-effectiveness was uncertain. The </w:t>
      </w:r>
      <w:r w:rsidR="006C7635">
        <w:t xml:space="preserve">PBAC considered that </w:t>
      </w:r>
      <w:r w:rsidR="00B77D5F">
        <w:t xml:space="preserve">the </w:t>
      </w:r>
      <w:r w:rsidR="006C7635">
        <w:t xml:space="preserve">economic analysis of </w:t>
      </w:r>
      <w:r w:rsidR="009A7BBA">
        <w:t xml:space="preserve">incremental </w:t>
      </w:r>
      <w:r w:rsidR="006C7635">
        <w:t xml:space="preserve">cost per </w:t>
      </w:r>
      <w:r w:rsidR="009A7BBA">
        <w:t xml:space="preserve">extra </w:t>
      </w:r>
      <w:r w:rsidR="006C7635">
        <w:t xml:space="preserve">responder </w:t>
      </w:r>
      <w:r w:rsidR="0090154B">
        <w:t xml:space="preserve">as presented </w:t>
      </w:r>
      <w:r w:rsidR="006C7635">
        <w:t xml:space="preserve">was not </w:t>
      </w:r>
      <w:r w:rsidR="0092118B">
        <w:t xml:space="preserve">informative </w:t>
      </w:r>
      <w:r w:rsidR="009A7BBA">
        <w:t xml:space="preserve">as it </w:t>
      </w:r>
      <w:r w:rsidR="003F6A32">
        <w:t>d</w:t>
      </w:r>
      <w:r w:rsidR="00D13DEB">
        <w:t>id</w:t>
      </w:r>
      <w:r w:rsidR="009A7BBA">
        <w:t xml:space="preserve"> not capture the </w:t>
      </w:r>
      <w:r w:rsidR="003F6A32">
        <w:t xml:space="preserve">costs and </w:t>
      </w:r>
      <w:r w:rsidR="009A7BBA">
        <w:t xml:space="preserve">value of </w:t>
      </w:r>
      <w:r w:rsidR="006C7635">
        <w:t>the</w:t>
      </w:r>
      <w:r w:rsidR="0092118B">
        <w:t xml:space="preserve"> </w:t>
      </w:r>
      <w:r w:rsidR="003F6A32">
        <w:t xml:space="preserve">long-term use and </w:t>
      </w:r>
      <w:r w:rsidR="0092118B">
        <w:t xml:space="preserve">improvement in quality of life that may result from </w:t>
      </w:r>
      <w:r w:rsidR="006C7635">
        <w:t>treatment with osilodrostat.</w:t>
      </w:r>
    </w:p>
    <w:p w14:paraId="5030A385" w14:textId="0C949478" w:rsidR="00D0624F" w:rsidRDefault="00D0624F" w:rsidP="00D83E5E">
      <w:pPr>
        <w:pStyle w:val="3-BodyText"/>
      </w:pPr>
      <w:r>
        <w:t xml:space="preserve">The PBAC acknowledged that there was a high clinical need for </w:t>
      </w:r>
      <w:r w:rsidR="009A7BBA">
        <w:t xml:space="preserve">new </w:t>
      </w:r>
      <w:r>
        <w:t xml:space="preserve">therapies for CS, given the high mortality </w:t>
      </w:r>
      <w:r w:rsidR="009A7BBA">
        <w:t xml:space="preserve">and morbidity </w:t>
      </w:r>
      <w:r>
        <w:t xml:space="preserve">associated with the disease, and that there was no PBS listed medicine for this condition. </w:t>
      </w:r>
    </w:p>
    <w:p w14:paraId="752C00AC" w14:textId="3B108056" w:rsidR="00D0624F" w:rsidRPr="00390DC2" w:rsidRDefault="00D0624F" w:rsidP="00D83E5E">
      <w:pPr>
        <w:pStyle w:val="3-BodyText"/>
      </w:pPr>
      <w:r>
        <w:t xml:space="preserve">The PBAC noted </w:t>
      </w:r>
      <w:r>
        <w:rPr>
          <w:lang w:val="en-GB"/>
        </w:rPr>
        <w:t xml:space="preserve">the consumer comments were supportive of making osilodrostat available on PBS as a treatment option </w:t>
      </w:r>
      <w:r w:rsidR="000E49EC">
        <w:rPr>
          <w:lang w:val="en-GB"/>
        </w:rPr>
        <w:t>and noted</w:t>
      </w:r>
      <w:r w:rsidR="00390DC2">
        <w:rPr>
          <w:lang w:val="en-GB"/>
        </w:rPr>
        <w:t xml:space="preserve"> </w:t>
      </w:r>
      <w:r>
        <w:rPr>
          <w:lang w:val="en-GB"/>
        </w:rPr>
        <w:t xml:space="preserve">the clinician hearing </w:t>
      </w:r>
      <w:r w:rsidR="00390DC2">
        <w:rPr>
          <w:lang w:val="en-GB"/>
        </w:rPr>
        <w:t>highlight</w:t>
      </w:r>
      <w:r w:rsidR="009A7BBA">
        <w:rPr>
          <w:lang w:val="en-GB"/>
        </w:rPr>
        <w:t xml:space="preserve">ed </w:t>
      </w:r>
      <w:r w:rsidR="00390DC2">
        <w:rPr>
          <w:lang w:val="en-GB"/>
        </w:rPr>
        <w:t xml:space="preserve">the difficulty with access to off label metyrapone and ketoconazole. </w:t>
      </w:r>
    </w:p>
    <w:p w14:paraId="2C92B97D" w14:textId="0F77CFD2" w:rsidR="007C54E7" w:rsidRDefault="007C54E7" w:rsidP="00DE110F">
      <w:pPr>
        <w:pStyle w:val="3-BodyText"/>
      </w:pPr>
      <w:r>
        <w:t xml:space="preserve">The PBAC noted the requested PBS restriction limited access to </w:t>
      </w:r>
      <w:r w:rsidR="009E0E1D">
        <w:t>patients with endogenous CS</w:t>
      </w:r>
      <w:r>
        <w:t xml:space="preserve"> who had failed surgery or were not considered candidates for surgery, and that the continuation criteria required demonstration of complete response by week 12, defined as </w:t>
      </w:r>
      <w:r w:rsidR="00F702E7" w:rsidRPr="00F702E7">
        <w:t xml:space="preserve">urinary free cortisol </w:t>
      </w:r>
      <w:r w:rsidR="00F702E7">
        <w:t>(</w:t>
      </w:r>
      <w:r>
        <w:t>UFC</w:t>
      </w:r>
      <w:r w:rsidR="00F702E7">
        <w:t>) level</w:t>
      </w:r>
      <w:r>
        <w:t xml:space="preserve"> </w:t>
      </w:r>
      <w:r w:rsidR="00494884" w:rsidRPr="00494884">
        <w:t>less than or equal to the upper limit of normal</w:t>
      </w:r>
      <w:r w:rsidR="009E0E1D">
        <w:t xml:space="preserve">. </w:t>
      </w:r>
      <w:r w:rsidR="004024AA">
        <w:t>There was also a grandfathering restriction proposed for patients currently accessing treatment on a compassionate access program. The PBAC</w:t>
      </w:r>
      <w:r w:rsidR="009E0E1D">
        <w:t xml:space="preserve"> considered that </w:t>
      </w:r>
      <w:r w:rsidR="004024AA">
        <w:t>there are other treatment setting</w:t>
      </w:r>
      <w:r w:rsidR="00D93904">
        <w:t>s</w:t>
      </w:r>
      <w:r w:rsidR="004024AA">
        <w:t xml:space="preserve"> in which osilodrostat may be considered for use in clinical practice, such as pre-operative medical therapy, or in combination with other therapy if UFC </w:t>
      </w:r>
      <w:r w:rsidR="003F6A32">
        <w:t xml:space="preserve">was </w:t>
      </w:r>
      <w:r w:rsidR="004024AA">
        <w:t>only partially controlled. However, there was no clinical evidence presented in these additional places in therapy and patients would not be eligible for PBS access if currently treated under the</w:t>
      </w:r>
      <w:r w:rsidR="003F6A32">
        <w:t>se conditions in the</w:t>
      </w:r>
      <w:r w:rsidR="004024AA">
        <w:t xml:space="preserve"> compassionate access program. </w:t>
      </w:r>
    </w:p>
    <w:p w14:paraId="4B6CAD8C" w14:textId="61255F72" w:rsidR="00FD1C9E" w:rsidRDefault="00FD1C9E" w:rsidP="00DE110F">
      <w:pPr>
        <w:pStyle w:val="3-BodyText"/>
      </w:pPr>
      <w:r>
        <w:t xml:space="preserve">The PBAC considered that the </w:t>
      </w:r>
      <w:r w:rsidR="003F6A32">
        <w:t xml:space="preserve">placebo </w:t>
      </w:r>
      <w:r>
        <w:t xml:space="preserve">comparator was </w:t>
      </w:r>
      <w:r w:rsidR="003F6A32">
        <w:t xml:space="preserve">the </w:t>
      </w:r>
      <w:r w:rsidR="007C54E7">
        <w:t xml:space="preserve">most </w:t>
      </w:r>
      <w:r>
        <w:t xml:space="preserve">relevant given that ketoconazole was deregistered </w:t>
      </w:r>
      <w:r w:rsidR="00A305C1">
        <w:t xml:space="preserve">by the </w:t>
      </w:r>
      <w:r>
        <w:t xml:space="preserve">TGA and metyrapone was used as </w:t>
      </w:r>
      <w:r w:rsidR="00C43346">
        <w:t>an</w:t>
      </w:r>
      <w:r>
        <w:t xml:space="preserve"> off-label therapy.</w:t>
      </w:r>
    </w:p>
    <w:p w14:paraId="58F01637" w14:textId="02C2C027" w:rsidR="005C31EB" w:rsidRDefault="000E49EC" w:rsidP="00DE110F">
      <w:pPr>
        <w:pStyle w:val="3-BodyText"/>
      </w:pPr>
      <w:r w:rsidRPr="00A8203F">
        <w:t xml:space="preserve">The PBAC </w:t>
      </w:r>
      <w:r w:rsidR="006C7635" w:rsidRPr="00A8203F">
        <w:t>noted</w:t>
      </w:r>
      <w:r w:rsidR="00A8203F">
        <w:t xml:space="preserve"> the comparison of osilodrostat and placebo was based on 2 randomised placebo-controlled trials (LINC 3; LINC 4) and one open-label phase II study (C1202). The PBAC noted </w:t>
      </w:r>
      <w:r w:rsidR="006C7635">
        <w:t>the high risk of</w:t>
      </w:r>
      <w:r w:rsidR="005C31EB">
        <w:t xml:space="preserve"> bias with </w:t>
      </w:r>
      <w:r w:rsidR="00A8203F">
        <w:t xml:space="preserve">the </w:t>
      </w:r>
      <w:r w:rsidR="005C31EB">
        <w:t xml:space="preserve">LINC </w:t>
      </w:r>
      <w:r w:rsidR="00A8203F">
        <w:t>3</w:t>
      </w:r>
      <w:r w:rsidR="005C31EB">
        <w:t xml:space="preserve"> </w:t>
      </w:r>
      <w:r w:rsidR="00A8203F">
        <w:t>trial given the withdrawal study design where only responders (N=71) were randomised to the comparative stage after the 26 weeks open-label period (N=137)</w:t>
      </w:r>
      <w:r w:rsidR="005C31EB">
        <w:t>. In particular, the high risk of selection</w:t>
      </w:r>
      <w:r w:rsidR="006C7635">
        <w:t xml:space="preserve"> bias with LINC 3</w:t>
      </w:r>
      <w:r w:rsidR="005C31EB">
        <w:t xml:space="preserve"> meant that any estimate of effect size was likely to be overestimated. </w:t>
      </w:r>
    </w:p>
    <w:p w14:paraId="2AB51408" w14:textId="191F1D4B" w:rsidR="0025498C" w:rsidRDefault="00584DF2" w:rsidP="006D579B">
      <w:pPr>
        <w:pStyle w:val="3-BodyText"/>
      </w:pPr>
      <w:bookmarkStart w:id="59" w:name="_Ref131153766"/>
      <w:r>
        <w:t xml:space="preserve">Based on the LINC 4 outcomes, the PBAC noted that osilodrostat demonstrated a </w:t>
      </w:r>
      <w:r w:rsidR="00C15423">
        <w:t xml:space="preserve">statistically </w:t>
      </w:r>
      <w:r>
        <w:t xml:space="preserve">significant improvement in complete response at week 12 (RD = </w:t>
      </w:r>
      <w:r w:rsidRPr="0025498C">
        <w:rPr>
          <w:rFonts w:cs="Calibri"/>
          <w:iCs/>
        </w:rPr>
        <w:t>0.69 (0.47, 0.80); OR = 43.4 (7.06, 343.19)).</w:t>
      </w:r>
      <w:r>
        <w:t xml:space="preserve"> </w:t>
      </w:r>
      <w:r w:rsidR="005C31EB" w:rsidRPr="00C15423">
        <w:t xml:space="preserve">The PBAC </w:t>
      </w:r>
      <w:r w:rsidR="00C15423">
        <w:t xml:space="preserve">noted the issues raised during evaluation and </w:t>
      </w:r>
      <w:r w:rsidR="00317BD2">
        <w:t>ESC</w:t>
      </w:r>
      <w:r w:rsidR="00C15423">
        <w:t xml:space="preserve"> regarding</w:t>
      </w:r>
      <w:r w:rsidR="00665485">
        <w:t xml:space="preserve"> </w:t>
      </w:r>
      <w:r w:rsidR="00C43346">
        <w:t>the durability of response</w:t>
      </w:r>
      <w:r w:rsidR="00C15423">
        <w:t>. The P</w:t>
      </w:r>
      <w:r w:rsidR="0025498C">
        <w:t>B</w:t>
      </w:r>
      <w:r w:rsidR="00C15423">
        <w:t xml:space="preserve">AC also noted the </w:t>
      </w:r>
      <w:r w:rsidR="0025498C">
        <w:t xml:space="preserve">PSCR and </w:t>
      </w:r>
      <w:r w:rsidR="00C15423">
        <w:t xml:space="preserve">pre-PBAC response which indicated </w:t>
      </w:r>
      <w:r w:rsidR="0025498C">
        <w:t xml:space="preserve">how different approaches to the </w:t>
      </w:r>
      <w:r w:rsidR="003F6A32">
        <w:t xml:space="preserve">open-label </w:t>
      </w:r>
      <w:r w:rsidR="0025498C">
        <w:t xml:space="preserve">data </w:t>
      </w:r>
      <w:r w:rsidR="003F6A32">
        <w:t xml:space="preserve">of both LINC trials </w:t>
      </w:r>
      <w:r w:rsidR="0025498C">
        <w:t xml:space="preserve">revealed better reflections of </w:t>
      </w:r>
      <w:r w:rsidR="00317BD2">
        <w:t xml:space="preserve">a </w:t>
      </w:r>
      <w:r w:rsidR="0025498C">
        <w:t xml:space="preserve">durable response (see paragraphs </w:t>
      </w:r>
      <w:r w:rsidR="0025498C">
        <w:fldChar w:fldCharType="begin"/>
      </w:r>
      <w:r w:rsidR="0025498C">
        <w:instrText xml:space="preserve"> REF _Ref130470325 \r \h </w:instrText>
      </w:r>
      <w:r w:rsidR="0025498C">
        <w:fldChar w:fldCharType="separate"/>
      </w:r>
      <w:r w:rsidR="00A9220E">
        <w:t>6.11</w:t>
      </w:r>
      <w:r w:rsidR="0025498C">
        <w:fldChar w:fldCharType="end"/>
      </w:r>
      <w:r w:rsidR="0025498C">
        <w:t xml:space="preserve"> and </w:t>
      </w:r>
      <w:r w:rsidR="0025498C">
        <w:fldChar w:fldCharType="begin"/>
      </w:r>
      <w:r w:rsidR="0025498C">
        <w:instrText xml:space="preserve"> REF _Ref130473495 \r \h </w:instrText>
      </w:r>
      <w:r w:rsidR="0025498C">
        <w:fldChar w:fldCharType="separate"/>
      </w:r>
      <w:r w:rsidR="00A9220E">
        <w:t>6.12</w:t>
      </w:r>
      <w:r w:rsidR="0025498C">
        <w:fldChar w:fldCharType="end"/>
      </w:r>
      <w:r w:rsidR="0025498C">
        <w:t xml:space="preserve">). Overall, </w:t>
      </w:r>
      <w:r w:rsidR="00C15423">
        <w:t xml:space="preserve">the PBAC </w:t>
      </w:r>
      <w:r w:rsidR="0025498C">
        <w:t>considered</w:t>
      </w:r>
      <w:r w:rsidR="00C15423">
        <w:t xml:space="preserve"> that despite the limitations of the evidence</w:t>
      </w:r>
      <w:r w:rsidR="0025498C">
        <w:t>, it</w:t>
      </w:r>
      <w:r w:rsidR="00C15423">
        <w:t xml:space="preserve"> </w:t>
      </w:r>
      <w:r w:rsidR="00C43346">
        <w:t>was biologically plausible</w:t>
      </w:r>
      <w:r w:rsidR="005C31EB">
        <w:t xml:space="preserve"> </w:t>
      </w:r>
      <w:r w:rsidR="0025498C">
        <w:t>that</w:t>
      </w:r>
      <w:r w:rsidR="005C31EB">
        <w:t xml:space="preserve"> </w:t>
      </w:r>
      <w:r w:rsidR="0025498C">
        <w:t>if a patient is tolerating and responding to osilodrostat, that the response would be maintained.</w:t>
      </w:r>
      <w:r w:rsidR="00E460DC">
        <w:t xml:space="preserve"> The PBAC</w:t>
      </w:r>
      <w:r w:rsidR="00385B3B">
        <w:t xml:space="preserve"> </w:t>
      </w:r>
      <w:r w:rsidR="00EA1C38">
        <w:t>suggested</w:t>
      </w:r>
      <w:r w:rsidR="00E460DC">
        <w:t xml:space="preserve"> that </w:t>
      </w:r>
      <w:r w:rsidR="007D37CB">
        <w:t>in clinical practice there may be</w:t>
      </w:r>
      <w:r w:rsidR="00385B3B">
        <w:t xml:space="preserve"> variation in response related to </w:t>
      </w:r>
      <w:r w:rsidR="00E460DC">
        <w:t>the unintended effects or hormonal changes from the treatment</w:t>
      </w:r>
      <w:r w:rsidR="00E15708">
        <w:t xml:space="preserve"> (as a result of blocking cortisol production and increasing the levels of other hormones)</w:t>
      </w:r>
      <w:r w:rsidR="00385B3B">
        <w:t xml:space="preserve"> requiring</w:t>
      </w:r>
      <w:r w:rsidR="00E460DC">
        <w:t xml:space="preserve"> patients to take a break from the treatment to allow their hormone levels to return to normal</w:t>
      </w:r>
      <w:r w:rsidR="00385B3B">
        <w:t>. However, the PBAC further considered that</w:t>
      </w:r>
      <w:r w:rsidR="00E460DC">
        <w:t xml:space="preserve"> it is unknown what </w:t>
      </w:r>
      <w:r w:rsidR="00BC06C5">
        <w:t xml:space="preserve">impact </w:t>
      </w:r>
      <w:r w:rsidR="00E460DC">
        <w:t xml:space="preserve">this may </w:t>
      </w:r>
      <w:r w:rsidR="00BC06C5">
        <w:t>have</w:t>
      </w:r>
      <w:r w:rsidR="00E460DC">
        <w:t xml:space="preserve"> on long</w:t>
      </w:r>
      <w:r w:rsidR="00EA1C38">
        <w:t>-</w:t>
      </w:r>
      <w:r w:rsidR="00E460DC">
        <w:t>term outcomes and quality of life.</w:t>
      </w:r>
      <w:bookmarkEnd w:id="59"/>
    </w:p>
    <w:p w14:paraId="64C3C979" w14:textId="1843F868" w:rsidR="00DE110F" w:rsidRDefault="00317BD2" w:rsidP="005C31EB">
      <w:pPr>
        <w:pStyle w:val="3-BodyText"/>
      </w:pPr>
      <w:r>
        <w:t>The</w:t>
      </w:r>
      <w:r w:rsidR="00C43346">
        <w:t xml:space="preserve"> PBAC </w:t>
      </w:r>
      <w:r>
        <w:t xml:space="preserve">accepted the clinical claim of superior comparative </w:t>
      </w:r>
      <w:r w:rsidR="00F40479">
        <w:t>effectiveness</w:t>
      </w:r>
      <w:r>
        <w:t xml:space="preserve"> </w:t>
      </w:r>
      <w:r w:rsidR="001E4940">
        <w:t xml:space="preserve">of osilodrostat </w:t>
      </w:r>
      <w:r>
        <w:t xml:space="preserve">to placebo for the </w:t>
      </w:r>
      <w:r w:rsidR="004F22A3">
        <w:t>surrogate</w:t>
      </w:r>
      <w:r>
        <w:t xml:space="preserve"> outcome of complete response</w:t>
      </w:r>
      <w:r w:rsidR="004F22A3">
        <w:t xml:space="preserve"> of UFC</w:t>
      </w:r>
      <w:r>
        <w:t xml:space="preserve">. However, it was </w:t>
      </w:r>
      <w:r w:rsidR="00C43346">
        <w:t xml:space="preserve">noted that </w:t>
      </w:r>
      <w:r w:rsidR="005C31EB">
        <w:t xml:space="preserve">there was still </w:t>
      </w:r>
      <w:r w:rsidR="00C43346">
        <w:t>uncertainty</w:t>
      </w:r>
      <w:r w:rsidR="002C08FC">
        <w:t xml:space="preserve"> </w:t>
      </w:r>
      <w:r w:rsidR="00FF0004">
        <w:t>with translating this into</w:t>
      </w:r>
      <w:r w:rsidR="001E4940">
        <w:t xml:space="preserve"> the</w:t>
      </w:r>
      <w:r w:rsidR="00C43346">
        <w:t xml:space="preserve"> longer-term </w:t>
      </w:r>
      <w:r w:rsidR="001E4940">
        <w:t xml:space="preserve">mortality and morbidity </w:t>
      </w:r>
      <w:r w:rsidR="00E15708">
        <w:t>improvements.</w:t>
      </w:r>
      <w:r w:rsidR="001E4940" w:rsidRPr="001E4940">
        <w:t xml:space="preserve"> </w:t>
      </w:r>
      <w:r w:rsidR="001E4940">
        <w:t>The PBAC considered that it was not uncommon for patients with CS to have a gradual improvement in symptoms after treatment, with clinical benefits usually seen after a year or so, requiring considerable amount of time to adapt to the normal cortisol level.</w:t>
      </w:r>
    </w:p>
    <w:p w14:paraId="486EB298" w14:textId="24A0590C" w:rsidR="00DE110F" w:rsidRDefault="000E11E4" w:rsidP="002C278C">
      <w:pPr>
        <w:pStyle w:val="3-BodyText"/>
      </w:pPr>
      <w:r>
        <w:t xml:space="preserve">The PBAC </w:t>
      </w:r>
      <w:r w:rsidR="002C278C">
        <w:t>considered</w:t>
      </w:r>
      <w:r>
        <w:t xml:space="preserve"> the pre-PBAC response </w:t>
      </w:r>
      <w:r w:rsidR="005F79C7">
        <w:t xml:space="preserve">explanation that </w:t>
      </w:r>
      <w:r>
        <w:t xml:space="preserve">hypocortisolism </w:t>
      </w:r>
      <w:r w:rsidR="005F79C7">
        <w:t xml:space="preserve">occurred </w:t>
      </w:r>
      <w:r>
        <w:t>more frequently during dose titration and the</w:t>
      </w:r>
      <w:r w:rsidR="005F79C7">
        <w:t>re was</w:t>
      </w:r>
      <w:r>
        <w:t xml:space="preserve"> low level of QTc prolongation</w:t>
      </w:r>
      <w:r w:rsidR="002C278C">
        <w:t xml:space="preserve"> throughout the treatment period</w:t>
      </w:r>
      <w:r w:rsidR="005F79C7">
        <w:t>,</w:t>
      </w:r>
      <w:r>
        <w:t xml:space="preserve"> was acceptable. </w:t>
      </w:r>
      <w:r w:rsidR="002C278C">
        <w:t>Therefore, the</w:t>
      </w:r>
      <w:r w:rsidR="00CA5439">
        <w:t xml:space="preserve"> PBAC accepted that the claim of non-inferiority</w:t>
      </w:r>
      <w:r w:rsidR="00FD1C9E">
        <w:t xml:space="preserve"> safety</w:t>
      </w:r>
      <w:r w:rsidR="00CA5439">
        <w:t xml:space="preserve"> to placebo was reasonable</w:t>
      </w:r>
      <w:r w:rsidR="007078B8">
        <w:t xml:space="preserve">, noting </w:t>
      </w:r>
      <w:r w:rsidR="007078B8">
        <w:rPr>
          <w:bCs/>
        </w:rPr>
        <w:t xml:space="preserve">regular monitoring of side effects of </w:t>
      </w:r>
      <w:r w:rsidR="007078B8" w:rsidRPr="006737D5">
        <w:t>hypocortisolism</w:t>
      </w:r>
      <w:r w:rsidR="007078B8">
        <w:rPr>
          <w:bCs/>
        </w:rPr>
        <w:t xml:space="preserve"> was required</w:t>
      </w:r>
      <w:r w:rsidR="00CA5439">
        <w:t xml:space="preserve">. </w:t>
      </w:r>
      <w:r w:rsidR="00250007">
        <w:t>The</w:t>
      </w:r>
      <w:r w:rsidR="002C278C">
        <w:t xml:space="preserve"> PBAC considered that adverse events relating to pituitary tumour enlargement should be monitored and </w:t>
      </w:r>
      <w:r w:rsidR="005C31EB">
        <w:t>required further investigation</w:t>
      </w:r>
      <w:r w:rsidR="002C278C">
        <w:t xml:space="preserve"> to better understand the impact of this phenomenon.</w:t>
      </w:r>
    </w:p>
    <w:p w14:paraId="6A52FE55" w14:textId="423A8A59" w:rsidR="00754DC5" w:rsidRDefault="00CA5439" w:rsidP="00754DC5">
      <w:pPr>
        <w:pStyle w:val="3-BodyText"/>
      </w:pPr>
      <w:r>
        <w:t>The PBAC considered that the claim</w:t>
      </w:r>
      <w:r w:rsidR="009E122D">
        <w:t>s</w:t>
      </w:r>
      <w:r>
        <w:t xml:space="preserve"> of superior </w:t>
      </w:r>
      <w:r w:rsidR="00E1267C">
        <w:t xml:space="preserve">efficacy and </w:t>
      </w:r>
      <w:r>
        <w:t xml:space="preserve">safety to metyrapone and ketoconazole </w:t>
      </w:r>
      <w:r w:rsidR="009E122D">
        <w:t xml:space="preserve">were </w:t>
      </w:r>
      <w:r>
        <w:t>reasonable</w:t>
      </w:r>
      <w:r w:rsidR="009E122D">
        <w:t>,</w:t>
      </w:r>
      <w:r>
        <w:t xml:space="preserve"> </w:t>
      </w:r>
      <w:r w:rsidR="009E122D">
        <w:t>noting the</w:t>
      </w:r>
      <w:r>
        <w:t xml:space="preserve"> significant toxicity associated with ketoconazole and metyrapone.</w:t>
      </w:r>
    </w:p>
    <w:p w14:paraId="26CEBFA1" w14:textId="6CA66519" w:rsidR="00F27FC2" w:rsidRDefault="00FD1C9E" w:rsidP="0072052C">
      <w:pPr>
        <w:pStyle w:val="3-BodyText"/>
      </w:pPr>
      <w:r>
        <w:t xml:space="preserve">The PBAC </w:t>
      </w:r>
      <w:r w:rsidR="00621385">
        <w:t>agreed with the ESC that the</w:t>
      </w:r>
      <w:r w:rsidR="00621385" w:rsidRPr="008C713C">
        <w:t xml:space="preserve"> 12-week trial-based incremental cost per responder analyses d</w:t>
      </w:r>
      <w:r w:rsidR="00621385">
        <w:t>id</w:t>
      </w:r>
      <w:r w:rsidR="00621385" w:rsidRPr="008C713C">
        <w:t xml:space="preserve"> not allow for assessment of cost-effectiveness of long-term use </w:t>
      </w:r>
      <w:r w:rsidR="004F22A3">
        <w:t xml:space="preserve">of osilodrostat </w:t>
      </w:r>
      <w:r w:rsidR="00621385" w:rsidRPr="008C713C">
        <w:t xml:space="preserve">in </w:t>
      </w:r>
      <w:r w:rsidR="00621385">
        <w:t>this</w:t>
      </w:r>
      <w:r w:rsidR="00621385" w:rsidRPr="008C713C">
        <w:t xml:space="preserve"> chronic condition</w:t>
      </w:r>
      <w:r w:rsidR="00621385">
        <w:t xml:space="preserve"> (see paragraph </w:t>
      </w:r>
      <w:r w:rsidR="00621385">
        <w:fldChar w:fldCharType="begin"/>
      </w:r>
      <w:r w:rsidR="00621385">
        <w:instrText xml:space="preserve"> REF _Ref130477637 \r \h </w:instrText>
      </w:r>
      <w:r w:rsidR="00621385">
        <w:fldChar w:fldCharType="separate"/>
      </w:r>
      <w:r w:rsidR="00A9220E">
        <w:t>6.40</w:t>
      </w:r>
      <w:r w:rsidR="00621385">
        <w:fldChar w:fldCharType="end"/>
      </w:r>
      <w:r w:rsidR="00621385">
        <w:t xml:space="preserve">). </w:t>
      </w:r>
      <w:r w:rsidR="007078B8">
        <w:t xml:space="preserve">However, as noted in paragraph </w:t>
      </w:r>
      <w:r w:rsidR="007078B8">
        <w:fldChar w:fldCharType="begin"/>
      </w:r>
      <w:r w:rsidR="007078B8">
        <w:instrText xml:space="preserve"> REF _Ref131153766 \r \h </w:instrText>
      </w:r>
      <w:r w:rsidR="007078B8">
        <w:fldChar w:fldCharType="separate"/>
      </w:r>
      <w:r w:rsidR="00A9220E">
        <w:t>7.7</w:t>
      </w:r>
      <w:r w:rsidR="007078B8">
        <w:fldChar w:fldCharType="end"/>
      </w:r>
      <w:r w:rsidR="007078B8">
        <w:t xml:space="preserve"> the PBAC considered a durable response was biologically plausible. </w:t>
      </w:r>
      <w:r w:rsidR="00C43125">
        <w:t>The PBAC noted the pre-PBAC response included a</w:t>
      </w:r>
      <w:r w:rsidR="00EF3963">
        <w:t>n incremental</w:t>
      </w:r>
      <w:r w:rsidR="00C43125">
        <w:t xml:space="preserve"> cost per responder analysis over a 48-week time horizon. The PBAC noted the increase in the cost-effectiveness ratio due to the accumulation of costs over a longer period with response measured at a single point in time, </w:t>
      </w:r>
      <w:r w:rsidR="00BA1D15">
        <w:t>although</w:t>
      </w:r>
      <w:r w:rsidR="00C43125">
        <w:t xml:space="preserve"> considered the issue</w:t>
      </w:r>
      <w:r w:rsidR="00BA1D15">
        <w:t>s regarding</w:t>
      </w:r>
      <w:r w:rsidR="00C43125">
        <w:t xml:space="preserve"> interpretation</w:t>
      </w:r>
      <w:r w:rsidR="00BA1D15">
        <w:t xml:space="preserve"> remained.</w:t>
      </w:r>
      <w:r w:rsidR="00C43125">
        <w:t xml:space="preserve"> </w:t>
      </w:r>
      <w:r w:rsidR="00621385">
        <w:t xml:space="preserve">The PBAC </w:t>
      </w:r>
      <w:r>
        <w:t xml:space="preserve">considered </w:t>
      </w:r>
      <w:r w:rsidR="00621385">
        <w:t xml:space="preserve">there would be important long-term benefits not captured by the trial </w:t>
      </w:r>
      <w:r w:rsidR="005F79C7">
        <w:t>period</w:t>
      </w:r>
      <w:r w:rsidR="004F22A3">
        <w:t xml:space="preserve"> and </w:t>
      </w:r>
      <w:r w:rsidR="005F79C7">
        <w:t xml:space="preserve">the </w:t>
      </w:r>
      <w:r w:rsidR="004F22A3">
        <w:t>surrogate outcome measured</w:t>
      </w:r>
      <w:r w:rsidR="00621385">
        <w:t>, and an alternative cost-effectiveness or cost utility analysis would need to be considered</w:t>
      </w:r>
      <w:r w:rsidR="005F79C7">
        <w:t xml:space="preserve"> in any future resubmission</w:t>
      </w:r>
      <w:r w:rsidR="001A48C9">
        <w:t>.</w:t>
      </w:r>
      <w:r w:rsidR="00FA2100">
        <w:t xml:space="preserve"> The </w:t>
      </w:r>
      <w:r w:rsidR="004F22A3">
        <w:t xml:space="preserve">economic </w:t>
      </w:r>
      <w:r w:rsidR="00FA2100">
        <w:t>analysis should incorporate longer durations of therapy and quality of life data</w:t>
      </w:r>
      <w:r w:rsidR="00936EAD">
        <w:t>, using literature and natural history data to supplement the available trial evidence</w:t>
      </w:r>
      <w:r w:rsidR="00FA2100">
        <w:t xml:space="preserve">. </w:t>
      </w:r>
      <w:r w:rsidR="004F22A3">
        <w:t xml:space="preserve">The PBAC considered </w:t>
      </w:r>
      <w:r w:rsidR="00351AFA">
        <w:t xml:space="preserve">that </w:t>
      </w:r>
      <w:r w:rsidR="004F22A3">
        <w:t>it</w:t>
      </w:r>
      <w:r w:rsidR="00FA2100">
        <w:t xml:space="preserve"> </w:t>
      </w:r>
      <w:r w:rsidR="00351AFA">
        <w:t xml:space="preserve">is </w:t>
      </w:r>
      <w:r w:rsidR="00FA2100">
        <w:t xml:space="preserve">highly likely that </w:t>
      </w:r>
      <w:r w:rsidR="00F8229A">
        <w:t xml:space="preserve">responding </w:t>
      </w:r>
      <w:r w:rsidR="00FA2100">
        <w:t xml:space="preserve">patients would continue </w:t>
      </w:r>
      <w:r w:rsidR="0081569B">
        <w:t xml:space="preserve">with </w:t>
      </w:r>
      <w:r w:rsidR="00FA2100">
        <w:t>treatment beyond three years (mean duration of treatment of 169.5 weeks as per the LINC trials).</w:t>
      </w:r>
      <w:r w:rsidR="00FF734C">
        <w:t xml:space="preserve"> </w:t>
      </w:r>
    </w:p>
    <w:p w14:paraId="36DF0C23" w14:textId="6A792368" w:rsidR="0081569B" w:rsidRPr="00544333" w:rsidRDefault="00672A20" w:rsidP="00754DC5">
      <w:pPr>
        <w:pStyle w:val="3-BodyText"/>
      </w:pPr>
      <w:r>
        <w:t xml:space="preserve">The PBAC </w:t>
      </w:r>
      <w:r w:rsidR="00306641">
        <w:t>noted that t</w:t>
      </w:r>
      <w:r w:rsidR="00306641" w:rsidRPr="00306641">
        <w:t xml:space="preserve">he </w:t>
      </w:r>
      <w:r w:rsidR="00F8229A">
        <w:t xml:space="preserve">financial estimates in the </w:t>
      </w:r>
      <w:r w:rsidR="00306641" w:rsidRPr="00306641">
        <w:t xml:space="preserve">submission limited treatment duration to </w:t>
      </w:r>
      <w:r w:rsidR="00385B3B">
        <w:t>3</w:t>
      </w:r>
      <w:r w:rsidR="00306641" w:rsidRPr="00306641">
        <w:t xml:space="preserve"> years which result</w:t>
      </w:r>
      <w:r w:rsidR="00306641">
        <w:t>ed</w:t>
      </w:r>
      <w:r w:rsidR="00306641" w:rsidRPr="00306641">
        <w:t xml:space="preserve"> in a substantial fall in usage from year 4 onwards.</w:t>
      </w:r>
      <w:r w:rsidR="00306641">
        <w:t xml:space="preserve"> The PBAC agreed with the</w:t>
      </w:r>
      <w:r w:rsidR="00306641" w:rsidRPr="00306641">
        <w:t xml:space="preserve"> DUSC </w:t>
      </w:r>
      <w:r w:rsidR="00306641">
        <w:t>that</w:t>
      </w:r>
      <w:r w:rsidR="00306641" w:rsidRPr="00306641">
        <w:t xml:space="preserve"> the usage estimates in the latter years </w:t>
      </w:r>
      <w:r w:rsidR="00306641">
        <w:t>was</w:t>
      </w:r>
      <w:r w:rsidR="00306641" w:rsidRPr="00306641">
        <w:t xml:space="preserve"> under-estimated</w:t>
      </w:r>
      <w:r w:rsidR="00306641">
        <w:t xml:space="preserve"> as</w:t>
      </w:r>
      <w:r>
        <w:t xml:space="preserve"> it would be unlikely for patients to cease treatment after 3 years from initiation</w:t>
      </w:r>
      <w:r w:rsidR="00306641">
        <w:t xml:space="preserve"> if the treatment was effective. As a result,</w:t>
      </w:r>
      <w:r>
        <w:t xml:space="preserve"> the total number of prevalent </w:t>
      </w:r>
      <w:r w:rsidR="00F8229A">
        <w:t>patient</w:t>
      </w:r>
      <w:r>
        <w:t xml:space="preserve">s </w:t>
      </w:r>
      <w:r w:rsidR="00F8229A">
        <w:t xml:space="preserve">receiving ongoing therapy </w:t>
      </w:r>
      <w:r w:rsidR="00306641">
        <w:t xml:space="preserve">and </w:t>
      </w:r>
      <w:r>
        <w:t>the</w:t>
      </w:r>
      <w:r w:rsidR="00F8229A">
        <w:t xml:space="preserve"> overall</w:t>
      </w:r>
      <w:r>
        <w:t xml:space="preserve"> financial estimates </w:t>
      </w:r>
      <w:r w:rsidR="00F8229A">
        <w:t>were underestimated</w:t>
      </w:r>
      <w:r>
        <w:t>.</w:t>
      </w:r>
      <w:r w:rsidR="00F8229A">
        <w:t xml:space="preserve"> </w:t>
      </w:r>
      <w:r w:rsidR="00544333" w:rsidRPr="00544333">
        <w:rPr>
          <w:rFonts w:eastAsiaTheme="minorHAnsi" w:cstheme="minorBidi"/>
          <w:lang w:eastAsia="en-US"/>
        </w:rPr>
        <w:t xml:space="preserve">The PBAC considered ongoing use for all responding patients would be more appropriate for what is expected to be lifelong treatment. </w:t>
      </w:r>
      <w:r w:rsidR="009B44BA">
        <w:rPr>
          <w:rFonts w:eastAsiaTheme="minorHAnsi" w:cstheme="minorBidi"/>
          <w:lang w:eastAsia="en-US"/>
        </w:rPr>
        <w:t>Some</w:t>
      </w:r>
      <w:r w:rsidR="00544333" w:rsidRPr="00544333">
        <w:rPr>
          <w:rFonts w:eastAsiaTheme="minorHAnsi" w:cstheme="minorBidi"/>
          <w:lang w:eastAsia="en-US"/>
        </w:rPr>
        <w:t xml:space="preserve"> discontinuation </w:t>
      </w:r>
      <w:r w:rsidR="005066C5">
        <w:rPr>
          <w:rFonts w:eastAsiaTheme="minorHAnsi" w:cstheme="minorBidi"/>
          <w:lang w:eastAsia="en-US"/>
        </w:rPr>
        <w:t>that</w:t>
      </w:r>
      <w:r w:rsidR="009B44BA">
        <w:rPr>
          <w:rFonts w:eastAsiaTheme="minorHAnsi" w:cstheme="minorBidi"/>
          <w:lang w:eastAsia="en-US"/>
        </w:rPr>
        <w:t xml:space="preserve"> </w:t>
      </w:r>
      <w:r w:rsidR="00544333" w:rsidRPr="00544333">
        <w:rPr>
          <w:rFonts w:eastAsiaTheme="minorHAnsi" w:cstheme="minorBidi"/>
          <w:lang w:eastAsia="en-US"/>
        </w:rPr>
        <w:t>align</w:t>
      </w:r>
      <w:r w:rsidR="009B44BA">
        <w:rPr>
          <w:rFonts w:eastAsiaTheme="minorHAnsi" w:cstheme="minorBidi"/>
          <w:lang w:eastAsia="en-US"/>
        </w:rPr>
        <w:t>s</w:t>
      </w:r>
      <w:r w:rsidR="00544333" w:rsidRPr="00544333">
        <w:rPr>
          <w:rFonts w:eastAsiaTheme="minorHAnsi" w:cstheme="minorBidi"/>
          <w:lang w:eastAsia="en-US"/>
        </w:rPr>
        <w:t xml:space="preserve"> with a future economic evaluation may be considered, but only 50% continuation beyond year 3, as implied in paragraph </w:t>
      </w:r>
      <w:r w:rsidR="007541C1">
        <w:rPr>
          <w:rFonts w:eastAsiaTheme="minorHAnsi" w:cstheme="minorBidi"/>
          <w:lang w:eastAsia="en-US"/>
        </w:rPr>
        <w:fldChar w:fldCharType="begin"/>
      </w:r>
      <w:r w:rsidR="007541C1">
        <w:rPr>
          <w:rFonts w:eastAsiaTheme="minorHAnsi" w:cstheme="minorBidi"/>
          <w:lang w:eastAsia="en-US"/>
        </w:rPr>
        <w:instrText xml:space="preserve"> REF _Ref134538262 \r \h </w:instrText>
      </w:r>
      <w:r w:rsidR="007541C1">
        <w:rPr>
          <w:rFonts w:eastAsiaTheme="minorHAnsi" w:cstheme="minorBidi"/>
          <w:lang w:eastAsia="en-US"/>
        </w:rPr>
      </w:r>
      <w:r w:rsidR="007541C1">
        <w:rPr>
          <w:rFonts w:eastAsiaTheme="minorHAnsi" w:cstheme="minorBidi"/>
          <w:lang w:eastAsia="en-US"/>
        </w:rPr>
        <w:fldChar w:fldCharType="separate"/>
      </w:r>
      <w:r w:rsidR="00A9220E">
        <w:rPr>
          <w:rFonts w:eastAsiaTheme="minorHAnsi" w:cstheme="minorBidi"/>
          <w:lang w:eastAsia="en-US"/>
        </w:rPr>
        <w:t>6.47</w:t>
      </w:r>
      <w:r w:rsidR="007541C1">
        <w:rPr>
          <w:rFonts w:eastAsiaTheme="minorHAnsi" w:cstheme="minorBidi"/>
          <w:lang w:eastAsia="en-US"/>
        </w:rPr>
        <w:fldChar w:fldCharType="end"/>
      </w:r>
      <w:r w:rsidR="00544333" w:rsidRPr="00544333">
        <w:rPr>
          <w:rFonts w:eastAsiaTheme="minorHAnsi" w:cstheme="minorBidi"/>
          <w:lang w:eastAsia="en-US"/>
        </w:rPr>
        <w:t xml:space="preserve">, was not reasonable. </w:t>
      </w:r>
      <w:r w:rsidR="00F8229A">
        <w:t xml:space="preserve">The PBAC also agreed with the DUSC revised uptake </w:t>
      </w:r>
      <w:r w:rsidR="00F8229A" w:rsidRPr="00544333">
        <w:t>rates</w:t>
      </w:r>
      <w:r w:rsidR="00544333" w:rsidRPr="00544333">
        <w:t xml:space="preserve"> </w:t>
      </w:r>
      <w:r w:rsidR="00544333" w:rsidRPr="00544333">
        <w:rPr>
          <w:rFonts w:eastAsiaTheme="minorHAnsi" w:cstheme="minorBidi"/>
          <w:lang w:eastAsia="en-US"/>
        </w:rPr>
        <w:t xml:space="preserve">of </w:t>
      </w:r>
      <w:r w:rsidR="00E228B8" w:rsidRPr="00A9220E">
        <w:rPr>
          <w:rFonts w:eastAsiaTheme="minorHAnsi" w:cstheme="minorBidi"/>
          <w:color w:val="000000"/>
          <w:w w:val="15"/>
          <w:shd w:val="solid" w:color="000000" w:fill="000000"/>
          <w:fitText w:val="-20" w:id="-1234458102"/>
          <w:lang w:eastAsia="en-US"/>
          <w14:textFill>
            <w14:solidFill>
              <w14:srgbClr w14:val="000000">
                <w14:alpha w14:val="100000"/>
              </w14:srgbClr>
            </w14:solidFill>
          </w14:textFill>
        </w:rPr>
        <w:t xml:space="preserve">|  </w:t>
      </w:r>
      <w:r w:rsidR="00E228B8" w:rsidRPr="00A9220E">
        <w:rPr>
          <w:rFonts w:eastAsiaTheme="minorHAnsi" w:cstheme="minorBidi"/>
          <w:color w:val="000000"/>
          <w:spacing w:val="-69"/>
          <w:w w:val="15"/>
          <w:shd w:val="solid" w:color="000000" w:fill="000000"/>
          <w:fitText w:val="-20" w:id="-1234458102"/>
          <w:lang w:eastAsia="en-US"/>
          <w14:textFill>
            <w14:solidFill>
              <w14:srgbClr w14:val="000000">
                <w14:alpha w14:val="100000"/>
              </w14:srgbClr>
            </w14:solidFill>
          </w14:textFill>
        </w:rPr>
        <w:t>|</w:t>
      </w:r>
      <w:r w:rsidR="00544333" w:rsidRPr="000818D9">
        <w:rPr>
          <w:rFonts w:eastAsiaTheme="minorHAnsi" w:cstheme="minorBidi"/>
          <w:lang w:eastAsia="en-US"/>
        </w:rPr>
        <w:t>%</w:t>
      </w:r>
      <w:r w:rsidR="00544333" w:rsidRPr="00544333">
        <w:rPr>
          <w:rFonts w:eastAsiaTheme="minorHAnsi" w:cstheme="minorBidi"/>
          <w:lang w:eastAsia="en-US"/>
        </w:rPr>
        <w:t xml:space="preserve"> in Year 1, </w:t>
      </w:r>
      <w:r w:rsidR="00E228B8" w:rsidRPr="00A9220E">
        <w:rPr>
          <w:rFonts w:eastAsiaTheme="minorHAnsi" w:cstheme="minorBidi"/>
          <w:color w:val="000000"/>
          <w:w w:val="15"/>
          <w:shd w:val="solid" w:color="000000" w:fill="000000"/>
          <w:fitText w:val="-20" w:id="-1234458101"/>
          <w:lang w:eastAsia="en-US"/>
          <w14:textFill>
            <w14:solidFill>
              <w14:srgbClr w14:val="000000">
                <w14:alpha w14:val="100000"/>
              </w14:srgbClr>
            </w14:solidFill>
          </w14:textFill>
        </w:rPr>
        <w:t xml:space="preserve">|  </w:t>
      </w:r>
      <w:r w:rsidR="00E228B8" w:rsidRPr="00A9220E">
        <w:rPr>
          <w:rFonts w:eastAsiaTheme="minorHAnsi" w:cstheme="minorBidi"/>
          <w:color w:val="000000"/>
          <w:spacing w:val="-69"/>
          <w:w w:val="15"/>
          <w:shd w:val="solid" w:color="000000" w:fill="000000"/>
          <w:fitText w:val="-20" w:id="-1234458101"/>
          <w:lang w:eastAsia="en-US"/>
          <w14:textFill>
            <w14:solidFill>
              <w14:srgbClr w14:val="000000">
                <w14:alpha w14:val="100000"/>
              </w14:srgbClr>
            </w14:solidFill>
          </w14:textFill>
        </w:rPr>
        <w:t>|</w:t>
      </w:r>
      <w:r w:rsidR="00544333" w:rsidRPr="000818D9">
        <w:rPr>
          <w:rFonts w:eastAsiaTheme="minorHAnsi" w:cstheme="minorBidi"/>
          <w:lang w:eastAsia="en-US"/>
        </w:rPr>
        <w:t>%</w:t>
      </w:r>
      <w:r w:rsidR="00544333" w:rsidRPr="00544333">
        <w:rPr>
          <w:rFonts w:eastAsiaTheme="minorHAnsi" w:cstheme="minorBidi"/>
          <w:lang w:eastAsia="en-US"/>
        </w:rPr>
        <w:t xml:space="preserve"> in Year 2 and </w:t>
      </w:r>
      <w:r w:rsidR="00E228B8" w:rsidRPr="00A9220E">
        <w:rPr>
          <w:rFonts w:eastAsiaTheme="minorHAnsi" w:cstheme="minorBidi"/>
          <w:color w:val="000000"/>
          <w:w w:val="15"/>
          <w:shd w:val="solid" w:color="000000" w:fill="000000"/>
          <w:fitText w:val="-20" w:id="-1234458100"/>
          <w:lang w:eastAsia="en-US"/>
          <w14:textFill>
            <w14:solidFill>
              <w14:srgbClr w14:val="000000">
                <w14:alpha w14:val="100000"/>
              </w14:srgbClr>
            </w14:solidFill>
          </w14:textFill>
        </w:rPr>
        <w:t xml:space="preserve">|  </w:t>
      </w:r>
      <w:r w:rsidR="00E228B8" w:rsidRPr="00A9220E">
        <w:rPr>
          <w:rFonts w:eastAsiaTheme="minorHAnsi" w:cstheme="minorBidi"/>
          <w:color w:val="000000"/>
          <w:spacing w:val="-69"/>
          <w:w w:val="15"/>
          <w:shd w:val="solid" w:color="000000" w:fill="000000"/>
          <w:fitText w:val="-20" w:id="-1234458100"/>
          <w:lang w:eastAsia="en-US"/>
          <w14:textFill>
            <w14:solidFill>
              <w14:srgbClr w14:val="000000">
                <w14:alpha w14:val="100000"/>
              </w14:srgbClr>
            </w14:solidFill>
          </w14:textFill>
        </w:rPr>
        <w:t>|</w:t>
      </w:r>
      <w:r w:rsidR="00544333" w:rsidRPr="000818D9">
        <w:rPr>
          <w:rFonts w:eastAsiaTheme="minorHAnsi" w:cstheme="minorBidi"/>
          <w:lang w:eastAsia="en-US"/>
        </w:rPr>
        <w:t>%</w:t>
      </w:r>
      <w:r w:rsidR="00544333" w:rsidRPr="00544333">
        <w:rPr>
          <w:rFonts w:eastAsiaTheme="minorHAnsi" w:cstheme="minorBidi"/>
          <w:lang w:eastAsia="en-US"/>
        </w:rPr>
        <w:t xml:space="preserve"> for all subsequent years</w:t>
      </w:r>
      <w:r w:rsidR="00F8229A" w:rsidRPr="00544333">
        <w:t>.</w:t>
      </w:r>
    </w:p>
    <w:p w14:paraId="39AA0516" w14:textId="1C381CA5" w:rsidR="009E122D" w:rsidRDefault="0081569B" w:rsidP="00754DC5">
      <w:pPr>
        <w:pStyle w:val="3-BodyText"/>
      </w:pPr>
      <w:r>
        <w:t xml:space="preserve">The PBAC </w:t>
      </w:r>
      <w:r w:rsidR="00F50FE9">
        <w:rPr>
          <w:bCs/>
          <w:lang w:val="en-GB"/>
        </w:rPr>
        <w:t>recommended</w:t>
      </w:r>
      <w:r w:rsidR="00F50FE9" w:rsidRPr="00C6512B">
        <w:rPr>
          <w:bCs/>
          <w:lang w:val="en-GB"/>
        </w:rPr>
        <w:t xml:space="preserve"> </w:t>
      </w:r>
      <w:r w:rsidRPr="00C6512B">
        <w:rPr>
          <w:bCs/>
          <w:lang w:val="en-GB"/>
        </w:rPr>
        <w:t>a resubmission</w:t>
      </w:r>
      <w:r w:rsidR="00F50FE9">
        <w:rPr>
          <w:bCs/>
          <w:lang w:val="en-GB"/>
        </w:rPr>
        <w:t xml:space="preserve">, which </w:t>
      </w:r>
      <w:r w:rsidR="009E122D" w:rsidRPr="009E122D">
        <w:t>may be lodged at any future standard due date for PBAC submissions using the standard re-entry pathway.</w:t>
      </w:r>
      <w:r w:rsidR="00F50FE9">
        <w:t xml:space="preserve"> The </w:t>
      </w:r>
      <w:r w:rsidR="00D153F5">
        <w:t xml:space="preserve">PBAC advised that the </w:t>
      </w:r>
      <w:r w:rsidR="00F50FE9">
        <w:t>resubmission should address the following issues:</w:t>
      </w:r>
    </w:p>
    <w:p w14:paraId="6A598DA4" w14:textId="4DEBCF1C" w:rsidR="00F50FE9" w:rsidRDefault="00D153F5" w:rsidP="00F50FE9">
      <w:pPr>
        <w:pStyle w:val="3-BodyText"/>
        <w:numPr>
          <w:ilvl w:val="0"/>
          <w:numId w:val="16"/>
        </w:numPr>
      </w:pPr>
      <w:r>
        <w:t>p</w:t>
      </w:r>
      <w:r w:rsidR="00F50FE9">
        <w:t xml:space="preserve">rovide </w:t>
      </w:r>
      <w:r w:rsidR="00B83E8D">
        <w:t xml:space="preserve">a </w:t>
      </w:r>
      <w:r w:rsidR="007D37CB">
        <w:t xml:space="preserve">cost effectiveness or </w:t>
      </w:r>
      <w:r w:rsidR="00B83E8D">
        <w:t>cost utility analysis</w:t>
      </w:r>
      <w:r w:rsidR="00F50FE9">
        <w:t xml:space="preserve"> which incorporates longer duration of therapy </w:t>
      </w:r>
      <w:r w:rsidR="00A017C8">
        <w:t>(&gt;</w:t>
      </w:r>
      <w:r w:rsidR="00F50FE9">
        <w:t>12 weeks)</w:t>
      </w:r>
      <w:r w:rsidR="00BC06C5">
        <w:t>, and longer-term benefits of response, including</w:t>
      </w:r>
      <w:r w:rsidR="00F50FE9">
        <w:t xml:space="preserve"> quality of life data</w:t>
      </w:r>
    </w:p>
    <w:p w14:paraId="71FE5C2E" w14:textId="71C746FC" w:rsidR="00F50FE9" w:rsidRDefault="00D153F5" w:rsidP="00BC06C5">
      <w:pPr>
        <w:pStyle w:val="3-BodyText"/>
        <w:numPr>
          <w:ilvl w:val="0"/>
          <w:numId w:val="16"/>
        </w:numPr>
      </w:pPr>
      <w:r>
        <w:t>p</w:t>
      </w:r>
      <w:r w:rsidR="00F50FE9">
        <w:t xml:space="preserve">rovide </w:t>
      </w:r>
      <w:r w:rsidR="00A017C8">
        <w:t>revised financial estimate</w:t>
      </w:r>
      <w:r w:rsidR="007D37CB">
        <w:t>s</w:t>
      </w:r>
      <w:r w:rsidR="00A017C8">
        <w:t xml:space="preserve"> that</w:t>
      </w:r>
      <w:r w:rsidR="00385B3B">
        <w:t xml:space="preserve"> align better with </w:t>
      </w:r>
      <w:r w:rsidR="00A017C8">
        <w:t xml:space="preserve">the </w:t>
      </w:r>
      <w:r w:rsidR="007D37CB">
        <w:t xml:space="preserve">expected </w:t>
      </w:r>
      <w:r w:rsidR="00A017C8">
        <w:t>duration of therapy</w:t>
      </w:r>
      <w:r w:rsidR="00385B3B">
        <w:t xml:space="preserve"> </w:t>
      </w:r>
      <w:r w:rsidR="007D37CB">
        <w:t xml:space="preserve">for responders </w:t>
      </w:r>
      <w:r w:rsidR="00F8229A">
        <w:t>and uptake rates</w:t>
      </w:r>
      <w:r w:rsidR="00BC06C5">
        <w:t>.</w:t>
      </w:r>
    </w:p>
    <w:p w14:paraId="0171130B" w14:textId="7ABF946E" w:rsidR="00FA2100" w:rsidRDefault="0081569B" w:rsidP="00CA7B11">
      <w:pPr>
        <w:pStyle w:val="3-BodyText"/>
      </w:pPr>
      <w:r w:rsidRPr="009E122D">
        <w:rPr>
          <w:bCs/>
          <w:lang w:val="en-GB"/>
        </w:rPr>
        <w:t>The PBAC noted that this submission is eligible for an Independent Review</w:t>
      </w:r>
    </w:p>
    <w:p w14:paraId="2ADD97B9" w14:textId="781F9F26" w:rsidR="00F27FC2" w:rsidRPr="00CA7B11" w:rsidRDefault="00F27FC2" w:rsidP="00CA7B11">
      <w:pPr>
        <w:pStyle w:val="3-BodyText"/>
        <w:numPr>
          <w:ilvl w:val="0"/>
          <w:numId w:val="0"/>
        </w:numPr>
        <w:spacing w:after="0"/>
        <w:ind w:left="720" w:hanging="720"/>
        <w:rPr>
          <w:b/>
          <w:sz w:val="28"/>
          <w:szCs w:val="28"/>
          <w:lang w:val="en-GB"/>
        </w:rPr>
      </w:pPr>
      <w:r w:rsidRPr="00CA7B11">
        <w:rPr>
          <w:b/>
          <w:sz w:val="28"/>
          <w:szCs w:val="28"/>
          <w:lang w:val="en-GB"/>
        </w:rPr>
        <w:t>Outcome</w:t>
      </w:r>
      <w:r w:rsidR="00CA7B11" w:rsidRPr="00CA7B11">
        <w:rPr>
          <w:b/>
          <w:sz w:val="28"/>
          <w:szCs w:val="28"/>
          <w:lang w:val="en-GB"/>
        </w:rPr>
        <w:t>:</w:t>
      </w:r>
    </w:p>
    <w:p w14:paraId="5E0411F1" w14:textId="10CDBFC4" w:rsidR="00856FCF" w:rsidRPr="00D413B8" w:rsidRDefault="00F27FC2" w:rsidP="00D413B8">
      <w:pPr>
        <w:pStyle w:val="3-BodyText"/>
        <w:numPr>
          <w:ilvl w:val="0"/>
          <w:numId w:val="0"/>
        </w:numPr>
        <w:spacing w:after="0"/>
        <w:ind w:left="720" w:hanging="720"/>
        <w:rPr>
          <w:bCs/>
          <w:lang w:val="en-GB"/>
        </w:rPr>
      </w:pPr>
      <w:r w:rsidRPr="00CA7B11">
        <w:rPr>
          <w:bCs/>
          <w:lang w:val="en-GB"/>
        </w:rPr>
        <w:t>Not recommended.</w:t>
      </w:r>
      <w:bookmarkEnd w:id="58"/>
    </w:p>
    <w:p w14:paraId="2A833FE7" w14:textId="420D3C43" w:rsidR="00D413B8" w:rsidRPr="00D413B8" w:rsidRDefault="00D413B8" w:rsidP="00D413B8">
      <w:pPr>
        <w:pStyle w:val="2-SectionHeading"/>
      </w:pPr>
      <w:r w:rsidRPr="00D413B8">
        <w:t>Context for Decision</w:t>
      </w:r>
    </w:p>
    <w:p w14:paraId="083748A1" w14:textId="77777777" w:rsidR="00D413B8" w:rsidRPr="00D413B8" w:rsidRDefault="00D413B8" w:rsidP="00D413B8">
      <w:pPr>
        <w:pStyle w:val="3-BodyText"/>
        <w:numPr>
          <w:ilvl w:val="0"/>
          <w:numId w:val="0"/>
        </w:numPr>
        <w:ind w:left="720"/>
        <w:rPr>
          <w:bCs/>
          <w:lang w:val="en-GB"/>
        </w:rPr>
      </w:pPr>
      <w:r w:rsidRPr="00D413B8">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E9F572" w14:textId="39843422" w:rsidR="00D413B8" w:rsidRPr="00D413B8" w:rsidRDefault="00D413B8" w:rsidP="00D413B8">
      <w:pPr>
        <w:pStyle w:val="2-SectionHeading"/>
      </w:pPr>
      <w:r w:rsidRPr="00D413B8">
        <w:t>Sponsor’s Comment</w:t>
      </w:r>
    </w:p>
    <w:p w14:paraId="05EBC053" w14:textId="77777777" w:rsidR="00D413B8" w:rsidRPr="00D413B8" w:rsidRDefault="00D413B8" w:rsidP="00D413B8">
      <w:pPr>
        <w:pStyle w:val="3-BodyText"/>
        <w:numPr>
          <w:ilvl w:val="0"/>
          <w:numId w:val="0"/>
        </w:numPr>
        <w:ind w:left="720"/>
        <w:rPr>
          <w:bCs/>
          <w:lang w:val="en-GB"/>
        </w:rPr>
      </w:pPr>
      <w:r w:rsidRPr="00D413B8">
        <w:rPr>
          <w:bCs/>
          <w:lang w:val="en-GB"/>
        </w:rPr>
        <w:t>The sponsor had no comment.</w:t>
      </w:r>
    </w:p>
    <w:p w14:paraId="39EDD763" w14:textId="77777777" w:rsidR="00D413B8" w:rsidRPr="00D83E5E" w:rsidRDefault="00D413B8" w:rsidP="00D153F5">
      <w:pPr>
        <w:pStyle w:val="3-BodyText"/>
        <w:numPr>
          <w:ilvl w:val="0"/>
          <w:numId w:val="0"/>
        </w:numPr>
      </w:pPr>
    </w:p>
    <w:sectPr w:rsidR="00D413B8" w:rsidRPr="00D83E5E"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DE8F" w14:textId="77777777" w:rsidR="00D67158" w:rsidRDefault="00D67158" w:rsidP="00124A51">
      <w:r>
        <w:separator/>
      </w:r>
    </w:p>
    <w:p w14:paraId="7F2803F7" w14:textId="77777777" w:rsidR="00D67158" w:rsidRDefault="00D67158"/>
  </w:endnote>
  <w:endnote w:type="continuationSeparator" w:id="0">
    <w:p w14:paraId="03DFB210" w14:textId="77777777" w:rsidR="00D67158" w:rsidRDefault="00D67158" w:rsidP="00124A51">
      <w:r>
        <w:continuationSeparator/>
      </w:r>
    </w:p>
    <w:p w14:paraId="37BEB654" w14:textId="77777777" w:rsidR="00D67158" w:rsidRDefault="00D67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B87D" w14:textId="77777777" w:rsidR="00E228B8" w:rsidRDefault="00E22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171292127"/>
      <w:docPartObj>
        <w:docPartGallery w:val="Page Numbers (Bottom of Page)"/>
        <w:docPartUnique/>
      </w:docPartObj>
    </w:sdtPr>
    <w:sdtEndPr>
      <w:rPr>
        <w:noProof/>
      </w:rPr>
    </w:sdtEndPr>
    <w:sdtContent>
      <w:p w14:paraId="5CF60112" w14:textId="77777777" w:rsidR="00257940" w:rsidRDefault="00257940">
        <w:pPr>
          <w:pStyle w:val="Footer"/>
          <w:jc w:val="center"/>
          <w:rPr>
            <w:b/>
            <w:bCs/>
          </w:rPr>
        </w:pPr>
      </w:p>
      <w:p w14:paraId="6C6BEFFA" w14:textId="70FAB4C6" w:rsidR="00C96FB6" w:rsidRPr="009E7BCB" w:rsidRDefault="00C96FB6">
        <w:pPr>
          <w:pStyle w:val="Footer"/>
          <w:jc w:val="center"/>
          <w:rPr>
            <w:b/>
            <w:bCs/>
          </w:rPr>
        </w:pPr>
        <w:r w:rsidRPr="009E7BCB">
          <w:rPr>
            <w:b/>
            <w:bCs/>
          </w:rPr>
          <w:fldChar w:fldCharType="begin"/>
        </w:r>
        <w:r w:rsidRPr="009E7BCB">
          <w:rPr>
            <w:b/>
            <w:bCs/>
          </w:rPr>
          <w:instrText xml:space="preserve"> PAGE   \* MERGEFORMAT </w:instrText>
        </w:r>
        <w:r w:rsidRPr="009E7BCB">
          <w:rPr>
            <w:b/>
            <w:bCs/>
          </w:rPr>
          <w:fldChar w:fldCharType="separate"/>
        </w:r>
        <w:r w:rsidRPr="009E7BCB">
          <w:rPr>
            <w:b/>
            <w:bCs/>
            <w:noProof/>
          </w:rPr>
          <w:t>2</w:t>
        </w:r>
        <w:r w:rsidRPr="009E7BCB">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C3EE" w14:textId="77777777" w:rsidR="00E228B8" w:rsidRDefault="00E2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A548" w14:textId="77777777" w:rsidR="00D67158" w:rsidRDefault="00D67158" w:rsidP="00124A51">
      <w:r>
        <w:separator/>
      </w:r>
    </w:p>
    <w:p w14:paraId="3B997560" w14:textId="77777777" w:rsidR="00D67158" w:rsidRDefault="00D67158"/>
  </w:footnote>
  <w:footnote w:type="continuationSeparator" w:id="0">
    <w:p w14:paraId="61993E3A" w14:textId="77777777" w:rsidR="00D67158" w:rsidRDefault="00D67158" w:rsidP="00124A51">
      <w:r>
        <w:continuationSeparator/>
      </w:r>
    </w:p>
    <w:p w14:paraId="4EF52703" w14:textId="77777777" w:rsidR="00D67158" w:rsidRDefault="00D67158"/>
  </w:footnote>
  <w:footnote w:id="1">
    <w:p w14:paraId="79789CB0" w14:textId="296389AB" w:rsidR="00B71F1C" w:rsidRDefault="00B71F1C">
      <w:pPr>
        <w:pStyle w:val="FootnoteText"/>
      </w:pPr>
      <w:r>
        <w:rPr>
          <w:rStyle w:val="FootnoteReference"/>
        </w:rPr>
        <w:footnoteRef/>
      </w:r>
      <w:r>
        <w:t xml:space="preserve"> Fleseriu M, Pivonello R, Elenkova A, Salvatori R et al. Efficacy and safety of levoketoconazole in the treatment of endogenous Cushing’s syndrome (SONICS): a phase 3, multicentre, open-label, single-arm trial. </w:t>
      </w:r>
      <w:r w:rsidRPr="00721D5A">
        <w:rPr>
          <w:iCs/>
        </w:rPr>
        <w:t>Lancet Diabetes Endocrinol</w:t>
      </w:r>
      <w:r>
        <w:t xml:space="preserve"> 2019; 7(11): 855-865.</w:t>
      </w:r>
    </w:p>
  </w:footnote>
  <w:footnote w:id="2">
    <w:p w14:paraId="3AA1B579" w14:textId="7B520B84" w:rsidR="00B71F1C" w:rsidRDefault="00B71F1C">
      <w:pPr>
        <w:pStyle w:val="FootnoteText"/>
      </w:pPr>
      <w:r>
        <w:rPr>
          <w:rStyle w:val="FootnoteReference"/>
        </w:rPr>
        <w:footnoteRef/>
      </w:r>
      <w:r>
        <w:t xml:space="preserve"> Fleseriu M, Auchus RJ, Pivonello R, Salvatori R et al. Levoketoconazole: a novel treatment for endogenous Cushing’s syndrome. </w:t>
      </w:r>
      <w:r w:rsidRPr="00721D5A">
        <w:rPr>
          <w:iCs/>
        </w:rPr>
        <w:t>Expert Rev Endocrinol Metab</w:t>
      </w:r>
      <w:r>
        <w:t xml:space="preserve"> 2021; 16:4: 159-174.</w:t>
      </w:r>
    </w:p>
  </w:footnote>
  <w:footnote w:id="3">
    <w:p w14:paraId="0D1AD051" w14:textId="42E79DAE" w:rsidR="00B71F1C" w:rsidRDefault="00B71F1C">
      <w:pPr>
        <w:pStyle w:val="FootnoteText"/>
      </w:pPr>
      <w:r>
        <w:rPr>
          <w:rStyle w:val="FootnoteReference"/>
        </w:rPr>
        <w:footnoteRef/>
      </w:r>
      <w:r>
        <w:t xml:space="preserve"> Fleseriu M, Auchus RJ, Greenman Y, Zacharieva S et al. Levoketoconazole treatment in endogenous Cushing’s syndrome: extended evaluation of clinical, biochemical and radiologic outcomes. </w:t>
      </w:r>
      <w:r w:rsidRPr="00721D5A">
        <w:rPr>
          <w:iCs/>
        </w:rPr>
        <w:t>Eur J Endocrinol</w:t>
      </w:r>
      <w:r>
        <w:t xml:space="preserve"> 2022; 187: 859-871.</w:t>
      </w:r>
    </w:p>
  </w:footnote>
  <w:footnote w:id="4">
    <w:p w14:paraId="0441D1D5" w14:textId="77777777" w:rsidR="00BF40BE" w:rsidRDefault="00BF40BE" w:rsidP="00BF40BE">
      <w:pPr>
        <w:pStyle w:val="CommentText"/>
        <w:jc w:val="left"/>
      </w:pPr>
      <w:r w:rsidRPr="00776E10">
        <w:rPr>
          <w:rStyle w:val="FootnoteReference"/>
        </w:rPr>
        <w:footnoteRef/>
      </w:r>
      <w:r w:rsidRPr="00776E10">
        <w:t xml:space="preserve"> </w:t>
      </w:r>
      <w:hyperlink r:id="rId1" w:history="1">
        <w:r w:rsidRPr="00776E10">
          <w:rPr>
            <w:rStyle w:val="Hyperlink"/>
          </w:rPr>
          <w:t>https://doi.org/10.3171/2008.8.jns08339</w:t>
        </w:r>
      </w:hyperlink>
      <w:r w:rsidRPr="00776E10">
        <w:rPr>
          <w:color w:val="000000"/>
        </w:rPr>
        <w:t xml:space="preserve"> and </w:t>
      </w:r>
      <w:hyperlink r:id="rId2" w:history="1">
        <w:r w:rsidRPr="00B44011">
          <w:rPr>
            <w:rStyle w:val="Hyperlink"/>
          </w:rPr>
          <w:t>https://doi.org/10.1056/nejm198301133080216</w:t>
        </w:r>
      </w:hyperlink>
    </w:p>
  </w:footnote>
  <w:footnote w:id="5">
    <w:p w14:paraId="6C1B7EF7" w14:textId="77777777" w:rsidR="00BF40BE" w:rsidRPr="001E64A1" w:rsidRDefault="00BF40BE" w:rsidP="00BF40BE">
      <w:pPr>
        <w:pStyle w:val="FootnoteText"/>
        <w:jc w:val="left"/>
      </w:pPr>
      <w:r w:rsidRPr="001E64A1">
        <w:rPr>
          <w:rStyle w:val="FootnoteReference"/>
        </w:rPr>
        <w:footnoteRef/>
      </w:r>
      <w:r w:rsidRPr="001E64A1">
        <w:t xml:space="preserve"> </w:t>
      </w:r>
      <w:hyperlink r:id="rId3" w:history="1">
        <w:r w:rsidRPr="001E64A1">
          <w:rPr>
            <w:rStyle w:val="Hyperlink"/>
          </w:rPr>
          <w:t>https://doi.org/10.1007%2Fs11102-022-01280-6</w:t>
        </w:r>
      </w:hyperlink>
      <w:r w:rsidRPr="001E64A1">
        <w:rPr>
          <w:color w:val="000000"/>
        </w:rPr>
        <w:t xml:space="preserve"> and </w:t>
      </w:r>
      <w:hyperlink r:id="rId4" w:history="1">
        <w:r w:rsidRPr="001E64A1">
          <w:rPr>
            <w:rStyle w:val="Hyperlink"/>
          </w:rPr>
          <w:t>https://eje-bioscientifica-com.eu1.proxy.openathens.net/view/journals/eje/187/4/EJE-22-0317.xml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93A7" w14:textId="77777777" w:rsidR="00E228B8" w:rsidRDefault="00E22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8C24" w14:textId="09B0304B" w:rsidR="008C713C" w:rsidRPr="00056684" w:rsidRDefault="00D413B8" w:rsidP="008C713C">
    <w:pPr>
      <w:pStyle w:val="Header"/>
      <w:ind w:left="360"/>
      <w:rPr>
        <w:rFonts w:asciiTheme="minorHAnsi" w:hAnsiTheme="minorHAnsi"/>
        <w:i/>
        <w:color w:val="808080"/>
      </w:rPr>
    </w:pPr>
    <w:bookmarkStart w:id="60" w:name="_Hlk76375146"/>
    <w:r>
      <w:rPr>
        <w:rFonts w:asciiTheme="minorHAnsi" w:hAnsiTheme="minorHAnsi"/>
        <w:i/>
        <w:color w:val="808080"/>
      </w:rPr>
      <w:t>Public Summary Document</w:t>
    </w:r>
    <w:r w:rsidR="008C713C" w:rsidRPr="00056684">
      <w:rPr>
        <w:rFonts w:asciiTheme="minorHAnsi" w:hAnsiTheme="minorHAnsi"/>
        <w:i/>
        <w:color w:val="808080"/>
      </w:rPr>
      <w:t xml:space="preserve"> – </w:t>
    </w:r>
    <w:r w:rsidR="008C713C">
      <w:rPr>
        <w:rFonts w:asciiTheme="minorHAnsi" w:hAnsiTheme="minorHAnsi"/>
        <w:i/>
        <w:color w:val="808080"/>
      </w:rPr>
      <w:t>March 2023</w:t>
    </w:r>
    <w:r w:rsidR="008C713C" w:rsidRPr="00056684">
      <w:rPr>
        <w:rFonts w:asciiTheme="minorHAnsi" w:hAnsiTheme="minorHAnsi"/>
        <w:i/>
        <w:color w:val="808080"/>
      </w:rPr>
      <w:t xml:space="preserve"> PBAC Meeting</w:t>
    </w:r>
  </w:p>
  <w:bookmarkEnd w:id="60"/>
  <w:p w14:paraId="03AF943B" w14:textId="77777777" w:rsidR="00B71F1C" w:rsidRPr="008C7ECB" w:rsidRDefault="00B71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3E0B" w14:textId="77777777" w:rsidR="00E228B8" w:rsidRDefault="00E22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860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5C77A0"/>
    <w:multiLevelType w:val="hybridMultilevel"/>
    <w:tmpl w:val="96A47F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03C21"/>
    <w:multiLevelType w:val="multilevel"/>
    <w:tmpl w:val="EEBA0BAE"/>
    <w:styleLink w:val="CurrentList1"/>
    <w:lvl w:ilvl="0">
      <w:start w:val="5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D541D"/>
    <w:multiLevelType w:val="hybridMultilevel"/>
    <w:tmpl w:val="0C86EA38"/>
    <w:lvl w:ilvl="0" w:tplc="EF227E5C">
      <w:start w:val="1"/>
      <w:numFmt w:val="bullet"/>
      <w:pStyle w:val="BulletPoin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E4A3977"/>
    <w:multiLevelType w:val="hybridMultilevel"/>
    <w:tmpl w:val="9DECE3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6274A"/>
    <w:multiLevelType w:val="hybridMultilevel"/>
    <w:tmpl w:val="5AB8D376"/>
    <w:lvl w:ilvl="0" w:tplc="97483578">
      <w:start w:val="1"/>
      <w:numFmt w:val="decimal"/>
      <w:lvlText w:val="%1."/>
      <w:lvlJc w:val="left"/>
      <w:pPr>
        <w:ind w:left="1778"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D83143"/>
    <w:multiLevelType w:val="hybridMultilevel"/>
    <w:tmpl w:val="6060A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98471D"/>
    <w:multiLevelType w:val="hybridMultilevel"/>
    <w:tmpl w:val="B1769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A609E0"/>
    <w:multiLevelType w:val="hybridMultilevel"/>
    <w:tmpl w:val="1ABC1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F9934A6"/>
    <w:multiLevelType w:val="hybridMultilevel"/>
    <w:tmpl w:val="25B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F6634"/>
    <w:multiLevelType w:val="hybridMultilevel"/>
    <w:tmpl w:val="3140C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AFA3C06"/>
    <w:multiLevelType w:val="hybridMultilevel"/>
    <w:tmpl w:val="0CE4D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0710F"/>
    <w:multiLevelType w:val="hybridMultilevel"/>
    <w:tmpl w:val="36524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C272B"/>
    <w:multiLevelType w:val="hybridMultilevel"/>
    <w:tmpl w:val="D82CD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F62D7D"/>
    <w:multiLevelType w:val="hybridMultilevel"/>
    <w:tmpl w:val="B4083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0"/>
  </w:num>
  <w:num w:numId="4">
    <w:abstractNumId w:val="17"/>
  </w:num>
  <w:num w:numId="5">
    <w:abstractNumId w:val="18"/>
  </w:num>
  <w:num w:numId="6">
    <w:abstractNumId w:val="14"/>
  </w:num>
  <w:num w:numId="7">
    <w:abstractNumId w:val="11"/>
  </w:num>
  <w:num w:numId="8">
    <w:abstractNumId w:val="2"/>
  </w:num>
  <w:num w:numId="9">
    <w:abstractNumId w:val="4"/>
  </w:num>
  <w:num w:numId="10">
    <w:abstractNumId w:val="3"/>
  </w:num>
  <w:num w:numId="11">
    <w:abstractNumId w:val="12"/>
  </w:num>
  <w:num w:numId="12">
    <w:abstractNumId w:val="6"/>
  </w:num>
  <w:num w:numId="13">
    <w:abstractNumId w:val="7"/>
  </w:num>
  <w:num w:numId="14">
    <w:abstractNumId w:val="16"/>
  </w:num>
  <w:num w:numId="15">
    <w:abstractNumId w:val="15"/>
  </w:num>
  <w:num w:numId="16">
    <w:abstractNumId w:val="1"/>
  </w:num>
  <w:num w:numId="17">
    <w:abstractNumId w:val="9"/>
  </w:num>
  <w:num w:numId="18">
    <w:abstractNumId w:val="5"/>
  </w:num>
  <w:num w:numId="19">
    <w:abstractNumId w:val="8"/>
  </w:num>
  <w:num w:numId="20">
    <w:abstractNumId w:val="19"/>
  </w:num>
  <w:num w:numId="21">
    <w:abstractNumId w:val="13"/>
  </w:num>
  <w:num w:numId="22">
    <w:abstractNumId w:val="17"/>
  </w:num>
  <w:num w:numId="23">
    <w:abstractNumId w:val="17"/>
  </w:num>
  <w:num w:numId="24">
    <w:abstractNumId w:val="17"/>
  </w:num>
  <w:num w:numId="25">
    <w:abstractNumId w:val="17"/>
  </w:num>
  <w:num w:numId="26">
    <w:abstractNumId w:val="17"/>
  </w:num>
  <w:num w:numId="2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0F"/>
    <w:rsid w:val="00000790"/>
    <w:rsid w:val="0000110B"/>
    <w:rsid w:val="00001556"/>
    <w:rsid w:val="00001FBF"/>
    <w:rsid w:val="00002BB1"/>
    <w:rsid w:val="00002D24"/>
    <w:rsid w:val="00003499"/>
    <w:rsid w:val="000039B7"/>
    <w:rsid w:val="00004E22"/>
    <w:rsid w:val="000056B9"/>
    <w:rsid w:val="0000639A"/>
    <w:rsid w:val="0000658D"/>
    <w:rsid w:val="00012287"/>
    <w:rsid w:val="00013247"/>
    <w:rsid w:val="00013E3D"/>
    <w:rsid w:val="00014AE9"/>
    <w:rsid w:val="00015886"/>
    <w:rsid w:val="000160F2"/>
    <w:rsid w:val="000162EF"/>
    <w:rsid w:val="0001642B"/>
    <w:rsid w:val="0001735A"/>
    <w:rsid w:val="00017391"/>
    <w:rsid w:val="000207C9"/>
    <w:rsid w:val="0002225F"/>
    <w:rsid w:val="000227B9"/>
    <w:rsid w:val="00022AC7"/>
    <w:rsid w:val="00023763"/>
    <w:rsid w:val="00024DF4"/>
    <w:rsid w:val="00024EB5"/>
    <w:rsid w:val="00026323"/>
    <w:rsid w:val="000274B8"/>
    <w:rsid w:val="00027AE6"/>
    <w:rsid w:val="00030759"/>
    <w:rsid w:val="0003102A"/>
    <w:rsid w:val="00032516"/>
    <w:rsid w:val="00033863"/>
    <w:rsid w:val="0003412E"/>
    <w:rsid w:val="000344AF"/>
    <w:rsid w:val="00035304"/>
    <w:rsid w:val="00035DC0"/>
    <w:rsid w:val="0003631C"/>
    <w:rsid w:val="00036829"/>
    <w:rsid w:val="00040895"/>
    <w:rsid w:val="0004102E"/>
    <w:rsid w:val="000410A0"/>
    <w:rsid w:val="0004178C"/>
    <w:rsid w:val="000435EE"/>
    <w:rsid w:val="0004397B"/>
    <w:rsid w:val="00043C37"/>
    <w:rsid w:val="000441E9"/>
    <w:rsid w:val="00044EA9"/>
    <w:rsid w:val="00045017"/>
    <w:rsid w:val="00045A2B"/>
    <w:rsid w:val="0004698F"/>
    <w:rsid w:val="00046D64"/>
    <w:rsid w:val="0004772E"/>
    <w:rsid w:val="000508C2"/>
    <w:rsid w:val="000518D0"/>
    <w:rsid w:val="00051B32"/>
    <w:rsid w:val="000526CA"/>
    <w:rsid w:val="000539D0"/>
    <w:rsid w:val="00054621"/>
    <w:rsid w:val="000546D7"/>
    <w:rsid w:val="00054A8D"/>
    <w:rsid w:val="00054CBD"/>
    <w:rsid w:val="00056A31"/>
    <w:rsid w:val="00056ECF"/>
    <w:rsid w:val="000604DF"/>
    <w:rsid w:val="00060745"/>
    <w:rsid w:val="00061458"/>
    <w:rsid w:val="000615D2"/>
    <w:rsid w:val="00062324"/>
    <w:rsid w:val="000653B5"/>
    <w:rsid w:val="00065D33"/>
    <w:rsid w:val="00066360"/>
    <w:rsid w:val="00066AF8"/>
    <w:rsid w:val="00066DF4"/>
    <w:rsid w:val="00066F1E"/>
    <w:rsid w:val="00066FE7"/>
    <w:rsid w:val="00070CDF"/>
    <w:rsid w:val="00071248"/>
    <w:rsid w:val="00071EC9"/>
    <w:rsid w:val="000720B9"/>
    <w:rsid w:val="000737F7"/>
    <w:rsid w:val="00074829"/>
    <w:rsid w:val="0007672F"/>
    <w:rsid w:val="00076B54"/>
    <w:rsid w:val="000774F0"/>
    <w:rsid w:val="00077594"/>
    <w:rsid w:val="00080909"/>
    <w:rsid w:val="00080C4D"/>
    <w:rsid w:val="000812CA"/>
    <w:rsid w:val="000818D9"/>
    <w:rsid w:val="00081E63"/>
    <w:rsid w:val="0008222E"/>
    <w:rsid w:val="0008258D"/>
    <w:rsid w:val="00083E99"/>
    <w:rsid w:val="00084FA8"/>
    <w:rsid w:val="000856C5"/>
    <w:rsid w:val="00085C31"/>
    <w:rsid w:val="00086C2E"/>
    <w:rsid w:val="0008725F"/>
    <w:rsid w:val="000902D9"/>
    <w:rsid w:val="00090C7E"/>
    <w:rsid w:val="000911AC"/>
    <w:rsid w:val="000915C1"/>
    <w:rsid w:val="00092600"/>
    <w:rsid w:val="0009262B"/>
    <w:rsid w:val="00093310"/>
    <w:rsid w:val="0009335B"/>
    <w:rsid w:val="0009445C"/>
    <w:rsid w:val="000945FD"/>
    <w:rsid w:val="0009498B"/>
    <w:rsid w:val="00094D25"/>
    <w:rsid w:val="00095200"/>
    <w:rsid w:val="00095FE5"/>
    <w:rsid w:val="00096284"/>
    <w:rsid w:val="0009684D"/>
    <w:rsid w:val="000A1BC0"/>
    <w:rsid w:val="000A248C"/>
    <w:rsid w:val="000A2F9E"/>
    <w:rsid w:val="000A3E04"/>
    <w:rsid w:val="000A3E47"/>
    <w:rsid w:val="000A3E4A"/>
    <w:rsid w:val="000A3F2F"/>
    <w:rsid w:val="000A421A"/>
    <w:rsid w:val="000A522B"/>
    <w:rsid w:val="000A6039"/>
    <w:rsid w:val="000A6C25"/>
    <w:rsid w:val="000A7343"/>
    <w:rsid w:val="000A7453"/>
    <w:rsid w:val="000A74BE"/>
    <w:rsid w:val="000A7D08"/>
    <w:rsid w:val="000B0121"/>
    <w:rsid w:val="000B0192"/>
    <w:rsid w:val="000B0670"/>
    <w:rsid w:val="000B0E75"/>
    <w:rsid w:val="000B0FA0"/>
    <w:rsid w:val="000B1B48"/>
    <w:rsid w:val="000B262D"/>
    <w:rsid w:val="000B2DCB"/>
    <w:rsid w:val="000B367E"/>
    <w:rsid w:val="000B50E7"/>
    <w:rsid w:val="000B5B4F"/>
    <w:rsid w:val="000B5CE0"/>
    <w:rsid w:val="000B6CAC"/>
    <w:rsid w:val="000B7612"/>
    <w:rsid w:val="000B78AE"/>
    <w:rsid w:val="000B7EE1"/>
    <w:rsid w:val="000C344A"/>
    <w:rsid w:val="000C3DF9"/>
    <w:rsid w:val="000C47EA"/>
    <w:rsid w:val="000C4CF2"/>
    <w:rsid w:val="000C6713"/>
    <w:rsid w:val="000D1BFC"/>
    <w:rsid w:val="000D1D5D"/>
    <w:rsid w:val="000D245E"/>
    <w:rsid w:val="000D281A"/>
    <w:rsid w:val="000D2848"/>
    <w:rsid w:val="000D326A"/>
    <w:rsid w:val="000D3EB0"/>
    <w:rsid w:val="000D51FB"/>
    <w:rsid w:val="000E0640"/>
    <w:rsid w:val="000E11E4"/>
    <w:rsid w:val="000E135D"/>
    <w:rsid w:val="000E3CDA"/>
    <w:rsid w:val="000E4673"/>
    <w:rsid w:val="000E49EC"/>
    <w:rsid w:val="000F00BA"/>
    <w:rsid w:val="000F0A63"/>
    <w:rsid w:val="000F0A85"/>
    <w:rsid w:val="000F27C5"/>
    <w:rsid w:val="000F29BD"/>
    <w:rsid w:val="000F2FAB"/>
    <w:rsid w:val="000F316A"/>
    <w:rsid w:val="000F3C74"/>
    <w:rsid w:val="000F4BB8"/>
    <w:rsid w:val="000F4FA9"/>
    <w:rsid w:val="000F53FB"/>
    <w:rsid w:val="000F6924"/>
    <w:rsid w:val="000F7127"/>
    <w:rsid w:val="000F7B54"/>
    <w:rsid w:val="001000B3"/>
    <w:rsid w:val="0010068D"/>
    <w:rsid w:val="00100F8A"/>
    <w:rsid w:val="00102061"/>
    <w:rsid w:val="00103484"/>
    <w:rsid w:val="0010452E"/>
    <w:rsid w:val="00104B39"/>
    <w:rsid w:val="00104F39"/>
    <w:rsid w:val="00105AE2"/>
    <w:rsid w:val="001060C6"/>
    <w:rsid w:val="00106B80"/>
    <w:rsid w:val="00107437"/>
    <w:rsid w:val="001077E0"/>
    <w:rsid w:val="0011032E"/>
    <w:rsid w:val="00111041"/>
    <w:rsid w:val="00111E97"/>
    <w:rsid w:val="0011348B"/>
    <w:rsid w:val="0011470E"/>
    <w:rsid w:val="00115982"/>
    <w:rsid w:val="0011646B"/>
    <w:rsid w:val="00116C53"/>
    <w:rsid w:val="0012149E"/>
    <w:rsid w:val="001216C6"/>
    <w:rsid w:val="00121799"/>
    <w:rsid w:val="00121A1D"/>
    <w:rsid w:val="001222FC"/>
    <w:rsid w:val="00123902"/>
    <w:rsid w:val="00123FFE"/>
    <w:rsid w:val="00124A51"/>
    <w:rsid w:val="00124C02"/>
    <w:rsid w:val="00124FB3"/>
    <w:rsid w:val="0012577F"/>
    <w:rsid w:val="00126621"/>
    <w:rsid w:val="00126B1D"/>
    <w:rsid w:val="001301E9"/>
    <w:rsid w:val="00131D82"/>
    <w:rsid w:val="00132B22"/>
    <w:rsid w:val="00133D36"/>
    <w:rsid w:val="001363FB"/>
    <w:rsid w:val="00137552"/>
    <w:rsid w:val="00137645"/>
    <w:rsid w:val="0014015A"/>
    <w:rsid w:val="00140E99"/>
    <w:rsid w:val="0014302F"/>
    <w:rsid w:val="001431DA"/>
    <w:rsid w:val="00143310"/>
    <w:rsid w:val="00143C94"/>
    <w:rsid w:val="00143F67"/>
    <w:rsid w:val="00144E35"/>
    <w:rsid w:val="00145234"/>
    <w:rsid w:val="00145540"/>
    <w:rsid w:val="00145653"/>
    <w:rsid w:val="001456B0"/>
    <w:rsid w:val="0015402C"/>
    <w:rsid w:val="001547AB"/>
    <w:rsid w:val="0015694F"/>
    <w:rsid w:val="00156C97"/>
    <w:rsid w:val="00156F8F"/>
    <w:rsid w:val="00157130"/>
    <w:rsid w:val="001576B1"/>
    <w:rsid w:val="00157C9C"/>
    <w:rsid w:val="0016047B"/>
    <w:rsid w:val="00160A4C"/>
    <w:rsid w:val="001622C9"/>
    <w:rsid w:val="00162793"/>
    <w:rsid w:val="00162913"/>
    <w:rsid w:val="00163EFF"/>
    <w:rsid w:val="00163F66"/>
    <w:rsid w:val="001642BC"/>
    <w:rsid w:val="0016478E"/>
    <w:rsid w:val="001648A4"/>
    <w:rsid w:val="00165EC4"/>
    <w:rsid w:val="001661FB"/>
    <w:rsid w:val="00166E4B"/>
    <w:rsid w:val="001671A0"/>
    <w:rsid w:val="0016767F"/>
    <w:rsid w:val="00167C67"/>
    <w:rsid w:val="00173565"/>
    <w:rsid w:val="00173B07"/>
    <w:rsid w:val="001751FA"/>
    <w:rsid w:val="00175265"/>
    <w:rsid w:val="001766CC"/>
    <w:rsid w:val="00176EDE"/>
    <w:rsid w:val="00177524"/>
    <w:rsid w:val="001809B3"/>
    <w:rsid w:val="00181C10"/>
    <w:rsid w:val="00181D9C"/>
    <w:rsid w:val="00182239"/>
    <w:rsid w:val="0018228A"/>
    <w:rsid w:val="001837FF"/>
    <w:rsid w:val="00184B0E"/>
    <w:rsid w:val="0018731D"/>
    <w:rsid w:val="0018752F"/>
    <w:rsid w:val="00187898"/>
    <w:rsid w:val="00187CD8"/>
    <w:rsid w:val="00190D36"/>
    <w:rsid w:val="001918FF"/>
    <w:rsid w:val="00191943"/>
    <w:rsid w:val="00193838"/>
    <w:rsid w:val="00193C60"/>
    <w:rsid w:val="00194546"/>
    <w:rsid w:val="00194AD8"/>
    <w:rsid w:val="00195222"/>
    <w:rsid w:val="00195452"/>
    <w:rsid w:val="001967D3"/>
    <w:rsid w:val="00196EEE"/>
    <w:rsid w:val="001975D8"/>
    <w:rsid w:val="00197872"/>
    <w:rsid w:val="00197F46"/>
    <w:rsid w:val="001A0280"/>
    <w:rsid w:val="001A07AF"/>
    <w:rsid w:val="001A0C66"/>
    <w:rsid w:val="001A15F5"/>
    <w:rsid w:val="001A178E"/>
    <w:rsid w:val="001A22AE"/>
    <w:rsid w:val="001A43FA"/>
    <w:rsid w:val="001A47C5"/>
    <w:rsid w:val="001A48C9"/>
    <w:rsid w:val="001A54EA"/>
    <w:rsid w:val="001A577A"/>
    <w:rsid w:val="001A59FB"/>
    <w:rsid w:val="001A5E9E"/>
    <w:rsid w:val="001A62C6"/>
    <w:rsid w:val="001A6354"/>
    <w:rsid w:val="001A6366"/>
    <w:rsid w:val="001A7AE8"/>
    <w:rsid w:val="001A7F85"/>
    <w:rsid w:val="001B204E"/>
    <w:rsid w:val="001B2372"/>
    <w:rsid w:val="001B2AAF"/>
    <w:rsid w:val="001B3443"/>
    <w:rsid w:val="001B41DF"/>
    <w:rsid w:val="001B4D20"/>
    <w:rsid w:val="001B77BA"/>
    <w:rsid w:val="001B7E92"/>
    <w:rsid w:val="001B7EC3"/>
    <w:rsid w:val="001B7F84"/>
    <w:rsid w:val="001C2608"/>
    <w:rsid w:val="001C2A21"/>
    <w:rsid w:val="001C2A9B"/>
    <w:rsid w:val="001C2DBF"/>
    <w:rsid w:val="001C311F"/>
    <w:rsid w:val="001C32A7"/>
    <w:rsid w:val="001C3DD6"/>
    <w:rsid w:val="001C4299"/>
    <w:rsid w:val="001C4874"/>
    <w:rsid w:val="001C5F94"/>
    <w:rsid w:val="001C6E66"/>
    <w:rsid w:val="001C7BB1"/>
    <w:rsid w:val="001D00CB"/>
    <w:rsid w:val="001D1100"/>
    <w:rsid w:val="001D1391"/>
    <w:rsid w:val="001D25D7"/>
    <w:rsid w:val="001D390D"/>
    <w:rsid w:val="001D3AB0"/>
    <w:rsid w:val="001D50B2"/>
    <w:rsid w:val="001D5423"/>
    <w:rsid w:val="001D5DFB"/>
    <w:rsid w:val="001D682E"/>
    <w:rsid w:val="001D71F4"/>
    <w:rsid w:val="001D7645"/>
    <w:rsid w:val="001D7967"/>
    <w:rsid w:val="001E067B"/>
    <w:rsid w:val="001E14C9"/>
    <w:rsid w:val="001E1E86"/>
    <w:rsid w:val="001E238E"/>
    <w:rsid w:val="001E2483"/>
    <w:rsid w:val="001E2B1E"/>
    <w:rsid w:val="001E2CFF"/>
    <w:rsid w:val="001E2F24"/>
    <w:rsid w:val="001E30D4"/>
    <w:rsid w:val="001E34DF"/>
    <w:rsid w:val="001E4940"/>
    <w:rsid w:val="001E52EB"/>
    <w:rsid w:val="001E53BE"/>
    <w:rsid w:val="001E54E0"/>
    <w:rsid w:val="001E54FA"/>
    <w:rsid w:val="001E61D2"/>
    <w:rsid w:val="001E6936"/>
    <w:rsid w:val="001E6B46"/>
    <w:rsid w:val="001E740C"/>
    <w:rsid w:val="001E789C"/>
    <w:rsid w:val="001E7B69"/>
    <w:rsid w:val="001F06ED"/>
    <w:rsid w:val="001F1235"/>
    <w:rsid w:val="001F1CB3"/>
    <w:rsid w:val="001F3797"/>
    <w:rsid w:val="001F3886"/>
    <w:rsid w:val="001F38B5"/>
    <w:rsid w:val="001F4081"/>
    <w:rsid w:val="001F4460"/>
    <w:rsid w:val="001F4A7D"/>
    <w:rsid w:val="001F545B"/>
    <w:rsid w:val="001F59C7"/>
    <w:rsid w:val="001F5A21"/>
    <w:rsid w:val="001F5B59"/>
    <w:rsid w:val="001F7361"/>
    <w:rsid w:val="002011B0"/>
    <w:rsid w:val="00203181"/>
    <w:rsid w:val="00203783"/>
    <w:rsid w:val="0020385F"/>
    <w:rsid w:val="00203B9F"/>
    <w:rsid w:val="00204674"/>
    <w:rsid w:val="002068A0"/>
    <w:rsid w:val="00206B2C"/>
    <w:rsid w:val="00207021"/>
    <w:rsid w:val="0020732F"/>
    <w:rsid w:val="00207D00"/>
    <w:rsid w:val="002105C1"/>
    <w:rsid w:val="002116FD"/>
    <w:rsid w:val="00213C08"/>
    <w:rsid w:val="00213EF5"/>
    <w:rsid w:val="00214808"/>
    <w:rsid w:val="00216827"/>
    <w:rsid w:val="00216BF5"/>
    <w:rsid w:val="002208CE"/>
    <w:rsid w:val="00220C96"/>
    <w:rsid w:val="002221F4"/>
    <w:rsid w:val="00223789"/>
    <w:rsid w:val="002237F5"/>
    <w:rsid w:val="00223B49"/>
    <w:rsid w:val="00223D5A"/>
    <w:rsid w:val="00224DD4"/>
    <w:rsid w:val="0022502D"/>
    <w:rsid w:val="002277CB"/>
    <w:rsid w:val="002278A0"/>
    <w:rsid w:val="002309CC"/>
    <w:rsid w:val="00230ADC"/>
    <w:rsid w:val="00231BA9"/>
    <w:rsid w:val="0023209F"/>
    <w:rsid w:val="00233739"/>
    <w:rsid w:val="00233C01"/>
    <w:rsid w:val="00233D52"/>
    <w:rsid w:val="0023413C"/>
    <w:rsid w:val="002346F0"/>
    <w:rsid w:val="0023629D"/>
    <w:rsid w:val="00237255"/>
    <w:rsid w:val="00240E49"/>
    <w:rsid w:val="0024182A"/>
    <w:rsid w:val="0024234E"/>
    <w:rsid w:val="002424AF"/>
    <w:rsid w:val="00242A68"/>
    <w:rsid w:val="002439DC"/>
    <w:rsid w:val="002441D2"/>
    <w:rsid w:val="0024453E"/>
    <w:rsid w:val="00244DC8"/>
    <w:rsid w:val="002458BA"/>
    <w:rsid w:val="00245CE9"/>
    <w:rsid w:val="0024636C"/>
    <w:rsid w:val="00247925"/>
    <w:rsid w:val="00247BD2"/>
    <w:rsid w:val="00247D26"/>
    <w:rsid w:val="00250007"/>
    <w:rsid w:val="00251006"/>
    <w:rsid w:val="00251017"/>
    <w:rsid w:val="002515F9"/>
    <w:rsid w:val="00252046"/>
    <w:rsid w:val="002524D5"/>
    <w:rsid w:val="002526D3"/>
    <w:rsid w:val="0025394A"/>
    <w:rsid w:val="00253B1D"/>
    <w:rsid w:val="0025408E"/>
    <w:rsid w:val="0025498C"/>
    <w:rsid w:val="00254DCF"/>
    <w:rsid w:val="0025534B"/>
    <w:rsid w:val="00255964"/>
    <w:rsid w:val="00255BB7"/>
    <w:rsid w:val="00255D22"/>
    <w:rsid w:val="00257086"/>
    <w:rsid w:val="00257541"/>
    <w:rsid w:val="00257940"/>
    <w:rsid w:val="00257A39"/>
    <w:rsid w:val="00257AC4"/>
    <w:rsid w:val="00257BBE"/>
    <w:rsid w:val="0026101B"/>
    <w:rsid w:val="00261EEF"/>
    <w:rsid w:val="00261F87"/>
    <w:rsid w:val="00262A1A"/>
    <w:rsid w:val="00262A87"/>
    <w:rsid w:val="00263715"/>
    <w:rsid w:val="00263C63"/>
    <w:rsid w:val="00264D26"/>
    <w:rsid w:val="00266636"/>
    <w:rsid w:val="00266D1D"/>
    <w:rsid w:val="00267642"/>
    <w:rsid w:val="00267AEA"/>
    <w:rsid w:val="002700E6"/>
    <w:rsid w:val="00270709"/>
    <w:rsid w:val="0027294B"/>
    <w:rsid w:val="002736C3"/>
    <w:rsid w:val="00273EB4"/>
    <w:rsid w:val="00274682"/>
    <w:rsid w:val="00274C5C"/>
    <w:rsid w:val="00275158"/>
    <w:rsid w:val="00275C5A"/>
    <w:rsid w:val="0027634B"/>
    <w:rsid w:val="00281014"/>
    <w:rsid w:val="002812C5"/>
    <w:rsid w:val="00281724"/>
    <w:rsid w:val="002818D2"/>
    <w:rsid w:val="00282144"/>
    <w:rsid w:val="00282EF1"/>
    <w:rsid w:val="002830E2"/>
    <w:rsid w:val="00284990"/>
    <w:rsid w:val="0028556D"/>
    <w:rsid w:val="00285BCE"/>
    <w:rsid w:val="0028665D"/>
    <w:rsid w:val="002878A0"/>
    <w:rsid w:val="00290694"/>
    <w:rsid w:val="002914AB"/>
    <w:rsid w:val="002935A3"/>
    <w:rsid w:val="002941DD"/>
    <w:rsid w:val="002A14AB"/>
    <w:rsid w:val="002A2ADE"/>
    <w:rsid w:val="002A2E8F"/>
    <w:rsid w:val="002A2F50"/>
    <w:rsid w:val="002A3A74"/>
    <w:rsid w:val="002A4141"/>
    <w:rsid w:val="002A58F4"/>
    <w:rsid w:val="002A6403"/>
    <w:rsid w:val="002A73E9"/>
    <w:rsid w:val="002A7943"/>
    <w:rsid w:val="002B05A1"/>
    <w:rsid w:val="002B09A4"/>
    <w:rsid w:val="002B0E94"/>
    <w:rsid w:val="002B1BD4"/>
    <w:rsid w:val="002B1C1F"/>
    <w:rsid w:val="002B40EC"/>
    <w:rsid w:val="002B432F"/>
    <w:rsid w:val="002B5452"/>
    <w:rsid w:val="002B60E1"/>
    <w:rsid w:val="002B62B3"/>
    <w:rsid w:val="002B66F0"/>
    <w:rsid w:val="002B6754"/>
    <w:rsid w:val="002B675D"/>
    <w:rsid w:val="002B6CCE"/>
    <w:rsid w:val="002B71E0"/>
    <w:rsid w:val="002C01F2"/>
    <w:rsid w:val="002C0563"/>
    <w:rsid w:val="002C08FC"/>
    <w:rsid w:val="002C10F3"/>
    <w:rsid w:val="002C14C1"/>
    <w:rsid w:val="002C2510"/>
    <w:rsid w:val="002C2775"/>
    <w:rsid w:val="002C278C"/>
    <w:rsid w:val="002C27C1"/>
    <w:rsid w:val="002C2A12"/>
    <w:rsid w:val="002C33F1"/>
    <w:rsid w:val="002C36E3"/>
    <w:rsid w:val="002C3EEC"/>
    <w:rsid w:val="002C460D"/>
    <w:rsid w:val="002C5099"/>
    <w:rsid w:val="002C55B1"/>
    <w:rsid w:val="002C5889"/>
    <w:rsid w:val="002C6629"/>
    <w:rsid w:val="002C71CE"/>
    <w:rsid w:val="002C7DF8"/>
    <w:rsid w:val="002D08F8"/>
    <w:rsid w:val="002D2C11"/>
    <w:rsid w:val="002D43A0"/>
    <w:rsid w:val="002D44FE"/>
    <w:rsid w:val="002D4C58"/>
    <w:rsid w:val="002D577C"/>
    <w:rsid w:val="002D6DFB"/>
    <w:rsid w:val="002D7802"/>
    <w:rsid w:val="002D7832"/>
    <w:rsid w:val="002E008F"/>
    <w:rsid w:val="002E0C76"/>
    <w:rsid w:val="002E1071"/>
    <w:rsid w:val="002E15B9"/>
    <w:rsid w:val="002E2158"/>
    <w:rsid w:val="002E24C9"/>
    <w:rsid w:val="002E30E4"/>
    <w:rsid w:val="002E4CC1"/>
    <w:rsid w:val="002E4F02"/>
    <w:rsid w:val="002E4F1C"/>
    <w:rsid w:val="002E6178"/>
    <w:rsid w:val="002E6EC5"/>
    <w:rsid w:val="002E7722"/>
    <w:rsid w:val="002E79E8"/>
    <w:rsid w:val="002E7B18"/>
    <w:rsid w:val="002F07BA"/>
    <w:rsid w:val="002F0DA9"/>
    <w:rsid w:val="002F1014"/>
    <w:rsid w:val="002F1E3B"/>
    <w:rsid w:val="002F221F"/>
    <w:rsid w:val="002F2657"/>
    <w:rsid w:val="002F5CF0"/>
    <w:rsid w:val="002F643C"/>
    <w:rsid w:val="002F71C0"/>
    <w:rsid w:val="002F74F1"/>
    <w:rsid w:val="00300E05"/>
    <w:rsid w:val="00301017"/>
    <w:rsid w:val="0030155F"/>
    <w:rsid w:val="0030224D"/>
    <w:rsid w:val="00302D61"/>
    <w:rsid w:val="003046AA"/>
    <w:rsid w:val="0030587B"/>
    <w:rsid w:val="00306230"/>
    <w:rsid w:val="00306641"/>
    <w:rsid w:val="00306CDB"/>
    <w:rsid w:val="00306D98"/>
    <w:rsid w:val="00306F07"/>
    <w:rsid w:val="0030786C"/>
    <w:rsid w:val="00307DB4"/>
    <w:rsid w:val="0031031A"/>
    <w:rsid w:val="00310981"/>
    <w:rsid w:val="00311D9B"/>
    <w:rsid w:val="003122CF"/>
    <w:rsid w:val="003124D9"/>
    <w:rsid w:val="00312594"/>
    <w:rsid w:val="003126DF"/>
    <w:rsid w:val="00315498"/>
    <w:rsid w:val="00316474"/>
    <w:rsid w:val="00317BD2"/>
    <w:rsid w:val="00317FBF"/>
    <w:rsid w:val="003209E1"/>
    <w:rsid w:val="00322107"/>
    <w:rsid w:val="00322355"/>
    <w:rsid w:val="00322846"/>
    <w:rsid w:val="00323E44"/>
    <w:rsid w:val="00324AEA"/>
    <w:rsid w:val="00326DA7"/>
    <w:rsid w:val="003270E4"/>
    <w:rsid w:val="00327CEC"/>
    <w:rsid w:val="00330DAA"/>
    <w:rsid w:val="00330F5C"/>
    <w:rsid w:val="00331544"/>
    <w:rsid w:val="00332A9E"/>
    <w:rsid w:val="0033422D"/>
    <w:rsid w:val="0033428C"/>
    <w:rsid w:val="003345F2"/>
    <w:rsid w:val="003366C9"/>
    <w:rsid w:val="003371B0"/>
    <w:rsid w:val="00337566"/>
    <w:rsid w:val="00340691"/>
    <w:rsid w:val="00340973"/>
    <w:rsid w:val="00340DF1"/>
    <w:rsid w:val="0034169D"/>
    <w:rsid w:val="00342308"/>
    <w:rsid w:val="0034334F"/>
    <w:rsid w:val="00345306"/>
    <w:rsid w:val="00345F83"/>
    <w:rsid w:val="00347E53"/>
    <w:rsid w:val="00347E55"/>
    <w:rsid w:val="003517F9"/>
    <w:rsid w:val="00351AFA"/>
    <w:rsid w:val="00351BA9"/>
    <w:rsid w:val="003527FA"/>
    <w:rsid w:val="00352B1A"/>
    <w:rsid w:val="00354C0D"/>
    <w:rsid w:val="00354F64"/>
    <w:rsid w:val="0035620E"/>
    <w:rsid w:val="003575BE"/>
    <w:rsid w:val="00360345"/>
    <w:rsid w:val="00361435"/>
    <w:rsid w:val="00361A05"/>
    <w:rsid w:val="003624C4"/>
    <w:rsid w:val="00363280"/>
    <w:rsid w:val="00363B00"/>
    <w:rsid w:val="0036461F"/>
    <w:rsid w:val="003648AD"/>
    <w:rsid w:val="003654AC"/>
    <w:rsid w:val="003662B1"/>
    <w:rsid w:val="00367325"/>
    <w:rsid w:val="00370708"/>
    <w:rsid w:val="003710CF"/>
    <w:rsid w:val="003721FC"/>
    <w:rsid w:val="003729F4"/>
    <w:rsid w:val="00372D8E"/>
    <w:rsid w:val="0037358A"/>
    <w:rsid w:val="00373FA1"/>
    <w:rsid w:val="00374CA5"/>
    <w:rsid w:val="003750F6"/>
    <w:rsid w:val="003760FC"/>
    <w:rsid w:val="00380F27"/>
    <w:rsid w:val="003825CD"/>
    <w:rsid w:val="00382F39"/>
    <w:rsid w:val="0038365C"/>
    <w:rsid w:val="0038369B"/>
    <w:rsid w:val="0038397B"/>
    <w:rsid w:val="00383B78"/>
    <w:rsid w:val="00383F47"/>
    <w:rsid w:val="003845C3"/>
    <w:rsid w:val="00384862"/>
    <w:rsid w:val="00385019"/>
    <w:rsid w:val="00385A9D"/>
    <w:rsid w:val="00385B3B"/>
    <w:rsid w:val="00387121"/>
    <w:rsid w:val="003902B1"/>
    <w:rsid w:val="00390DC2"/>
    <w:rsid w:val="0039179C"/>
    <w:rsid w:val="00392D17"/>
    <w:rsid w:val="00395600"/>
    <w:rsid w:val="00396896"/>
    <w:rsid w:val="00396FD0"/>
    <w:rsid w:val="003974AC"/>
    <w:rsid w:val="003A085F"/>
    <w:rsid w:val="003A1A7A"/>
    <w:rsid w:val="003A2392"/>
    <w:rsid w:val="003A2831"/>
    <w:rsid w:val="003A3CB6"/>
    <w:rsid w:val="003A3ED1"/>
    <w:rsid w:val="003A44DB"/>
    <w:rsid w:val="003A4C14"/>
    <w:rsid w:val="003A4CE2"/>
    <w:rsid w:val="003A4D63"/>
    <w:rsid w:val="003A5666"/>
    <w:rsid w:val="003A56C8"/>
    <w:rsid w:val="003A5FA6"/>
    <w:rsid w:val="003A6CBE"/>
    <w:rsid w:val="003A7A25"/>
    <w:rsid w:val="003A7C8A"/>
    <w:rsid w:val="003B0C6C"/>
    <w:rsid w:val="003B29EC"/>
    <w:rsid w:val="003B2E90"/>
    <w:rsid w:val="003B2F4F"/>
    <w:rsid w:val="003B2FA9"/>
    <w:rsid w:val="003B3971"/>
    <w:rsid w:val="003B3DBC"/>
    <w:rsid w:val="003B4262"/>
    <w:rsid w:val="003B55D1"/>
    <w:rsid w:val="003B5B61"/>
    <w:rsid w:val="003B68B3"/>
    <w:rsid w:val="003B6CB8"/>
    <w:rsid w:val="003C0B4F"/>
    <w:rsid w:val="003C11DB"/>
    <w:rsid w:val="003C1654"/>
    <w:rsid w:val="003C1AFD"/>
    <w:rsid w:val="003C1D08"/>
    <w:rsid w:val="003C24FB"/>
    <w:rsid w:val="003C2C97"/>
    <w:rsid w:val="003C2D24"/>
    <w:rsid w:val="003C330D"/>
    <w:rsid w:val="003C5542"/>
    <w:rsid w:val="003C5F4E"/>
    <w:rsid w:val="003C68A9"/>
    <w:rsid w:val="003C6B0F"/>
    <w:rsid w:val="003C7C15"/>
    <w:rsid w:val="003C7D14"/>
    <w:rsid w:val="003C7D19"/>
    <w:rsid w:val="003C7D2F"/>
    <w:rsid w:val="003D0C5A"/>
    <w:rsid w:val="003D1828"/>
    <w:rsid w:val="003D1DE4"/>
    <w:rsid w:val="003D1E9A"/>
    <w:rsid w:val="003D2422"/>
    <w:rsid w:val="003D39A1"/>
    <w:rsid w:val="003D3FBF"/>
    <w:rsid w:val="003D4A30"/>
    <w:rsid w:val="003D7452"/>
    <w:rsid w:val="003D79BB"/>
    <w:rsid w:val="003D7C98"/>
    <w:rsid w:val="003D7D9D"/>
    <w:rsid w:val="003E0434"/>
    <w:rsid w:val="003E0543"/>
    <w:rsid w:val="003E1FB8"/>
    <w:rsid w:val="003E2CCF"/>
    <w:rsid w:val="003E5603"/>
    <w:rsid w:val="003E749E"/>
    <w:rsid w:val="003F030E"/>
    <w:rsid w:val="003F0520"/>
    <w:rsid w:val="003F1016"/>
    <w:rsid w:val="003F103E"/>
    <w:rsid w:val="003F124B"/>
    <w:rsid w:val="003F1A6C"/>
    <w:rsid w:val="003F4156"/>
    <w:rsid w:val="003F45B5"/>
    <w:rsid w:val="003F58CD"/>
    <w:rsid w:val="003F5ADF"/>
    <w:rsid w:val="003F5F78"/>
    <w:rsid w:val="003F6791"/>
    <w:rsid w:val="003F6A32"/>
    <w:rsid w:val="0040099E"/>
    <w:rsid w:val="00400B29"/>
    <w:rsid w:val="004016C5"/>
    <w:rsid w:val="004024AA"/>
    <w:rsid w:val="00402812"/>
    <w:rsid w:val="00402C3E"/>
    <w:rsid w:val="00402EE1"/>
    <w:rsid w:val="0040504B"/>
    <w:rsid w:val="004053E4"/>
    <w:rsid w:val="004059F4"/>
    <w:rsid w:val="004074C4"/>
    <w:rsid w:val="00407AD1"/>
    <w:rsid w:val="00407FBB"/>
    <w:rsid w:val="00407FE5"/>
    <w:rsid w:val="004101B0"/>
    <w:rsid w:val="00410326"/>
    <w:rsid w:val="004104B7"/>
    <w:rsid w:val="00410708"/>
    <w:rsid w:val="00410EC7"/>
    <w:rsid w:val="004110C7"/>
    <w:rsid w:val="00411B39"/>
    <w:rsid w:val="004127A7"/>
    <w:rsid w:val="00413A1E"/>
    <w:rsid w:val="00413EDE"/>
    <w:rsid w:val="00414476"/>
    <w:rsid w:val="004149CD"/>
    <w:rsid w:val="00414C2E"/>
    <w:rsid w:val="004151CF"/>
    <w:rsid w:val="00416364"/>
    <w:rsid w:val="00416874"/>
    <w:rsid w:val="00417713"/>
    <w:rsid w:val="0042047F"/>
    <w:rsid w:val="00420AA6"/>
    <w:rsid w:val="00420B9F"/>
    <w:rsid w:val="004214CB"/>
    <w:rsid w:val="0042192C"/>
    <w:rsid w:val="00421970"/>
    <w:rsid w:val="00422260"/>
    <w:rsid w:val="0042413F"/>
    <w:rsid w:val="00425B3B"/>
    <w:rsid w:val="00425D39"/>
    <w:rsid w:val="00426415"/>
    <w:rsid w:val="004264C4"/>
    <w:rsid w:val="00427203"/>
    <w:rsid w:val="00430160"/>
    <w:rsid w:val="0043082F"/>
    <w:rsid w:val="004319F8"/>
    <w:rsid w:val="00431E55"/>
    <w:rsid w:val="0043216F"/>
    <w:rsid w:val="004321F6"/>
    <w:rsid w:val="00433044"/>
    <w:rsid w:val="00434088"/>
    <w:rsid w:val="00434AC1"/>
    <w:rsid w:val="00435B5A"/>
    <w:rsid w:val="004375B9"/>
    <w:rsid w:val="0044097C"/>
    <w:rsid w:val="00440B06"/>
    <w:rsid w:val="00442608"/>
    <w:rsid w:val="004428D0"/>
    <w:rsid w:val="00442953"/>
    <w:rsid w:val="0044324B"/>
    <w:rsid w:val="00444185"/>
    <w:rsid w:val="004443A7"/>
    <w:rsid w:val="0044442C"/>
    <w:rsid w:val="004450A7"/>
    <w:rsid w:val="0044549B"/>
    <w:rsid w:val="00445941"/>
    <w:rsid w:val="004464EB"/>
    <w:rsid w:val="00446D10"/>
    <w:rsid w:val="00446F52"/>
    <w:rsid w:val="00447D26"/>
    <w:rsid w:val="00447DFC"/>
    <w:rsid w:val="00450E31"/>
    <w:rsid w:val="00450F56"/>
    <w:rsid w:val="004524A5"/>
    <w:rsid w:val="00455078"/>
    <w:rsid w:val="00455D45"/>
    <w:rsid w:val="00456D63"/>
    <w:rsid w:val="0045701A"/>
    <w:rsid w:val="00460669"/>
    <w:rsid w:val="00461150"/>
    <w:rsid w:val="00461290"/>
    <w:rsid w:val="00461333"/>
    <w:rsid w:val="00461D58"/>
    <w:rsid w:val="0046211D"/>
    <w:rsid w:val="00463CC6"/>
    <w:rsid w:val="00464595"/>
    <w:rsid w:val="00465063"/>
    <w:rsid w:val="004658B5"/>
    <w:rsid w:val="00471EA5"/>
    <w:rsid w:val="00472A79"/>
    <w:rsid w:val="00472DED"/>
    <w:rsid w:val="00473116"/>
    <w:rsid w:val="00473F19"/>
    <w:rsid w:val="00474733"/>
    <w:rsid w:val="00474CB5"/>
    <w:rsid w:val="004758EF"/>
    <w:rsid w:val="00475E22"/>
    <w:rsid w:val="0047787D"/>
    <w:rsid w:val="004803F1"/>
    <w:rsid w:val="004805ED"/>
    <w:rsid w:val="0048088E"/>
    <w:rsid w:val="00480F2B"/>
    <w:rsid w:val="00482720"/>
    <w:rsid w:val="004835E7"/>
    <w:rsid w:val="00484BF3"/>
    <w:rsid w:val="004859E1"/>
    <w:rsid w:val="004867E2"/>
    <w:rsid w:val="00487FE6"/>
    <w:rsid w:val="00490A99"/>
    <w:rsid w:val="00490B17"/>
    <w:rsid w:val="0049122E"/>
    <w:rsid w:val="00491B3A"/>
    <w:rsid w:val="00492CFD"/>
    <w:rsid w:val="00494207"/>
    <w:rsid w:val="00494884"/>
    <w:rsid w:val="00494D71"/>
    <w:rsid w:val="00494DD5"/>
    <w:rsid w:val="004962D2"/>
    <w:rsid w:val="0049677D"/>
    <w:rsid w:val="00497D34"/>
    <w:rsid w:val="004A0DA1"/>
    <w:rsid w:val="004A13D6"/>
    <w:rsid w:val="004A1DE5"/>
    <w:rsid w:val="004A2FE3"/>
    <w:rsid w:val="004A3E44"/>
    <w:rsid w:val="004A52E9"/>
    <w:rsid w:val="004A6040"/>
    <w:rsid w:val="004A647D"/>
    <w:rsid w:val="004A6597"/>
    <w:rsid w:val="004A7848"/>
    <w:rsid w:val="004A793B"/>
    <w:rsid w:val="004B153F"/>
    <w:rsid w:val="004B1A58"/>
    <w:rsid w:val="004B1CB4"/>
    <w:rsid w:val="004B1D17"/>
    <w:rsid w:val="004B1EA2"/>
    <w:rsid w:val="004B2F18"/>
    <w:rsid w:val="004B3DDB"/>
    <w:rsid w:val="004B422D"/>
    <w:rsid w:val="004B44FD"/>
    <w:rsid w:val="004B485D"/>
    <w:rsid w:val="004B5A1D"/>
    <w:rsid w:val="004B5CFC"/>
    <w:rsid w:val="004B6B98"/>
    <w:rsid w:val="004B6F59"/>
    <w:rsid w:val="004B6F79"/>
    <w:rsid w:val="004B7288"/>
    <w:rsid w:val="004B774D"/>
    <w:rsid w:val="004B7BFD"/>
    <w:rsid w:val="004B7E15"/>
    <w:rsid w:val="004B7FBE"/>
    <w:rsid w:val="004C11F8"/>
    <w:rsid w:val="004C23F9"/>
    <w:rsid w:val="004C27DD"/>
    <w:rsid w:val="004C2AC2"/>
    <w:rsid w:val="004C2FB6"/>
    <w:rsid w:val="004C39D4"/>
    <w:rsid w:val="004C4AED"/>
    <w:rsid w:val="004C6D27"/>
    <w:rsid w:val="004D2C2D"/>
    <w:rsid w:val="004D44CA"/>
    <w:rsid w:val="004D4731"/>
    <w:rsid w:val="004D6982"/>
    <w:rsid w:val="004D69B5"/>
    <w:rsid w:val="004D7227"/>
    <w:rsid w:val="004D7635"/>
    <w:rsid w:val="004D7B5E"/>
    <w:rsid w:val="004E0E7F"/>
    <w:rsid w:val="004E0EB8"/>
    <w:rsid w:val="004E18E9"/>
    <w:rsid w:val="004E1CF0"/>
    <w:rsid w:val="004E2ADC"/>
    <w:rsid w:val="004E3409"/>
    <w:rsid w:val="004E43B2"/>
    <w:rsid w:val="004E6692"/>
    <w:rsid w:val="004E7821"/>
    <w:rsid w:val="004F1D02"/>
    <w:rsid w:val="004F22A3"/>
    <w:rsid w:val="004F2517"/>
    <w:rsid w:val="004F2679"/>
    <w:rsid w:val="004F2F21"/>
    <w:rsid w:val="004F3C0C"/>
    <w:rsid w:val="004F3DE5"/>
    <w:rsid w:val="004F5FD9"/>
    <w:rsid w:val="004F6461"/>
    <w:rsid w:val="004F6913"/>
    <w:rsid w:val="004F6BBD"/>
    <w:rsid w:val="004F7865"/>
    <w:rsid w:val="004F7C73"/>
    <w:rsid w:val="004F7DBF"/>
    <w:rsid w:val="005007FE"/>
    <w:rsid w:val="00500CA2"/>
    <w:rsid w:val="00501506"/>
    <w:rsid w:val="0050174E"/>
    <w:rsid w:val="00501854"/>
    <w:rsid w:val="00501BD6"/>
    <w:rsid w:val="0050219B"/>
    <w:rsid w:val="00502771"/>
    <w:rsid w:val="005033E5"/>
    <w:rsid w:val="00503F17"/>
    <w:rsid w:val="00503F3A"/>
    <w:rsid w:val="0050632E"/>
    <w:rsid w:val="005066C5"/>
    <w:rsid w:val="00506928"/>
    <w:rsid w:val="005077EF"/>
    <w:rsid w:val="00511AD5"/>
    <w:rsid w:val="00511DC7"/>
    <w:rsid w:val="005141D0"/>
    <w:rsid w:val="005142C5"/>
    <w:rsid w:val="0051501B"/>
    <w:rsid w:val="005152B5"/>
    <w:rsid w:val="00515886"/>
    <w:rsid w:val="005164EA"/>
    <w:rsid w:val="0052123C"/>
    <w:rsid w:val="00521319"/>
    <w:rsid w:val="005226EE"/>
    <w:rsid w:val="00522BC8"/>
    <w:rsid w:val="005230AD"/>
    <w:rsid w:val="00523C28"/>
    <w:rsid w:val="00523F81"/>
    <w:rsid w:val="00526235"/>
    <w:rsid w:val="0053176B"/>
    <w:rsid w:val="005319CF"/>
    <w:rsid w:val="00533525"/>
    <w:rsid w:val="005337F0"/>
    <w:rsid w:val="00533839"/>
    <w:rsid w:val="005341B3"/>
    <w:rsid w:val="005348B7"/>
    <w:rsid w:val="00534CB1"/>
    <w:rsid w:val="00536F42"/>
    <w:rsid w:val="00537182"/>
    <w:rsid w:val="00541EDD"/>
    <w:rsid w:val="00542743"/>
    <w:rsid w:val="00542C2D"/>
    <w:rsid w:val="0054325A"/>
    <w:rsid w:val="00543897"/>
    <w:rsid w:val="00544333"/>
    <w:rsid w:val="00546F3D"/>
    <w:rsid w:val="005478BD"/>
    <w:rsid w:val="005479E3"/>
    <w:rsid w:val="005512D7"/>
    <w:rsid w:val="00551985"/>
    <w:rsid w:val="00552BD3"/>
    <w:rsid w:val="005532A0"/>
    <w:rsid w:val="005539BE"/>
    <w:rsid w:val="00554AC8"/>
    <w:rsid w:val="00555109"/>
    <w:rsid w:val="005566F9"/>
    <w:rsid w:val="00556B35"/>
    <w:rsid w:val="0055741A"/>
    <w:rsid w:val="005610DF"/>
    <w:rsid w:val="005611B7"/>
    <w:rsid w:val="005618D4"/>
    <w:rsid w:val="00561DC6"/>
    <w:rsid w:val="005624FC"/>
    <w:rsid w:val="00564867"/>
    <w:rsid w:val="00565C79"/>
    <w:rsid w:val="00565DF0"/>
    <w:rsid w:val="005660E2"/>
    <w:rsid w:val="0056696F"/>
    <w:rsid w:val="00566B82"/>
    <w:rsid w:val="00567ACC"/>
    <w:rsid w:val="00567BD9"/>
    <w:rsid w:val="00570943"/>
    <w:rsid w:val="0057144F"/>
    <w:rsid w:val="005717EC"/>
    <w:rsid w:val="00572269"/>
    <w:rsid w:val="0057244A"/>
    <w:rsid w:val="00572DA6"/>
    <w:rsid w:val="00572F26"/>
    <w:rsid w:val="005735CA"/>
    <w:rsid w:val="00573906"/>
    <w:rsid w:val="00573EE8"/>
    <w:rsid w:val="005750C5"/>
    <w:rsid w:val="005752DE"/>
    <w:rsid w:val="00575D60"/>
    <w:rsid w:val="00575D8D"/>
    <w:rsid w:val="0057688C"/>
    <w:rsid w:val="00576972"/>
    <w:rsid w:val="00577248"/>
    <w:rsid w:val="00577323"/>
    <w:rsid w:val="005809A2"/>
    <w:rsid w:val="00581928"/>
    <w:rsid w:val="0058237D"/>
    <w:rsid w:val="00583699"/>
    <w:rsid w:val="005837A7"/>
    <w:rsid w:val="00584DF2"/>
    <w:rsid w:val="00585245"/>
    <w:rsid w:val="005853A5"/>
    <w:rsid w:val="00585CDD"/>
    <w:rsid w:val="00586340"/>
    <w:rsid w:val="00587058"/>
    <w:rsid w:val="00591957"/>
    <w:rsid w:val="00592085"/>
    <w:rsid w:val="00592282"/>
    <w:rsid w:val="00593312"/>
    <w:rsid w:val="00593408"/>
    <w:rsid w:val="005935C5"/>
    <w:rsid w:val="00593987"/>
    <w:rsid w:val="0059402B"/>
    <w:rsid w:val="00594333"/>
    <w:rsid w:val="00595A52"/>
    <w:rsid w:val="00597BF9"/>
    <w:rsid w:val="00597D2D"/>
    <w:rsid w:val="005A05A3"/>
    <w:rsid w:val="005A0C11"/>
    <w:rsid w:val="005A0CA8"/>
    <w:rsid w:val="005A1B1B"/>
    <w:rsid w:val="005A2650"/>
    <w:rsid w:val="005A309A"/>
    <w:rsid w:val="005A373D"/>
    <w:rsid w:val="005A4041"/>
    <w:rsid w:val="005A5B9C"/>
    <w:rsid w:val="005B0B58"/>
    <w:rsid w:val="005B254A"/>
    <w:rsid w:val="005B3B3F"/>
    <w:rsid w:val="005B4E53"/>
    <w:rsid w:val="005B5438"/>
    <w:rsid w:val="005B5857"/>
    <w:rsid w:val="005B6DD2"/>
    <w:rsid w:val="005B7CBB"/>
    <w:rsid w:val="005C155D"/>
    <w:rsid w:val="005C19C4"/>
    <w:rsid w:val="005C1ADA"/>
    <w:rsid w:val="005C1B83"/>
    <w:rsid w:val="005C25FF"/>
    <w:rsid w:val="005C2C68"/>
    <w:rsid w:val="005C2D55"/>
    <w:rsid w:val="005C31C2"/>
    <w:rsid w:val="005C31EB"/>
    <w:rsid w:val="005C346B"/>
    <w:rsid w:val="005C4331"/>
    <w:rsid w:val="005C505D"/>
    <w:rsid w:val="005C557C"/>
    <w:rsid w:val="005C5ABC"/>
    <w:rsid w:val="005C6541"/>
    <w:rsid w:val="005C6597"/>
    <w:rsid w:val="005D0056"/>
    <w:rsid w:val="005D044D"/>
    <w:rsid w:val="005D0904"/>
    <w:rsid w:val="005D0ABD"/>
    <w:rsid w:val="005D18AD"/>
    <w:rsid w:val="005D26B4"/>
    <w:rsid w:val="005D2719"/>
    <w:rsid w:val="005D2CA1"/>
    <w:rsid w:val="005D33CA"/>
    <w:rsid w:val="005D41B8"/>
    <w:rsid w:val="005D6815"/>
    <w:rsid w:val="005D6A59"/>
    <w:rsid w:val="005E1995"/>
    <w:rsid w:val="005E3006"/>
    <w:rsid w:val="005E6CBC"/>
    <w:rsid w:val="005E72FF"/>
    <w:rsid w:val="005E73C0"/>
    <w:rsid w:val="005F07ED"/>
    <w:rsid w:val="005F2007"/>
    <w:rsid w:val="005F2706"/>
    <w:rsid w:val="005F5AE1"/>
    <w:rsid w:val="005F6334"/>
    <w:rsid w:val="005F6A8F"/>
    <w:rsid w:val="005F6BB7"/>
    <w:rsid w:val="005F6C24"/>
    <w:rsid w:val="005F7588"/>
    <w:rsid w:val="005F7603"/>
    <w:rsid w:val="005F79C7"/>
    <w:rsid w:val="00601D97"/>
    <w:rsid w:val="0060251F"/>
    <w:rsid w:val="00603DB9"/>
    <w:rsid w:val="00604754"/>
    <w:rsid w:val="00604AAA"/>
    <w:rsid w:val="00604BB6"/>
    <w:rsid w:val="00605CAE"/>
    <w:rsid w:val="00606B3D"/>
    <w:rsid w:val="00606FBA"/>
    <w:rsid w:val="00607580"/>
    <w:rsid w:val="00607669"/>
    <w:rsid w:val="006076F4"/>
    <w:rsid w:val="00607AFD"/>
    <w:rsid w:val="00610AEC"/>
    <w:rsid w:val="00611B12"/>
    <w:rsid w:val="00612F97"/>
    <w:rsid w:val="0061345D"/>
    <w:rsid w:val="00613997"/>
    <w:rsid w:val="0061454A"/>
    <w:rsid w:val="00614A85"/>
    <w:rsid w:val="0061549B"/>
    <w:rsid w:val="00615F9C"/>
    <w:rsid w:val="00615FEC"/>
    <w:rsid w:val="0061647C"/>
    <w:rsid w:val="006166D5"/>
    <w:rsid w:val="00616717"/>
    <w:rsid w:val="00616802"/>
    <w:rsid w:val="006168BC"/>
    <w:rsid w:val="006169D6"/>
    <w:rsid w:val="00616D8D"/>
    <w:rsid w:val="00617E12"/>
    <w:rsid w:val="00620C25"/>
    <w:rsid w:val="00621385"/>
    <w:rsid w:val="00621477"/>
    <w:rsid w:val="00621ADA"/>
    <w:rsid w:val="00623F7B"/>
    <w:rsid w:val="00624BD4"/>
    <w:rsid w:val="00627E16"/>
    <w:rsid w:val="00630E2C"/>
    <w:rsid w:val="0063158F"/>
    <w:rsid w:val="00631D6B"/>
    <w:rsid w:val="00631F38"/>
    <w:rsid w:val="00632183"/>
    <w:rsid w:val="006330A1"/>
    <w:rsid w:val="006341E9"/>
    <w:rsid w:val="0063479F"/>
    <w:rsid w:val="006353F0"/>
    <w:rsid w:val="006357B5"/>
    <w:rsid w:val="006364A1"/>
    <w:rsid w:val="0063678E"/>
    <w:rsid w:val="00637179"/>
    <w:rsid w:val="00637BFD"/>
    <w:rsid w:val="00637C5C"/>
    <w:rsid w:val="00641A67"/>
    <w:rsid w:val="00641C4E"/>
    <w:rsid w:val="00641FB3"/>
    <w:rsid w:val="0064265D"/>
    <w:rsid w:val="00643726"/>
    <w:rsid w:val="0064416D"/>
    <w:rsid w:val="0064434C"/>
    <w:rsid w:val="006456F1"/>
    <w:rsid w:val="00645D55"/>
    <w:rsid w:val="00645EB8"/>
    <w:rsid w:val="006471CC"/>
    <w:rsid w:val="006472FE"/>
    <w:rsid w:val="006475C0"/>
    <w:rsid w:val="00647A29"/>
    <w:rsid w:val="00647B19"/>
    <w:rsid w:val="0065010E"/>
    <w:rsid w:val="00650399"/>
    <w:rsid w:val="0065079F"/>
    <w:rsid w:val="00652A28"/>
    <w:rsid w:val="00652C39"/>
    <w:rsid w:val="00653502"/>
    <w:rsid w:val="0065379F"/>
    <w:rsid w:val="00656188"/>
    <w:rsid w:val="00656361"/>
    <w:rsid w:val="0065715A"/>
    <w:rsid w:val="006610F1"/>
    <w:rsid w:val="00661C6B"/>
    <w:rsid w:val="006623D6"/>
    <w:rsid w:val="00662C9C"/>
    <w:rsid w:val="00662D3E"/>
    <w:rsid w:val="00664291"/>
    <w:rsid w:val="006651EB"/>
    <w:rsid w:val="00665485"/>
    <w:rsid w:val="006659FC"/>
    <w:rsid w:val="00665CC3"/>
    <w:rsid w:val="00667BE3"/>
    <w:rsid w:val="00671004"/>
    <w:rsid w:val="00672646"/>
    <w:rsid w:val="00672A20"/>
    <w:rsid w:val="006737D5"/>
    <w:rsid w:val="00674628"/>
    <w:rsid w:val="00674E42"/>
    <w:rsid w:val="00676563"/>
    <w:rsid w:val="00676762"/>
    <w:rsid w:val="00676CDA"/>
    <w:rsid w:val="00676FBF"/>
    <w:rsid w:val="00680091"/>
    <w:rsid w:val="006813F8"/>
    <w:rsid w:val="00682112"/>
    <w:rsid w:val="00682202"/>
    <w:rsid w:val="00682BA6"/>
    <w:rsid w:val="00683ED3"/>
    <w:rsid w:val="00686957"/>
    <w:rsid w:val="006872BA"/>
    <w:rsid w:val="00687863"/>
    <w:rsid w:val="00690795"/>
    <w:rsid w:val="00691648"/>
    <w:rsid w:val="006917D7"/>
    <w:rsid w:val="00691D78"/>
    <w:rsid w:val="006921B6"/>
    <w:rsid w:val="006936CB"/>
    <w:rsid w:val="00694027"/>
    <w:rsid w:val="0069434C"/>
    <w:rsid w:val="00694F44"/>
    <w:rsid w:val="006952B7"/>
    <w:rsid w:val="00696EF9"/>
    <w:rsid w:val="00696F51"/>
    <w:rsid w:val="006975B7"/>
    <w:rsid w:val="006979A5"/>
    <w:rsid w:val="006A016F"/>
    <w:rsid w:val="006A08A1"/>
    <w:rsid w:val="006A0DF7"/>
    <w:rsid w:val="006A15F1"/>
    <w:rsid w:val="006A3808"/>
    <w:rsid w:val="006A40F4"/>
    <w:rsid w:val="006A4321"/>
    <w:rsid w:val="006A43D9"/>
    <w:rsid w:val="006A5613"/>
    <w:rsid w:val="006A5729"/>
    <w:rsid w:val="006A5B03"/>
    <w:rsid w:val="006A6B99"/>
    <w:rsid w:val="006A7E5F"/>
    <w:rsid w:val="006B261B"/>
    <w:rsid w:val="006B2C90"/>
    <w:rsid w:val="006B3467"/>
    <w:rsid w:val="006B35E6"/>
    <w:rsid w:val="006B465A"/>
    <w:rsid w:val="006B6DD0"/>
    <w:rsid w:val="006B6EDC"/>
    <w:rsid w:val="006C0399"/>
    <w:rsid w:val="006C0A96"/>
    <w:rsid w:val="006C2A8E"/>
    <w:rsid w:val="006C3221"/>
    <w:rsid w:val="006C3255"/>
    <w:rsid w:val="006C32D5"/>
    <w:rsid w:val="006C3F26"/>
    <w:rsid w:val="006C4160"/>
    <w:rsid w:val="006C517B"/>
    <w:rsid w:val="006C6E02"/>
    <w:rsid w:val="006C7635"/>
    <w:rsid w:val="006D0783"/>
    <w:rsid w:val="006D0D17"/>
    <w:rsid w:val="006D1E4A"/>
    <w:rsid w:val="006D2AD0"/>
    <w:rsid w:val="006D37A5"/>
    <w:rsid w:val="006D3C7D"/>
    <w:rsid w:val="006D4659"/>
    <w:rsid w:val="006D5ADD"/>
    <w:rsid w:val="006D5D5F"/>
    <w:rsid w:val="006D6089"/>
    <w:rsid w:val="006D68FB"/>
    <w:rsid w:val="006E159A"/>
    <w:rsid w:val="006E1E23"/>
    <w:rsid w:val="006E2457"/>
    <w:rsid w:val="006E2868"/>
    <w:rsid w:val="006E5C06"/>
    <w:rsid w:val="006E79BC"/>
    <w:rsid w:val="006E7B4B"/>
    <w:rsid w:val="006F17BF"/>
    <w:rsid w:val="006F2424"/>
    <w:rsid w:val="006F306C"/>
    <w:rsid w:val="006F4425"/>
    <w:rsid w:val="006F63A5"/>
    <w:rsid w:val="006F7538"/>
    <w:rsid w:val="006F7F54"/>
    <w:rsid w:val="007006EE"/>
    <w:rsid w:val="0070142B"/>
    <w:rsid w:val="00701661"/>
    <w:rsid w:val="00702346"/>
    <w:rsid w:val="0070257B"/>
    <w:rsid w:val="0070276E"/>
    <w:rsid w:val="00702F8F"/>
    <w:rsid w:val="007055C3"/>
    <w:rsid w:val="007059FA"/>
    <w:rsid w:val="00705AE6"/>
    <w:rsid w:val="00706F5E"/>
    <w:rsid w:val="00706FE3"/>
    <w:rsid w:val="007078B8"/>
    <w:rsid w:val="007079FC"/>
    <w:rsid w:val="007103C3"/>
    <w:rsid w:val="00711A36"/>
    <w:rsid w:val="007125D3"/>
    <w:rsid w:val="00712CA1"/>
    <w:rsid w:val="00714C26"/>
    <w:rsid w:val="00714DD0"/>
    <w:rsid w:val="0071529C"/>
    <w:rsid w:val="00715CDB"/>
    <w:rsid w:val="00716424"/>
    <w:rsid w:val="00716D26"/>
    <w:rsid w:val="007170DA"/>
    <w:rsid w:val="007172AD"/>
    <w:rsid w:val="00717546"/>
    <w:rsid w:val="00720801"/>
    <w:rsid w:val="00721536"/>
    <w:rsid w:val="00721D5A"/>
    <w:rsid w:val="00722B1B"/>
    <w:rsid w:val="0072416F"/>
    <w:rsid w:val="00724F07"/>
    <w:rsid w:val="00725885"/>
    <w:rsid w:val="00727C94"/>
    <w:rsid w:val="00730E0D"/>
    <w:rsid w:val="00731B0A"/>
    <w:rsid w:val="00731EAE"/>
    <w:rsid w:val="00733073"/>
    <w:rsid w:val="00734DFA"/>
    <w:rsid w:val="00735033"/>
    <w:rsid w:val="00735328"/>
    <w:rsid w:val="0073572E"/>
    <w:rsid w:val="0073588B"/>
    <w:rsid w:val="0073685B"/>
    <w:rsid w:val="0073694E"/>
    <w:rsid w:val="00737079"/>
    <w:rsid w:val="00737DAC"/>
    <w:rsid w:val="007419D5"/>
    <w:rsid w:val="007449BF"/>
    <w:rsid w:val="007463FE"/>
    <w:rsid w:val="00746BC0"/>
    <w:rsid w:val="00747FEF"/>
    <w:rsid w:val="007510B4"/>
    <w:rsid w:val="00752142"/>
    <w:rsid w:val="007523F9"/>
    <w:rsid w:val="0075357E"/>
    <w:rsid w:val="00753B29"/>
    <w:rsid w:val="007541C1"/>
    <w:rsid w:val="00754DC5"/>
    <w:rsid w:val="00755D63"/>
    <w:rsid w:val="0075715C"/>
    <w:rsid w:val="007573E8"/>
    <w:rsid w:val="00760C4E"/>
    <w:rsid w:val="00760F9E"/>
    <w:rsid w:val="0076111F"/>
    <w:rsid w:val="007616E6"/>
    <w:rsid w:val="007625FA"/>
    <w:rsid w:val="007627BE"/>
    <w:rsid w:val="00763A1A"/>
    <w:rsid w:val="00764455"/>
    <w:rsid w:val="007647CD"/>
    <w:rsid w:val="00764F03"/>
    <w:rsid w:val="00765B1A"/>
    <w:rsid w:val="00765DC1"/>
    <w:rsid w:val="00766944"/>
    <w:rsid w:val="0077079E"/>
    <w:rsid w:val="007708DC"/>
    <w:rsid w:val="00771FF6"/>
    <w:rsid w:val="00777335"/>
    <w:rsid w:val="00777388"/>
    <w:rsid w:val="0078255C"/>
    <w:rsid w:val="007843F2"/>
    <w:rsid w:val="007846FA"/>
    <w:rsid w:val="0078492F"/>
    <w:rsid w:val="0078585E"/>
    <w:rsid w:val="00785A9F"/>
    <w:rsid w:val="007869E6"/>
    <w:rsid w:val="00787407"/>
    <w:rsid w:val="007900D0"/>
    <w:rsid w:val="00790A11"/>
    <w:rsid w:val="0079127F"/>
    <w:rsid w:val="00791D06"/>
    <w:rsid w:val="007925DF"/>
    <w:rsid w:val="00793F70"/>
    <w:rsid w:val="00795C0D"/>
    <w:rsid w:val="007962B6"/>
    <w:rsid w:val="007966D4"/>
    <w:rsid w:val="00796751"/>
    <w:rsid w:val="007A080D"/>
    <w:rsid w:val="007A08AA"/>
    <w:rsid w:val="007A0A12"/>
    <w:rsid w:val="007A132D"/>
    <w:rsid w:val="007A1345"/>
    <w:rsid w:val="007A18B2"/>
    <w:rsid w:val="007A2A8A"/>
    <w:rsid w:val="007A2DDB"/>
    <w:rsid w:val="007A35AE"/>
    <w:rsid w:val="007A619C"/>
    <w:rsid w:val="007A63E4"/>
    <w:rsid w:val="007A70BA"/>
    <w:rsid w:val="007A77BB"/>
    <w:rsid w:val="007B0D68"/>
    <w:rsid w:val="007B251D"/>
    <w:rsid w:val="007B3533"/>
    <w:rsid w:val="007B4F58"/>
    <w:rsid w:val="007B528D"/>
    <w:rsid w:val="007B566F"/>
    <w:rsid w:val="007B6352"/>
    <w:rsid w:val="007B63CA"/>
    <w:rsid w:val="007B6AAE"/>
    <w:rsid w:val="007B6F80"/>
    <w:rsid w:val="007B77D1"/>
    <w:rsid w:val="007C07C7"/>
    <w:rsid w:val="007C0EFC"/>
    <w:rsid w:val="007C1CD9"/>
    <w:rsid w:val="007C2E86"/>
    <w:rsid w:val="007C2F11"/>
    <w:rsid w:val="007C3017"/>
    <w:rsid w:val="007C32EF"/>
    <w:rsid w:val="007C361D"/>
    <w:rsid w:val="007C4B84"/>
    <w:rsid w:val="007C54E7"/>
    <w:rsid w:val="007C6107"/>
    <w:rsid w:val="007C63B2"/>
    <w:rsid w:val="007C69DB"/>
    <w:rsid w:val="007C70FF"/>
    <w:rsid w:val="007C79D3"/>
    <w:rsid w:val="007C7C25"/>
    <w:rsid w:val="007D004F"/>
    <w:rsid w:val="007D035F"/>
    <w:rsid w:val="007D06B2"/>
    <w:rsid w:val="007D0B38"/>
    <w:rsid w:val="007D125D"/>
    <w:rsid w:val="007D3718"/>
    <w:rsid w:val="007D37CB"/>
    <w:rsid w:val="007D3AE0"/>
    <w:rsid w:val="007D500C"/>
    <w:rsid w:val="007D5440"/>
    <w:rsid w:val="007D55D5"/>
    <w:rsid w:val="007D69EB"/>
    <w:rsid w:val="007E030B"/>
    <w:rsid w:val="007E128F"/>
    <w:rsid w:val="007E1BCB"/>
    <w:rsid w:val="007E4288"/>
    <w:rsid w:val="007E6AC8"/>
    <w:rsid w:val="007F1017"/>
    <w:rsid w:val="007F2FCF"/>
    <w:rsid w:val="007F4A3F"/>
    <w:rsid w:val="007F4A61"/>
    <w:rsid w:val="007F5255"/>
    <w:rsid w:val="007F56CC"/>
    <w:rsid w:val="007F61C2"/>
    <w:rsid w:val="007F6B91"/>
    <w:rsid w:val="007F7E78"/>
    <w:rsid w:val="00800331"/>
    <w:rsid w:val="00804C96"/>
    <w:rsid w:val="00805142"/>
    <w:rsid w:val="00805FCE"/>
    <w:rsid w:val="008063F9"/>
    <w:rsid w:val="008072FA"/>
    <w:rsid w:val="00807A8B"/>
    <w:rsid w:val="00810926"/>
    <w:rsid w:val="00811383"/>
    <w:rsid w:val="00811DAE"/>
    <w:rsid w:val="00812149"/>
    <w:rsid w:val="00812CAC"/>
    <w:rsid w:val="0081569B"/>
    <w:rsid w:val="00816361"/>
    <w:rsid w:val="008166EF"/>
    <w:rsid w:val="00816FEF"/>
    <w:rsid w:val="00820A8C"/>
    <w:rsid w:val="008210BC"/>
    <w:rsid w:val="008215FB"/>
    <w:rsid w:val="00821AA1"/>
    <w:rsid w:val="008220CC"/>
    <w:rsid w:val="008230A5"/>
    <w:rsid w:val="00823174"/>
    <w:rsid w:val="00825362"/>
    <w:rsid w:val="008254BD"/>
    <w:rsid w:val="00825751"/>
    <w:rsid w:val="00825EC1"/>
    <w:rsid w:val="008264EB"/>
    <w:rsid w:val="008268CE"/>
    <w:rsid w:val="008275ED"/>
    <w:rsid w:val="00827721"/>
    <w:rsid w:val="00827C23"/>
    <w:rsid w:val="00827EE6"/>
    <w:rsid w:val="008306E6"/>
    <w:rsid w:val="0083388F"/>
    <w:rsid w:val="00833B05"/>
    <w:rsid w:val="008360A4"/>
    <w:rsid w:val="008362B4"/>
    <w:rsid w:val="00840CA2"/>
    <w:rsid w:val="0084129A"/>
    <w:rsid w:val="00841D35"/>
    <w:rsid w:val="00842E39"/>
    <w:rsid w:val="00842FDE"/>
    <w:rsid w:val="0084374F"/>
    <w:rsid w:val="00843CFF"/>
    <w:rsid w:val="00844319"/>
    <w:rsid w:val="00844A22"/>
    <w:rsid w:val="00844D61"/>
    <w:rsid w:val="00845C4F"/>
    <w:rsid w:val="00846611"/>
    <w:rsid w:val="00847703"/>
    <w:rsid w:val="00847C2B"/>
    <w:rsid w:val="00847DF5"/>
    <w:rsid w:val="0085144F"/>
    <w:rsid w:val="00852FFB"/>
    <w:rsid w:val="0085309D"/>
    <w:rsid w:val="008531F7"/>
    <w:rsid w:val="008534E3"/>
    <w:rsid w:val="00854096"/>
    <w:rsid w:val="00855009"/>
    <w:rsid w:val="00856897"/>
    <w:rsid w:val="00856A21"/>
    <w:rsid w:val="00856E9A"/>
    <w:rsid w:val="00856FCF"/>
    <w:rsid w:val="00857AF9"/>
    <w:rsid w:val="0086075D"/>
    <w:rsid w:val="00861F0E"/>
    <w:rsid w:val="00862502"/>
    <w:rsid w:val="00862CC1"/>
    <w:rsid w:val="00862E0C"/>
    <w:rsid w:val="00863352"/>
    <w:rsid w:val="008642A7"/>
    <w:rsid w:val="008646FC"/>
    <w:rsid w:val="008660D4"/>
    <w:rsid w:val="00867EC0"/>
    <w:rsid w:val="00871EDA"/>
    <w:rsid w:val="00871FA9"/>
    <w:rsid w:val="008720EE"/>
    <w:rsid w:val="008725D8"/>
    <w:rsid w:val="008728E9"/>
    <w:rsid w:val="008732B7"/>
    <w:rsid w:val="00874352"/>
    <w:rsid w:val="00880D99"/>
    <w:rsid w:val="0088118D"/>
    <w:rsid w:val="00881A8D"/>
    <w:rsid w:val="00882874"/>
    <w:rsid w:val="00882E3C"/>
    <w:rsid w:val="0088308A"/>
    <w:rsid w:val="00883787"/>
    <w:rsid w:val="008854F0"/>
    <w:rsid w:val="008855E4"/>
    <w:rsid w:val="008862F8"/>
    <w:rsid w:val="008865AE"/>
    <w:rsid w:val="00886CD2"/>
    <w:rsid w:val="00890BB8"/>
    <w:rsid w:val="008912D9"/>
    <w:rsid w:val="00891E6F"/>
    <w:rsid w:val="00892584"/>
    <w:rsid w:val="0089275D"/>
    <w:rsid w:val="00892828"/>
    <w:rsid w:val="00892A36"/>
    <w:rsid w:val="00892F96"/>
    <w:rsid w:val="00893239"/>
    <w:rsid w:val="008943A3"/>
    <w:rsid w:val="00894489"/>
    <w:rsid w:val="00894CD6"/>
    <w:rsid w:val="008953A9"/>
    <w:rsid w:val="008963A5"/>
    <w:rsid w:val="00896D5D"/>
    <w:rsid w:val="008977F2"/>
    <w:rsid w:val="008A023E"/>
    <w:rsid w:val="008A0A72"/>
    <w:rsid w:val="008A1F93"/>
    <w:rsid w:val="008A3158"/>
    <w:rsid w:val="008A3363"/>
    <w:rsid w:val="008A3371"/>
    <w:rsid w:val="008A3C3E"/>
    <w:rsid w:val="008A405E"/>
    <w:rsid w:val="008A5679"/>
    <w:rsid w:val="008A5A88"/>
    <w:rsid w:val="008A79DE"/>
    <w:rsid w:val="008A7FC0"/>
    <w:rsid w:val="008B01D9"/>
    <w:rsid w:val="008B056F"/>
    <w:rsid w:val="008B1757"/>
    <w:rsid w:val="008B1C33"/>
    <w:rsid w:val="008B1D0D"/>
    <w:rsid w:val="008B4B6F"/>
    <w:rsid w:val="008B7992"/>
    <w:rsid w:val="008B7D7E"/>
    <w:rsid w:val="008C0021"/>
    <w:rsid w:val="008C1375"/>
    <w:rsid w:val="008C3BE0"/>
    <w:rsid w:val="008C463D"/>
    <w:rsid w:val="008C480C"/>
    <w:rsid w:val="008C493B"/>
    <w:rsid w:val="008C5610"/>
    <w:rsid w:val="008C5739"/>
    <w:rsid w:val="008C61AF"/>
    <w:rsid w:val="008C713C"/>
    <w:rsid w:val="008C7282"/>
    <w:rsid w:val="008C7297"/>
    <w:rsid w:val="008C7ECB"/>
    <w:rsid w:val="008D22F3"/>
    <w:rsid w:val="008D3B86"/>
    <w:rsid w:val="008D43FD"/>
    <w:rsid w:val="008D4755"/>
    <w:rsid w:val="008D4C3D"/>
    <w:rsid w:val="008D57CD"/>
    <w:rsid w:val="008D7349"/>
    <w:rsid w:val="008D743C"/>
    <w:rsid w:val="008E0D3C"/>
    <w:rsid w:val="008E11F0"/>
    <w:rsid w:val="008E1B9E"/>
    <w:rsid w:val="008E1D14"/>
    <w:rsid w:val="008E2EFD"/>
    <w:rsid w:val="008E3B7B"/>
    <w:rsid w:val="008E55AB"/>
    <w:rsid w:val="008E6E1D"/>
    <w:rsid w:val="008F120A"/>
    <w:rsid w:val="008F1E04"/>
    <w:rsid w:val="008F1FCD"/>
    <w:rsid w:val="008F27E0"/>
    <w:rsid w:val="008F3666"/>
    <w:rsid w:val="008F3DD2"/>
    <w:rsid w:val="008F48EB"/>
    <w:rsid w:val="008F499A"/>
    <w:rsid w:val="008F4F0B"/>
    <w:rsid w:val="008F5F9D"/>
    <w:rsid w:val="00900722"/>
    <w:rsid w:val="0090154B"/>
    <w:rsid w:val="00901553"/>
    <w:rsid w:val="00902920"/>
    <w:rsid w:val="0090327B"/>
    <w:rsid w:val="00904535"/>
    <w:rsid w:val="009046C4"/>
    <w:rsid w:val="009048BF"/>
    <w:rsid w:val="009062A5"/>
    <w:rsid w:val="00907240"/>
    <w:rsid w:val="00907699"/>
    <w:rsid w:val="00910443"/>
    <w:rsid w:val="00910FA7"/>
    <w:rsid w:val="00911272"/>
    <w:rsid w:val="00911339"/>
    <w:rsid w:val="00912F8B"/>
    <w:rsid w:val="009133E6"/>
    <w:rsid w:val="009135D6"/>
    <w:rsid w:val="00913A7F"/>
    <w:rsid w:val="00914C77"/>
    <w:rsid w:val="009168B4"/>
    <w:rsid w:val="0092002E"/>
    <w:rsid w:val="0092118B"/>
    <w:rsid w:val="00921359"/>
    <w:rsid w:val="00921ACB"/>
    <w:rsid w:val="009234DB"/>
    <w:rsid w:val="0092369B"/>
    <w:rsid w:val="00923A56"/>
    <w:rsid w:val="00923BBA"/>
    <w:rsid w:val="0092409C"/>
    <w:rsid w:val="00924427"/>
    <w:rsid w:val="00924807"/>
    <w:rsid w:val="009264DD"/>
    <w:rsid w:val="0092749E"/>
    <w:rsid w:val="009303DC"/>
    <w:rsid w:val="00931AAF"/>
    <w:rsid w:val="00933817"/>
    <w:rsid w:val="00934988"/>
    <w:rsid w:val="00935EBA"/>
    <w:rsid w:val="00936141"/>
    <w:rsid w:val="00936EAD"/>
    <w:rsid w:val="00937089"/>
    <w:rsid w:val="00944732"/>
    <w:rsid w:val="00944F8A"/>
    <w:rsid w:val="009466D5"/>
    <w:rsid w:val="00947647"/>
    <w:rsid w:val="0095074C"/>
    <w:rsid w:val="009510A2"/>
    <w:rsid w:val="00951709"/>
    <w:rsid w:val="00951947"/>
    <w:rsid w:val="00952293"/>
    <w:rsid w:val="009528CF"/>
    <w:rsid w:val="00953257"/>
    <w:rsid w:val="0095474C"/>
    <w:rsid w:val="00957691"/>
    <w:rsid w:val="0095772F"/>
    <w:rsid w:val="00957D92"/>
    <w:rsid w:val="00957DA4"/>
    <w:rsid w:val="00961CB1"/>
    <w:rsid w:val="00962CB9"/>
    <w:rsid w:val="00963C64"/>
    <w:rsid w:val="00964312"/>
    <w:rsid w:val="00964B82"/>
    <w:rsid w:val="00964FE8"/>
    <w:rsid w:val="00965B8A"/>
    <w:rsid w:val="00965BD7"/>
    <w:rsid w:val="00966597"/>
    <w:rsid w:val="00966D75"/>
    <w:rsid w:val="009675EE"/>
    <w:rsid w:val="00970251"/>
    <w:rsid w:val="0097062F"/>
    <w:rsid w:val="0097071F"/>
    <w:rsid w:val="00970A71"/>
    <w:rsid w:val="00970F0C"/>
    <w:rsid w:val="009713F4"/>
    <w:rsid w:val="009717AC"/>
    <w:rsid w:val="00972502"/>
    <w:rsid w:val="00973180"/>
    <w:rsid w:val="00973BC3"/>
    <w:rsid w:val="00973BE2"/>
    <w:rsid w:val="00973D8B"/>
    <w:rsid w:val="009751C1"/>
    <w:rsid w:val="00975A0B"/>
    <w:rsid w:val="00975E22"/>
    <w:rsid w:val="009774CB"/>
    <w:rsid w:val="00977E71"/>
    <w:rsid w:val="009810BC"/>
    <w:rsid w:val="009811F1"/>
    <w:rsid w:val="009815B6"/>
    <w:rsid w:val="00981B63"/>
    <w:rsid w:val="009836F1"/>
    <w:rsid w:val="00983E57"/>
    <w:rsid w:val="00983F8C"/>
    <w:rsid w:val="00985DE2"/>
    <w:rsid w:val="00986636"/>
    <w:rsid w:val="0098675D"/>
    <w:rsid w:val="00987BA4"/>
    <w:rsid w:val="00987DFF"/>
    <w:rsid w:val="009900EE"/>
    <w:rsid w:val="00991356"/>
    <w:rsid w:val="009925BB"/>
    <w:rsid w:val="009926E0"/>
    <w:rsid w:val="009942F2"/>
    <w:rsid w:val="0099451E"/>
    <w:rsid w:val="00994667"/>
    <w:rsid w:val="00994850"/>
    <w:rsid w:val="009961C8"/>
    <w:rsid w:val="00996B1A"/>
    <w:rsid w:val="009A03FB"/>
    <w:rsid w:val="009A0B69"/>
    <w:rsid w:val="009A18F6"/>
    <w:rsid w:val="009A20FF"/>
    <w:rsid w:val="009A2DCC"/>
    <w:rsid w:val="009A5ABC"/>
    <w:rsid w:val="009A61BC"/>
    <w:rsid w:val="009A6BAE"/>
    <w:rsid w:val="009A713B"/>
    <w:rsid w:val="009A7BBA"/>
    <w:rsid w:val="009A7F10"/>
    <w:rsid w:val="009B3E26"/>
    <w:rsid w:val="009B44BA"/>
    <w:rsid w:val="009B59F6"/>
    <w:rsid w:val="009B6797"/>
    <w:rsid w:val="009B6F11"/>
    <w:rsid w:val="009C1271"/>
    <w:rsid w:val="009C2651"/>
    <w:rsid w:val="009C3706"/>
    <w:rsid w:val="009C3A3A"/>
    <w:rsid w:val="009C6CEA"/>
    <w:rsid w:val="009C6EAC"/>
    <w:rsid w:val="009C7B85"/>
    <w:rsid w:val="009D0254"/>
    <w:rsid w:val="009D04F3"/>
    <w:rsid w:val="009D06A5"/>
    <w:rsid w:val="009D0F1C"/>
    <w:rsid w:val="009D1A64"/>
    <w:rsid w:val="009D1EB8"/>
    <w:rsid w:val="009D26D2"/>
    <w:rsid w:val="009D4FEE"/>
    <w:rsid w:val="009D5B91"/>
    <w:rsid w:val="009D6873"/>
    <w:rsid w:val="009D6CB5"/>
    <w:rsid w:val="009D7733"/>
    <w:rsid w:val="009D792E"/>
    <w:rsid w:val="009E0A52"/>
    <w:rsid w:val="009E0DFE"/>
    <w:rsid w:val="009E0E1D"/>
    <w:rsid w:val="009E122D"/>
    <w:rsid w:val="009E2CE2"/>
    <w:rsid w:val="009E31F6"/>
    <w:rsid w:val="009E4227"/>
    <w:rsid w:val="009E45EB"/>
    <w:rsid w:val="009E479C"/>
    <w:rsid w:val="009E4C07"/>
    <w:rsid w:val="009E4CF2"/>
    <w:rsid w:val="009E4D4A"/>
    <w:rsid w:val="009E5545"/>
    <w:rsid w:val="009E7033"/>
    <w:rsid w:val="009E7546"/>
    <w:rsid w:val="009E777F"/>
    <w:rsid w:val="009E7BCB"/>
    <w:rsid w:val="009F0D3A"/>
    <w:rsid w:val="009F1C21"/>
    <w:rsid w:val="009F6120"/>
    <w:rsid w:val="009F64BF"/>
    <w:rsid w:val="00A00D76"/>
    <w:rsid w:val="00A01184"/>
    <w:rsid w:val="00A01449"/>
    <w:rsid w:val="00A017C8"/>
    <w:rsid w:val="00A01A18"/>
    <w:rsid w:val="00A02EEF"/>
    <w:rsid w:val="00A03203"/>
    <w:rsid w:val="00A037C2"/>
    <w:rsid w:val="00A03A92"/>
    <w:rsid w:val="00A03D43"/>
    <w:rsid w:val="00A04380"/>
    <w:rsid w:val="00A04532"/>
    <w:rsid w:val="00A04786"/>
    <w:rsid w:val="00A04A94"/>
    <w:rsid w:val="00A05472"/>
    <w:rsid w:val="00A05C32"/>
    <w:rsid w:val="00A0653F"/>
    <w:rsid w:val="00A068F6"/>
    <w:rsid w:val="00A11CD0"/>
    <w:rsid w:val="00A12E52"/>
    <w:rsid w:val="00A13948"/>
    <w:rsid w:val="00A1555B"/>
    <w:rsid w:val="00A155C5"/>
    <w:rsid w:val="00A16AD8"/>
    <w:rsid w:val="00A16DCF"/>
    <w:rsid w:val="00A17240"/>
    <w:rsid w:val="00A2021E"/>
    <w:rsid w:val="00A206AB"/>
    <w:rsid w:val="00A20A49"/>
    <w:rsid w:val="00A20B81"/>
    <w:rsid w:val="00A21C95"/>
    <w:rsid w:val="00A21CF3"/>
    <w:rsid w:val="00A2325E"/>
    <w:rsid w:val="00A243AC"/>
    <w:rsid w:val="00A24813"/>
    <w:rsid w:val="00A257D7"/>
    <w:rsid w:val="00A277CA"/>
    <w:rsid w:val="00A278A2"/>
    <w:rsid w:val="00A27AEC"/>
    <w:rsid w:val="00A3026A"/>
    <w:rsid w:val="00A303B5"/>
    <w:rsid w:val="00A305C1"/>
    <w:rsid w:val="00A31FD4"/>
    <w:rsid w:val="00A320DB"/>
    <w:rsid w:val="00A32DE8"/>
    <w:rsid w:val="00A33C09"/>
    <w:rsid w:val="00A35D16"/>
    <w:rsid w:val="00A36D59"/>
    <w:rsid w:val="00A37BCD"/>
    <w:rsid w:val="00A41689"/>
    <w:rsid w:val="00A41864"/>
    <w:rsid w:val="00A42013"/>
    <w:rsid w:val="00A420F1"/>
    <w:rsid w:val="00A42592"/>
    <w:rsid w:val="00A4298E"/>
    <w:rsid w:val="00A43A74"/>
    <w:rsid w:val="00A43C59"/>
    <w:rsid w:val="00A4421D"/>
    <w:rsid w:val="00A45D96"/>
    <w:rsid w:val="00A501FD"/>
    <w:rsid w:val="00A50ECD"/>
    <w:rsid w:val="00A518F3"/>
    <w:rsid w:val="00A51E09"/>
    <w:rsid w:val="00A52391"/>
    <w:rsid w:val="00A52729"/>
    <w:rsid w:val="00A53469"/>
    <w:rsid w:val="00A53675"/>
    <w:rsid w:val="00A5536E"/>
    <w:rsid w:val="00A564D7"/>
    <w:rsid w:val="00A56B6A"/>
    <w:rsid w:val="00A578DC"/>
    <w:rsid w:val="00A60290"/>
    <w:rsid w:val="00A6058C"/>
    <w:rsid w:val="00A633A2"/>
    <w:rsid w:val="00A63686"/>
    <w:rsid w:val="00A640E2"/>
    <w:rsid w:val="00A64D65"/>
    <w:rsid w:val="00A66E08"/>
    <w:rsid w:val="00A6725B"/>
    <w:rsid w:val="00A673C5"/>
    <w:rsid w:val="00A6745F"/>
    <w:rsid w:val="00A701FB"/>
    <w:rsid w:val="00A70605"/>
    <w:rsid w:val="00A71BA8"/>
    <w:rsid w:val="00A71DAC"/>
    <w:rsid w:val="00A71F8E"/>
    <w:rsid w:val="00A73134"/>
    <w:rsid w:val="00A7365A"/>
    <w:rsid w:val="00A76001"/>
    <w:rsid w:val="00A777B2"/>
    <w:rsid w:val="00A80B42"/>
    <w:rsid w:val="00A8166C"/>
    <w:rsid w:val="00A8203F"/>
    <w:rsid w:val="00A825D4"/>
    <w:rsid w:val="00A828F6"/>
    <w:rsid w:val="00A82AA4"/>
    <w:rsid w:val="00A82B73"/>
    <w:rsid w:val="00A839F6"/>
    <w:rsid w:val="00A85038"/>
    <w:rsid w:val="00A86E8B"/>
    <w:rsid w:val="00A87164"/>
    <w:rsid w:val="00A871A9"/>
    <w:rsid w:val="00A91B08"/>
    <w:rsid w:val="00A9220E"/>
    <w:rsid w:val="00A93072"/>
    <w:rsid w:val="00A938BD"/>
    <w:rsid w:val="00A93953"/>
    <w:rsid w:val="00A94040"/>
    <w:rsid w:val="00A959D8"/>
    <w:rsid w:val="00A95AA9"/>
    <w:rsid w:val="00A95C87"/>
    <w:rsid w:val="00A97041"/>
    <w:rsid w:val="00AA01B2"/>
    <w:rsid w:val="00AA113D"/>
    <w:rsid w:val="00AA1F66"/>
    <w:rsid w:val="00AA1FC0"/>
    <w:rsid w:val="00AA2158"/>
    <w:rsid w:val="00AA36D7"/>
    <w:rsid w:val="00AA58BA"/>
    <w:rsid w:val="00AA5C29"/>
    <w:rsid w:val="00AA5D68"/>
    <w:rsid w:val="00AA6492"/>
    <w:rsid w:val="00AA6712"/>
    <w:rsid w:val="00AA6921"/>
    <w:rsid w:val="00AA6BD5"/>
    <w:rsid w:val="00AA6BD8"/>
    <w:rsid w:val="00AA6C7D"/>
    <w:rsid w:val="00AA7FD6"/>
    <w:rsid w:val="00AB042A"/>
    <w:rsid w:val="00AB08F8"/>
    <w:rsid w:val="00AB11AD"/>
    <w:rsid w:val="00AB19EF"/>
    <w:rsid w:val="00AB2495"/>
    <w:rsid w:val="00AB2D34"/>
    <w:rsid w:val="00AB3430"/>
    <w:rsid w:val="00AB37B9"/>
    <w:rsid w:val="00AB38E2"/>
    <w:rsid w:val="00AB4222"/>
    <w:rsid w:val="00AB4AD1"/>
    <w:rsid w:val="00AB517F"/>
    <w:rsid w:val="00AB5E07"/>
    <w:rsid w:val="00AB6B81"/>
    <w:rsid w:val="00AB7CFA"/>
    <w:rsid w:val="00AC14DA"/>
    <w:rsid w:val="00AC178B"/>
    <w:rsid w:val="00AC2ADE"/>
    <w:rsid w:val="00AC35BC"/>
    <w:rsid w:val="00AC4994"/>
    <w:rsid w:val="00AC5B42"/>
    <w:rsid w:val="00AC5B48"/>
    <w:rsid w:val="00AC5B8A"/>
    <w:rsid w:val="00AC7E3D"/>
    <w:rsid w:val="00AD1450"/>
    <w:rsid w:val="00AD15E8"/>
    <w:rsid w:val="00AD3390"/>
    <w:rsid w:val="00AD356D"/>
    <w:rsid w:val="00AD6502"/>
    <w:rsid w:val="00AD7C68"/>
    <w:rsid w:val="00AD7D2E"/>
    <w:rsid w:val="00AE0695"/>
    <w:rsid w:val="00AE1183"/>
    <w:rsid w:val="00AE1B16"/>
    <w:rsid w:val="00AE3E7E"/>
    <w:rsid w:val="00AE4EAA"/>
    <w:rsid w:val="00AE5127"/>
    <w:rsid w:val="00AE5954"/>
    <w:rsid w:val="00AE7E53"/>
    <w:rsid w:val="00AE7F15"/>
    <w:rsid w:val="00AF0B65"/>
    <w:rsid w:val="00AF1315"/>
    <w:rsid w:val="00AF19BF"/>
    <w:rsid w:val="00AF203B"/>
    <w:rsid w:val="00AF20A3"/>
    <w:rsid w:val="00AF240F"/>
    <w:rsid w:val="00AF24E4"/>
    <w:rsid w:val="00AF2DC3"/>
    <w:rsid w:val="00AF3D23"/>
    <w:rsid w:val="00AF416B"/>
    <w:rsid w:val="00AF744D"/>
    <w:rsid w:val="00AF78FF"/>
    <w:rsid w:val="00B023BC"/>
    <w:rsid w:val="00B023FF"/>
    <w:rsid w:val="00B024B3"/>
    <w:rsid w:val="00B0270E"/>
    <w:rsid w:val="00B033E5"/>
    <w:rsid w:val="00B03A63"/>
    <w:rsid w:val="00B04DA8"/>
    <w:rsid w:val="00B05DBA"/>
    <w:rsid w:val="00B05DD5"/>
    <w:rsid w:val="00B066D2"/>
    <w:rsid w:val="00B06C67"/>
    <w:rsid w:val="00B129A4"/>
    <w:rsid w:val="00B1760D"/>
    <w:rsid w:val="00B201A4"/>
    <w:rsid w:val="00B201D1"/>
    <w:rsid w:val="00B20A03"/>
    <w:rsid w:val="00B213A6"/>
    <w:rsid w:val="00B21F24"/>
    <w:rsid w:val="00B22233"/>
    <w:rsid w:val="00B235B0"/>
    <w:rsid w:val="00B24DF6"/>
    <w:rsid w:val="00B24EA5"/>
    <w:rsid w:val="00B25474"/>
    <w:rsid w:val="00B259DC"/>
    <w:rsid w:val="00B25C2A"/>
    <w:rsid w:val="00B27A61"/>
    <w:rsid w:val="00B3021F"/>
    <w:rsid w:val="00B33311"/>
    <w:rsid w:val="00B34208"/>
    <w:rsid w:val="00B34FE2"/>
    <w:rsid w:val="00B35166"/>
    <w:rsid w:val="00B357D8"/>
    <w:rsid w:val="00B360F4"/>
    <w:rsid w:val="00B36802"/>
    <w:rsid w:val="00B36A00"/>
    <w:rsid w:val="00B3792B"/>
    <w:rsid w:val="00B37BFC"/>
    <w:rsid w:val="00B40358"/>
    <w:rsid w:val="00B407D2"/>
    <w:rsid w:val="00B41614"/>
    <w:rsid w:val="00B42851"/>
    <w:rsid w:val="00B42F80"/>
    <w:rsid w:val="00B435CB"/>
    <w:rsid w:val="00B465EC"/>
    <w:rsid w:val="00B505C8"/>
    <w:rsid w:val="00B50DB8"/>
    <w:rsid w:val="00B52158"/>
    <w:rsid w:val="00B53654"/>
    <w:rsid w:val="00B53905"/>
    <w:rsid w:val="00B546DB"/>
    <w:rsid w:val="00B54B5B"/>
    <w:rsid w:val="00B5562E"/>
    <w:rsid w:val="00B55862"/>
    <w:rsid w:val="00B55D65"/>
    <w:rsid w:val="00B55EFC"/>
    <w:rsid w:val="00B562EE"/>
    <w:rsid w:val="00B56305"/>
    <w:rsid w:val="00B56697"/>
    <w:rsid w:val="00B57000"/>
    <w:rsid w:val="00B607B0"/>
    <w:rsid w:val="00B60939"/>
    <w:rsid w:val="00B60AFD"/>
    <w:rsid w:val="00B60BDA"/>
    <w:rsid w:val="00B62715"/>
    <w:rsid w:val="00B651BD"/>
    <w:rsid w:val="00B65611"/>
    <w:rsid w:val="00B7039B"/>
    <w:rsid w:val="00B70BF5"/>
    <w:rsid w:val="00B70E8E"/>
    <w:rsid w:val="00B7116B"/>
    <w:rsid w:val="00B7170C"/>
    <w:rsid w:val="00B71F1C"/>
    <w:rsid w:val="00B748C7"/>
    <w:rsid w:val="00B75466"/>
    <w:rsid w:val="00B75B5E"/>
    <w:rsid w:val="00B76748"/>
    <w:rsid w:val="00B76C92"/>
    <w:rsid w:val="00B77D5F"/>
    <w:rsid w:val="00B80A48"/>
    <w:rsid w:val="00B80EFD"/>
    <w:rsid w:val="00B818A4"/>
    <w:rsid w:val="00B827F0"/>
    <w:rsid w:val="00B82F4D"/>
    <w:rsid w:val="00B83739"/>
    <w:rsid w:val="00B83E8D"/>
    <w:rsid w:val="00B83F22"/>
    <w:rsid w:val="00B84117"/>
    <w:rsid w:val="00B85261"/>
    <w:rsid w:val="00B858F0"/>
    <w:rsid w:val="00B85AA2"/>
    <w:rsid w:val="00B8649C"/>
    <w:rsid w:val="00B8695D"/>
    <w:rsid w:val="00B87F0A"/>
    <w:rsid w:val="00B90ACC"/>
    <w:rsid w:val="00B92D0B"/>
    <w:rsid w:val="00B93A70"/>
    <w:rsid w:val="00B93AA4"/>
    <w:rsid w:val="00B93B70"/>
    <w:rsid w:val="00B944DF"/>
    <w:rsid w:val="00B946C3"/>
    <w:rsid w:val="00B94945"/>
    <w:rsid w:val="00B94DD6"/>
    <w:rsid w:val="00B9618C"/>
    <w:rsid w:val="00BA0B5F"/>
    <w:rsid w:val="00BA1D15"/>
    <w:rsid w:val="00BA322D"/>
    <w:rsid w:val="00BA3D40"/>
    <w:rsid w:val="00BA63FA"/>
    <w:rsid w:val="00BB00B3"/>
    <w:rsid w:val="00BB0A26"/>
    <w:rsid w:val="00BB0BDD"/>
    <w:rsid w:val="00BB176C"/>
    <w:rsid w:val="00BB237D"/>
    <w:rsid w:val="00BB2A73"/>
    <w:rsid w:val="00BB3175"/>
    <w:rsid w:val="00BB3A45"/>
    <w:rsid w:val="00BB4ACC"/>
    <w:rsid w:val="00BB63D5"/>
    <w:rsid w:val="00BB703E"/>
    <w:rsid w:val="00BB732D"/>
    <w:rsid w:val="00BB7405"/>
    <w:rsid w:val="00BC06C5"/>
    <w:rsid w:val="00BC3631"/>
    <w:rsid w:val="00BC45E8"/>
    <w:rsid w:val="00BC4823"/>
    <w:rsid w:val="00BC55EF"/>
    <w:rsid w:val="00BC591F"/>
    <w:rsid w:val="00BC695E"/>
    <w:rsid w:val="00BC7D6D"/>
    <w:rsid w:val="00BC7F7B"/>
    <w:rsid w:val="00BD184C"/>
    <w:rsid w:val="00BD1DC3"/>
    <w:rsid w:val="00BD1F95"/>
    <w:rsid w:val="00BD2108"/>
    <w:rsid w:val="00BD2B05"/>
    <w:rsid w:val="00BD3434"/>
    <w:rsid w:val="00BD4E56"/>
    <w:rsid w:val="00BD4E78"/>
    <w:rsid w:val="00BD68A3"/>
    <w:rsid w:val="00BD6938"/>
    <w:rsid w:val="00BD6CF3"/>
    <w:rsid w:val="00BD7F72"/>
    <w:rsid w:val="00BE0ECA"/>
    <w:rsid w:val="00BE2180"/>
    <w:rsid w:val="00BE21F2"/>
    <w:rsid w:val="00BE4275"/>
    <w:rsid w:val="00BE46C3"/>
    <w:rsid w:val="00BE54D7"/>
    <w:rsid w:val="00BE6BD9"/>
    <w:rsid w:val="00BF06AE"/>
    <w:rsid w:val="00BF0F19"/>
    <w:rsid w:val="00BF0F95"/>
    <w:rsid w:val="00BF23A1"/>
    <w:rsid w:val="00BF2433"/>
    <w:rsid w:val="00BF2672"/>
    <w:rsid w:val="00BF27C9"/>
    <w:rsid w:val="00BF2E6E"/>
    <w:rsid w:val="00BF3761"/>
    <w:rsid w:val="00BF390C"/>
    <w:rsid w:val="00BF40BE"/>
    <w:rsid w:val="00BF44ED"/>
    <w:rsid w:val="00BF5E6A"/>
    <w:rsid w:val="00BF61C9"/>
    <w:rsid w:val="00BF66B4"/>
    <w:rsid w:val="00BF6C94"/>
    <w:rsid w:val="00C00424"/>
    <w:rsid w:val="00C00BB0"/>
    <w:rsid w:val="00C018BF"/>
    <w:rsid w:val="00C032BC"/>
    <w:rsid w:val="00C038C1"/>
    <w:rsid w:val="00C03DFE"/>
    <w:rsid w:val="00C04349"/>
    <w:rsid w:val="00C04530"/>
    <w:rsid w:val="00C1179F"/>
    <w:rsid w:val="00C127B9"/>
    <w:rsid w:val="00C128FA"/>
    <w:rsid w:val="00C12C14"/>
    <w:rsid w:val="00C13768"/>
    <w:rsid w:val="00C14447"/>
    <w:rsid w:val="00C15423"/>
    <w:rsid w:val="00C15F04"/>
    <w:rsid w:val="00C179B3"/>
    <w:rsid w:val="00C17E3F"/>
    <w:rsid w:val="00C200AA"/>
    <w:rsid w:val="00C237ED"/>
    <w:rsid w:val="00C23A18"/>
    <w:rsid w:val="00C24632"/>
    <w:rsid w:val="00C24A80"/>
    <w:rsid w:val="00C25418"/>
    <w:rsid w:val="00C25D9C"/>
    <w:rsid w:val="00C2778B"/>
    <w:rsid w:val="00C30A84"/>
    <w:rsid w:val="00C31649"/>
    <w:rsid w:val="00C31777"/>
    <w:rsid w:val="00C32AD3"/>
    <w:rsid w:val="00C32DE6"/>
    <w:rsid w:val="00C3434C"/>
    <w:rsid w:val="00C3452E"/>
    <w:rsid w:val="00C34E9E"/>
    <w:rsid w:val="00C35B71"/>
    <w:rsid w:val="00C36C34"/>
    <w:rsid w:val="00C37A60"/>
    <w:rsid w:val="00C40385"/>
    <w:rsid w:val="00C413A7"/>
    <w:rsid w:val="00C41768"/>
    <w:rsid w:val="00C42582"/>
    <w:rsid w:val="00C43125"/>
    <w:rsid w:val="00C43346"/>
    <w:rsid w:val="00C44AC0"/>
    <w:rsid w:val="00C455B2"/>
    <w:rsid w:val="00C46BD3"/>
    <w:rsid w:val="00C475AA"/>
    <w:rsid w:val="00C47A56"/>
    <w:rsid w:val="00C5059B"/>
    <w:rsid w:val="00C505BE"/>
    <w:rsid w:val="00C5083B"/>
    <w:rsid w:val="00C527C7"/>
    <w:rsid w:val="00C52A95"/>
    <w:rsid w:val="00C53983"/>
    <w:rsid w:val="00C53C98"/>
    <w:rsid w:val="00C55AEB"/>
    <w:rsid w:val="00C56FCF"/>
    <w:rsid w:val="00C57092"/>
    <w:rsid w:val="00C57B6C"/>
    <w:rsid w:val="00C603C0"/>
    <w:rsid w:val="00C60CD7"/>
    <w:rsid w:val="00C61221"/>
    <w:rsid w:val="00C61A59"/>
    <w:rsid w:val="00C628A6"/>
    <w:rsid w:val="00C64344"/>
    <w:rsid w:val="00C64B38"/>
    <w:rsid w:val="00C64F2F"/>
    <w:rsid w:val="00C65108"/>
    <w:rsid w:val="00C65283"/>
    <w:rsid w:val="00C65576"/>
    <w:rsid w:val="00C65EED"/>
    <w:rsid w:val="00C66165"/>
    <w:rsid w:val="00C674C0"/>
    <w:rsid w:val="00C67D59"/>
    <w:rsid w:val="00C7060A"/>
    <w:rsid w:val="00C7151A"/>
    <w:rsid w:val="00C717E3"/>
    <w:rsid w:val="00C71F60"/>
    <w:rsid w:val="00C72241"/>
    <w:rsid w:val="00C750C8"/>
    <w:rsid w:val="00C7560F"/>
    <w:rsid w:val="00C76F61"/>
    <w:rsid w:val="00C800E5"/>
    <w:rsid w:val="00C80A0E"/>
    <w:rsid w:val="00C8213F"/>
    <w:rsid w:val="00C82E4B"/>
    <w:rsid w:val="00C8303F"/>
    <w:rsid w:val="00C85154"/>
    <w:rsid w:val="00C85A70"/>
    <w:rsid w:val="00C86F74"/>
    <w:rsid w:val="00C8721C"/>
    <w:rsid w:val="00C87693"/>
    <w:rsid w:val="00C8797A"/>
    <w:rsid w:val="00C900B8"/>
    <w:rsid w:val="00C90197"/>
    <w:rsid w:val="00C90C0F"/>
    <w:rsid w:val="00C90C71"/>
    <w:rsid w:val="00C91EE8"/>
    <w:rsid w:val="00C91FD1"/>
    <w:rsid w:val="00C92790"/>
    <w:rsid w:val="00C931CF"/>
    <w:rsid w:val="00C938CF"/>
    <w:rsid w:val="00C94053"/>
    <w:rsid w:val="00C9513D"/>
    <w:rsid w:val="00C95A8F"/>
    <w:rsid w:val="00C9624D"/>
    <w:rsid w:val="00C969DA"/>
    <w:rsid w:val="00C96EAD"/>
    <w:rsid w:val="00C96FB6"/>
    <w:rsid w:val="00C97F7E"/>
    <w:rsid w:val="00CA0C22"/>
    <w:rsid w:val="00CA1927"/>
    <w:rsid w:val="00CA2C77"/>
    <w:rsid w:val="00CA444F"/>
    <w:rsid w:val="00CA5245"/>
    <w:rsid w:val="00CA5439"/>
    <w:rsid w:val="00CA543A"/>
    <w:rsid w:val="00CA6130"/>
    <w:rsid w:val="00CA71F4"/>
    <w:rsid w:val="00CA7B09"/>
    <w:rsid w:val="00CA7B11"/>
    <w:rsid w:val="00CB0581"/>
    <w:rsid w:val="00CB12A5"/>
    <w:rsid w:val="00CB1CAC"/>
    <w:rsid w:val="00CB2F2A"/>
    <w:rsid w:val="00CB52F7"/>
    <w:rsid w:val="00CB5B1A"/>
    <w:rsid w:val="00CB687B"/>
    <w:rsid w:val="00CB6B22"/>
    <w:rsid w:val="00CB759E"/>
    <w:rsid w:val="00CB7F5F"/>
    <w:rsid w:val="00CC122A"/>
    <w:rsid w:val="00CC13C9"/>
    <w:rsid w:val="00CC1B39"/>
    <w:rsid w:val="00CC1BFA"/>
    <w:rsid w:val="00CC2E9F"/>
    <w:rsid w:val="00CC2FEF"/>
    <w:rsid w:val="00CC35EA"/>
    <w:rsid w:val="00CC3848"/>
    <w:rsid w:val="00CC38A1"/>
    <w:rsid w:val="00CC5DBB"/>
    <w:rsid w:val="00CC6D5E"/>
    <w:rsid w:val="00CC75E0"/>
    <w:rsid w:val="00CD0200"/>
    <w:rsid w:val="00CD078F"/>
    <w:rsid w:val="00CD19EB"/>
    <w:rsid w:val="00CD3F77"/>
    <w:rsid w:val="00CD6A2A"/>
    <w:rsid w:val="00CD6ADC"/>
    <w:rsid w:val="00CD7193"/>
    <w:rsid w:val="00CD7914"/>
    <w:rsid w:val="00CE0931"/>
    <w:rsid w:val="00CE196E"/>
    <w:rsid w:val="00CE1B37"/>
    <w:rsid w:val="00CE30E5"/>
    <w:rsid w:val="00CE38C8"/>
    <w:rsid w:val="00CE3946"/>
    <w:rsid w:val="00CE39F0"/>
    <w:rsid w:val="00CE524F"/>
    <w:rsid w:val="00CE58CC"/>
    <w:rsid w:val="00CE6274"/>
    <w:rsid w:val="00CE77B6"/>
    <w:rsid w:val="00CE7859"/>
    <w:rsid w:val="00CE7951"/>
    <w:rsid w:val="00CF2B8D"/>
    <w:rsid w:val="00CF2C0C"/>
    <w:rsid w:val="00CF3A1B"/>
    <w:rsid w:val="00CF456B"/>
    <w:rsid w:val="00CF4AAA"/>
    <w:rsid w:val="00CF525E"/>
    <w:rsid w:val="00CF587F"/>
    <w:rsid w:val="00CF5A22"/>
    <w:rsid w:val="00CF655F"/>
    <w:rsid w:val="00CF764E"/>
    <w:rsid w:val="00D00106"/>
    <w:rsid w:val="00D0129F"/>
    <w:rsid w:val="00D0262E"/>
    <w:rsid w:val="00D03679"/>
    <w:rsid w:val="00D03B1A"/>
    <w:rsid w:val="00D04063"/>
    <w:rsid w:val="00D04BB5"/>
    <w:rsid w:val="00D04CD1"/>
    <w:rsid w:val="00D04E4F"/>
    <w:rsid w:val="00D05E3D"/>
    <w:rsid w:val="00D06139"/>
    <w:rsid w:val="00D0624F"/>
    <w:rsid w:val="00D06A4F"/>
    <w:rsid w:val="00D100EE"/>
    <w:rsid w:val="00D10753"/>
    <w:rsid w:val="00D10FE0"/>
    <w:rsid w:val="00D110BD"/>
    <w:rsid w:val="00D119A2"/>
    <w:rsid w:val="00D13675"/>
    <w:rsid w:val="00D13DEB"/>
    <w:rsid w:val="00D141E1"/>
    <w:rsid w:val="00D1431B"/>
    <w:rsid w:val="00D149AA"/>
    <w:rsid w:val="00D15314"/>
    <w:rsid w:val="00D153F5"/>
    <w:rsid w:val="00D15B48"/>
    <w:rsid w:val="00D17876"/>
    <w:rsid w:val="00D17B92"/>
    <w:rsid w:val="00D17C98"/>
    <w:rsid w:val="00D17D6C"/>
    <w:rsid w:val="00D2155B"/>
    <w:rsid w:val="00D21CE9"/>
    <w:rsid w:val="00D23897"/>
    <w:rsid w:val="00D23D11"/>
    <w:rsid w:val="00D244B6"/>
    <w:rsid w:val="00D24E8E"/>
    <w:rsid w:val="00D25FFB"/>
    <w:rsid w:val="00D2745A"/>
    <w:rsid w:val="00D2754D"/>
    <w:rsid w:val="00D276D3"/>
    <w:rsid w:val="00D27B27"/>
    <w:rsid w:val="00D30D5B"/>
    <w:rsid w:val="00D3172E"/>
    <w:rsid w:val="00D3188C"/>
    <w:rsid w:val="00D33569"/>
    <w:rsid w:val="00D33BE9"/>
    <w:rsid w:val="00D33F93"/>
    <w:rsid w:val="00D33FE6"/>
    <w:rsid w:val="00D34C78"/>
    <w:rsid w:val="00D357FF"/>
    <w:rsid w:val="00D37237"/>
    <w:rsid w:val="00D3797E"/>
    <w:rsid w:val="00D40C5C"/>
    <w:rsid w:val="00D413B8"/>
    <w:rsid w:val="00D424C7"/>
    <w:rsid w:val="00D429DC"/>
    <w:rsid w:val="00D43A9C"/>
    <w:rsid w:val="00D43B2A"/>
    <w:rsid w:val="00D43CF1"/>
    <w:rsid w:val="00D43D83"/>
    <w:rsid w:val="00D4673F"/>
    <w:rsid w:val="00D47526"/>
    <w:rsid w:val="00D47575"/>
    <w:rsid w:val="00D479C5"/>
    <w:rsid w:val="00D47E0D"/>
    <w:rsid w:val="00D5243B"/>
    <w:rsid w:val="00D533EC"/>
    <w:rsid w:val="00D56A95"/>
    <w:rsid w:val="00D573AF"/>
    <w:rsid w:val="00D573C2"/>
    <w:rsid w:val="00D6076E"/>
    <w:rsid w:val="00D613CC"/>
    <w:rsid w:val="00D616C7"/>
    <w:rsid w:val="00D62B56"/>
    <w:rsid w:val="00D67158"/>
    <w:rsid w:val="00D70F16"/>
    <w:rsid w:val="00D72617"/>
    <w:rsid w:val="00D72F57"/>
    <w:rsid w:val="00D736A0"/>
    <w:rsid w:val="00D74FE2"/>
    <w:rsid w:val="00D76118"/>
    <w:rsid w:val="00D76A44"/>
    <w:rsid w:val="00D8038F"/>
    <w:rsid w:val="00D815EF"/>
    <w:rsid w:val="00D81949"/>
    <w:rsid w:val="00D81F26"/>
    <w:rsid w:val="00D81F8D"/>
    <w:rsid w:val="00D822E2"/>
    <w:rsid w:val="00D82CAA"/>
    <w:rsid w:val="00D83E5E"/>
    <w:rsid w:val="00D843F2"/>
    <w:rsid w:val="00D84495"/>
    <w:rsid w:val="00D84ECE"/>
    <w:rsid w:val="00D84F6D"/>
    <w:rsid w:val="00D84F98"/>
    <w:rsid w:val="00D8570C"/>
    <w:rsid w:val="00D857F7"/>
    <w:rsid w:val="00D86231"/>
    <w:rsid w:val="00D86AC2"/>
    <w:rsid w:val="00D86F39"/>
    <w:rsid w:val="00D9107F"/>
    <w:rsid w:val="00D912AB"/>
    <w:rsid w:val="00D91923"/>
    <w:rsid w:val="00D93753"/>
    <w:rsid w:val="00D93904"/>
    <w:rsid w:val="00D93AC6"/>
    <w:rsid w:val="00D956A5"/>
    <w:rsid w:val="00D969A8"/>
    <w:rsid w:val="00D969C9"/>
    <w:rsid w:val="00D97399"/>
    <w:rsid w:val="00D97FB0"/>
    <w:rsid w:val="00DA3167"/>
    <w:rsid w:val="00DA4744"/>
    <w:rsid w:val="00DA4D79"/>
    <w:rsid w:val="00DA4DC3"/>
    <w:rsid w:val="00DA4DE3"/>
    <w:rsid w:val="00DA4E0E"/>
    <w:rsid w:val="00DA718A"/>
    <w:rsid w:val="00DA77A5"/>
    <w:rsid w:val="00DB0261"/>
    <w:rsid w:val="00DB079B"/>
    <w:rsid w:val="00DB0BF0"/>
    <w:rsid w:val="00DB0E36"/>
    <w:rsid w:val="00DB2A8B"/>
    <w:rsid w:val="00DB2FC9"/>
    <w:rsid w:val="00DB3DBF"/>
    <w:rsid w:val="00DB484F"/>
    <w:rsid w:val="00DC04B4"/>
    <w:rsid w:val="00DC04F6"/>
    <w:rsid w:val="00DC0690"/>
    <w:rsid w:val="00DC1D65"/>
    <w:rsid w:val="00DC3432"/>
    <w:rsid w:val="00DC3C57"/>
    <w:rsid w:val="00DC3D8B"/>
    <w:rsid w:val="00DC5501"/>
    <w:rsid w:val="00DC5DE4"/>
    <w:rsid w:val="00DC7154"/>
    <w:rsid w:val="00DC7E8A"/>
    <w:rsid w:val="00DD0F78"/>
    <w:rsid w:val="00DD0FCE"/>
    <w:rsid w:val="00DD273C"/>
    <w:rsid w:val="00DD3F28"/>
    <w:rsid w:val="00DD4446"/>
    <w:rsid w:val="00DD4537"/>
    <w:rsid w:val="00DD4E15"/>
    <w:rsid w:val="00DD5B0A"/>
    <w:rsid w:val="00DD60B5"/>
    <w:rsid w:val="00DE110F"/>
    <w:rsid w:val="00DE1451"/>
    <w:rsid w:val="00DE1994"/>
    <w:rsid w:val="00DE1C54"/>
    <w:rsid w:val="00DE2304"/>
    <w:rsid w:val="00DE2B14"/>
    <w:rsid w:val="00DE3138"/>
    <w:rsid w:val="00DE37F8"/>
    <w:rsid w:val="00DE4273"/>
    <w:rsid w:val="00DE4FCB"/>
    <w:rsid w:val="00DE5D07"/>
    <w:rsid w:val="00DE646D"/>
    <w:rsid w:val="00DE72A7"/>
    <w:rsid w:val="00DE7832"/>
    <w:rsid w:val="00DF18FC"/>
    <w:rsid w:val="00DF22E3"/>
    <w:rsid w:val="00DF3311"/>
    <w:rsid w:val="00DF3946"/>
    <w:rsid w:val="00DF44E4"/>
    <w:rsid w:val="00DF481F"/>
    <w:rsid w:val="00DF5D2B"/>
    <w:rsid w:val="00DF6341"/>
    <w:rsid w:val="00DF7A35"/>
    <w:rsid w:val="00E00E8E"/>
    <w:rsid w:val="00E01771"/>
    <w:rsid w:val="00E01C85"/>
    <w:rsid w:val="00E031B5"/>
    <w:rsid w:val="00E03407"/>
    <w:rsid w:val="00E041CE"/>
    <w:rsid w:val="00E044E7"/>
    <w:rsid w:val="00E04779"/>
    <w:rsid w:val="00E04FF7"/>
    <w:rsid w:val="00E05630"/>
    <w:rsid w:val="00E06906"/>
    <w:rsid w:val="00E06DBB"/>
    <w:rsid w:val="00E0757E"/>
    <w:rsid w:val="00E10149"/>
    <w:rsid w:val="00E111B0"/>
    <w:rsid w:val="00E11340"/>
    <w:rsid w:val="00E122A1"/>
    <w:rsid w:val="00E1267C"/>
    <w:rsid w:val="00E15708"/>
    <w:rsid w:val="00E16372"/>
    <w:rsid w:val="00E16AD8"/>
    <w:rsid w:val="00E17D3D"/>
    <w:rsid w:val="00E17FFA"/>
    <w:rsid w:val="00E20E4D"/>
    <w:rsid w:val="00E20ED6"/>
    <w:rsid w:val="00E21358"/>
    <w:rsid w:val="00E2151E"/>
    <w:rsid w:val="00E222FE"/>
    <w:rsid w:val="00E2249B"/>
    <w:rsid w:val="00E228B8"/>
    <w:rsid w:val="00E22A0D"/>
    <w:rsid w:val="00E24373"/>
    <w:rsid w:val="00E244F6"/>
    <w:rsid w:val="00E253A4"/>
    <w:rsid w:val="00E258DB"/>
    <w:rsid w:val="00E2767C"/>
    <w:rsid w:val="00E2771E"/>
    <w:rsid w:val="00E278ED"/>
    <w:rsid w:val="00E311EF"/>
    <w:rsid w:val="00E32180"/>
    <w:rsid w:val="00E3283B"/>
    <w:rsid w:val="00E3395E"/>
    <w:rsid w:val="00E33B0A"/>
    <w:rsid w:val="00E34948"/>
    <w:rsid w:val="00E37569"/>
    <w:rsid w:val="00E37E6E"/>
    <w:rsid w:val="00E401B2"/>
    <w:rsid w:val="00E41E30"/>
    <w:rsid w:val="00E42F73"/>
    <w:rsid w:val="00E43D70"/>
    <w:rsid w:val="00E44E88"/>
    <w:rsid w:val="00E44F34"/>
    <w:rsid w:val="00E45A50"/>
    <w:rsid w:val="00E460DC"/>
    <w:rsid w:val="00E466F3"/>
    <w:rsid w:val="00E47B2C"/>
    <w:rsid w:val="00E500B4"/>
    <w:rsid w:val="00E503CB"/>
    <w:rsid w:val="00E50F0D"/>
    <w:rsid w:val="00E51532"/>
    <w:rsid w:val="00E51560"/>
    <w:rsid w:val="00E51821"/>
    <w:rsid w:val="00E518E6"/>
    <w:rsid w:val="00E525B5"/>
    <w:rsid w:val="00E5303C"/>
    <w:rsid w:val="00E530AC"/>
    <w:rsid w:val="00E53A7E"/>
    <w:rsid w:val="00E53FC8"/>
    <w:rsid w:val="00E54347"/>
    <w:rsid w:val="00E55424"/>
    <w:rsid w:val="00E555DC"/>
    <w:rsid w:val="00E55915"/>
    <w:rsid w:val="00E55BB5"/>
    <w:rsid w:val="00E5623E"/>
    <w:rsid w:val="00E611DF"/>
    <w:rsid w:val="00E6241F"/>
    <w:rsid w:val="00E62C23"/>
    <w:rsid w:val="00E6415C"/>
    <w:rsid w:val="00E644DC"/>
    <w:rsid w:val="00E64A81"/>
    <w:rsid w:val="00E65E79"/>
    <w:rsid w:val="00E66BA2"/>
    <w:rsid w:val="00E67416"/>
    <w:rsid w:val="00E6760B"/>
    <w:rsid w:val="00E67A43"/>
    <w:rsid w:val="00E718B6"/>
    <w:rsid w:val="00E723BA"/>
    <w:rsid w:val="00E73581"/>
    <w:rsid w:val="00E743F2"/>
    <w:rsid w:val="00E77008"/>
    <w:rsid w:val="00E833F7"/>
    <w:rsid w:val="00E83BDF"/>
    <w:rsid w:val="00E8674D"/>
    <w:rsid w:val="00E86FCC"/>
    <w:rsid w:val="00E87A1D"/>
    <w:rsid w:val="00E9094A"/>
    <w:rsid w:val="00E91CD1"/>
    <w:rsid w:val="00E91D35"/>
    <w:rsid w:val="00E926A5"/>
    <w:rsid w:val="00E93BF7"/>
    <w:rsid w:val="00E940BE"/>
    <w:rsid w:val="00E95D70"/>
    <w:rsid w:val="00E95ECA"/>
    <w:rsid w:val="00E960DB"/>
    <w:rsid w:val="00E962CC"/>
    <w:rsid w:val="00E978BF"/>
    <w:rsid w:val="00EA0EB1"/>
    <w:rsid w:val="00EA17C3"/>
    <w:rsid w:val="00EA1858"/>
    <w:rsid w:val="00EA1C38"/>
    <w:rsid w:val="00EA2CAA"/>
    <w:rsid w:val="00EA3864"/>
    <w:rsid w:val="00EA3A2C"/>
    <w:rsid w:val="00EA649F"/>
    <w:rsid w:val="00EA69E2"/>
    <w:rsid w:val="00EA6D16"/>
    <w:rsid w:val="00EA7F1C"/>
    <w:rsid w:val="00EA7F88"/>
    <w:rsid w:val="00EB104B"/>
    <w:rsid w:val="00EB135E"/>
    <w:rsid w:val="00EB15B6"/>
    <w:rsid w:val="00EB1CE5"/>
    <w:rsid w:val="00EB2364"/>
    <w:rsid w:val="00EB37B1"/>
    <w:rsid w:val="00EB3D06"/>
    <w:rsid w:val="00EB4916"/>
    <w:rsid w:val="00EB4B65"/>
    <w:rsid w:val="00EB553F"/>
    <w:rsid w:val="00EB6BDA"/>
    <w:rsid w:val="00EC00C9"/>
    <w:rsid w:val="00EC0479"/>
    <w:rsid w:val="00EC0DD9"/>
    <w:rsid w:val="00EC2043"/>
    <w:rsid w:val="00EC2649"/>
    <w:rsid w:val="00EC31ED"/>
    <w:rsid w:val="00EC44AF"/>
    <w:rsid w:val="00EC5836"/>
    <w:rsid w:val="00EC6839"/>
    <w:rsid w:val="00EC688C"/>
    <w:rsid w:val="00ED12E3"/>
    <w:rsid w:val="00ED46E2"/>
    <w:rsid w:val="00ED4B04"/>
    <w:rsid w:val="00ED57EA"/>
    <w:rsid w:val="00ED5BD4"/>
    <w:rsid w:val="00ED68C3"/>
    <w:rsid w:val="00ED6DA2"/>
    <w:rsid w:val="00EE0467"/>
    <w:rsid w:val="00EE07D3"/>
    <w:rsid w:val="00EE0EE2"/>
    <w:rsid w:val="00EE160A"/>
    <w:rsid w:val="00EE16B8"/>
    <w:rsid w:val="00EE1996"/>
    <w:rsid w:val="00EE1C01"/>
    <w:rsid w:val="00EE22AF"/>
    <w:rsid w:val="00EE341A"/>
    <w:rsid w:val="00EE7494"/>
    <w:rsid w:val="00EF0171"/>
    <w:rsid w:val="00EF1B25"/>
    <w:rsid w:val="00EF1DA0"/>
    <w:rsid w:val="00EF3963"/>
    <w:rsid w:val="00EF4674"/>
    <w:rsid w:val="00EF4747"/>
    <w:rsid w:val="00EF4BF8"/>
    <w:rsid w:val="00EF510B"/>
    <w:rsid w:val="00EF5AE5"/>
    <w:rsid w:val="00EF5B3C"/>
    <w:rsid w:val="00EF679B"/>
    <w:rsid w:val="00EF7C0E"/>
    <w:rsid w:val="00F00730"/>
    <w:rsid w:val="00F00B29"/>
    <w:rsid w:val="00F010E3"/>
    <w:rsid w:val="00F018CE"/>
    <w:rsid w:val="00F01E3C"/>
    <w:rsid w:val="00F02253"/>
    <w:rsid w:val="00F03C2E"/>
    <w:rsid w:val="00F03C7A"/>
    <w:rsid w:val="00F04A66"/>
    <w:rsid w:val="00F04B4B"/>
    <w:rsid w:val="00F04E76"/>
    <w:rsid w:val="00F0516C"/>
    <w:rsid w:val="00F05A3B"/>
    <w:rsid w:val="00F067A2"/>
    <w:rsid w:val="00F07233"/>
    <w:rsid w:val="00F07B9E"/>
    <w:rsid w:val="00F10588"/>
    <w:rsid w:val="00F1116F"/>
    <w:rsid w:val="00F11565"/>
    <w:rsid w:val="00F1263A"/>
    <w:rsid w:val="00F139C5"/>
    <w:rsid w:val="00F13ECB"/>
    <w:rsid w:val="00F15B77"/>
    <w:rsid w:val="00F16A68"/>
    <w:rsid w:val="00F21236"/>
    <w:rsid w:val="00F21705"/>
    <w:rsid w:val="00F21DDE"/>
    <w:rsid w:val="00F21FBC"/>
    <w:rsid w:val="00F220F0"/>
    <w:rsid w:val="00F230FA"/>
    <w:rsid w:val="00F239DF"/>
    <w:rsid w:val="00F24837"/>
    <w:rsid w:val="00F24CC0"/>
    <w:rsid w:val="00F2575F"/>
    <w:rsid w:val="00F261D3"/>
    <w:rsid w:val="00F2720C"/>
    <w:rsid w:val="00F27565"/>
    <w:rsid w:val="00F27FC2"/>
    <w:rsid w:val="00F310D4"/>
    <w:rsid w:val="00F31D5A"/>
    <w:rsid w:val="00F32CEC"/>
    <w:rsid w:val="00F32F96"/>
    <w:rsid w:val="00F33975"/>
    <w:rsid w:val="00F33DE9"/>
    <w:rsid w:val="00F35A29"/>
    <w:rsid w:val="00F35E6D"/>
    <w:rsid w:val="00F3619A"/>
    <w:rsid w:val="00F366ED"/>
    <w:rsid w:val="00F40479"/>
    <w:rsid w:val="00F40AAA"/>
    <w:rsid w:val="00F40BA7"/>
    <w:rsid w:val="00F40E37"/>
    <w:rsid w:val="00F40F9D"/>
    <w:rsid w:val="00F411D7"/>
    <w:rsid w:val="00F41ACD"/>
    <w:rsid w:val="00F44F8A"/>
    <w:rsid w:val="00F46CB6"/>
    <w:rsid w:val="00F4756D"/>
    <w:rsid w:val="00F47DE8"/>
    <w:rsid w:val="00F50FE9"/>
    <w:rsid w:val="00F51850"/>
    <w:rsid w:val="00F5394C"/>
    <w:rsid w:val="00F542C1"/>
    <w:rsid w:val="00F550E3"/>
    <w:rsid w:val="00F556B1"/>
    <w:rsid w:val="00F55A71"/>
    <w:rsid w:val="00F55E73"/>
    <w:rsid w:val="00F55EDA"/>
    <w:rsid w:val="00F56C80"/>
    <w:rsid w:val="00F60092"/>
    <w:rsid w:val="00F60950"/>
    <w:rsid w:val="00F61C18"/>
    <w:rsid w:val="00F6484B"/>
    <w:rsid w:val="00F65DFE"/>
    <w:rsid w:val="00F65F4B"/>
    <w:rsid w:val="00F66391"/>
    <w:rsid w:val="00F6691C"/>
    <w:rsid w:val="00F67576"/>
    <w:rsid w:val="00F67A69"/>
    <w:rsid w:val="00F702E7"/>
    <w:rsid w:val="00F70BFF"/>
    <w:rsid w:val="00F70C9D"/>
    <w:rsid w:val="00F70F9F"/>
    <w:rsid w:val="00F73713"/>
    <w:rsid w:val="00F73E08"/>
    <w:rsid w:val="00F74CD9"/>
    <w:rsid w:val="00F74ECE"/>
    <w:rsid w:val="00F77678"/>
    <w:rsid w:val="00F77DB1"/>
    <w:rsid w:val="00F80A7B"/>
    <w:rsid w:val="00F80E5D"/>
    <w:rsid w:val="00F8100E"/>
    <w:rsid w:val="00F81E78"/>
    <w:rsid w:val="00F8229A"/>
    <w:rsid w:val="00F828B6"/>
    <w:rsid w:val="00F82A70"/>
    <w:rsid w:val="00F82CD6"/>
    <w:rsid w:val="00F83916"/>
    <w:rsid w:val="00F851CE"/>
    <w:rsid w:val="00F91219"/>
    <w:rsid w:val="00F916D6"/>
    <w:rsid w:val="00F916FC"/>
    <w:rsid w:val="00F91F80"/>
    <w:rsid w:val="00F9217A"/>
    <w:rsid w:val="00F923F3"/>
    <w:rsid w:val="00F92444"/>
    <w:rsid w:val="00F9393E"/>
    <w:rsid w:val="00F955A2"/>
    <w:rsid w:val="00F95BCD"/>
    <w:rsid w:val="00F95C8B"/>
    <w:rsid w:val="00F95DCD"/>
    <w:rsid w:val="00F96FD0"/>
    <w:rsid w:val="00F97A78"/>
    <w:rsid w:val="00FA0B20"/>
    <w:rsid w:val="00FA2100"/>
    <w:rsid w:val="00FA24E7"/>
    <w:rsid w:val="00FA49BF"/>
    <w:rsid w:val="00FA52CE"/>
    <w:rsid w:val="00FA5EE6"/>
    <w:rsid w:val="00FA6940"/>
    <w:rsid w:val="00FA6D16"/>
    <w:rsid w:val="00FA6D49"/>
    <w:rsid w:val="00FA7956"/>
    <w:rsid w:val="00FB0824"/>
    <w:rsid w:val="00FB0CF5"/>
    <w:rsid w:val="00FB104F"/>
    <w:rsid w:val="00FB2BD9"/>
    <w:rsid w:val="00FB2FCB"/>
    <w:rsid w:val="00FB38B6"/>
    <w:rsid w:val="00FB4C9C"/>
    <w:rsid w:val="00FB5B2F"/>
    <w:rsid w:val="00FB622A"/>
    <w:rsid w:val="00FB7C55"/>
    <w:rsid w:val="00FC1074"/>
    <w:rsid w:val="00FC1488"/>
    <w:rsid w:val="00FC1884"/>
    <w:rsid w:val="00FC371D"/>
    <w:rsid w:val="00FC5F0B"/>
    <w:rsid w:val="00FC6995"/>
    <w:rsid w:val="00FC6EDF"/>
    <w:rsid w:val="00FD1C9E"/>
    <w:rsid w:val="00FD2100"/>
    <w:rsid w:val="00FD2FEA"/>
    <w:rsid w:val="00FD4257"/>
    <w:rsid w:val="00FD436C"/>
    <w:rsid w:val="00FD446D"/>
    <w:rsid w:val="00FD4BF1"/>
    <w:rsid w:val="00FD4F2C"/>
    <w:rsid w:val="00FD6394"/>
    <w:rsid w:val="00FD73F5"/>
    <w:rsid w:val="00FE0170"/>
    <w:rsid w:val="00FE0E6C"/>
    <w:rsid w:val="00FE1CDC"/>
    <w:rsid w:val="00FE2B4D"/>
    <w:rsid w:val="00FE3B94"/>
    <w:rsid w:val="00FE4C17"/>
    <w:rsid w:val="00FE5945"/>
    <w:rsid w:val="00FE62F9"/>
    <w:rsid w:val="00FE6956"/>
    <w:rsid w:val="00FE70C3"/>
    <w:rsid w:val="00FF0004"/>
    <w:rsid w:val="00FF0736"/>
    <w:rsid w:val="00FF1A8B"/>
    <w:rsid w:val="00FF2AD9"/>
    <w:rsid w:val="00FF359F"/>
    <w:rsid w:val="00FF3C4D"/>
    <w:rsid w:val="00FF3DCF"/>
    <w:rsid w:val="00FF492C"/>
    <w:rsid w:val="00FF4A21"/>
    <w:rsid w:val="00FF5AA3"/>
    <w:rsid w:val="00FF5AD8"/>
    <w:rsid w:val="00FF73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B0F"/>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1"/>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Header Table,Source table_,NICE instructions,HealthConsult,RTI AMCP Table,YHEC table,Lash Style Table,HTAtableplain,Tabellengitternetz 9p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F05A3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E54E0"/>
    <w:rPr>
      <w:color w:val="605E5C"/>
      <w:shd w:val="clear" w:color="auto" w:fill="E1DFDD"/>
    </w:rPr>
  </w:style>
  <w:style w:type="numbering" w:customStyle="1" w:styleId="Lists">
    <w:name w:val="Lists"/>
    <w:uiPriority w:val="99"/>
    <w:rsid w:val="008C7297"/>
    <w:pPr>
      <w:numPr>
        <w:numId w:val="7"/>
      </w:numPr>
    </w:pPr>
  </w:style>
  <w:style w:type="paragraph" w:customStyle="1" w:styleId="TableFigureFooter">
    <w:name w:val="Table/Figure Footer"/>
    <w:basedOn w:val="Normal"/>
    <w:link w:val="TableFigureFooterChar"/>
    <w:qFormat/>
    <w:rsid w:val="00F51850"/>
    <w:pPr>
      <w:spacing w:after="120"/>
      <w:contextualSpacing/>
    </w:pPr>
    <w:rPr>
      <w:rFonts w:ascii="Arial Narrow" w:hAnsi="Arial Narrow" w:cs="Times New Roman"/>
      <w:snapToGrid w:val="0"/>
      <w:sz w:val="18"/>
      <w:szCs w:val="22"/>
      <w:lang w:eastAsia="en-GB"/>
    </w:rPr>
  </w:style>
  <w:style w:type="character" w:customStyle="1" w:styleId="TableFigureFooterChar">
    <w:name w:val="Table/Figure Footer Char"/>
    <w:link w:val="TableFigureFooter"/>
    <w:rsid w:val="00F51850"/>
    <w:rPr>
      <w:rFonts w:ascii="Arial Narrow" w:hAnsi="Arial Narrow"/>
      <w:snapToGrid w:val="0"/>
      <w:sz w:val="18"/>
      <w:szCs w:val="22"/>
      <w:lang w:eastAsia="en-GB"/>
    </w:rPr>
  </w:style>
  <w:style w:type="paragraph" w:styleId="FootnoteText">
    <w:name w:val="footnote text"/>
    <w:basedOn w:val="Normal"/>
    <w:link w:val="FootnoteTextChar"/>
    <w:semiHidden/>
    <w:unhideWhenUsed/>
    <w:rsid w:val="00C60CD7"/>
    <w:rPr>
      <w:sz w:val="20"/>
      <w:szCs w:val="20"/>
    </w:rPr>
  </w:style>
  <w:style w:type="character" w:customStyle="1" w:styleId="FootnoteTextChar">
    <w:name w:val="Footnote Text Char"/>
    <w:basedOn w:val="DefaultParagraphFont"/>
    <w:link w:val="FootnoteText"/>
    <w:semiHidden/>
    <w:rsid w:val="00C60CD7"/>
    <w:rPr>
      <w:rFonts w:ascii="Calibri" w:hAnsi="Calibri" w:cs="Arial"/>
    </w:rPr>
  </w:style>
  <w:style w:type="character" w:styleId="FootnoteReference">
    <w:name w:val="footnote reference"/>
    <w:basedOn w:val="DefaultParagraphFont"/>
    <w:semiHidden/>
    <w:unhideWhenUsed/>
    <w:rsid w:val="00C60CD7"/>
    <w:rPr>
      <w:vertAlign w:val="superscript"/>
    </w:rPr>
  </w:style>
  <w:style w:type="table" w:customStyle="1" w:styleId="Summarybox8">
    <w:name w:val="Summary box8"/>
    <w:basedOn w:val="TableNormal"/>
    <w:next w:val="TableGrid"/>
    <w:uiPriority w:val="39"/>
    <w:rsid w:val="0083388F"/>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7D3D"/>
    <w:rPr>
      <w:i/>
      <w:iCs/>
    </w:rPr>
  </w:style>
  <w:style w:type="table" w:customStyle="1" w:styleId="Summarybox2">
    <w:name w:val="Summary box2"/>
    <w:basedOn w:val="TableNormal"/>
    <w:uiPriority w:val="59"/>
    <w:rsid w:val="00F737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282EF1"/>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282EF1"/>
    <w:rPr>
      <w:rFonts w:ascii="Arial Narrow" w:hAnsi="Arial Narrow"/>
      <w:lang w:eastAsia="en-US"/>
    </w:rPr>
  </w:style>
  <w:style w:type="paragraph" w:customStyle="1" w:styleId="PbacTableHeading">
    <w:name w:val="Pbac Table Heading"/>
    <w:basedOn w:val="PBACTableText"/>
    <w:rsid w:val="00282EF1"/>
    <w:pPr>
      <w:spacing w:before="0" w:after="80"/>
    </w:pPr>
    <w:rPr>
      <w:rFonts w:eastAsiaTheme="minorHAnsi" w:cs="Arial"/>
      <w:b/>
    </w:rPr>
  </w:style>
  <w:style w:type="numbering" w:customStyle="1" w:styleId="CurrentList1">
    <w:name w:val="Current List1"/>
    <w:uiPriority w:val="99"/>
    <w:rsid w:val="00282EF1"/>
    <w:pPr>
      <w:numPr>
        <w:numId w:val="10"/>
      </w:numPr>
    </w:pPr>
  </w:style>
  <w:style w:type="paragraph" w:customStyle="1" w:styleId="COMH3">
    <w:name w:val="COM H3"/>
    <w:basedOn w:val="Normal"/>
    <w:next w:val="Normal"/>
    <w:link w:val="COMH3Char"/>
    <w:qFormat/>
    <w:rsid w:val="00D84F6D"/>
    <w:pPr>
      <w:keepNext/>
    </w:pPr>
    <w:rPr>
      <w:b/>
      <w:iCs/>
      <w:sz w:val="28"/>
    </w:rPr>
  </w:style>
  <w:style w:type="character" w:customStyle="1" w:styleId="COMH3Char">
    <w:name w:val="COM H3 Char"/>
    <w:basedOn w:val="DefaultParagraphFont"/>
    <w:link w:val="COMH3"/>
    <w:rsid w:val="00D84F6D"/>
    <w:rPr>
      <w:rFonts w:ascii="Calibri" w:hAnsi="Calibri" w:cs="Arial"/>
      <w:b/>
      <w:iCs/>
      <w:sz w:val="28"/>
      <w:szCs w:val="24"/>
    </w:rPr>
  </w:style>
  <w:style w:type="paragraph" w:customStyle="1" w:styleId="PBACheading10">
    <w:name w:val="PBAC heading 1"/>
    <w:qFormat/>
    <w:rsid w:val="00AA2158"/>
    <w:pPr>
      <w:snapToGrid w:val="0"/>
      <w:spacing w:before="240" w:after="120"/>
      <w:ind w:left="720" w:hanging="720"/>
      <w:outlineLvl w:val="0"/>
    </w:pPr>
    <w:rPr>
      <w:rFonts w:asciiTheme="minorHAnsi" w:hAnsiTheme="minorHAnsi" w:cs="Arial"/>
      <w:b/>
      <w:sz w:val="3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E5127"/>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AE5127"/>
    <w:rPr>
      <w:rFonts w:ascii="Calibri" w:hAnsi="Calibri" w:cs="Arial"/>
      <w:b/>
      <w:caps/>
      <w:sz w:val="32"/>
      <w:szCs w:val="24"/>
    </w:rPr>
  </w:style>
  <w:style w:type="character" w:customStyle="1" w:styleId="text-widget">
    <w:name w:val="text-widget"/>
    <w:basedOn w:val="DefaultParagraphFont"/>
    <w:rsid w:val="00AE5127"/>
  </w:style>
  <w:style w:type="paragraph" w:customStyle="1" w:styleId="Briefing">
    <w:name w:val="Briefing"/>
    <w:basedOn w:val="Normal"/>
    <w:link w:val="BriefingChar"/>
    <w:rsid w:val="00AE5127"/>
    <w:pPr>
      <w:spacing w:line="360" w:lineRule="auto"/>
    </w:pPr>
    <w:rPr>
      <w:rFonts w:asciiTheme="minorHAnsi" w:eastAsiaTheme="minorHAnsi" w:hAnsiTheme="minorHAnsi" w:cstheme="minorHAnsi"/>
      <w:bCs/>
      <w:sz w:val="22"/>
      <w:szCs w:val="22"/>
      <w:lang w:eastAsia="en-US"/>
    </w:rPr>
  </w:style>
  <w:style w:type="character" w:customStyle="1" w:styleId="BriefingChar">
    <w:name w:val="Briefing Char"/>
    <w:basedOn w:val="DefaultParagraphFont"/>
    <w:link w:val="Briefing"/>
    <w:rsid w:val="00AE5127"/>
    <w:rPr>
      <w:rFonts w:asciiTheme="minorHAnsi" w:eastAsiaTheme="minorHAnsi" w:hAnsiTheme="minorHAnsi" w:cstheme="minorHAnsi"/>
      <w:bCs/>
      <w:sz w:val="22"/>
      <w:szCs w:val="22"/>
      <w:lang w:eastAsia="en-US"/>
    </w:rPr>
  </w:style>
  <w:style w:type="paragraph" w:customStyle="1" w:styleId="Tableheading0">
    <w:name w:val="Table heading"/>
    <w:basedOn w:val="Normal"/>
    <w:qFormat/>
    <w:rsid w:val="00AE5127"/>
    <w:pPr>
      <w:jc w:val="center"/>
    </w:pPr>
    <w:rPr>
      <w:rFonts w:asciiTheme="minorHAnsi" w:eastAsiaTheme="minorHAnsi" w:hAnsiTheme="minorHAnsi" w:cstheme="minorBidi"/>
      <w:b/>
      <w:sz w:val="20"/>
      <w:szCs w:val="20"/>
      <w:lang w:eastAsia="en-US"/>
    </w:rPr>
  </w:style>
  <w:style w:type="paragraph" w:customStyle="1" w:styleId="Tablecentre">
    <w:name w:val="Table centre"/>
    <w:basedOn w:val="Tabletext"/>
    <w:qFormat/>
    <w:rsid w:val="00AE5127"/>
    <w:pPr>
      <w:contextualSpacing/>
      <w:jc w:val="center"/>
    </w:pPr>
    <w:rPr>
      <w:rFonts w:asciiTheme="minorHAnsi" w:eastAsiaTheme="minorHAnsi" w:hAnsiTheme="minorHAnsi" w:cstheme="minorBidi"/>
      <w:snapToGrid/>
      <w:szCs w:val="20"/>
      <w:lang w:eastAsia="en-US"/>
    </w:rPr>
  </w:style>
  <w:style w:type="table" w:customStyle="1" w:styleId="AZTable">
    <w:name w:val="AZ Table"/>
    <w:basedOn w:val="TableNormal"/>
    <w:uiPriority w:val="99"/>
    <w:rsid w:val="00AE5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PBACESHeading1">
    <w:name w:val="PBAC ES Heading 1"/>
    <w:basedOn w:val="Heading1"/>
    <w:next w:val="ListParagraph"/>
    <w:uiPriority w:val="1"/>
    <w:qFormat/>
    <w:rsid w:val="00A277CA"/>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A277CA"/>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A277CA"/>
    <w:rPr>
      <w:i w:val="0"/>
      <w:smallCaps/>
      <w:sz w:val="32"/>
    </w:rPr>
  </w:style>
  <w:style w:type="paragraph" w:customStyle="1" w:styleId="PBACESHeading3">
    <w:name w:val="PBAC ES Heading 3"/>
    <w:basedOn w:val="PBACESHeading2"/>
    <w:uiPriority w:val="1"/>
    <w:qFormat/>
    <w:rsid w:val="00A277CA"/>
    <w:pPr>
      <w:ind w:left="1080" w:hanging="1080"/>
    </w:pPr>
    <w:rPr>
      <w:i w:val="0"/>
      <w:sz w:val="24"/>
    </w:rPr>
  </w:style>
  <w:style w:type="paragraph" w:customStyle="1" w:styleId="MSACHeading1">
    <w:name w:val="MSAC Heading 1"/>
    <w:basedOn w:val="Heading1"/>
    <w:next w:val="Normal"/>
    <w:uiPriority w:val="1"/>
    <w:qFormat/>
    <w:rsid w:val="00A277CA"/>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A277CA"/>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BulletPoint">
    <w:name w:val="Bullet Point"/>
    <w:basedOn w:val="3-BodyText"/>
    <w:link w:val="BulletPointChar"/>
    <w:qFormat/>
    <w:rsid w:val="008646FC"/>
    <w:pPr>
      <w:numPr>
        <w:ilvl w:val="0"/>
        <w:numId w:val="9"/>
      </w:numPr>
      <w:ind w:left="993" w:hanging="284"/>
    </w:pPr>
    <w:rPr>
      <w:iCs/>
    </w:rPr>
  </w:style>
  <w:style w:type="character" w:customStyle="1" w:styleId="BulletPointChar">
    <w:name w:val="Bullet Point Char"/>
    <w:basedOn w:val="3-BodyTextChar"/>
    <w:link w:val="BulletPoint"/>
    <w:rsid w:val="008646FC"/>
    <w:rPr>
      <w:rFonts w:asciiTheme="minorHAnsi" w:hAnsiTheme="minorHAnsi" w:cs="Arial"/>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6690991">
      <w:bodyDiv w:val="1"/>
      <w:marLeft w:val="0"/>
      <w:marRight w:val="0"/>
      <w:marTop w:val="0"/>
      <w:marBottom w:val="0"/>
      <w:divBdr>
        <w:top w:val="none" w:sz="0" w:space="0" w:color="auto"/>
        <w:left w:val="none" w:sz="0" w:space="0" w:color="auto"/>
        <w:bottom w:val="none" w:sz="0" w:space="0" w:color="auto"/>
        <w:right w:val="none" w:sz="0" w:space="0" w:color="auto"/>
      </w:divBdr>
      <w:divsChild>
        <w:div w:id="1572764184">
          <w:marLeft w:val="0"/>
          <w:marRight w:val="0"/>
          <w:marTop w:val="0"/>
          <w:marBottom w:val="0"/>
          <w:divBdr>
            <w:top w:val="none" w:sz="0" w:space="0" w:color="auto"/>
            <w:left w:val="none" w:sz="0" w:space="0" w:color="auto"/>
            <w:bottom w:val="none" w:sz="0" w:space="0" w:color="auto"/>
            <w:right w:val="none" w:sz="0" w:space="0" w:color="auto"/>
          </w:divBdr>
          <w:divsChild>
            <w:div w:id="1493065600">
              <w:marLeft w:val="0"/>
              <w:marRight w:val="0"/>
              <w:marTop w:val="0"/>
              <w:marBottom w:val="0"/>
              <w:divBdr>
                <w:top w:val="none" w:sz="0" w:space="0" w:color="auto"/>
                <w:left w:val="none" w:sz="0" w:space="0" w:color="auto"/>
                <w:bottom w:val="none" w:sz="0" w:space="0" w:color="auto"/>
                <w:right w:val="none" w:sz="0" w:space="0" w:color="auto"/>
              </w:divBdr>
              <w:divsChild>
                <w:div w:id="3422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2748">
      <w:bodyDiv w:val="1"/>
      <w:marLeft w:val="0"/>
      <w:marRight w:val="0"/>
      <w:marTop w:val="0"/>
      <w:marBottom w:val="0"/>
      <w:divBdr>
        <w:top w:val="none" w:sz="0" w:space="0" w:color="auto"/>
        <w:left w:val="none" w:sz="0" w:space="0" w:color="auto"/>
        <w:bottom w:val="none" w:sz="0" w:space="0" w:color="auto"/>
        <w:right w:val="none" w:sz="0" w:space="0" w:color="auto"/>
      </w:divBdr>
      <w:divsChild>
        <w:div w:id="219638784">
          <w:marLeft w:val="360"/>
          <w:marRight w:val="0"/>
          <w:marTop w:val="200"/>
          <w:marBottom w:val="0"/>
          <w:divBdr>
            <w:top w:val="none" w:sz="0" w:space="0" w:color="auto"/>
            <w:left w:val="none" w:sz="0" w:space="0" w:color="auto"/>
            <w:bottom w:val="none" w:sz="0" w:space="0" w:color="auto"/>
            <w:right w:val="none" w:sz="0" w:space="0" w:color="auto"/>
          </w:divBdr>
        </w:div>
        <w:div w:id="325598126">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8046000">
      <w:bodyDiv w:val="1"/>
      <w:marLeft w:val="0"/>
      <w:marRight w:val="0"/>
      <w:marTop w:val="0"/>
      <w:marBottom w:val="0"/>
      <w:divBdr>
        <w:top w:val="none" w:sz="0" w:space="0" w:color="auto"/>
        <w:left w:val="none" w:sz="0" w:space="0" w:color="auto"/>
        <w:bottom w:val="none" w:sz="0" w:space="0" w:color="auto"/>
        <w:right w:val="none" w:sz="0" w:space="0" w:color="auto"/>
      </w:divBdr>
    </w:div>
    <w:div w:id="424302854">
      <w:bodyDiv w:val="1"/>
      <w:marLeft w:val="0"/>
      <w:marRight w:val="0"/>
      <w:marTop w:val="0"/>
      <w:marBottom w:val="0"/>
      <w:divBdr>
        <w:top w:val="none" w:sz="0" w:space="0" w:color="auto"/>
        <w:left w:val="none" w:sz="0" w:space="0" w:color="auto"/>
        <w:bottom w:val="none" w:sz="0" w:space="0" w:color="auto"/>
        <w:right w:val="none" w:sz="0" w:space="0" w:color="auto"/>
      </w:divBdr>
      <w:divsChild>
        <w:div w:id="2038694032">
          <w:marLeft w:val="0"/>
          <w:marRight w:val="0"/>
          <w:marTop w:val="0"/>
          <w:marBottom w:val="0"/>
          <w:divBdr>
            <w:top w:val="none" w:sz="0" w:space="0" w:color="auto"/>
            <w:left w:val="none" w:sz="0" w:space="0" w:color="auto"/>
            <w:bottom w:val="none" w:sz="0" w:space="0" w:color="auto"/>
            <w:right w:val="none" w:sz="0" w:space="0" w:color="auto"/>
          </w:divBdr>
          <w:divsChild>
            <w:div w:id="107505668">
              <w:marLeft w:val="0"/>
              <w:marRight w:val="0"/>
              <w:marTop w:val="0"/>
              <w:marBottom w:val="0"/>
              <w:divBdr>
                <w:top w:val="none" w:sz="0" w:space="0" w:color="auto"/>
                <w:left w:val="none" w:sz="0" w:space="0" w:color="auto"/>
                <w:bottom w:val="none" w:sz="0" w:space="0" w:color="auto"/>
                <w:right w:val="none" w:sz="0" w:space="0" w:color="auto"/>
              </w:divBdr>
              <w:divsChild>
                <w:div w:id="7490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579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8854345">
      <w:bodyDiv w:val="1"/>
      <w:marLeft w:val="0"/>
      <w:marRight w:val="0"/>
      <w:marTop w:val="0"/>
      <w:marBottom w:val="0"/>
      <w:divBdr>
        <w:top w:val="none" w:sz="0" w:space="0" w:color="auto"/>
        <w:left w:val="none" w:sz="0" w:space="0" w:color="auto"/>
        <w:bottom w:val="none" w:sz="0" w:space="0" w:color="auto"/>
        <w:right w:val="none" w:sz="0" w:space="0" w:color="auto"/>
      </w:divBdr>
      <w:divsChild>
        <w:div w:id="1485196389">
          <w:marLeft w:val="360"/>
          <w:marRight w:val="0"/>
          <w:marTop w:val="200"/>
          <w:marBottom w:val="0"/>
          <w:divBdr>
            <w:top w:val="none" w:sz="0" w:space="0" w:color="auto"/>
            <w:left w:val="none" w:sz="0" w:space="0" w:color="auto"/>
            <w:bottom w:val="none" w:sz="0" w:space="0" w:color="auto"/>
            <w:right w:val="none" w:sz="0" w:space="0" w:color="auto"/>
          </w:divBdr>
        </w:div>
        <w:div w:id="65424982">
          <w:marLeft w:val="360"/>
          <w:marRight w:val="0"/>
          <w:marTop w:val="200"/>
          <w:marBottom w:val="0"/>
          <w:divBdr>
            <w:top w:val="none" w:sz="0" w:space="0" w:color="auto"/>
            <w:left w:val="none" w:sz="0" w:space="0" w:color="auto"/>
            <w:bottom w:val="none" w:sz="0" w:space="0" w:color="auto"/>
            <w:right w:val="none" w:sz="0" w:space="0" w:color="auto"/>
          </w:divBdr>
        </w:div>
      </w:divsChild>
    </w:div>
    <w:div w:id="1574848542">
      <w:bodyDiv w:val="1"/>
      <w:marLeft w:val="0"/>
      <w:marRight w:val="0"/>
      <w:marTop w:val="0"/>
      <w:marBottom w:val="0"/>
      <w:divBdr>
        <w:top w:val="none" w:sz="0" w:space="0" w:color="auto"/>
        <w:left w:val="none" w:sz="0" w:space="0" w:color="auto"/>
        <w:bottom w:val="none" w:sz="0" w:space="0" w:color="auto"/>
        <w:right w:val="none" w:sz="0" w:space="0" w:color="auto"/>
      </w:divBdr>
      <w:divsChild>
        <w:div w:id="739332224">
          <w:marLeft w:val="360"/>
          <w:marRight w:val="0"/>
          <w:marTop w:val="200"/>
          <w:marBottom w:val="0"/>
          <w:divBdr>
            <w:top w:val="none" w:sz="0" w:space="0" w:color="auto"/>
            <w:left w:val="none" w:sz="0" w:space="0" w:color="auto"/>
            <w:bottom w:val="none" w:sz="0" w:space="0" w:color="auto"/>
            <w:right w:val="none" w:sz="0" w:space="0" w:color="auto"/>
          </w:divBdr>
        </w:div>
        <w:div w:id="1974671230">
          <w:marLeft w:val="360"/>
          <w:marRight w:val="0"/>
          <w:marTop w:val="200"/>
          <w:marBottom w:val="0"/>
          <w:divBdr>
            <w:top w:val="none" w:sz="0" w:space="0" w:color="auto"/>
            <w:left w:val="none" w:sz="0" w:space="0" w:color="auto"/>
            <w:bottom w:val="none" w:sz="0" w:space="0" w:color="auto"/>
            <w:right w:val="none" w:sz="0" w:space="0" w:color="auto"/>
          </w:divBdr>
        </w:div>
      </w:divsChild>
    </w:div>
    <w:div w:id="1714764128">
      <w:bodyDiv w:val="1"/>
      <w:marLeft w:val="0"/>
      <w:marRight w:val="0"/>
      <w:marTop w:val="0"/>
      <w:marBottom w:val="0"/>
      <w:divBdr>
        <w:top w:val="none" w:sz="0" w:space="0" w:color="auto"/>
        <w:left w:val="none" w:sz="0" w:space="0" w:color="auto"/>
        <w:bottom w:val="none" w:sz="0" w:space="0" w:color="auto"/>
        <w:right w:val="none" w:sz="0" w:space="0" w:color="auto"/>
      </w:divBdr>
      <w:divsChild>
        <w:div w:id="1547329792">
          <w:marLeft w:val="0"/>
          <w:marRight w:val="0"/>
          <w:marTop w:val="0"/>
          <w:marBottom w:val="0"/>
          <w:divBdr>
            <w:top w:val="none" w:sz="0" w:space="0" w:color="auto"/>
            <w:left w:val="none" w:sz="0" w:space="0" w:color="auto"/>
            <w:bottom w:val="none" w:sz="0" w:space="0" w:color="auto"/>
            <w:right w:val="none" w:sz="0" w:space="0" w:color="auto"/>
          </w:divBdr>
          <w:divsChild>
            <w:div w:id="295063139">
              <w:marLeft w:val="0"/>
              <w:marRight w:val="0"/>
              <w:marTop w:val="0"/>
              <w:marBottom w:val="0"/>
              <w:divBdr>
                <w:top w:val="none" w:sz="0" w:space="0" w:color="auto"/>
                <w:left w:val="none" w:sz="0" w:space="0" w:color="auto"/>
                <w:bottom w:val="none" w:sz="0" w:space="0" w:color="auto"/>
                <w:right w:val="none" w:sz="0" w:space="0" w:color="auto"/>
              </w:divBdr>
              <w:divsChild>
                <w:div w:id="6400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07%2Fs11102-022-01280-6" TargetMode="External"/><Relationship Id="rId2" Type="http://schemas.openxmlformats.org/officeDocument/2006/relationships/hyperlink" Target="https://doi.org/10.1056/nejm198301133080216" TargetMode="External"/><Relationship Id="rId1" Type="http://schemas.openxmlformats.org/officeDocument/2006/relationships/hyperlink" Target="https://doi.org/10.3171/2008.8.jns08339" TargetMode="External"/><Relationship Id="rId4" Type="http://schemas.openxmlformats.org/officeDocument/2006/relationships/hyperlink" Target="https://eje-bioscientifica-com.eu1.proxy.openathens.net/view/journals/eje/187/4/EJE-22-0317.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2018-588A-8A4C-8432-E4B3FC5D6493}">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16136</Words>
  <Characters>89886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2023-07-05T06:27:00Z</dcterms:created>
  <dcterms:modified xsi:type="dcterms:W3CDTF">2023-07-05T06:30:00Z</dcterms:modified>
</cp:coreProperties>
</file>