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422186A" w:rsidR="00872E8F" w:rsidRPr="007A5C88" w:rsidRDefault="00A3478B" w:rsidP="007A5C88">
      <w:pPr>
        <w:pStyle w:val="1MainTitle"/>
        <w:jc w:val="left"/>
      </w:pPr>
      <w:r>
        <w:t>5</w:t>
      </w:r>
      <w:r w:rsidR="70971A32">
        <w:t>.</w:t>
      </w:r>
      <w:r>
        <w:t>19</w:t>
      </w:r>
      <w:r w:rsidR="00872E8F">
        <w:tab/>
      </w:r>
      <w:r w:rsidR="00180A54" w:rsidRPr="00180A54">
        <w:t>N</w:t>
      </w:r>
      <w:r w:rsidR="00180A54">
        <w:t>ATALIZUMAB</w:t>
      </w:r>
      <w:r w:rsidR="70971A32">
        <w:t xml:space="preserve">, </w:t>
      </w:r>
      <w:r w:rsidR="008552E4">
        <w:br/>
      </w:r>
      <w:bookmarkStart w:id="0" w:name="_Hlk129766590"/>
      <w:r w:rsidR="00006A70" w:rsidRPr="00006A70">
        <w:t>Injection 150 mg in 1 mL single dose pre-filled syringe</w:t>
      </w:r>
      <w:bookmarkEnd w:id="0"/>
      <w:r w:rsidR="70971A32">
        <w:t>,</w:t>
      </w:r>
      <w:r w:rsidR="00872E8F">
        <w:br/>
      </w:r>
      <w:r w:rsidR="00180A54">
        <w:t>Tysabri</w:t>
      </w:r>
      <w:r w:rsidR="70971A32">
        <w:t>®,</w:t>
      </w:r>
      <w:r w:rsidR="00872E8F">
        <w:br/>
      </w:r>
      <w:r w:rsidR="00180A54" w:rsidRPr="00180A54">
        <w:t>Biogen A</w:t>
      </w:r>
      <w:r w:rsidR="008552E4">
        <w:t>ustralia</w:t>
      </w:r>
      <w:r w:rsidR="00180A54" w:rsidRPr="00180A54">
        <w:t xml:space="preserve"> Pty Ltd</w:t>
      </w:r>
      <w:r w:rsidR="00180A54" w:rsidRPr="00180A54" w:rsidDel="00180A54">
        <w:t xml:space="preserve"> </w:t>
      </w:r>
    </w:p>
    <w:p w14:paraId="5F4D54C1" w14:textId="355D00B6" w:rsidR="00E11F44" w:rsidRPr="00F2413B" w:rsidRDefault="007E490F">
      <w:pPr>
        <w:pStyle w:val="2-SectionHeading"/>
        <w:rPr>
          <w:rFonts w:cstheme="minorHAnsi"/>
          <w:color w:val="FF0000"/>
        </w:rPr>
      </w:pPr>
      <w:r w:rsidRPr="00F57814">
        <w:t xml:space="preserve">Purpose of </w:t>
      </w:r>
      <w:r w:rsidR="00FA0B04" w:rsidRPr="00FD6E4A">
        <w:t>Submission</w:t>
      </w:r>
      <w:r w:rsidRPr="00F858D6">
        <w:t xml:space="preserve"> </w:t>
      </w:r>
    </w:p>
    <w:p w14:paraId="557495C4" w14:textId="7F87E4B4" w:rsidR="002E6072" w:rsidRPr="00E24CBE" w:rsidRDefault="002E6072" w:rsidP="00801CBB">
      <w:pPr>
        <w:pStyle w:val="3Bodytext"/>
        <w:jc w:val="both"/>
      </w:pPr>
      <w:bookmarkStart w:id="1" w:name="_Hlk126328459"/>
      <w:r w:rsidRPr="00E24CBE">
        <w:t>The Category 4 submission requested a Section 100 (Highly Specialised Drugs Program) Authority Required (STREAMLINED) listing of a new form of natalizumab (Tysabri®) for the treatment of clinically definite relapsing-remitting multiple sclerosis (RRMS).</w:t>
      </w:r>
    </w:p>
    <w:p w14:paraId="773907C5" w14:textId="3863BCBE" w:rsidR="00B52E74" w:rsidRPr="00E24CBE" w:rsidRDefault="002E6072" w:rsidP="00801CBB">
      <w:pPr>
        <w:pStyle w:val="3Bodytext"/>
        <w:jc w:val="both"/>
        <w:rPr>
          <w:rFonts w:cstheme="minorHAnsi"/>
        </w:rPr>
      </w:pPr>
      <w:r w:rsidRPr="00E24CBE">
        <w:t>The submission sought to</w:t>
      </w:r>
      <w:r w:rsidR="00262E3A" w:rsidRPr="00E24CBE">
        <w:t xml:space="preserve"> </w:t>
      </w:r>
      <w:r w:rsidRPr="00E24CBE">
        <w:t xml:space="preserve">list a 150 mg in 1 mL </w:t>
      </w:r>
      <w:r w:rsidR="00B52E74" w:rsidRPr="00E24CBE">
        <w:t>prefilled</w:t>
      </w:r>
      <w:r w:rsidRPr="00E24CBE">
        <w:t xml:space="preserve"> syringe</w:t>
      </w:r>
      <w:r w:rsidR="00B52E74" w:rsidRPr="00E24CBE">
        <w:t xml:space="preserve"> (PFS)</w:t>
      </w:r>
      <w:r w:rsidRPr="00E24CBE">
        <w:t xml:space="preserve"> form of natalizumab for subcutaneous (SC) injection</w:t>
      </w:r>
      <w:r w:rsidR="00262E3A" w:rsidRPr="00E24CBE">
        <w:t xml:space="preserve"> (herein referred to as natalizumab SC)</w:t>
      </w:r>
      <w:r w:rsidRPr="00E24CBE">
        <w:t xml:space="preserve"> under the same circumstances as the PBS-listed natalizumab 300 mg</w:t>
      </w:r>
      <w:r w:rsidR="000B797A" w:rsidRPr="00E24CBE">
        <w:t xml:space="preserve"> in 15 mL vial</w:t>
      </w:r>
      <w:r w:rsidR="00262E3A" w:rsidRPr="00E24CBE">
        <w:t xml:space="preserve"> for </w:t>
      </w:r>
      <w:r w:rsidR="00262E3A" w:rsidRPr="00E24CBE">
        <w:rPr>
          <w:rFonts w:cstheme="minorHAnsi"/>
        </w:rPr>
        <w:t>intravenous infusion (IV)</w:t>
      </w:r>
      <w:r w:rsidR="002F248F" w:rsidRPr="00E24CBE">
        <w:rPr>
          <w:rFonts w:cstheme="minorHAnsi"/>
        </w:rPr>
        <w:t xml:space="preserve"> (herein referred to as natalizumab IV)</w:t>
      </w:r>
      <w:r w:rsidR="00262E3A" w:rsidRPr="00E24CBE">
        <w:rPr>
          <w:rFonts w:cstheme="minorHAnsi"/>
        </w:rPr>
        <w:t xml:space="preserve">. </w:t>
      </w:r>
    </w:p>
    <w:bookmarkEnd w:id="1"/>
    <w:p w14:paraId="3D1D4320" w14:textId="77777777" w:rsidR="007E490F" w:rsidRPr="00F57814" w:rsidRDefault="007E490F" w:rsidP="001F2311">
      <w:pPr>
        <w:pStyle w:val="2-SectionHeading"/>
      </w:pPr>
      <w:r w:rsidRPr="00F57814">
        <w:t xml:space="preserve">Background </w:t>
      </w:r>
    </w:p>
    <w:p w14:paraId="33C2C319" w14:textId="66DF215F" w:rsidR="007E490F" w:rsidRPr="00F57814" w:rsidRDefault="007E490F" w:rsidP="007E490F">
      <w:pPr>
        <w:pStyle w:val="4-SubsectionHeading"/>
      </w:pPr>
      <w:r w:rsidRPr="00F57814">
        <w:t>Registration status</w:t>
      </w:r>
    </w:p>
    <w:p w14:paraId="773783E8" w14:textId="3021E6EB" w:rsidR="007E490F" w:rsidRPr="00FD6E4A" w:rsidRDefault="005171BE" w:rsidP="00801CBB">
      <w:pPr>
        <w:pStyle w:val="3Bodytext"/>
        <w:jc w:val="both"/>
      </w:pPr>
      <w:r w:rsidRPr="00F57814">
        <w:t>Natalizumab</w:t>
      </w:r>
      <w:r w:rsidR="00B11E54" w:rsidRPr="00F57814">
        <w:t xml:space="preserve"> </w:t>
      </w:r>
      <w:r w:rsidR="002670EE">
        <w:t>SC</w:t>
      </w:r>
      <w:r w:rsidR="00585CD1">
        <w:t xml:space="preserve"> </w:t>
      </w:r>
      <w:r w:rsidR="00F57814" w:rsidRPr="003F23C0">
        <w:t>w</w:t>
      </w:r>
      <w:r w:rsidR="007E490F" w:rsidRPr="00FD6E4A">
        <w:t>as</w:t>
      </w:r>
      <w:r w:rsidR="007E490F" w:rsidRPr="00F858D6">
        <w:t xml:space="preserve"> </w:t>
      </w:r>
      <w:r w:rsidR="00B52E74">
        <w:t>approved</w:t>
      </w:r>
      <w:r w:rsidR="00F57814" w:rsidRPr="003F23C0">
        <w:t xml:space="preserve"> by the Therapeutic Goods Administration (TGA)</w:t>
      </w:r>
      <w:r w:rsidR="007E490F" w:rsidRPr="00FD6E4A">
        <w:t xml:space="preserve"> on </w:t>
      </w:r>
      <w:r w:rsidRPr="00F858D6">
        <w:t>7</w:t>
      </w:r>
      <w:r w:rsidR="002670EE">
        <w:t> </w:t>
      </w:r>
      <w:r w:rsidRPr="00F858D6">
        <w:t>December 2021</w:t>
      </w:r>
      <w:r w:rsidR="007E490F" w:rsidRPr="00F57814">
        <w:t xml:space="preserve"> </w:t>
      </w:r>
      <w:r w:rsidR="00B52E74">
        <w:t>for</w:t>
      </w:r>
      <w:r w:rsidR="00B11E54" w:rsidRPr="00F57814">
        <w:t xml:space="preserve"> the same indication as </w:t>
      </w:r>
      <w:r w:rsidR="00B11E54" w:rsidRPr="00F57814">
        <w:rPr>
          <w:rFonts w:cstheme="minorHAnsi"/>
        </w:rPr>
        <w:t xml:space="preserve">natalizumab </w:t>
      </w:r>
      <w:r w:rsidR="002670EE">
        <w:rPr>
          <w:rFonts w:cstheme="minorHAnsi"/>
        </w:rPr>
        <w:t>IV</w:t>
      </w:r>
      <w:r w:rsidR="007E490F" w:rsidRPr="00F57814">
        <w:t xml:space="preserve">. </w:t>
      </w:r>
    </w:p>
    <w:p w14:paraId="0094486E" w14:textId="77777777" w:rsidR="007E490F" w:rsidRPr="00F57814" w:rsidRDefault="007E490F" w:rsidP="007E490F">
      <w:pPr>
        <w:pStyle w:val="4-SubsectionHeading"/>
      </w:pPr>
      <w:r w:rsidRPr="00F57814">
        <w:t xml:space="preserve">Previous PBAC consideration </w:t>
      </w:r>
    </w:p>
    <w:p w14:paraId="4DC940F5" w14:textId="2955930D" w:rsidR="006403F8" w:rsidRDefault="00761B32" w:rsidP="006403F8">
      <w:pPr>
        <w:pStyle w:val="3Bodytext"/>
      </w:pPr>
      <w:r w:rsidRPr="00F57814">
        <w:t xml:space="preserve">Natalizumab </w:t>
      </w:r>
      <w:r w:rsidR="002670EE">
        <w:t>SC</w:t>
      </w:r>
      <w:r w:rsidR="00F57814" w:rsidRPr="003F23C0">
        <w:t xml:space="preserve"> h</w:t>
      </w:r>
      <w:r w:rsidR="007E490F" w:rsidRPr="00FD6E4A">
        <w:t>as not been considered by the PBAC previously.</w:t>
      </w:r>
    </w:p>
    <w:p w14:paraId="1B8790B6" w14:textId="2955930D" w:rsidR="00964A9F" w:rsidRDefault="00964A9F" w:rsidP="00964A9F">
      <w:pPr>
        <w:pStyle w:val="2-SectionHeading"/>
      </w:pPr>
      <w:r w:rsidRPr="009D507A">
        <w:t xml:space="preserve">Requested listing </w:t>
      </w:r>
    </w:p>
    <w:p w14:paraId="4B0502F0" w14:textId="5271F82E" w:rsidR="001D5BB8" w:rsidRDefault="001D5BB8" w:rsidP="00801CBB">
      <w:pPr>
        <w:pStyle w:val="3Bodytext"/>
        <w:jc w:val="both"/>
      </w:pPr>
      <w:r w:rsidRPr="001D5BB8">
        <w:t>The submission requested the following new listing</w:t>
      </w:r>
      <w:r w:rsidR="00C32176">
        <w:t>, under the same conditions as the currently listed form of natalizumab</w:t>
      </w:r>
      <w:r w:rsidRPr="001D5BB8">
        <w:t xml:space="preserve">. </w:t>
      </w:r>
      <w:r w:rsidR="00E527EB" w:rsidRPr="00E527EB">
        <w:t xml:space="preserve">The submission did not request making any changes to the restriction. </w:t>
      </w:r>
      <w:r w:rsidRPr="001D5BB8">
        <w:t xml:space="preserve">Suggested additions are in italics and deletions are in strikethrough. </w:t>
      </w:r>
    </w:p>
    <w:p w14:paraId="1935EAB2" w14:textId="667DD4CE" w:rsidR="00823D36" w:rsidRPr="00B5605C" w:rsidRDefault="00964A9F" w:rsidP="004D4E19">
      <w:pPr>
        <w:pStyle w:val="3Bodytext"/>
        <w:numPr>
          <w:ilvl w:val="0"/>
          <w:numId w:val="0"/>
        </w:numPr>
        <w:ind w:firstLine="720"/>
        <w:rPr>
          <w:rFonts w:cstheme="minorHAnsi"/>
          <w:iCs/>
        </w:rPr>
      </w:pPr>
      <w:r w:rsidRPr="00B5605C">
        <w:rPr>
          <w:rFonts w:cstheme="minorHAnsi"/>
          <w:iCs/>
        </w:rPr>
        <w:t>Add new medicinal product</w:t>
      </w:r>
      <w:r w:rsidR="00061BA6" w:rsidRPr="00B5605C">
        <w:rPr>
          <w:rFonts w:cstheme="minorHAnsi"/>
          <w:iCs/>
        </w:rPr>
        <w:t xml:space="preserve"> pack</w:t>
      </w:r>
      <w:r w:rsidRPr="00B5605C">
        <w:rPr>
          <w:rFonts w:cstheme="minorHAnsi"/>
          <w:iCs/>
        </w:rPr>
        <w:t xml:space="preserve">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268"/>
        <w:gridCol w:w="1418"/>
        <w:gridCol w:w="850"/>
        <w:gridCol w:w="851"/>
        <w:gridCol w:w="708"/>
        <w:gridCol w:w="1701"/>
      </w:tblGrid>
      <w:tr w:rsidR="00964A9F" w:rsidRPr="007C2F4B" w14:paraId="1FA30110" w14:textId="77777777" w:rsidTr="004D4E19">
        <w:trPr>
          <w:cantSplit/>
          <w:trHeight w:val="471"/>
        </w:trPr>
        <w:tc>
          <w:tcPr>
            <w:tcW w:w="3539" w:type="dxa"/>
            <w:gridSpan w:val="3"/>
          </w:tcPr>
          <w:p w14:paraId="3A8FE9DD" w14:textId="106543B3" w:rsidR="00061BA6" w:rsidRPr="007C2F4B" w:rsidRDefault="00964A9F" w:rsidP="004D4E19">
            <w:pPr>
              <w:keepNext/>
              <w:rPr>
                <w:rFonts w:ascii="Arial Narrow" w:hAnsi="Arial Narrow" w:cs="Arial"/>
                <w:b/>
                <w:bCs/>
                <w:sz w:val="20"/>
                <w:szCs w:val="20"/>
              </w:rPr>
            </w:pPr>
            <w:r w:rsidRPr="007C2F4B">
              <w:rPr>
                <w:rFonts w:ascii="Arial Narrow" w:hAnsi="Arial Narrow" w:cs="Arial"/>
                <w:b/>
                <w:bCs/>
                <w:sz w:val="20"/>
                <w:szCs w:val="20"/>
              </w:rPr>
              <w:lastRenderedPageBreak/>
              <w:t>MEDICINAL PRODUCT</w:t>
            </w:r>
          </w:p>
          <w:p w14:paraId="29F82D8B" w14:textId="17E2E7B2" w:rsidR="00964A9F" w:rsidRPr="007C2F4B" w:rsidRDefault="00964A9F" w:rsidP="004D4E19">
            <w:pPr>
              <w:keepNext/>
              <w:rPr>
                <w:rFonts w:ascii="Arial Narrow" w:hAnsi="Arial Narrow" w:cs="Arial"/>
                <w:b/>
                <w:sz w:val="20"/>
                <w:szCs w:val="20"/>
              </w:rPr>
            </w:pPr>
            <w:r w:rsidRPr="007C2F4B">
              <w:rPr>
                <w:rFonts w:ascii="Arial Narrow" w:hAnsi="Arial Narrow" w:cs="Arial"/>
                <w:b/>
                <w:bCs/>
                <w:sz w:val="20"/>
                <w:szCs w:val="20"/>
              </w:rPr>
              <w:t>Medicinal Product Pack</w:t>
            </w:r>
          </w:p>
        </w:tc>
        <w:tc>
          <w:tcPr>
            <w:tcW w:w="1418" w:type="dxa"/>
          </w:tcPr>
          <w:p w14:paraId="30F7F880" w14:textId="77777777" w:rsidR="00964A9F" w:rsidRPr="007C2F4B" w:rsidRDefault="00964A9F" w:rsidP="004D4E19">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34051986" w14:textId="77777777" w:rsidR="00964A9F" w:rsidRPr="007C2F4B" w:rsidRDefault="00964A9F" w:rsidP="004D4E19">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42B0E70C" w14:textId="77777777" w:rsidR="00964A9F" w:rsidRPr="007C2F4B" w:rsidRDefault="00964A9F" w:rsidP="004D4E19">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179C8823" w14:textId="77777777" w:rsidR="00964A9F" w:rsidRPr="007C2F4B" w:rsidRDefault="00964A9F" w:rsidP="004D4E19">
            <w:pPr>
              <w:keepNext/>
              <w:ind w:left="-108"/>
              <w:jc w:val="center"/>
              <w:rPr>
                <w:rFonts w:ascii="Arial Narrow" w:hAnsi="Arial Narrow" w:cs="Arial"/>
                <w:b/>
                <w:sz w:val="20"/>
                <w:szCs w:val="20"/>
              </w:rPr>
            </w:pPr>
            <w:r w:rsidRPr="007C2F4B">
              <w:rPr>
                <w:rFonts w:ascii="Arial Narrow" w:hAnsi="Arial Narrow" w:cs="Arial"/>
                <w:b/>
                <w:sz w:val="20"/>
                <w:szCs w:val="20"/>
              </w:rPr>
              <w:t>№.of</w:t>
            </w:r>
          </w:p>
          <w:p w14:paraId="6B1F52D8" w14:textId="77777777" w:rsidR="00964A9F" w:rsidRPr="007C2F4B" w:rsidRDefault="00964A9F" w:rsidP="004D4E19">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701" w:type="dxa"/>
          </w:tcPr>
          <w:p w14:paraId="2BBA2826" w14:textId="77777777" w:rsidR="00964A9F" w:rsidRPr="007C2F4B" w:rsidRDefault="00964A9F" w:rsidP="004D4E19">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2221DD" w:rsidRPr="007C2F4B" w14:paraId="7D62A4B8" w14:textId="77777777" w:rsidTr="00AD3649">
        <w:trPr>
          <w:cantSplit/>
          <w:trHeight w:val="277"/>
        </w:trPr>
        <w:tc>
          <w:tcPr>
            <w:tcW w:w="9067" w:type="dxa"/>
            <w:gridSpan w:val="8"/>
          </w:tcPr>
          <w:p w14:paraId="2F738283" w14:textId="7DB2919C" w:rsidR="002221DD" w:rsidRPr="002221DD" w:rsidRDefault="002221DD" w:rsidP="004D4E19">
            <w:pPr>
              <w:keepNext/>
              <w:rPr>
                <w:rFonts w:ascii="Arial Narrow" w:hAnsi="Arial Narrow" w:cs="Arial"/>
                <w:i/>
                <w:iCs/>
                <w:sz w:val="20"/>
                <w:szCs w:val="20"/>
              </w:rPr>
            </w:pPr>
            <w:r w:rsidRPr="00A41818">
              <w:rPr>
                <w:rFonts w:ascii="Arial Narrow" w:hAnsi="Arial Narrow" w:cs="Arial"/>
                <w:sz w:val="20"/>
                <w:szCs w:val="20"/>
              </w:rPr>
              <w:t>NATALIZU</w:t>
            </w:r>
            <w:r>
              <w:rPr>
                <w:rFonts w:ascii="Arial Narrow" w:hAnsi="Arial Narrow" w:cs="Arial"/>
                <w:sz w:val="20"/>
                <w:szCs w:val="20"/>
              </w:rPr>
              <w:t>M</w:t>
            </w:r>
            <w:r w:rsidRPr="00A41818">
              <w:rPr>
                <w:rFonts w:ascii="Arial Narrow" w:hAnsi="Arial Narrow" w:cs="Arial"/>
                <w:sz w:val="20"/>
                <w:szCs w:val="20"/>
              </w:rPr>
              <w:t>AB</w:t>
            </w:r>
          </w:p>
        </w:tc>
      </w:tr>
      <w:tr w:rsidR="00823D36" w:rsidRPr="007C2F4B" w14:paraId="5786C31E" w14:textId="77777777" w:rsidTr="004D4E19">
        <w:trPr>
          <w:cantSplit/>
          <w:trHeight w:val="277"/>
        </w:trPr>
        <w:tc>
          <w:tcPr>
            <w:tcW w:w="3539" w:type="dxa"/>
            <w:gridSpan w:val="3"/>
          </w:tcPr>
          <w:p w14:paraId="1158AD48" w14:textId="051D62F3" w:rsidR="00823D36" w:rsidRPr="00A41818" w:rsidRDefault="002221DD" w:rsidP="004D4E19">
            <w:pPr>
              <w:keepNext/>
              <w:rPr>
                <w:rFonts w:ascii="Arial Narrow" w:hAnsi="Arial Narrow" w:cs="Arial"/>
                <w:sz w:val="20"/>
                <w:szCs w:val="20"/>
              </w:rPr>
            </w:pPr>
            <w:r w:rsidRPr="00E4376F">
              <w:rPr>
                <w:rFonts w:ascii="Arial Narrow" w:hAnsi="Arial Narrow" w:cs="Arial"/>
                <w:i/>
                <w:iCs/>
                <w:sz w:val="20"/>
                <w:szCs w:val="20"/>
              </w:rPr>
              <w:t xml:space="preserve">natalizumab 150 mg/mL </w:t>
            </w:r>
            <w:r>
              <w:rPr>
                <w:rFonts w:ascii="Arial Narrow" w:hAnsi="Arial Narrow" w:cs="Arial"/>
                <w:i/>
                <w:iCs/>
                <w:sz w:val="20"/>
                <w:szCs w:val="20"/>
              </w:rPr>
              <w:t>in</w:t>
            </w:r>
            <w:r w:rsidRPr="00E4376F">
              <w:rPr>
                <w:rFonts w:ascii="Arial Narrow" w:hAnsi="Arial Narrow" w:cs="Arial"/>
                <w:i/>
                <w:iCs/>
                <w:sz w:val="20"/>
                <w:szCs w:val="20"/>
              </w:rPr>
              <w:t>jection, 2 x 1 mL syringes</w:t>
            </w:r>
          </w:p>
        </w:tc>
        <w:tc>
          <w:tcPr>
            <w:tcW w:w="1418" w:type="dxa"/>
          </w:tcPr>
          <w:p w14:paraId="11FC6E9D" w14:textId="04E2117A" w:rsidR="00823D36" w:rsidRPr="00E4376F" w:rsidRDefault="002221DD" w:rsidP="004D4E19">
            <w:pPr>
              <w:keepNext/>
              <w:jc w:val="left"/>
              <w:rPr>
                <w:rFonts w:ascii="Arial Narrow" w:hAnsi="Arial Narrow" w:cs="Arial"/>
                <w:i/>
                <w:iCs/>
                <w:sz w:val="20"/>
                <w:szCs w:val="20"/>
              </w:rPr>
            </w:pPr>
            <w:r w:rsidRPr="00E4376F">
              <w:rPr>
                <w:rFonts w:ascii="Arial Narrow" w:hAnsi="Arial Narrow" w:cs="Arial"/>
                <w:i/>
                <w:iCs/>
                <w:sz w:val="20"/>
                <w:szCs w:val="20"/>
              </w:rPr>
              <w:t>NEW</w:t>
            </w:r>
            <w:r w:rsidR="004D4E19">
              <w:rPr>
                <w:rFonts w:ascii="Arial Narrow" w:hAnsi="Arial Narrow" w:cs="Arial"/>
                <w:i/>
                <w:iCs/>
                <w:sz w:val="20"/>
                <w:szCs w:val="20"/>
              </w:rPr>
              <w:t xml:space="preserve"> </w:t>
            </w:r>
            <w:r>
              <w:rPr>
                <w:rFonts w:ascii="Arial Narrow" w:hAnsi="Arial Narrow" w:cs="Arial"/>
                <w:i/>
                <w:iCs/>
                <w:sz w:val="20"/>
                <w:szCs w:val="20"/>
              </w:rPr>
              <w:t>(Public)</w:t>
            </w:r>
            <w:r>
              <w:rPr>
                <w:rFonts w:ascii="Arial Narrow" w:hAnsi="Arial Narrow" w:cs="Arial"/>
                <w:i/>
                <w:iCs/>
                <w:sz w:val="20"/>
                <w:szCs w:val="20"/>
              </w:rPr>
              <w:br/>
              <w:t>NEW (Private)</w:t>
            </w:r>
          </w:p>
        </w:tc>
        <w:tc>
          <w:tcPr>
            <w:tcW w:w="850" w:type="dxa"/>
          </w:tcPr>
          <w:p w14:paraId="1C2C2D24" w14:textId="4628FD3C" w:rsidR="00823D36" w:rsidRPr="00E4376F" w:rsidRDefault="002221DD" w:rsidP="004D4E19">
            <w:pPr>
              <w:keepNext/>
              <w:rPr>
                <w:rFonts w:ascii="Arial Narrow" w:hAnsi="Arial Narrow" w:cs="Arial"/>
                <w:i/>
                <w:iCs/>
                <w:sz w:val="20"/>
                <w:szCs w:val="20"/>
              </w:rPr>
            </w:pPr>
            <w:r w:rsidRPr="00E4376F">
              <w:rPr>
                <w:rFonts w:ascii="Arial Narrow" w:hAnsi="Arial Narrow" w:cs="Arial"/>
                <w:i/>
                <w:iCs/>
                <w:sz w:val="20"/>
                <w:szCs w:val="20"/>
              </w:rPr>
              <w:t>1</w:t>
            </w:r>
          </w:p>
        </w:tc>
        <w:tc>
          <w:tcPr>
            <w:tcW w:w="851" w:type="dxa"/>
          </w:tcPr>
          <w:p w14:paraId="65CC8914" w14:textId="09FD36F9" w:rsidR="00823D36" w:rsidRPr="003F23C0" w:rsidRDefault="002221DD" w:rsidP="004D4E19">
            <w:pPr>
              <w:keepNext/>
              <w:rPr>
                <w:rFonts w:ascii="Arial Narrow" w:hAnsi="Arial Narrow" w:cs="Arial"/>
                <w:i/>
                <w:iCs/>
                <w:strike/>
                <w:sz w:val="20"/>
                <w:szCs w:val="20"/>
              </w:rPr>
            </w:pPr>
            <w:r w:rsidRPr="003F23C0">
              <w:rPr>
                <w:rFonts w:ascii="Arial Narrow" w:hAnsi="Arial Narrow" w:cs="Arial"/>
                <w:i/>
                <w:iCs/>
                <w:strike/>
                <w:sz w:val="20"/>
                <w:szCs w:val="20"/>
              </w:rPr>
              <w:t>1</w:t>
            </w:r>
            <w:r>
              <w:rPr>
                <w:rFonts w:ascii="Arial Narrow" w:hAnsi="Arial Narrow" w:cs="Arial"/>
                <w:i/>
                <w:iCs/>
                <w:sz w:val="20"/>
                <w:szCs w:val="20"/>
              </w:rPr>
              <w:t>2</w:t>
            </w:r>
          </w:p>
        </w:tc>
        <w:tc>
          <w:tcPr>
            <w:tcW w:w="708" w:type="dxa"/>
          </w:tcPr>
          <w:p w14:paraId="72B3BDA6" w14:textId="7F93130C" w:rsidR="00823D36" w:rsidRPr="00E4376F" w:rsidRDefault="002221DD" w:rsidP="004D4E19">
            <w:pPr>
              <w:keepNext/>
              <w:rPr>
                <w:rFonts w:ascii="Arial Narrow" w:hAnsi="Arial Narrow" w:cs="Arial"/>
                <w:i/>
                <w:iCs/>
                <w:sz w:val="20"/>
                <w:szCs w:val="20"/>
              </w:rPr>
            </w:pPr>
            <w:r w:rsidRPr="00E4376F">
              <w:rPr>
                <w:rFonts w:ascii="Arial Narrow" w:hAnsi="Arial Narrow" w:cs="Arial"/>
                <w:i/>
                <w:iCs/>
                <w:sz w:val="20"/>
                <w:szCs w:val="20"/>
              </w:rPr>
              <w:t>5</w:t>
            </w:r>
          </w:p>
        </w:tc>
        <w:tc>
          <w:tcPr>
            <w:tcW w:w="1701" w:type="dxa"/>
          </w:tcPr>
          <w:p w14:paraId="747F6D08" w14:textId="669DF45E" w:rsidR="00823D36" w:rsidRPr="00E4376F" w:rsidRDefault="002221DD" w:rsidP="004D4E19">
            <w:pPr>
              <w:keepNext/>
              <w:rPr>
                <w:rFonts w:ascii="Arial Narrow" w:hAnsi="Arial Narrow" w:cs="Arial"/>
                <w:sz w:val="20"/>
                <w:szCs w:val="20"/>
              </w:rPr>
            </w:pPr>
            <w:r>
              <w:rPr>
                <w:rFonts w:ascii="Arial Narrow" w:hAnsi="Arial Narrow" w:cs="Arial"/>
                <w:sz w:val="20"/>
                <w:szCs w:val="20"/>
              </w:rPr>
              <w:t>T</w:t>
            </w:r>
            <w:r w:rsidRPr="00E4376F">
              <w:rPr>
                <w:rFonts w:ascii="Arial Narrow" w:hAnsi="Arial Narrow" w:cs="Arial"/>
                <w:sz w:val="20"/>
                <w:szCs w:val="20"/>
              </w:rPr>
              <w:t>ysabri</w:t>
            </w:r>
          </w:p>
        </w:tc>
      </w:tr>
      <w:tr w:rsidR="002221DD" w:rsidRPr="007C2F4B" w14:paraId="6A969AC1" w14:textId="77777777" w:rsidTr="00FA782A">
        <w:trPr>
          <w:cantSplit/>
          <w:trHeight w:val="277"/>
        </w:trPr>
        <w:tc>
          <w:tcPr>
            <w:tcW w:w="9067" w:type="dxa"/>
            <w:gridSpan w:val="8"/>
          </w:tcPr>
          <w:p w14:paraId="5C740953" w14:textId="77777777" w:rsidR="002221DD" w:rsidRPr="00E4376F" w:rsidRDefault="002221DD" w:rsidP="004D4E19">
            <w:pPr>
              <w:keepNext/>
              <w:rPr>
                <w:rFonts w:ascii="Arial Narrow" w:hAnsi="Arial Narrow" w:cs="Arial"/>
                <w:sz w:val="20"/>
                <w:szCs w:val="20"/>
              </w:rPr>
            </w:pPr>
          </w:p>
        </w:tc>
      </w:tr>
      <w:tr w:rsidR="00845DDB" w:rsidRPr="001428E9" w14:paraId="05BB7B94" w14:textId="77777777" w:rsidTr="00845DDB">
        <w:tblPrEx>
          <w:tblCellMar>
            <w:top w:w="15" w:type="dxa"/>
            <w:bottom w:w="15" w:type="dxa"/>
          </w:tblCellMar>
          <w:tblLook w:val="04A0" w:firstRow="1" w:lastRow="0" w:firstColumn="1" w:lastColumn="0" w:noHBand="0" w:noVBand="1"/>
        </w:tblPrEx>
        <w:trPr>
          <w:trHeight w:val="20"/>
        </w:trPr>
        <w:tc>
          <w:tcPr>
            <w:tcW w:w="9067" w:type="dxa"/>
            <w:gridSpan w:val="8"/>
            <w:tcBorders>
              <w:top w:val="single" w:sz="4" w:space="0" w:color="auto"/>
              <w:left w:val="single" w:sz="4" w:space="0" w:color="auto"/>
              <w:right w:val="single" w:sz="4" w:space="0" w:color="auto"/>
            </w:tcBorders>
            <w:vAlign w:val="center"/>
          </w:tcPr>
          <w:p w14:paraId="0459D7E1" w14:textId="79D0E7E2" w:rsidR="00845DDB" w:rsidRPr="001428E9" w:rsidRDefault="00845DDB" w:rsidP="004D4E19">
            <w:pPr>
              <w:keepNext/>
              <w:keepLines/>
              <w:rPr>
                <w:rFonts w:ascii="Arial Narrow" w:hAnsi="Arial Narrow" w:cs="Arial"/>
                <w:b/>
                <w:sz w:val="20"/>
                <w:szCs w:val="20"/>
              </w:rPr>
            </w:pPr>
            <w:r w:rsidRPr="001428E9">
              <w:rPr>
                <w:rFonts w:ascii="Arial Narrow" w:hAnsi="Arial Narrow"/>
                <w:b/>
                <w:sz w:val="20"/>
                <w:szCs w:val="20"/>
              </w:rPr>
              <w:t xml:space="preserve">Restriction Summary </w:t>
            </w:r>
            <w:r w:rsidRPr="001428E9">
              <w:rPr>
                <w:rFonts w:ascii="Arial Narrow" w:hAnsi="Arial Narrow"/>
                <w:b/>
                <w:color w:val="FF0000"/>
                <w:sz w:val="20"/>
                <w:szCs w:val="20"/>
              </w:rPr>
              <w:t xml:space="preserve"> </w:t>
            </w:r>
            <w:r w:rsidRPr="001428E9">
              <w:rPr>
                <w:rFonts w:ascii="Arial Narrow" w:hAnsi="Arial Narrow"/>
                <w:b/>
                <w:sz w:val="20"/>
                <w:szCs w:val="20"/>
              </w:rPr>
              <w:t xml:space="preserve">/ Treatment of Concept: </w:t>
            </w:r>
          </w:p>
        </w:tc>
      </w:tr>
      <w:tr w:rsidR="00845DDB" w:rsidRPr="001428E9" w14:paraId="788B3DD5" w14:textId="77777777" w:rsidTr="00845DDB">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4809005" w14:textId="77777777" w:rsidR="00845DDB" w:rsidRPr="001428E9" w:rsidRDefault="00845DDB" w:rsidP="004D4E19">
            <w:pPr>
              <w:keepNext/>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61403DAF" w14:textId="5642D7CF" w:rsidR="00845DDB" w:rsidRPr="001428E9" w:rsidRDefault="00845DDB" w:rsidP="004D4E19">
            <w:pPr>
              <w:keepNext/>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 xml:space="preserve">Section 100 – Highly Specialised Drugs Program </w:t>
            </w:r>
            <w:r>
              <w:rPr>
                <w:rFonts w:ascii="Arial Narrow" w:hAnsi="Arial Narrow" w:cs="Arial"/>
                <w:sz w:val="20"/>
                <w:szCs w:val="20"/>
              </w:rPr>
              <w:t>(Public/Private)</w:t>
            </w:r>
          </w:p>
        </w:tc>
      </w:tr>
      <w:tr w:rsidR="00845DDB" w:rsidRPr="001428E9" w14:paraId="7A230D64" w14:textId="77777777" w:rsidTr="00845DDB">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0D01DBA" w14:textId="77777777" w:rsidR="00845DDB" w:rsidRPr="001428E9" w:rsidRDefault="00845DDB" w:rsidP="004D4E19">
            <w:pPr>
              <w:keepNext/>
              <w:rPr>
                <w:rFonts w:ascii="Arial Narrow" w:hAnsi="Arial Narrow" w:cs="Arial"/>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B111A1A" w14:textId="4CE7E5A0" w:rsidR="00845DDB" w:rsidRPr="001428E9" w:rsidRDefault="00845DDB" w:rsidP="004D4E19">
            <w:pPr>
              <w:keepNext/>
              <w:keepLines/>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A295D">
              <w:rPr>
                <w:rFonts w:ascii="Arial Narrow" w:hAnsi="Arial Narrow" w:cs="Arial"/>
                <w:sz w:val="20"/>
                <w:szCs w:val="20"/>
              </w:rPr>
            </w:r>
            <w:r w:rsidR="006A295D">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845DDB" w:rsidRPr="00D56F94" w14:paraId="2CD75A70" w14:textId="77777777" w:rsidTr="00845DDB">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2DC5AD24" w14:textId="77777777" w:rsidR="00845DDB" w:rsidRPr="001428E9" w:rsidRDefault="00845DDB" w:rsidP="004D4E19">
            <w:pPr>
              <w:keepNext/>
              <w:rPr>
                <w:rFonts w:ascii="Arial Narrow" w:hAnsi="Arial Narrow" w:cs="Arial"/>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6C208C6" w14:textId="72DCE484" w:rsidR="00845DDB" w:rsidRPr="00845DDB" w:rsidRDefault="00845DDB" w:rsidP="004D4E19">
            <w:pPr>
              <w:keepNext/>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br/>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A295D">
              <w:rPr>
                <w:rFonts w:ascii="Arial Narrow" w:eastAsia="Calibri" w:hAnsi="Arial Narrow" w:cs="Arial"/>
                <w:sz w:val="20"/>
                <w:szCs w:val="20"/>
              </w:rPr>
            </w:r>
            <w:r w:rsidR="006A295D">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[new code] </w:t>
            </w:r>
          </w:p>
        </w:tc>
      </w:tr>
      <w:tr w:rsidR="001E468F" w:rsidRPr="001E468F" w14:paraId="3F3FD286" w14:textId="77777777" w:rsidTr="009C456C">
        <w:tblPrEx>
          <w:tblCellMar>
            <w:top w:w="15" w:type="dxa"/>
            <w:bottom w:w="15" w:type="dxa"/>
          </w:tblCellMar>
          <w:tblLook w:val="04A0" w:firstRow="1" w:lastRow="0" w:firstColumn="1" w:lastColumn="0" w:noHBand="0" w:noVBand="1"/>
        </w:tblPrEx>
        <w:trPr>
          <w:trHeight w:val="1000"/>
        </w:trPr>
        <w:tc>
          <w:tcPr>
            <w:tcW w:w="562" w:type="dxa"/>
            <w:tcBorders>
              <w:left w:val="single" w:sz="4" w:space="0" w:color="auto"/>
              <w:right w:val="single" w:sz="4" w:space="0" w:color="auto"/>
            </w:tcBorders>
            <w:textDirection w:val="btLr"/>
            <w:vAlign w:val="center"/>
          </w:tcPr>
          <w:p w14:paraId="5CB5519A" w14:textId="77777777" w:rsidR="00845DDB" w:rsidRPr="004D4E19" w:rsidRDefault="00845DDB" w:rsidP="004D4E19">
            <w:pPr>
              <w:keepNext/>
              <w:jc w:val="center"/>
              <w:rPr>
                <w:rFonts w:ascii="Arial Narrow" w:hAnsi="Arial Narrow" w:cs="Arial"/>
                <w:sz w:val="20"/>
                <w:szCs w:val="20"/>
              </w:rPr>
            </w:pPr>
            <w:r w:rsidRPr="004D4E19">
              <w:rPr>
                <w:rFonts w:ascii="Arial Narrow" w:hAnsi="Arial Narrow" w:cs="Arial"/>
                <w:sz w:val="20"/>
                <w:szCs w:val="20"/>
              </w:rPr>
              <w:t>Prescribing rule level</w:t>
            </w:r>
          </w:p>
        </w:tc>
        <w:tc>
          <w:tcPr>
            <w:tcW w:w="709" w:type="dxa"/>
            <w:vAlign w:val="center"/>
          </w:tcPr>
          <w:p w14:paraId="330875C2" w14:textId="4C281918" w:rsidR="00845DDB" w:rsidRPr="004D4E19" w:rsidRDefault="00845DDB" w:rsidP="004D4E19">
            <w:pPr>
              <w:keepNext/>
              <w:jc w:val="center"/>
              <w:rPr>
                <w:rFonts w:ascii="Arial Narrow" w:hAnsi="Arial Narrow"/>
                <w:sz w:val="20"/>
                <w:szCs w:val="20"/>
              </w:rPr>
            </w:pPr>
          </w:p>
        </w:tc>
        <w:tc>
          <w:tcPr>
            <w:tcW w:w="7796" w:type="dxa"/>
            <w:gridSpan w:val="6"/>
            <w:vAlign w:val="center"/>
          </w:tcPr>
          <w:p w14:paraId="669A7422" w14:textId="682393F0" w:rsidR="00845DDB" w:rsidRPr="004D4E19" w:rsidRDefault="00845DDB" w:rsidP="004D4E19">
            <w:pPr>
              <w:keepNext/>
              <w:rPr>
                <w:rFonts w:ascii="Arial Narrow" w:hAnsi="Arial Narrow"/>
                <w:sz w:val="20"/>
                <w:szCs w:val="20"/>
              </w:rPr>
            </w:pPr>
            <w:r w:rsidRPr="004D4E19">
              <w:rPr>
                <w:rFonts w:ascii="Arial Narrow" w:hAnsi="Arial Narrow"/>
                <w:b/>
                <w:bCs/>
                <w:sz w:val="20"/>
                <w:szCs w:val="20"/>
              </w:rPr>
              <w:t>Caution:</w:t>
            </w:r>
          </w:p>
          <w:p w14:paraId="4E662254" w14:textId="46B2A700" w:rsidR="00845DDB" w:rsidRPr="004D4E19" w:rsidRDefault="00845DDB" w:rsidP="004D4E19">
            <w:pPr>
              <w:keepNext/>
              <w:rPr>
                <w:rFonts w:ascii="Arial Narrow" w:hAnsi="Arial Narrow"/>
                <w:sz w:val="20"/>
                <w:szCs w:val="20"/>
              </w:rPr>
            </w:pPr>
            <w:r w:rsidRPr="004D4E19">
              <w:rPr>
                <w:rFonts w:ascii="Arial Narrow" w:hAnsi="Arial Narrow"/>
                <w:sz w:val="20"/>
                <w:szCs w:val="20"/>
              </w:rPr>
              <w:t>Progressive multifocal leukoencephalopathy has been reported with this drug.</w:t>
            </w:r>
          </w:p>
        </w:tc>
      </w:tr>
      <w:tr w:rsidR="001E468F" w:rsidRPr="001E468F" w14:paraId="3DB089D4"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01E79D5" w14:textId="3957907A" w:rsidR="00845DDB" w:rsidRPr="004D4E19" w:rsidRDefault="00845DDB" w:rsidP="004D4E19">
            <w:pPr>
              <w:keepNext/>
              <w:keepLines/>
              <w:jc w:val="center"/>
              <w:rPr>
                <w:rFonts w:ascii="Arial Narrow" w:hAnsi="Arial Narrow"/>
                <w:sz w:val="20"/>
                <w:szCs w:val="20"/>
              </w:rPr>
            </w:pPr>
          </w:p>
        </w:tc>
        <w:tc>
          <w:tcPr>
            <w:tcW w:w="7796" w:type="dxa"/>
            <w:gridSpan w:val="6"/>
            <w:vAlign w:val="center"/>
            <w:hideMark/>
          </w:tcPr>
          <w:p w14:paraId="6C34B92B" w14:textId="5F83B862" w:rsidR="00845DDB" w:rsidRPr="004D4E19" w:rsidRDefault="00845DDB" w:rsidP="004D4E19">
            <w:pPr>
              <w:keepNext/>
              <w:keepLines/>
              <w:rPr>
                <w:rFonts w:ascii="Arial Narrow" w:hAnsi="Arial Narrow"/>
                <w:sz w:val="20"/>
                <w:szCs w:val="20"/>
              </w:rPr>
            </w:pPr>
            <w:r w:rsidRPr="004D4E19">
              <w:rPr>
                <w:rFonts w:ascii="Arial Narrow" w:hAnsi="Arial Narrow"/>
                <w:b/>
                <w:bCs/>
                <w:sz w:val="20"/>
                <w:szCs w:val="20"/>
              </w:rPr>
              <w:t>Indication:</w:t>
            </w:r>
            <w:r w:rsidRPr="004D4E19">
              <w:rPr>
                <w:rFonts w:ascii="Arial Narrow" w:hAnsi="Arial Narrow"/>
                <w:sz w:val="20"/>
                <w:szCs w:val="20"/>
              </w:rPr>
              <w:t xml:space="preserve"> Clinically definite relapsing-remitting multiple sclerosis</w:t>
            </w:r>
          </w:p>
        </w:tc>
      </w:tr>
      <w:tr w:rsidR="001E468F" w:rsidRPr="001E468F" w14:paraId="7D4D8E6B"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B900935" w14:textId="77777777" w:rsidR="00A0097D" w:rsidRPr="004D4E19" w:rsidRDefault="00A0097D" w:rsidP="004D4E19">
            <w:pPr>
              <w:keepNext/>
              <w:keepLines/>
              <w:jc w:val="center"/>
              <w:rPr>
                <w:rFonts w:ascii="Arial Narrow" w:hAnsi="Arial Narrow"/>
                <w:sz w:val="20"/>
                <w:szCs w:val="20"/>
              </w:rPr>
            </w:pPr>
          </w:p>
        </w:tc>
        <w:tc>
          <w:tcPr>
            <w:tcW w:w="7796" w:type="dxa"/>
            <w:gridSpan w:val="6"/>
            <w:vAlign w:val="center"/>
          </w:tcPr>
          <w:p w14:paraId="3FBE2992" w14:textId="77777777" w:rsidR="00A0097D" w:rsidRPr="004D4E19" w:rsidRDefault="00A0097D" w:rsidP="004D4E19">
            <w:pPr>
              <w:keepNext/>
              <w:keepLines/>
              <w:rPr>
                <w:rFonts w:ascii="Arial Narrow" w:hAnsi="Arial Narrow"/>
                <w:b/>
                <w:bCs/>
                <w:sz w:val="20"/>
                <w:szCs w:val="20"/>
              </w:rPr>
            </w:pPr>
          </w:p>
        </w:tc>
      </w:tr>
      <w:tr w:rsidR="001E468F" w:rsidRPr="001E468F" w14:paraId="208A9F69"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653A83" w14:textId="6F4E66B1" w:rsidR="00845DDB" w:rsidRPr="004D4E19" w:rsidRDefault="00845DDB" w:rsidP="004D4E19">
            <w:pPr>
              <w:keepNext/>
              <w:jc w:val="center"/>
              <w:rPr>
                <w:rFonts w:ascii="Arial Narrow" w:hAnsi="Arial Narrow"/>
                <w:sz w:val="20"/>
                <w:szCs w:val="20"/>
              </w:rPr>
            </w:pPr>
          </w:p>
        </w:tc>
        <w:tc>
          <w:tcPr>
            <w:tcW w:w="7796" w:type="dxa"/>
            <w:gridSpan w:val="6"/>
            <w:vAlign w:val="center"/>
          </w:tcPr>
          <w:p w14:paraId="42826C89" w14:textId="54A31E57" w:rsidR="00845DDB" w:rsidRPr="004D4E19" w:rsidRDefault="00845DDB" w:rsidP="004D4E19">
            <w:pPr>
              <w:keepNext/>
              <w:rPr>
                <w:rFonts w:ascii="Arial Narrow" w:hAnsi="Arial Narrow"/>
                <w:b/>
                <w:bCs/>
                <w:sz w:val="20"/>
                <w:szCs w:val="20"/>
              </w:rPr>
            </w:pPr>
            <w:r w:rsidRPr="004D4E19">
              <w:rPr>
                <w:rFonts w:ascii="Arial Narrow" w:hAnsi="Arial Narrow"/>
                <w:b/>
                <w:bCs/>
                <w:sz w:val="20"/>
                <w:szCs w:val="20"/>
              </w:rPr>
              <w:t>Treatment criteria:</w:t>
            </w:r>
          </w:p>
        </w:tc>
      </w:tr>
      <w:tr w:rsidR="001E468F" w:rsidRPr="001E468F" w14:paraId="66B0469A"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CAAFDB" w14:textId="2DC6945B" w:rsidR="00845DDB" w:rsidRPr="004D4E19" w:rsidRDefault="00845DDB" w:rsidP="004D4E19">
            <w:pPr>
              <w:keepNext/>
              <w:jc w:val="center"/>
              <w:rPr>
                <w:rFonts w:ascii="Arial Narrow" w:hAnsi="Arial Narrow"/>
                <w:sz w:val="20"/>
                <w:szCs w:val="20"/>
              </w:rPr>
            </w:pPr>
          </w:p>
        </w:tc>
        <w:tc>
          <w:tcPr>
            <w:tcW w:w="7796" w:type="dxa"/>
            <w:gridSpan w:val="6"/>
            <w:vAlign w:val="center"/>
          </w:tcPr>
          <w:p w14:paraId="15C94D89" w14:textId="22B11C95" w:rsidR="00845DDB" w:rsidRPr="004D4E19" w:rsidRDefault="00845DDB" w:rsidP="004D4E19">
            <w:pPr>
              <w:keepNext/>
              <w:rPr>
                <w:rFonts w:ascii="Arial Narrow" w:hAnsi="Arial Narrow"/>
                <w:b/>
                <w:bCs/>
                <w:sz w:val="20"/>
                <w:szCs w:val="20"/>
              </w:rPr>
            </w:pPr>
            <w:r w:rsidRPr="004D4E19">
              <w:rPr>
                <w:rFonts w:ascii="Arial Narrow" w:hAnsi="Arial Narrow" w:cs="Arial Narrow"/>
                <w:iCs/>
                <w:sz w:val="20"/>
                <w:szCs w:val="20"/>
              </w:rPr>
              <w:t>Must be treated by a neurologist</w:t>
            </w:r>
          </w:p>
        </w:tc>
      </w:tr>
      <w:tr w:rsidR="001E468F" w:rsidRPr="001E468F" w14:paraId="49C99F4F"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F9A039F" w14:textId="77777777" w:rsidR="00A0097D" w:rsidRPr="004D4E19" w:rsidRDefault="00A0097D" w:rsidP="004D4E19">
            <w:pPr>
              <w:keepNext/>
              <w:jc w:val="center"/>
              <w:rPr>
                <w:rFonts w:ascii="Arial Narrow" w:hAnsi="Arial Narrow"/>
                <w:sz w:val="20"/>
                <w:szCs w:val="20"/>
              </w:rPr>
            </w:pPr>
          </w:p>
        </w:tc>
        <w:tc>
          <w:tcPr>
            <w:tcW w:w="7796" w:type="dxa"/>
            <w:gridSpan w:val="6"/>
            <w:vAlign w:val="center"/>
          </w:tcPr>
          <w:p w14:paraId="1289C14F" w14:textId="77777777" w:rsidR="00A0097D" w:rsidRPr="004D4E19" w:rsidRDefault="00A0097D" w:rsidP="004D4E19">
            <w:pPr>
              <w:keepNext/>
              <w:rPr>
                <w:rFonts w:ascii="Arial Narrow" w:hAnsi="Arial Narrow" w:cs="Arial Narrow"/>
                <w:iCs/>
                <w:sz w:val="20"/>
                <w:szCs w:val="20"/>
              </w:rPr>
            </w:pPr>
          </w:p>
        </w:tc>
      </w:tr>
      <w:tr w:rsidR="001E468F" w:rsidRPr="001E468F" w14:paraId="28B6907A"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3C358D" w14:textId="36362ADF"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78DF4713" w14:textId="08CA5A90" w:rsidR="00845DDB" w:rsidRPr="004D4E19" w:rsidRDefault="00845DDB" w:rsidP="004D4E19">
            <w:pPr>
              <w:keepNext/>
              <w:rPr>
                <w:rFonts w:ascii="Arial Narrow" w:hAnsi="Arial Narrow"/>
                <w:sz w:val="20"/>
                <w:szCs w:val="20"/>
              </w:rPr>
            </w:pPr>
            <w:r w:rsidRPr="004D4E19">
              <w:rPr>
                <w:rFonts w:ascii="Arial Narrow" w:hAnsi="Arial Narrow"/>
                <w:b/>
                <w:bCs/>
                <w:sz w:val="20"/>
                <w:szCs w:val="20"/>
              </w:rPr>
              <w:t xml:space="preserve">Clinical criteria: </w:t>
            </w:r>
          </w:p>
        </w:tc>
      </w:tr>
      <w:tr w:rsidR="001E468F" w:rsidRPr="001E468F" w14:paraId="024813E3"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F7AD597" w14:textId="57176F3F"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2D070B45" w14:textId="7047A863" w:rsidR="00845DDB" w:rsidRPr="004D4E19" w:rsidRDefault="00A0097D" w:rsidP="004D4E19">
            <w:pPr>
              <w:keepNext/>
              <w:rPr>
                <w:rFonts w:ascii="Arial Narrow" w:hAnsi="Arial Narrow"/>
                <w:sz w:val="20"/>
                <w:szCs w:val="20"/>
              </w:rPr>
            </w:pPr>
            <w:r w:rsidRPr="004D4E19">
              <w:rPr>
                <w:rFonts w:ascii="Arial Narrow" w:hAnsi="Arial Narrow"/>
                <w:sz w:val="20"/>
                <w:szCs w:val="20"/>
              </w:rPr>
              <w:t>The treatment must be the sole PBS-subsidised disease modifying therapy for this condition</w:t>
            </w:r>
          </w:p>
        </w:tc>
      </w:tr>
      <w:tr w:rsidR="001E468F" w:rsidRPr="001E468F" w14:paraId="51BE564D"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22F9953" w14:textId="77777777"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1719BEED" w14:textId="77777777" w:rsidR="00845DDB" w:rsidRPr="004D4E19" w:rsidRDefault="00845DDB" w:rsidP="004D4E19">
            <w:pPr>
              <w:keepNext/>
              <w:rPr>
                <w:rFonts w:ascii="Arial Narrow" w:hAnsi="Arial Narrow"/>
                <w:sz w:val="20"/>
                <w:szCs w:val="20"/>
              </w:rPr>
            </w:pPr>
            <w:r w:rsidRPr="004D4E19">
              <w:rPr>
                <w:rFonts w:ascii="Arial Narrow" w:hAnsi="Arial Narrow"/>
                <w:b/>
                <w:bCs/>
                <w:sz w:val="20"/>
                <w:szCs w:val="20"/>
              </w:rPr>
              <w:t>AND</w:t>
            </w:r>
          </w:p>
        </w:tc>
      </w:tr>
      <w:tr w:rsidR="001E468F" w:rsidRPr="001E468F" w14:paraId="7387AA62"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E019766" w14:textId="3913B39B"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6E19EC35" w14:textId="77777777" w:rsidR="00845DDB" w:rsidRPr="004D4E19" w:rsidRDefault="00845DDB" w:rsidP="004D4E19">
            <w:pPr>
              <w:keepNext/>
              <w:rPr>
                <w:rFonts w:ascii="Arial Narrow" w:hAnsi="Arial Narrow"/>
                <w:sz w:val="20"/>
                <w:szCs w:val="20"/>
              </w:rPr>
            </w:pPr>
            <w:r w:rsidRPr="004D4E19">
              <w:rPr>
                <w:rFonts w:ascii="Arial Narrow" w:hAnsi="Arial Narrow"/>
                <w:b/>
                <w:bCs/>
                <w:sz w:val="20"/>
                <w:szCs w:val="20"/>
              </w:rPr>
              <w:t>Clinical criteria:</w:t>
            </w:r>
          </w:p>
        </w:tc>
      </w:tr>
      <w:tr w:rsidR="001E468F" w:rsidRPr="001E468F" w14:paraId="601CE239"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6A058A1" w14:textId="43DE147B"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4074E909" w14:textId="0B35BCEE" w:rsidR="00845DDB" w:rsidRPr="004D4E19" w:rsidRDefault="00A0097D" w:rsidP="004D4E19">
            <w:pPr>
              <w:keepNext/>
              <w:rPr>
                <w:rFonts w:ascii="Arial Narrow" w:hAnsi="Arial Narrow"/>
                <w:sz w:val="20"/>
                <w:szCs w:val="20"/>
              </w:rPr>
            </w:pPr>
            <w:r w:rsidRPr="004D4E19">
              <w:rPr>
                <w:rFonts w:ascii="Arial Narrow" w:hAnsi="Arial Narrow"/>
                <w:sz w:val="20"/>
                <w:szCs w:val="20"/>
              </w:rPr>
              <w:t>Patient must be ambulatory (without assistance or support)</w:t>
            </w:r>
            <w:r w:rsidR="00845DDB" w:rsidRPr="004D4E19">
              <w:rPr>
                <w:rFonts w:ascii="Arial Narrow" w:hAnsi="Arial Narrow"/>
                <w:sz w:val="20"/>
                <w:szCs w:val="20"/>
              </w:rPr>
              <w:t xml:space="preserve"> </w:t>
            </w:r>
          </w:p>
        </w:tc>
      </w:tr>
      <w:tr w:rsidR="001E468F" w:rsidRPr="001E468F" w14:paraId="6BE59F85"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F1F8A62" w14:textId="77777777"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080CBE1A" w14:textId="77777777" w:rsidR="00845DDB" w:rsidRPr="004D4E19" w:rsidRDefault="00845DDB" w:rsidP="004D4E19">
            <w:pPr>
              <w:keepNext/>
              <w:rPr>
                <w:rFonts w:ascii="Arial Narrow" w:hAnsi="Arial Narrow"/>
                <w:sz w:val="20"/>
                <w:szCs w:val="20"/>
              </w:rPr>
            </w:pPr>
            <w:r w:rsidRPr="004D4E19">
              <w:rPr>
                <w:rFonts w:ascii="Arial Narrow" w:hAnsi="Arial Narrow"/>
                <w:b/>
                <w:bCs/>
                <w:sz w:val="20"/>
                <w:szCs w:val="20"/>
              </w:rPr>
              <w:t>AND</w:t>
            </w:r>
          </w:p>
        </w:tc>
      </w:tr>
      <w:tr w:rsidR="001E468F" w:rsidRPr="001E468F" w14:paraId="7CBDF792"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325945F" w14:textId="39C47DFD"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33B9DF72" w14:textId="77777777" w:rsidR="00845DDB" w:rsidRPr="004D4E19" w:rsidRDefault="00845DDB" w:rsidP="004D4E19">
            <w:pPr>
              <w:keepNext/>
              <w:rPr>
                <w:rFonts w:ascii="Arial Narrow" w:hAnsi="Arial Narrow"/>
                <w:sz w:val="20"/>
                <w:szCs w:val="20"/>
              </w:rPr>
            </w:pPr>
            <w:r w:rsidRPr="004D4E19">
              <w:rPr>
                <w:rFonts w:ascii="Arial Narrow" w:hAnsi="Arial Narrow"/>
                <w:b/>
                <w:bCs/>
                <w:sz w:val="20"/>
                <w:szCs w:val="20"/>
              </w:rPr>
              <w:t>Clinical criteria:</w:t>
            </w:r>
          </w:p>
        </w:tc>
      </w:tr>
      <w:tr w:rsidR="001E468F" w:rsidRPr="001E468F" w14:paraId="296161DB"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BD81D39" w14:textId="42221B71" w:rsidR="00845DDB" w:rsidRPr="004D4E19" w:rsidRDefault="00845DDB" w:rsidP="004D4E19">
            <w:pPr>
              <w:keepNext/>
              <w:jc w:val="center"/>
              <w:rPr>
                <w:rFonts w:ascii="Arial Narrow" w:hAnsi="Arial Narrow"/>
                <w:sz w:val="20"/>
                <w:szCs w:val="20"/>
              </w:rPr>
            </w:pPr>
          </w:p>
        </w:tc>
        <w:tc>
          <w:tcPr>
            <w:tcW w:w="7796" w:type="dxa"/>
            <w:gridSpan w:val="6"/>
            <w:vAlign w:val="center"/>
            <w:hideMark/>
          </w:tcPr>
          <w:p w14:paraId="4CE5DD23" w14:textId="051D7B00" w:rsidR="00845DDB" w:rsidRPr="004D4E19" w:rsidRDefault="00A0097D" w:rsidP="004D4E19">
            <w:pPr>
              <w:keepNext/>
              <w:rPr>
                <w:rFonts w:ascii="Arial Narrow" w:hAnsi="Arial Narrow"/>
                <w:sz w:val="20"/>
                <w:szCs w:val="20"/>
              </w:rPr>
            </w:pPr>
            <w:r w:rsidRPr="004D4E19">
              <w:rPr>
                <w:rFonts w:ascii="Arial Narrow" w:hAnsi="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1E468F" w:rsidRPr="001E468F" w14:paraId="5686542F" w14:textId="77777777" w:rsidTr="00A0097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F3D5BE" w14:textId="53370EDB" w:rsidR="00A0097D" w:rsidRPr="004D4E19" w:rsidRDefault="00A0097D" w:rsidP="004D4E19">
            <w:pPr>
              <w:keepNext/>
              <w:jc w:val="center"/>
              <w:rPr>
                <w:rFonts w:ascii="Arial Narrow" w:hAnsi="Arial Narrow"/>
                <w:sz w:val="20"/>
                <w:szCs w:val="20"/>
              </w:rPr>
            </w:pPr>
          </w:p>
        </w:tc>
        <w:tc>
          <w:tcPr>
            <w:tcW w:w="7796" w:type="dxa"/>
            <w:gridSpan w:val="6"/>
            <w:vAlign w:val="center"/>
          </w:tcPr>
          <w:p w14:paraId="005BA2EF" w14:textId="0CA503D4" w:rsidR="00A0097D" w:rsidRPr="004D4E19" w:rsidRDefault="00A0097D" w:rsidP="004D4E19">
            <w:pPr>
              <w:keepNext/>
              <w:rPr>
                <w:rFonts w:ascii="Arial Narrow" w:hAnsi="Arial Narrow"/>
                <w:sz w:val="20"/>
                <w:szCs w:val="20"/>
              </w:rPr>
            </w:pPr>
            <w:r w:rsidRPr="004D4E19">
              <w:rPr>
                <w:rFonts w:ascii="Arial Narrow" w:hAnsi="Arial Narrow"/>
                <w:b/>
                <w:bCs/>
                <w:sz w:val="20"/>
                <w:szCs w:val="20"/>
              </w:rPr>
              <w:t>AND</w:t>
            </w:r>
          </w:p>
        </w:tc>
      </w:tr>
      <w:tr w:rsidR="001E468F" w:rsidRPr="001E468F" w14:paraId="723380A1" w14:textId="77777777" w:rsidTr="00A0097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44A77B" w14:textId="3183914C" w:rsidR="00A0097D" w:rsidRPr="004D4E19" w:rsidRDefault="00A0097D" w:rsidP="004D4E19">
            <w:pPr>
              <w:keepNext/>
              <w:jc w:val="center"/>
              <w:rPr>
                <w:rFonts w:ascii="Arial Narrow" w:hAnsi="Arial Narrow"/>
                <w:sz w:val="20"/>
                <w:szCs w:val="20"/>
              </w:rPr>
            </w:pPr>
          </w:p>
        </w:tc>
        <w:tc>
          <w:tcPr>
            <w:tcW w:w="7796" w:type="dxa"/>
            <w:gridSpan w:val="6"/>
            <w:vAlign w:val="center"/>
          </w:tcPr>
          <w:p w14:paraId="321BDE7F" w14:textId="31909F9A" w:rsidR="00A0097D" w:rsidRPr="004D4E19" w:rsidRDefault="00A0097D" w:rsidP="004D4E19">
            <w:pPr>
              <w:keepNext/>
              <w:autoSpaceDE w:val="0"/>
              <w:autoSpaceDN w:val="0"/>
              <w:adjustRightInd w:val="0"/>
              <w:rPr>
                <w:rFonts w:ascii="Arial Narrow" w:hAnsi="Arial Narrow" w:cs="Arial Narrow"/>
                <w:i/>
                <w:iCs/>
                <w:sz w:val="20"/>
                <w:szCs w:val="20"/>
              </w:rPr>
            </w:pPr>
            <w:r w:rsidRPr="004D4E19">
              <w:rPr>
                <w:rFonts w:ascii="Arial Narrow" w:hAnsi="Arial Narrow"/>
                <w:b/>
                <w:bCs/>
                <w:sz w:val="20"/>
                <w:szCs w:val="20"/>
              </w:rPr>
              <w:t>Clinical criteria:</w:t>
            </w:r>
          </w:p>
        </w:tc>
      </w:tr>
      <w:tr w:rsidR="001E468F" w:rsidRPr="001E468F" w14:paraId="5B417F9C"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CDAA02B" w14:textId="1F69E2E2" w:rsidR="00A0097D" w:rsidRPr="004D4E19" w:rsidRDefault="00A0097D" w:rsidP="004D4E19">
            <w:pPr>
              <w:keepNext/>
              <w:jc w:val="center"/>
              <w:rPr>
                <w:rFonts w:ascii="Arial Narrow" w:hAnsi="Arial Narrow"/>
                <w:sz w:val="20"/>
                <w:szCs w:val="20"/>
              </w:rPr>
            </w:pPr>
          </w:p>
        </w:tc>
        <w:tc>
          <w:tcPr>
            <w:tcW w:w="7796" w:type="dxa"/>
            <w:gridSpan w:val="6"/>
            <w:vAlign w:val="center"/>
          </w:tcPr>
          <w:p w14:paraId="2A3F58E1" w14:textId="3FED4236" w:rsidR="00A0097D" w:rsidRPr="004D4E19" w:rsidRDefault="00A0097D" w:rsidP="004D4E19">
            <w:pPr>
              <w:keepNext/>
              <w:autoSpaceDE w:val="0"/>
              <w:autoSpaceDN w:val="0"/>
              <w:adjustRightInd w:val="0"/>
              <w:rPr>
                <w:rFonts w:ascii="Arial Narrow" w:hAnsi="Arial Narrow" w:cs="Arial Narrow"/>
                <w:sz w:val="20"/>
                <w:szCs w:val="20"/>
              </w:rPr>
            </w:pPr>
            <w:r w:rsidRPr="004D4E19">
              <w:rPr>
                <w:rFonts w:ascii="Arial Narrow" w:hAnsi="Arial Narrow" w:cs="Arial Narrow"/>
                <w:sz w:val="20"/>
                <w:szCs w:val="20"/>
              </w:rPr>
              <w:t>The condition must be confirmed by magnetic resonance imaging of the brain and/or spinal cord; or</w:t>
            </w:r>
          </w:p>
        </w:tc>
      </w:tr>
      <w:tr w:rsidR="001E468F" w:rsidRPr="001E468F" w14:paraId="7046E085"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AC975A2" w14:textId="3C31BC83" w:rsidR="00A0097D" w:rsidRPr="004D4E19" w:rsidRDefault="00A0097D" w:rsidP="004D4E19">
            <w:pPr>
              <w:keepNext/>
              <w:jc w:val="center"/>
              <w:rPr>
                <w:rFonts w:ascii="Arial Narrow" w:hAnsi="Arial Narrow"/>
                <w:sz w:val="20"/>
                <w:szCs w:val="20"/>
              </w:rPr>
            </w:pPr>
          </w:p>
        </w:tc>
        <w:tc>
          <w:tcPr>
            <w:tcW w:w="7796" w:type="dxa"/>
            <w:gridSpan w:val="6"/>
            <w:vAlign w:val="center"/>
          </w:tcPr>
          <w:p w14:paraId="1DB2D29F" w14:textId="15787651" w:rsidR="00A0097D" w:rsidRPr="004D4E19" w:rsidRDefault="00A0097D" w:rsidP="004D4E19">
            <w:pPr>
              <w:keepNext/>
              <w:rPr>
                <w:rFonts w:ascii="Arial Narrow" w:hAnsi="Arial Narrow"/>
                <w:sz w:val="20"/>
                <w:szCs w:val="20"/>
              </w:rPr>
            </w:pPr>
            <w:r w:rsidRPr="004D4E19">
              <w:rPr>
                <w:rFonts w:ascii="Arial Narrow" w:hAnsi="Arial Narrow"/>
                <w:sz w:val="20"/>
                <w:szCs w:val="20"/>
              </w:rPr>
              <w:t xml:space="preserve">Patient must be deemed unsuitable for magnetic resonance imaging due to the risk of physical (not psychological) injury to the patient </w:t>
            </w:r>
          </w:p>
        </w:tc>
      </w:tr>
      <w:tr w:rsidR="001E468F" w:rsidRPr="001E468F" w14:paraId="6CEC055B"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FC6D87" w14:textId="77777777" w:rsidR="00A0097D" w:rsidRPr="004D4E19" w:rsidRDefault="00A0097D" w:rsidP="004D4E19">
            <w:pPr>
              <w:keepNext/>
              <w:jc w:val="center"/>
              <w:rPr>
                <w:rFonts w:ascii="Arial Narrow" w:hAnsi="Arial Narrow"/>
                <w:sz w:val="20"/>
                <w:szCs w:val="20"/>
              </w:rPr>
            </w:pPr>
          </w:p>
        </w:tc>
        <w:tc>
          <w:tcPr>
            <w:tcW w:w="7796" w:type="dxa"/>
            <w:gridSpan w:val="6"/>
            <w:vAlign w:val="center"/>
          </w:tcPr>
          <w:p w14:paraId="0802C27E" w14:textId="77777777" w:rsidR="00A0097D" w:rsidRPr="004D4E19" w:rsidRDefault="00A0097D" w:rsidP="004D4E19">
            <w:pPr>
              <w:keepNext/>
              <w:rPr>
                <w:rFonts w:ascii="Arial Narrow" w:hAnsi="Arial Narrow"/>
                <w:sz w:val="20"/>
                <w:szCs w:val="20"/>
              </w:rPr>
            </w:pPr>
          </w:p>
        </w:tc>
      </w:tr>
      <w:tr w:rsidR="001E468F" w:rsidRPr="001E468F" w14:paraId="411FECD4"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966CFE" w14:textId="5B19C135" w:rsidR="00A0097D" w:rsidRPr="004D4E19" w:rsidRDefault="00A0097D" w:rsidP="004D4E19">
            <w:pPr>
              <w:keepNext/>
              <w:jc w:val="center"/>
              <w:rPr>
                <w:rFonts w:ascii="Arial Narrow" w:hAnsi="Arial Narrow"/>
                <w:sz w:val="20"/>
                <w:szCs w:val="20"/>
              </w:rPr>
            </w:pPr>
          </w:p>
        </w:tc>
        <w:tc>
          <w:tcPr>
            <w:tcW w:w="7796" w:type="dxa"/>
            <w:gridSpan w:val="6"/>
            <w:vAlign w:val="center"/>
          </w:tcPr>
          <w:p w14:paraId="2157C883" w14:textId="77777777" w:rsidR="00A0097D" w:rsidRPr="004D4E19" w:rsidRDefault="00A0097D" w:rsidP="004D4E19">
            <w:pPr>
              <w:keepNext/>
              <w:rPr>
                <w:rFonts w:ascii="Arial Narrow" w:hAnsi="Arial Narrow"/>
                <w:b/>
                <w:bCs/>
                <w:sz w:val="20"/>
                <w:szCs w:val="20"/>
              </w:rPr>
            </w:pPr>
            <w:r w:rsidRPr="004D4E19">
              <w:rPr>
                <w:rFonts w:ascii="Arial Narrow" w:hAnsi="Arial Narrow"/>
                <w:b/>
                <w:bCs/>
                <w:sz w:val="20"/>
                <w:szCs w:val="20"/>
              </w:rPr>
              <w:t>Prescribing Instructions:</w:t>
            </w:r>
          </w:p>
          <w:p w14:paraId="66E02CB4" w14:textId="1D2BE24E" w:rsidR="00A0097D" w:rsidRPr="004D4E19" w:rsidRDefault="00A0097D" w:rsidP="004D4E19">
            <w:pPr>
              <w:keepNext/>
              <w:rPr>
                <w:rFonts w:ascii="Arial Narrow" w:hAnsi="Arial Narrow"/>
                <w:sz w:val="20"/>
                <w:szCs w:val="20"/>
              </w:rPr>
            </w:pPr>
            <w:r w:rsidRPr="004D4E19">
              <w:rPr>
                <w:rFonts w:ascii="Arial Narrow" w:hAnsi="Arial Narrow"/>
                <w:sz w:val="20"/>
                <w:szCs w:val="20"/>
              </w:rPr>
              <w:t xml:space="preserve">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 </w:t>
            </w:r>
          </w:p>
        </w:tc>
      </w:tr>
      <w:tr w:rsidR="001E468F" w:rsidRPr="001E468F" w14:paraId="1E131FD9" w14:textId="77777777" w:rsidTr="00845DD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CD4907" w14:textId="0616035F" w:rsidR="00A0097D" w:rsidRPr="004D4E19" w:rsidRDefault="00A0097D" w:rsidP="004D4E19">
            <w:pPr>
              <w:keepNext/>
              <w:jc w:val="center"/>
              <w:rPr>
                <w:rFonts w:ascii="Arial Narrow" w:hAnsi="Arial Narrow"/>
                <w:sz w:val="20"/>
                <w:szCs w:val="20"/>
              </w:rPr>
            </w:pPr>
          </w:p>
        </w:tc>
        <w:tc>
          <w:tcPr>
            <w:tcW w:w="7796" w:type="dxa"/>
            <w:gridSpan w:val="6"/>
            <w:vAlign w:val="center"/>
          </w:tcPr>
          <w:p w14:paraId="54B0E9DD" w14:textId="77777777" w:rsidR="00A0097D" w:rsidRPr="004D4E19" w:rsidRDefault="00A0097D" w:rsidP="004D4E19">
            <w:pPr>
              <w:keepNext/>
              <w:rPr>
                <w:rFonts w:ascii="Arial Narrow" w:hAnsi="Arial Narrow"/>
                <w:b/>
                <w:bCs/>
                <w:sz w:val="20"/>
                <w:szCs w:val="20"/>
              </w:rPr>
            </w:pPr>
            <w:r w:rsidRPr="004D4E19">
              <w:rPr>
                <w:rFonts w:ascii="Arial Narrow" w:hAnsi="Arial Narrow"/>
                <w:b/>
                <w:bCs/>
                <w:sz w:val="20"/>
                <w:szCs w:val="20"/>
              </w:rPr>
              <w:t>Prescribing Instructions:</w:t>
            </w:r>
          </w:p>
          <w:p w14:paraId="5E773402" w14:textId="32D67A70" w:rsidR="00A0097D" w:rsidRPr="004D4E19" w:rsidRDefault="00A0097D" w:rsidP="004D4E19">
            <w:pPr>
              <w:keepNext/>
              <w:rPr>
                <w:rFonts w:ascii="Arial Narrow" w:hAnsi="Arial Narrow"/>
                <w:sz w:val="20"/>
                <w:szCs w:val="20"/>
              </w:rPr>
            </w:pPr>
            <w:r w:rsidRPr="004D4E19">
              <w:rPr>
                <w:rFonts w:ascii="Arial Narrow" w:hAnsi="Arial Narrow"/>
                <w:sz w:val="20"/>
                <w:szCs w:val="20"/>
              </w:rPr>
              <w:t xml:space="preserve">Treatment with this drug must cease if there is continuing progression of disability whilst the patient is being treated with this drug. </w:t>
            </w:r>
          </w:p>
        </w:tc>
      </w:tr>
      <w:tr w:rsidR="001E468F" w:rsidRPr="001E468F" w14:paraId="5CCB21E5"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0992AE3" w14:textId="158C0352" w:rsidR="00A0097D" w:rsidRPr="004D4E19" w:rsidRDefault="00A0097D" w:rsidP="004D4E19">
            <w:pPr>
              <w:keepNext/>
              <w:jc w:val="center"/>
              <w:rPr>
                <w:rFonts w:ascii="Arial Narrow" w:hAnsi="Arial Narrow"/>
                <w:sz w:val="20"/>
                <w:szCs w:val="20"/>
              </w:rPr>
            </w:pPr>
          </w:p>
        </w:tc>
        <w:tc>
          <w:tcPr>
            <w:tcW w:w="7796" w:type="dxa"/>
            <w:gridSpan w:val="6"/>
            <w:vAlign w:val="center"/>
            <w:hideMark/>
          </w:tcPr>
          <w:p w14:paraId="4AA9AE55" w14:textId="77777777" w:rsidR="00A0097D" w:rsidRPr="004D4E19" w:rsidRDefault="00A0097D" w:rsidP="004D4E19">
            <w:pPr>
              <w:keepNext/>
              <w:rPr>
                <w:rFonts w:ascii="Arial Narrow" w:hAnsi="Arial Narrow"/>
                <w:bCs/>
                <w:sz w:val="20"/>
                <w:szCs w:val="20"/>
              </w:rPr>
            </w:pPr>
            <w:r w:rsidRPr="004D4E19">
              <w:rPr>
                <w:rFonts w:ascii="Arial Narrow" w:hAnsi="Arial Narrow"/>
                <w:b/>
                <w:bCs/>
                <w:sz w:val="20"/>
                <w:szCs w:val="20"/>
              </w:rPr>
              <w:t xml:space="preserve">Prescribing Instructions: </w:t>
            </w:r>
          </w:p>
          <w:p w14:paraId="5F0EFB4A" w14:textId="4C3D55F2" w:rsidR="00A0097D" w:rsidRPr="004D4E19" w:rsidRDefault="00A0097D" w:rsidP="004D4E19">
            <w:pPr>
              <w:keepNext/>
              <w:rPr>
                <w:rFonts w:ascii="Arial Narrow" w:hAnsi="Arial Narrow"/>
                <w:sz w:val="20"/>
                <w:szCs w:val="20"/>
              </w:rPr>
            </w:pPr>
            <w:r w:rsidRPr="004D4E19">
              <w:rPr>
                <w:rFonts w:ascii="Arial Narrow" w:hAnsi="Arial Narrow"/>
                <w:bCs/>
                <w:sz w:val="20"/>
                <w:szCs w:val="20"/>
              </w:rPr>
              <w:t>For continued treatment the patient must demonstrate compliance with, and an ability to tolerate, this drug.</w:t>
            </w:r>
          </w:p>
        </w:tc>
      </w:tr>
    </w:tbl>
    <w:p w14:paraId="535386F7" w14:textId="77777777" w:rsidR="00CF0ED8" w:rsidRDefault="00CF0ED8" w:rsidP="004D4E19">
      <w:pPr>
        <w:pStyle w:val="3-BodyText"/>
        <w:keepNext/>
        <w:numPr>
          <w:ilvl w:val="0"/>
          <w:numId w:val="0"/>
        </w:numPr>
        <w:spacing w:after="0"/>
        <w:ind w:left="360" w:hanging="360"/>
      </w:pPr>
    </w:p>
    <w:p w14:paraId="315DB283" w14:textId="70817514" w:rsidR="00711124" w:rsidRPr="00711124" w:rsidRDefault="00711124" w:rsidP="00877ECE">
      <w:pPr>
        <w:pStyle w:val="3-BodyText"/>
        <w:numPr>
          <w:ilvl w:val="1"/>
          <w:numId w:val="1"/>
        </w:numPr>
      </w:pPr>
      <w:r>
        <w:t xml:space="preserve">The submission states that </w:t>
      </w:r>
      <w:r w:rsidRPr="00A47B06">
        <w:t>natalizumab</w:t>
      </w:r>
      <w:r>
        <w:t xml:space="preserve"> </w:t>
      </w:r>
      <w:r w:rsidR="003B3136">
        <w:t>SC</w:t>
      </w:r>
      <w:r>
        <w:t xml:space="preserve"> </w:t>
      </w:r>
      <w:r w:rsidRPr="00C06DCA">
        <w:rPr>
          <w:rFonts w:eastAsia="Times New Roman"/>
          <w:szCs w:val="24"/>
          <w:lang w:val="en-US"/>
        </w:rPr>
        <w:t xml:space="preserve">is less invasive, reduces the time required for drug administration, reduces post administration observation time and allows for </w:t>
      </w:r>
      <w:r w:rsidRPr="00C06DCA">
        <w:rPr>
          <w:rFonts w:eastAsia="Times New Roman"/>
          <w:szCs w:val="24"/>
          <w:lang w:val="en-US"/>
        </w:rPr>
        <w:lastRenderedPageBreak/>
        <w:t>administration to occur outside of the hospital setting.</w:t>
      </w:r>
      <w:r w:rsidR="003B3136">
        <w:rPr>
          <w:rFonts w:eastAsia="Times New Roman"/>
          <w:szCs w:val="24"/>
          <w:lang w:val="en-US"/>
        </w:rPr>
        <w:t xml:space="preserve"> The submission suggested that natal</w:t>
      </w:r>
      <w:r w:rsidR="00613F4A">
        <w:rPr>
          <w:rFonts w:eastAsia="Times New Roman"/>
          <w:szCs w:val="24"/>
          <w:lang w:val="en-US"/>
        </w:rPr>
        <w:t>i</w:t>
      </w:r>
      <w:r w:rsidR="003B3136">
        <w:rPr>
          <w:rFonts w:eastAsia="Times New Roman"/>
          <w:szCs w:val="24"/>
          <w:lang w:val="en-US"/>
        </w:rPr>
        <w:t xml:space="preserve">zumab SC would be administered by a general practitioner at consulting rooms. </w:t>
      </w:r>
    </w:p>
    <w:p w14:paraId="49E0BEBD" w14:textId="463B8195" w:rsidR="00711124" w:rsidRPr="00B5605C" w:rsidRDefault="00024EC5" w:rsidP="00877ECE">
      <w:pPr>
        <w:pStyle w:val="3-BodyText"/>
        <w:numPr>
          <w:ilvl w:val="1"/>
          <w:numId w:val="1"/>
        </w:numPr>
      </w:pPr>
      <w:r w:rsidRPr="008E7EEC">
        <w:t>T</w:t>
      </w:r>
      <w:r w:rsidR="003B3136" w:rsidRPr="008E7EEC">
        <w:t xml:space="preserve">he </w:t>
      </w:r>
      <w:r w:rsidR="00711124" w:rsidRPr="00A46C92">
        <w:t xml:space="preserve">Product Information states that </w:t>
      </w:r>
      <w:r w:rsidR="003B3136" w:rsidRPr="0007647B">
        <w:t>‘</w:t>
      </w:r>
      <w:r w:rsidR="00711124" w:rsidRPr="00B5605C">
        <w:t>Tysabri therapy is to be initiated and supervised by neurologists, with timely access to Magnetic Resonance Image. Administration is to be performed by a healthcare professional and patients are to be monitored for early signs and symptoms of progressive multifocal leukoencephalopathy</w:t>
      </w:r>
      <w:r w:rsidR="003B3136" w:rsidRPr="00B5605C">
        <w:t>’</w:t>
      </w:r>
      <w:r w:rsidR="00711124" w:rsidRPr="008E7EEC">
        <w:t>.</w:t>
      </w:r>
    </w:p>
    <w:p w14:paraId="6CFA66EB" w14:textId="7C6AF7E1" w:rsidR="009E4F4C" w:rsidRPr="00255AFD" w:rsidRDefault="009E4F4C" w:rsidP="00877ECE">
      <w:pPr>
        <w:pStyle w:val="3-BodyText"/>
        <w:numPr>
          <w:ilvl w:val="1"/>
          <w:numId w:val="1"/>
        </w:numPr>
      </w:pPr>
      <w:bookmarkStart w:id="2" w:name="_Hlk127944617"/>
      <w:r w:rsidRPr="00E24D28">
        <w:t xml:space="preserve">The </w:t>
      </w:r>
      <w:r w:rsidR="009C456C">
        <w:t>p</w:t>
      </w:r>
      <w:r w:rsidRPr="00E24D28">
        <w:t xml:space="preserve">re-PBAC </w:t>
      </w:r>
      <w:r w:rsidRPr="00255AFD">
        <w:t>response</w:t>
      </w:r>
      <w:r w:rsidRPr="00E24D28">
        <w:t xml:space="preserve"> </w:t>
      </w:r>
      <w:r w:rsidR="0072241C">
        <w:t>stated that</w:t>
      </w:r>
      <w:r w:rsidRPr="00E24D28">
        <w:t xml:space="preserve"> </w:t>
      </w:r>
      <w:r w:rsidR="00ED344E" w:rsidRPr="00B5605C">
        <w:t xml:space="preserve">the Product Information </w:t>
      </w:r>
      <w:r w:rsidRPr="00E24D28">
        <w:t xml:space="preserve">permits administration of </w:t>
      </w:r>
      <w:r w:rsidR="0072241C">
        <w:t>n</w:t>
      </w:r>
      <w:r w:rsidRPr="00E24D28">
        <w:t xml:space="preserve">atalizumab SC </w:t>
      </w:r>
      <w:r w:rsidR="00ED344E" w:rsidRPr="00B5605C">
        <w:t>‘</w:t>
      </w:r>
      <w:r w:rsidRPr="00E24D28">
        <w:t>to be performed by a healthcare professional</w:t>
      </w:r>
      <w:r w:rsidR="00ED344E" w:rsidRPr="00B5605C">
        <w:t>’</w:t>
      </w:r>
      <w:r w:rsidRPr="00E24D28">
        <w:t>, which includes a neurologist, general practitioner, nurse or pharmacist</w:t>
      </w:r>
      <w:r w:rsidR="00ED344E" w:rsidRPr="00B5605C">
        <w:t xml:space="preserve">. </w:t>
      </w:r>
    </w:p>
    <w:p w14:paraId="07068D88" w14:textId="0BAC530A" w:rsidR="008E7EEC" w:rsidRPr="00B5605C" w:rsidRDefault="008E7EEC" w:rsidP="00B5605C">
      <w:pPr>
        <w:pStyle w:val="3Bodytext"/>
        <w:numPr>
          <w:ilvl w:val="0"/>
          <w:numId w:val="0"/>
        </w:numPr>
        <w:ind w:left="720" w:hanging="11"/>
        <w:jc w:val="both"/>
      </w:pPr>
      <w:r w:rsidRPr="00A10280">
        <w:rPr>
          <w:i/>
        </w:rPr>
        <w:t xml:space="preserve">For more detail on PBAC’s view, see section </w:t>
      </w:r>
      <w:r>
        <w:rPr>
          <w:i/>
        </w:rPr>
        <w:t>6</w:t>
      </w:r>
      <w:r w:rsidRPr="00A10280">
        <w:rPr>
          <w:i/>
        </w:rPr>
        <w:t xml:space="preserve"> PBAC outcome.</w:t>
      </w:r>
      <w:r w:rsidRPr="006403F8">
        <w:rPr>
          <w:i/>
          <w:iCs/>
        </w:rPr>
        <w:t xml:space="preserve"> </w:t>
      </w:r>
    </w:p>
    <w:bookmarkEnd w:id="2"/>
    <w:p w14:paraId="29A96004" w14:textId="6C45B940" w:rsidR="00C27C1C" w:rsidRPr="003F23C0" w:rsidRDefault="00C27C1C" w:rsidP="001F2311">
      <w:pPr>
        <w:pStyle w:val="2-SectionHeading"/>
      </w:pPr>
      <w:r w:rsidRPr="003C2FB5">
        <w:t>Comparator</w:t>
      </w:r>
      <w:r>
        <w:t xml:space="preserve"> </w:t>
      </w:r>
    </w:p>
    <w:p w14:paraId="420B0411" w14:textId="6C299745" w:rsidR="006403F8" w:rsidRDefault="002060D2" w:rsidP="006403F8">
      <w:pPr>
        <w:pStyle w:val="3Bodytext"/>
        <w:jc w:val="both"/>
      </w:pPr>
      <w:r w:rsidRPr="008E7EEC">
        <w:t xml:space="preserve">The submission nominated natalizumab IV as the main </w:t>
      </w:r>
      <w:r w:rsidRPr="00A46C92">
        <w:t>comparator.</w:t>
      </w:r>
      <w:r w:rsidRPr="00B5605C">
        <w:t xml:space="preserve"> At its March 2021 meeting, the PBAC recommended the listing of ofatumumab for the treatment of RRMS. Its recommendation for listing was based on, among other matters, its assessment that the cost-effectiveness of ofatumumab would be acceptable if it were cost minimised to the least costly therapy of either fingolimod, natalizumab, alemtuzumab, ocrelizumab, cladribine or ozanimod (the higher tier agents).</w:t>
      </w:r>
      <w:r w:rsidRPr="008E7EEC">
        <w:t xml:space="preserve"> </w:t>
      </w:r>
    </w:p>
    <w:p w14:paraId="6EE974FE" w14:textId="2F4BDA2A" w:rsidR="005615ED" w:rsidRDefault="005615ED" w:rsidP="00004202">
      <w:pPr>
        <w:pStyle w:val="3Bodytext"/>
        <w:jc w:val="both"/>
      </w:pPr>
      <w:r w:rsidRPr="00B5605C">
        <w:t xml:space="preserve">The </w:t>
      </w:r>
      <w:r w:rsidR="009C456C">
        <w:t>p</w:t>
      </w:r>
      <w:r w:rsidRPr="00B5605C">
        <w:t xml:space="preserve">re-PBAC response </w:t>
      </w:r>
      <w:r w:rsidR="00477D1B">
        <w:t>asserted</w:t>
      </w:r>
      <w:r w:rsidR="00E06D81" w:rsidRPr="00B5605C">
        <w:t xml:space="preserve"> that</w:t>
      </w:r>
      <w:r w:rsidRPr="00B5605C">
        <w:t xml:space="preserve"> </w:t>
      </w:r>
      <w:r w:rsidR="004C0B26">
        <w:t>natalizumab SC</w:t>
      </w:r>
      <w:r w:rsidRPr="00B5605C">
        <w:t xml:space="preserve"> is unlikely to replace fingolimod, ozanimod or cladribine, </w:t>
      </w:r>
      <w:r w:rsidR="00477D1B">
        <w:t>which</w:t>
      </w:r>
      <w:r w:rsidR="004C0B26">
        <w:t xml:space="preserve"> are</w:t>
      </w:r>
      <w:r w:rsidRPr="00B5605C">
        <w:t xml:space="preserve"> often chosen for t</w:t>
      </w:r>
      <w:r w:rsidR="004C0B26">
        <w:t>heir</w:t>
      </w:r>
      <w:r w:rsidR="00477D1B">
        <w:t xml:space="preserve"> convenience in being</w:t>
      </w:r>
      <w:r w:rsidRPr="00B5605C">
        <w:t xml:space="preserve"> oral form</w:t>
      </w:r>
      <w:r w:rsidR="00477D1B">
        <w:t>ulations</w:t>
      </w:r>
      <w:r w:rsidRPr="00B5605C">
        <w:t xml:space="preserve">. </w:t>
      </w:r>
      <w:r w:rsidR="00477D1B" w:rsidRPr="00010C3A">
        <w:t xml:space="preserve">The </w:t>
      </w:r>
      <w:r w:rsidR="009C456C">
        <w:t>p</w:t>
      </w:r>
      <w:r w:rsidR="00477D1B" w:rsidRPr="00010C3A">
        <w:t xml:space="preserve">re-PBAC response </w:t>
      </w:r>
      <w:r w:rsidR="00477D1B">
        <w:t>considered</w:t>
      </w:r>
      <w:r w:rsidR="00477D1B" w:rsidRPr="00010C3A">
        <w:t xml:space="preserve"> that </w:t>
      </w:r>
      <w:r w:rsidR="00477D1B">
        <w:t xml:space="preserve">patients who are on </w:t>
      </w:r>
      <w:r w:rsidRPr="00B5605C">
        <w:t>ocrelizumab</w:t>
      </w:r>
      <w:r w:rsidR="00E06D81" w:rsidRPr="00B5605C">
        <w:t xml:space="preserve"> </w:t>
      </w:r>
      <w:r w:rsidR="00B5605C">
        <w:t>or</w:t>
      </w:r>
      <w:r w:rsidR="00E06D81" w:rsidRPr="00B5605C">
        <w:t xml:space="preserve"> </w:t>
      </w:r>
      <w:r w:rsidRPr="00B5605C">
        <w:t>alemtuzumab</w:t>
      </w:r>
      <w:r w:rsidR="00477D1B">
        <w:t xml:space="preserve"> (IV infusion) are likely to be kept on these therapies because of the reduced frequency of administration, different mode of action and safety profile of these two higher tier agents.</w:t>
      </w:r>
      <w:r w:rsidRPr="00B5605C">
        <w:t xml:space="preserve"> </w:t>
      </w:r>
      <w:r w:rsidR="00E06D81">
        <w:t>Further, t</w:t>
      </w:r>
      <w:r w:rsidR="00E06D81" w:rsidRPr="00B5605C">
        <w:t xml:space="preserve">he </w:t>
      </w:r>
      <w:r w:rsidR="009C456C">
        <w:t>p</w:t>
      </w:r>
      <w:r w:rsidR="00E06D81" w:rsidRPr="00B5605C">
        <w:t>re-PBAC response noted that</w:t>
      </w:r>
      <w:r w:rsidRPr="00B5605C">
        <w:t xml:space="preserve"> </w:t>
      </w:r>
      <w:r w:rsidR="00E06D81" w:rsidRPr="00B5605C">
        <w:t>t</w:t>
      </w:r>
      <w:r w:rsidRPr="00B5605C">
        <w:t xml:space="preserve">he only other high tier </w:t>
      </w:r>
      <w:r w:rsidR="00E06D81" w:rsidRPr="00B5605C">
        <w:t>agent</w:t>
      </w:r>
      <w:r w:rsidRPr="00B5605C">
        <w:t xml:space="preserve"> with </w:t>
      </w:r>
      <w:r w:rsidR="0072241C">
        <w:t xml:space="preserve">a </w:t>
      </w:r>
      <w:r w:rsidR="00E06D81" w:rsidRPr="00B5605C">
        <w:t>subcutaneous</w:t>
      </w:r>
      <w:r w:rsidRPr="00B5605C">
        <w:t xml:space="preserve"> administration</w:t>
      </w:r>
      <w:r w:rsidR="0072241C">
        <w:t xml:space="preserve"> (monthly)</w:t>
      </w:r>
      <w:r w:rsidRPr="00B5605C">
        <w:t xml:space="preserve"> is ofatumumab</w:t>
      </w:r>
      <w:r w:rsidR="0072241C">
        <w:t>, a self-administered therapy</w:t>
      </w:r>
      <w:r w:rsidR="00E06D81" w:rsidRPr="00B5605C">
        <w:t>.</w:t>
      </w:r>
    </w:p>
    <w:p w14:paraId="658A3CF8" w14:textId="58EB7D56" w:rsidR="00A85C1C" w:rsidRPr="00B5605C" w:rsidRDefault="00A85C1C" w:rsidP="00004202">
      <w:pPr>
        <w:pStyle w:val="3Bodytext"/>
        <w:jc w:val="both"/>
      </w:pPr>
      <w:r>
        <w:t xml:space="preserve">The PBAC considered that patients who are currently on natalizumab IV would most likely be switched to natalizumab SC. </w:t>
      </w:r>
    </w:p>
    <w:p w14:paraId="76D4EA35" w14:textId="23FB4828" w:rsidR="008E7EEC" w:rsidRPr="00B5605C" w:rsidRDefault="008E7EEC" w:rsidP="008E7EEC">
      <w:pPr>
        <w:pStyle w:val="3Bodytext"/>
        <w:numPr>
          <w:ilvl w:val="0"/>
          <w:numId w:val="0"/>
        </w:numPr>
        <w:ind w:left="720"/>
        <w:jc w:val="both"/>
      </w:pPr>
      <w:r w:rsidRPr="0007647B">
        <w:rPr>
          <w:i/>
        </w:rPr>
        <w:t>For more detail on PBAC’s view, see section 6 PBAC outcome</w:t>
      </w:r>
    </w:p>
    <w:p w14:paraId="0436B7D8" w14:textId="77777777" w:rsidR="00C27C1C" w:rsidRPr="0007647B" w:rsidRDefault="00C27C1C" w:rsidP="00877ECE">
      <w:pPr>
        <w:pStyle w:val="Heading1"/>
        <w:keepLines/>
        <w:numPr>
          <w:ilvl w:val="0"/>
          <w:numId w:val="1"/>
        </w:numPr>
        <w:spacing w:before="240"/>
        <w:ind w:left="709" w:hanging="709"/>
        <w:rPr>
          <w:sz w:val="32"/>
          <w:szCs w:val="32"/>
        </w:rPr>
      </w:pPr>
      <w:r w:rsidRPr="0007647B">
        <w:rPr>
          <w:sz w:val="32"/>
          <w:szCs w:val="32"/>
        </w:rPr>
        <w:t>Consideration of the evidence</w:t>
      </w:r>
    </w:p>
    <w:p w14:paraId="1E4AC900" w14:textId="5D9342B9" w:rsidR="008E7EEC" w:rsidRPr="002749F8" w:rsidRDefault="008E7EEC" w:rsidP="008E7EEC">
      <w:pPr>
        <w:pStyle w:val="4-SubsectionHeading"/>
        <w:keepNext w:val="0"/>
        <w:rPr>
          <w:lang w:eastAsia="en-US"/>
        </w:rPr>
      </w:pPr>
      <w:bookmarkStart w:id="3" w:name="_Hlk128475826"/>
      <w:r w:rsidRPr="002749F8">
        <w:rPr>
          <w:lang w:eastAsia="en-US"/>
        </w:rPr>
        <w:t>Sponsor hearing</w:t>
      </w:r>
    </w:p>
    <w:bookmarkEnd w:id="3"/>
    <w:p w14:paraId="360DBB8C" w14:textId="77777777" w:rsidR="008E7EEC" w:rsidRPr="002749F8" w:rsidRDefault="008E7EEC" w:rsidP="008E7EEC">
      <w:pPr>
        <w:pStyle w:val="3Bodytext"/>
        <w:rPr>
          <w:lang w:eastAsia="en-US"/>
        </w:rPr>
      </w:pPr>
      <w:r w:rsidRPr="002749F8">
        <w:rPr>
          <w:lang w:eastAsia="en-US"/>
        </w:rPr>
        <w:t>There was no hearing for this item.</w:t>
      </w:r>
    </w:p>
    <w:p w14:paraId="47E0CCB1" w14:textId="77777777" w:rsidR="008E7EEC" w:rsidRPr="002749F8" w:rsidRDefault="008E7EEC" w:rsidP="004D4E19">
      <w:pPr>
        <w:pStyle w:val="4-SubsectionHeading"/>
        <w:rPr>
          <w:lang w:eastAsia="en-US"/>
        </w:rPr>
      </w:pPr>
      <w:r w:rsidRPr="002749F8">
        <w:rPr>
          <w:lang w:eastAsia="en-US"/>
        </w:rPr>
        <w:t>Consumer comments</w:t>
      </w:r>
    </w:p>
    <w:p w14:paraId="73B6C5C7" w14:textId="1538CA29" w:rsidR="00D57981" w:rsidRPr="005E22F1" w:rsidRDefault="00A85BD4" w:rsidP="004D4E19">
      <w:pPr>
        <w:pStyle w:val="3Bodytext"/>
        <w:keepNext/>
        <w:jc w:val="both"/>
        <w:rPr>
          <w:lang w:eastAsia="en-US"/>
        </w:rPr>
      </w:pPr>
      <w:r w:rsidRPr="005E22F1">
        <w:rPr>
          <w:lang w:eastAsia="en-US"/>
        </w:rPr>
        <w:t>The PBAC noted</w:t>
      </w:r>
      <w:r w:rsidRPr="000540F7">
        <w:rPr>
          <w:snapToGrid w:val="0"/>
        </w:rPr>
        <w:t xml:space="preserve"> and welcomed the input from individuals (8), health care professionals (4) and organisations (1) via the Consumer Comments facility on the PBS website. </w:t>
      </w:r>
      <w:r w:rsidRPr="005E22F1">
        <w:rPr>
          <w:snapToGrid w:val="0"/>
        </w:rPr>
        <w:t xml:space="preserve">The comments described a range of benefits of treatment with </w:t>
      </w:r>
      <w:r w:rsidRPr="005E22F1">
        <w:rPr>
          <w:rFonts w:eastAsia="Times New Roman"/>
          <w:szCs w:val="24"/>
          <w:lang w:val="en-US"/>
        </w:rPr>
        <w:t>natalizumab SC</w:t>
      </w:r>
      <w:r w:rsidRPr="005E22F1">
        <w:rPr>
          <w:snapToGrid w:val="0"/>
        </w:rPr>
        <w:t xml:space="preserve"> including</w:t>
      </w:r>
      <w:r w:rsidR="00D57981" w:rsidRPr="0007647B">
        <w:rPr>
          <w:snapToGrid w:val="0"/>
        </w:rPr>
        <w:t xml:space="preserve"> improved convenience</w:t>
      </w:r>
      <w:r w:rsidR="00877ECE">
        <w:rPr>
          <w:snapToGrid w:val="0"/>
        </w:rPr>
        <w:t xml:space="preserve"> and flexibility</w:t>
      </w:r>
      <w:r w:rsidR="00D57981" w:rsidRPr="0007647B">
        <w:rPr>
          <w:snapToGrid w:val="0"/>
        </w:rPr>
        <w:t>, reduced stress</w:t>
      </w:r>
      <w:r w:rsidR="00D57981" w:rsidRPr="00E24D28">
        <w:rPr>
          <w:snapToGrid w:val="0"/>
        </w:rPr>
        <w:t>,</w:t>
      </w:r>
      <w:r w:rsidR="00877ECE">
        <w:rPr>
          <w:snapToGrid w:val="0"/>
        </w:rPr>
        <w:t xml:space="preserve"> reduced time </w:t>
      </w:r>
      <w:r w:rsidR="00877ECE">
        <w:rPr>
          <w:snapToGrid w:val="0"/>
        </w:rPr>
        <w:lastRenderedPageBreak/>
        <w:t>required for administration,</w:t>
      </w:r>
      <w:r w:rsidR="00D57981" w:rsidRPr="00E24D28">
        <w:rPr>
          <w:snapToGrid w:val="0"/>
        </w:rPr>
        <w:t xml:space="preserve"> avoidance of</w:t>
      </w:r>
      <w:r w:rsidR="00873FC9">
        <w:rPr>
          <w:snapToGrid w:val="0"/>
        </w:rPr>
        <w:t xml:space="preserve"> risks associated with</w:t>
      </w:r>
      <w:r w:rsidR="00D57981" w:rsidRPr="00E24D28">
        <w:rPr>
          <w:snapToGrid w:val="0"/>
        </w:rPr>
        <w:t xml:space="preserve"> intravenous infusion and improved quality of life.</w:t>
      </w:r>
      <w:r w:rsidR="00484FBA">
        <w:rPr>
          <w:snapToGrid w:val="0"/>
        </w:rPr>
        <w:t xml:space="preserve"> </w:t>
      </w:r>
      <w:r w:rsidR="00716D3F">
        <w:rPr>
          <w:snapToGrid w:val="0"/>
        </w:rPr>
        <w:t xml:space="preserve">The comments from health care professionals noted that a </w:t>
      </w:r>
      <w:r w:rsidR="00716D3F" w:rsidRPr="00395653">
        <w:rPr>
          <w:snapToGrid w:val="0"/>
        </w:rPr>
        <w:t>subcutaneous</w:t>
      </w:r>
      <w:r w:rsidR="00716D3F">
        <w:rPr>
          <w:snapToGrid w:val="0"/>
        </w:rPr>
        <w:t xml:space="preserve"> form of natalizumab</w:t>
      </w:r>
      <w:r w:rsidR="00484FBA" w:rsidRPr="00484FBA">
        <w:rPr>
          <w:snapToGrid w:val="0"/>
        </w:rPr>
        <w:t xml:space="preserve"> </w:t>
      </w:r>
      <w:r w:rsidR="00716D3F">
        <w:rPr>
          <w:snapToGrid w:val="0"/>
        </w:rPr>
        <w:t>would</w:t>
      </w:r>
      <w:r w:rsidR="00484FBA" w:rsidRPr="00484FBA">
        <w:rPr>
          <w:snapToGrid w:val="0"/>
        </w:rPr>
        <w:t xml:space="preserve"> improve access for those unable to attend a hospital for treatment, such as those who live in remote or rural areas</w:t>
      </w:r>
      <w:r w:rsidR="00484FBA">
        <w:rPr>
          <w:snapToGrid w:val="0"/>
        </w:rPr>
        <w:t>.</w:t>
      </w:r>
    </w:p>
    <w:p w14:paraId="4119E20D" w14:textId="78A66B04" w:rsidR="00A85BD4" w:rsidRPr="005E22F1" w:rsidRDefault="00A85BD4" w:rsidP="004D4E19">
      <w:pPr>
        <w:pStyle w:val="3Bodytext"/>
        <w:jc w:val="both"/>
        <w:rPr>
          <w:lang w:eastAsia="en-US"/>
        </w:rPr>
      </w:pPr>
      <w:r w:rsidRPr="005E22F1">
        <w:rPr>
          <w:snapToGrid w:val="0"/>
        </w:rPr>
        <w:t xml:space="preserve">The PBAC noted the </w:t>
      </w:r>
      <w:r w:rsidR="00545248">
        <w:rPr>
          <w:snapToGrid w:val="0"/>
        </w:rPr>
        <w:t xml:space="preserve">view </w:t>
      </w:r>
      <w:r w:rsidRPr="005E22F1">
        <w:rPr>
          <w:snapToGrid w:val="0"/>
        </w:rPr>
        <w:t xml:space="preserve">received from </w:t>
      </w:r>
      <w:r w:rsidRPr="0007647B">
        <w:rPr>
          <w:rFonts w:cs="Arial"/>
          <w:bCs/>
          <w:snapToGrid w:val="0"/>
        </w:rPr>
        <w:t xml:space="preserve">Multiple Sclerosis Australia clarifying the </w:t>
      </w:r>
      <w:r w:rsidRPr="005E22F1">
        <w:rPr>
          <w:rFonts w:cs="Arial"/>
          <w:bCs/>
          <w:snapToGrid w:val="0"/>
        </w:rPr>
        <w:t xml:space="preserve">likely use of </w:t>
      </w:r>
      <w:r w:rsidRPr="005E22F1">
        <w:rPr>
          <w:rFonts w:eastAsia="Times New Roman"/>
          <w:szCs w:val="24"/>
          <w:lang w:val="en-US"/>
        </w:rPr>
        <w:t>natalizumab SC</w:t>
      </w:r>
      <w:r w:rsidRPr="005E22F1">
        <w:rPr>
          <w:rFonts w:cs="Arial"/>
          <w:bCs/>
          <w:snapToGrid w:val="0"/>
        </w:rPr>
        <w:t xml:space="preserve"> in clinical practice. The PBAC noted the </w:t>
      </w:r>
      <w:r w:rsidR="00545248">
        <w:rPr>
          <w:rFonts w:cs="Arial"/>
          <w:bCs/>
          <w:snapToGrid w:val="0"/>
        </w:rPr>
        <w:t>view</w:t>
      </w:r>
      <w:r w:rsidRPr="005E22F1">
        <w:rPr>
          <w:rFonts w:cs="Arial"/>
          <w:bCs/>
          <w:snapToGrid w:val="0"/>
        </w:rPr>
        <w:t xml:space="preserve"> that the use of </w:t>
      </w:r>
      <w:r w:rsidRPr="0007647B">
        <w:rPr>
          <w:rFonts w:eastAsia="Times New Roman"/>
          <w:szCs w:val="24"/>
          <w:lang w:val="en-US"/>
        </w:rPr>
        <w:t>natalizumab SC</w:t>
      </w:r>
      <w:r w:rsidRPr="005E22F1">
        <w:rPr>
          <w:rFonts w:cs="Arial"/>
          <w:bCs/>
          <w:snapToGrid w:val="0"/>
        </w:rPr>
        <w:t xml:space="preserve"> may</w:t>
      </w:r>
      <w:r w:rsidR="00631DBE">
        <w:rPr>
          <w:rFonts w:cs="Arial"/>
          <w:bCs/>
          <w:snapToGrid w:val="0"/>
        </w:rPr>
        <w:t xml:space="preserve"> expand the clinical setting</w:t>
      </w:r>
      <w:r w:rsidR="002F4587">
        <w:rPr>
          <w:rFonts w:cs="Arial"/>
          <w:bCs/>
          <w:snapToGrid w:val="0"/>
        </w:rPr>
        <w:t>s</w:t>
      </w:r>
      <w:r w:rsidR="00631DBE">
        <w:rPr>
          <w:rFonts w:cs="Arial"/>
          <w:bCs/>
          <w:snapToGrid w:val="0"/>
        </w:rPr>
        <w:t xml:space="preserve"> for treatmen</w:t>
      </w:r>
      <w:r w:rsidR="002768F1">
        <w:rPr>
          <w:rFonts w:cs="Arial"/>
          <w:bCs/>
          <w:snapToGrid w:val="0"/>
        </w:rPr>
        <w:t>t and</w:t>
      </w:r>
      <w:r w:rsidR="0015395D" w:rsidRPr="002749F8">
        <w:rPr>
          <w:rFonts w:cs="Arial"/>
          <w:bCs/>
          <w:snapToGrid w:val="0"/>
        </w:rPr>
        <w:t xml:space="preserve"> reduce</w:t>
      </w:r>
      <w:r w:rsidR="002768F1">
        <w:rPr>
          <w:rFonts w:cs="Arial"/>
          <w:bCs/>
          <w:snapToGrid w:val="0"/>
        </w:rPr>
        <w:t xml:space="preserve"> </w:t>
      </w:r>
      <w:r w:rsidR="00756AA2">
        <w:rPr>
          <w:rFonts w:cs="Arial"/>
          <w:bCs/>
          <w:snapToGrid w:val="0"/>
        </w:rPr>
        <w:t xml:space="preserve">the </w:t>
      </w:r>
      <w:r w:rsidR="00BE3163" w:rsidRPr="002749F8">
        <w:rPr>
          <w:rFonts w:cs="Arial"/>
          <w:bCs/>
          <w:snapToGrid w:val="0"/>
        </w:rPr>
        <w:t>administration</w:t>
      </w:r>
      <w:r w:rsidR="002768F1">
        <w:rPr>
          <w:rFonts w:cs="Arial"/>
          <w:bCs/>
          <w:snapToGrid w:val="0"/>
        </w:rPr>
        <w:t xml:space="preserve"> and</w:t>
      </w:r>
      <w:r w:rsidR="000D1F64">
        <w:rPr>
          <w:rFonts w:cs="Arial"/>
          <w:bCs/>
          <w:snapToGrid w:val="0"/>
        </w:rPr>
        <w:t xml:space="preserve"> travel time </w:t>
      </w:r>
      <w:r w:rsidR="002768F1">
        <w:rPr>
          <w:rFonts w:cs="Arial"/>
          <w:bCs/>
          <w:snapToGrid w:val="0"/>
        </w:rPr>
        <w:t>for patients</w:t>
      </w:r>
      <w:r w:rsidR="00BE3163" w:rsidRPr="00E24D28">
        <w:rPr>
          <w:rFonts w:cs="Arial"/>
          <w:bCs/>
          <w:snapToGrid w:val="0"/>
        </w:rPr>
        <w:t>.</w:t>
      </w:r>
    </w:p>
    <w:p w14:paraId="3F679FE9" w14:textId="2FF1D657" w:rsidR="00C27C1C" w:rsidRPr="00B72560" w:rsidRDefault="00C27C1C" w:rsidP="004D4E19">
      <w:pPr>
        <w:pStyle w:val="4-SubsectionHeading"/>
        <w:keepNext w:val="0"/>
        <w:rPr>
          <w:lang w:eastAsia="en-US"/>
        </w:rPr>
      </w:pPr>
      <w:r w:rsidRPr="00005D1D">
        <w:rPr>
          <w:lang w:eastAsia="en-US"/>
        </w:rPr>
        <w:t>Clinical trials</w:t>
      </w:r>
      <w:r w:rsidRPr="001D5BB8">
        <w:rPr>
          <w:lang w:eastAsia="en-US"/>
        </w:rPr>
        <w:t xml:space="preserve"> </w:t>
      </w:r>
    </w:p>
    <w:p w14:paraId="19A206BD" w14:textId="3B8947ED" w:rsidR="00C27C1C" w:rsidRPr="001D5BB8" w:rsidRDefault="002670EE" w:rsidP="004D4E19">
      <w:pPr>
        <w:pStyle w:val="3Bodytext"/>
        <w:jc w:val="both"/>
      </w:pPr>
      <w:bookmarkStart w:id="4" w:name="_Hlk86163265"/>
      <w:r>
        <w:t xml:space="preserve">The submission stated that the </w:t>
      </w:r>
      <w:r w:rsidRPr="00C06DCA">
        <w:rPr>
          <w:rFonts w:eastAsia="Times New Roman"/>
          <w:szCs w:val="24"/>
          <w:lang w:val="en-US"/>
        </w:rPr>
        <w:t>pharmacokinetics</w:t>
      </w:r>
      <w:r>
        <w:rPr>
          <w:rFonts w:eastAsia="Times New Roman"/>
          <w:szCs w:val="24"/>
          <w:lang w:val="en-US"/>
        </w:rPr>
        <w:t xml:space="preserve"> (PK)</w:t>
      </w:r>
      <w:r w:rsidRPr="00C06DCA">
        <w:rPr>
          <w:rFonts w:eastAsia="Times New Roman"/>
          <w:szCs w:val="24"/>
          <w:lang w:val="en-US"/>
        </w:rPr>
        <w:t>, pharmacodynamics</w:t>
      </w:r>
      <w:r>
        <w:rPr>
          <w:rFonts w:eastAsia="Times New Roman"/>
          <w:szCs w:val="24"/>
          <w:lang w:val="en-US"/>
        </w:rPr>
        <w:t xml:space="preserve"> (PD)</w:t>
      </w:r>
      <w:r w:rsidRPr="00C06DCA">
        <w:rPr>
          <w:rFonts w:eastAsia="Times New Roman"/>
          <w:szCs w:val="24"/>
          <w:lang w:val="en-US"/>
        </w:rPr>
        <w:t>, clinical effectiveness, and safety of natalizumab SC compared to natalizumab IV in the treatment of patients with RRMS is informed by two pivotal clinical trials (REFINE, DELIVER</w:t>
      </w:r>
      <w:r w:rsidR="004C25CF">
        <w:rPr>
          <w:rFonts w:eastAsia="Times New Roman"/>
          <w:szCs w:val="24"/>
          <w:lang w:val="en-US"/>
        </w:rPr>
        <w:t>)</w:t>
      </w:r>
      <w:r>
        <w:rPr>
          <w:rFonts w:eastAsia="Times New Roman"/>
          <w:szCs w:val="24"/>
          <w:lang w:val="en-US"/>
        </w:rPr>
        <w:t>:</w:t>
      </w:r>
      <w:r w:rsidR="001D5BB8" w:rsidRPr="001D5BB8">
        <w:t xml:space="preserve"> </w:t>
      </w:r>
    </w:p>
    <w:bookmarkEnd w:id="4"/>
    <w:p w14:paraId="55E7268A" w14:textId="493B4A7B" w:rsidR="001D5BB8" w:rsidRDefault="001D5BB8" w:rsidP="004D4E19">
      <w:pPr>
        <w:pStyle w:val="3-BodyText"/>
        <w:numPr>
          <w:ilvl w:val="0"/>
          <w:numId w:val="6"/>
        </w:numPr>
      </w:pPr>
      <w:r>
        <w:t>REFINE</w:t>
      </w:r>
      <w:r w:rsidR="006F261F">
        <w:t xml:space="preserve"> (</w:t>
      </w:r>
      <w:r w:rsidR="006F261F" w:rsidRPr="001D5BB8">
        <w:t>101MS206)</w:t>
      </w:r>
      <w:r w:rsidR="00170C9A">
        <w:t xml:space="preserve">: </w:t>
      </w:r>
      <w:r>
        <w:t xml:space="preserve">a </w:t>
      </w:r>
      <w:r w:rsidR="002670EE">
        <w:t xml:space="preserve">72-week, </w:t>
      </w:r>
      <w:r w:rsidR="00E97402" w:rsidRPr="00E97402">
        <w:t>randomi</w:t>
      </w:r>
      <w:r w:rsidR="002670EE">
        <w:t>s</w:t>
      </w:r>
      <w:r w:rsidR="00E97402" w:rsidRPr="00E97402">
        <w:t xml:space="preserve">ed, </w:t>
      </w:r>
      <w:r w:rsidR="002670EE">
        <w:t xml:space="preserve">multi-centre, </w:t>
      </w:r>
      <w:r w:rsidR="00E97402" w:rsidRPr="00E97402">
        <w:t xml:space="preserve">blinded Phase 2 study </w:t>
      </w:r>
      <w:r w:rsidR="004C25CF">
        <w:t xml:space="preserve">conducted </w:t>
      </w:r>
      <w:r w:rsidR="002670EE" w:rsidRPr="002670EE">
        <w:t>in five European countries evaluating the safety, tolerability</w:t>
      </w:r>
      <w:r w:rsidR="00613F4A">
        <w:t>,</w:t>
      </w:r>
      <w:r w:rsidR="002670EE" w:rsidRPr="002670EE">
        <w:t xml:space="preserve"> and efficacy of natalizumab in adult patients (18 to 55 years of age) with RRMS</w:t>
      </w:r>
      <w:r w:rsidR="00E97402">
        <w:t>.</w:t>
      </w:r>
    </w:p>
    <w:p w14:paraId="197095DC" w14:textId="035577DC" w:rsidR="00BC1AF4" w:rsidRPr="003F23C0" w:rsidRDefault="001D5BB8" w:rsidP="004D4E19">
      <w:pPr>
        <w:pStyle w:val="3-BodyText"/>
        <w:numPr>
          <w:ilvl w:val="0"/>
          <w:numId w:val="6"/>
        </w:numPr>
      </w:pPr>
      <w:r>
        <w:t>DELIVER</w:t>
      </w:r>
      <w:r w:rsidR="006F261F">
        <w:t xml:space="preserve"> (</w:t>
      </w:r>
      <w:r w:rsidR="006F261F" w:rsidRPr="001D5BB8">
        <w:t>101MS102)</w:t>
      </w:r>
      <w:r w:rsidR="00170C9A">
        <w:t>:</w:t>
      </w:r>
      <w:r w:rsidRPr="001D5BB8">
        <w:t xml:space="preserve"> a </w:t>
      </w:r>
      <w:r w:rsidR="002670EE">
        <w:t xml:space="preserve">32-week, </w:t>
      </w:r>
      <w:r w:rsidR="00E97402" w:rsidRPr="00E97402">
        <w:t>randomi</w:t>
      </w:r>
      <w:r w:rsidR="002670EE">
        <w:t>s</w:t>
      </w:r>
      <w:r w:rsidR="00E97402" w:rsidRPr="00E97402">
        <w:t xml:space="preserve">ed, </w:t>
      </w:r>
      <w:r w:rsidR="002670EE">
        <w:t xml:space="preserve">multi-centre, </w:t>
      </w:r>
      <w:r w:rsidR="00E97402" w:rsidRPr="00E97402">
        <w:t>open-label</w:t>
      </w:r>
      <w:r w:rsidR="004C25CF">
        <w:t xml:space="preserve"> study</w:t>
      </w:r>
      <w:r w:rsidR="00E97402" w:rsidRPr="00E97402">
        <w:t xml:space="preserve"> </w:t>
      </w:r>
      <w:r w:rsidR="002670EE" w:rsidRPr="00C06DCA">
        <w:rPr>
          <w:rFonts w:eastAsia="Times New Roman"/>
          <w:szCs w:val="24"/>
          <w:lang w:val="en-US"/>
        </w:rPr>
        <w:t>conducted in the United States evaluating the PK, PD</w:t>
      </w:r>
      <w:r w:rsidR="00613F4A">
        <w:rPr>
          <w:rFonts w:eastAsia="Times New Roman"/>
          <w:szCs w:val="24"/>
          <w:lang w:val="en-US"/>
        </w:rPr>
        <w:t>,</w:t>
      </w:r>
      <w:r w:rsidR="002670EE" w:rsidRPr="00C06DCA">
        <w:rPr>
          <w:rFonts w:eastAsia="Times New Roman"/>
          <w:szCs w:val="24"/>
          <w:lang w:val="en-US"/>
        </w:rPr>
        <w:t xml:space="preserve"> and immunogenicity of natalizumab in adult patients (18 to 65 years of age) with RRMS and secondary progressive multiple sclerosis</w:t>
      </w:r>
      <w:r w:rsidR="002670EE">
        <w:t xml:space="preserve">. </w:t>
      </w:r>
    </w:p>
    <w:p w14:paraId="2CDF3682" w14:textId="77777777" w:rsidR="00C27C1C" w:rsidRPr="00B735E3" w:rsidRDefault="00C27C1C" w:rsidP="004D4E19">
      <w:pPr>
        <w:pStyle w:val="4-SubsectionHeading"/>
        <w:rPr>
          <w:lang w:eastAsia="en-US"/>
        </w:rPr>
      </w:pPr>
      <w:r w:rsidRPr="00A47B06">
        <w:rPr>
          <w:lang w:eastAsia="en-US"/>
        </w:rPr>
        <w:t>Clinical claim</w:t>
      </w:r>
    </w:p>
    <w:p w14:paraId="3897DE96" w14:textId="6B288AA2" w:rsidR="00BA6189" w:rsidRPr="00402321" w:rsidRDefault="009E707C" w:rsidP="004D4E19">
      <w:pPr>
        <w:pStyle w:val="3Bodytext"/>
        <w:jc w:val="both"/>
      </w:pPr>
      <w:r>
        <w:rPr>
          <w:lang w:val="en-US"/>
        </w:rPr>
        <w:t xml:space="preserve">The submission stated that </w:t>
      </w:r>
      <w:r w:rsidRPr="000B3ADC">
        <w:rPr>
          <w:lang w:val="en-US"/>
        </w:rPr>
        <w:t xml:space="preserve">neither trial was specifically designed </w:t>
      </w:r>
      <w:r>
        <w:rPr>
          <w:lang w:val="en-US"/>
        </w:rPr>
        <w:t xml:space="preserve">to confirm non-inferiority. </w:t>
      </w:r>
    </w:p>
    <w:p w14:paraId="366A9F42" w14:textId="20537787" w:rsidR="008E7EEC" w:rsidRPr="0007647B" w:rsidRDefault="009E707C" w:rsidP="004D4E19">
      <w:pPr>
        <w:pStyle w:val="3Bodytext"/>
        <w:jc w:val="both"/>
        <w:rPr>
          <w:lang w:val="en-US"/>
        </w:rPr>
      </w:pPr>
      <w:r w:rsidRPr="00C9237C">
        <w:rPr>
          <w:lang w:val="en-US"/>
        </w:rPr>
        <w:t>The submission claimed that natalizumab SC administered once every 4 weeks (Q4W) was demonstrated to have a similar PK, PD, efficacy</w:t>
      </w:r>
      <w:r w:rsidR="00613F4A" w:rsidRPr="00C9237C">
        <w:rPr>
          <w:lang w:val="en-US"/>
        </w:rPr>
        <w:t>,</w:t>
      </w:r>
      <w:r w:rsidRPr="00C9237C">
        <w:rPr>
          <w:lang w:val="en-US"/>
        </w:rPr>
        <w:t xml:space="preserve"> and safety profile to natalizumab IV Q4W based on evidence from the DELIVER and REFINE studies.</w:t>
      </w:r>
    </w:p>
    <w:p w14:paraId="45D181E4" w14:textId="276A0A94" w:rsidR="00C27C1C" w:rsidRDefault="00C27C1C" w:rsidP="004D4E19">
      <w:pPr>
        <w:pStyle w:val="4-SubsectionHeading"/>
        <w:rPr>
          <w:lang w:eastAsia="en-US"/>
        </w:rPr>
      </w:pPr>
      <w:r w:rsidRPr="007069D4">
        <w:rPr>
          <w:lang w:eastAsia="en-US"/>
        </w:rPr>
        <w:t xml:space="preserve">Economic analysis </w:t>
      </w:r>
    </w:p>
    <w:p w14:paraId="5A262FFA" w14:textId="1A6FDE57" w:rsidR="002C074E" w:rsidRPr="00E24D28" w:rsidRDefault="00B31F18" w:rsidP="004D4E19">
      <w:pPr>
        <w:pStyle w:val="3Bodytext"/>
        <w:jc w:val="both"/>
        <w:rPr>
          <w:rFonts w:cstheme="minorHAnsi"/>
          <w:i/>
          <w:szCs w:val="24"/>
        </w:rPr>
      </w:pPr>
      <w:bookmarkStart w:id="5" w:name="_Hlk127880102"/>
      <w:r w:rsidRPr="00E24D28">
        <w:t xml:space="preserve">The submission did not present a </w:t>
      </w:r>
      <w:r w:rsidR="002C074E" w:rsidRPr="00E24D28">
        <w:t xml:space="preserve">formal </w:t>
      </w:r>
      <w:r w:rsidRPr="00E24D28">
        <w:t xml:space="preserve">cost minimisation </w:t>
      </w:r>
      <w:r w:rsidR="002C074E" w:rsidRPr="00255AFD">
        <w:t>approach, but assumed,</w:t>
      </w:r>
      <w:r w:rsidR="005C597D" w:rsidRPr="00255AFD">
        <w:t xml:space="preserve"> </w:t>
      </w:r>
      <w:bookmarkStart w:id="6" w:name="_Hlk127872982"/>
      <w:r w:rsidR="002C074E" w:rsidRPr="00E24D28">
        <w:t>based on the DELIVER and REFINE studies, that the equi-effective doses for natalizumab are:</w:t>
      </w:r>
    </w:p>
    <w:p w14:paraId="060B6384" w14:textId="77777777" w:rsidR="002C074E" w:rsidRPr="00402321" w:rsidRDefault="002C074E" w:rsidP="004D4E19">
      <w:pPr>
        <w:pStyle w:val="3Bodytext"/>
        <w:numPr>
          <w:ilvl w:val="0"/>
          <w:numId w:val="8"/>
        </w:numPr>
        <w:jc w:val="both"/>
        <w:rPr>
          <w:rFonts w:cstheme="minorHAnsi"/>
          <w:i/>
          <w:szCs w:val="24"/>
        </w:rPr>
      </w:pPr>
      <w:r>
        <w:t xml:space="preserve">Natalizumab SC: 2 x 150 </w:t>
      </w:r>
      <w:r w:rsidRPr="00917D69">
        <w:t>mg</w:t>
      </w:r>
      <w:r>
        <w:t>/mL of PFS (300 mg Q4W)</w:t>
      </w:r>
    </w:p>
    <w:p w14:paraId="7DF57353" w14:textId="77777777" w:rsidR="002C074E" w:rsidRPr="00C9237C" w:rsidRDefault="002C074E" w:rsidP="004D4E19">
      <w:pPr>
        <w:pStyle w:val="3Bodytext"/>
        <w:numPr>
          <w:ilvl w:val="0"/>
          <w:numId w:val="8"/>
        </w:numPr>
        <w:jc w:val="both"/>
        <w:rPr>
          <w:rFonts w:cstheme="minorHAnsi"/>
          <w:i/>
          <w:szCs w:val="24"/>
        </w:rPr>
      </w:pPr>
      <w:r>
        <w:t xml:space="preserve">Natalizumab IV: 1 x 300 </w:t>
      </w:r>
      <w:r w:rsidRPr="00917D69">
        <w:t>mg</w:t>
      </w:r>
      <w:r>
        <w:t>/15mL vial (300 mg Q4W).</w:t>
      </w:r>
    </w:p>
    <w:p w14:paraId="39681D1D" w14:textId="5DD21518" w:rsidR="00B31F18" w:rsidRPr="005E22F1" w:rsidRDefault="007D4764" w:rsidP="004D4E19">
      <w:pPr>
        <w:pStyle w:val="3Bodytext"/>
        <w:jc w:val="both"/>
        <w:rPr>
          <w:rFonts w:cstheme="minorHAnsi"/>
          <w:szCs w:val="24"/>
        </w:rPr>
      </w:pPr>
      <w:r>
        <w:t xml:space="preserve">Under </w:t>
      </w:r>
      <w:r w:rsidRPr="005E22F1">
        <w:t>Section 101(3B</w:t>
      </w:r>
      <w:r>
        <w:t xml:space="preserve">) of the </w:t>
      </w:r>
      <w:r w:rsidRPr="00004202">
        <w:rPr>
          <w:i/>
          <w:iCs/>
        </w:rPr>
        <w:t>National Health Act 1953</w:t>
      </w:r>
      <w:r>
        <w:rPr>
          <w:i/>
          <w:iCs/>
        </w:rPr>
        <w:t xml:space="preserve"> </w:t>
      </w:r>
      <w:r w:rsidRPr="00512431">
        <w:t>(the Act)</w:t>
      </w:r>
      <w:r w:rsidRPr="00FE3EC2">
        <w:t>,</w:t>
      </w:r>
      <w:r>
        <w:t xml:space="preserve"> t</w:t>
      </w:r>
      <w:r w:rsidR="005C597D" w:rsidRPr="005E22F1">
        <w:t xml:space="preserve">he PBAC could only recommend listing </w:t>
      </w:r>
      <w:r w:rsidR="0072241C">
        <w:t>n</w:t>
      </w:r>
      <w:r w:rsidR="005C597D" w:rsidRPr="005E22F1">
        <w:t>atalizumab SC at a higher price than the alternative therapy or therapies if it is satisfied that it provides, for some patients, a significant improvement in efficacy or reduction of toxicity over the alternative therapy or therapies</w:t>
      </w:r>
      <w:r w:rsidR="00756AA2">
        <w:t>.</w:t>
      </w:r>
      <w:r w:rsidR="005C597D" w:rsidRPr="005E22F1">
        <w:t xml:space="preserve"> </w:t>
      </w:r>
      <w:r>
        <w:t>The advice provided by the PBAC applies to each medicine on a case by case basis. In this case, t</w:t>
      </w:r>
      <w:r w:rsidR="00C72069">
        <w:t xml:space="preserve">he PBAC </w:t>
      </w:r>
      <w:r w:rsidR="00FE3EC2">
        <w:t>did not consider</w:t>
      </w:r>
      <w:r>
        <w:t xml:space="preserve"> other available PBS-listed R</w:t>
      </w:r>
      <w:r w:rsidR="00200AC2">
        <w:t>R</w:t>
      </w:r>
      <w:r>
        <w:t>M</w:t>
      </w:r>
      <w:r w:rsidR="00200AC2">
        <w:t>S</w:t>
      </w:r>
      <w:r>
        <w:t xml:space="preserve"> therapies (</w:t>
      </w:r>
      <w:r w:rsidRPr="005E22F1">
        <w:t>fingolimod, alemtuzumab, ocrelizumab, cladribine, ozanimod, or ofatumumab</w:t>
      </w:r>
      <w:r>
        <w:t>)</w:t>
      </w:r>
      <w:r w:rsidR="00FE3EC2">
        <w:t xml:space="preserve"> appropriate alternatives for patients who are already stabilised on natalizumab IV</w:t>
      </w:r>
      <w:r>
        <w:t xml:space="preserve">. </w:t>
      </w:r>
      <w:r w:rsidRPr="005E22F1">
        <w:t xml:space="preserve"> </w:t>
      </w:r>
      <w:bookmarkEnd w:id="6"/>
    </w:p>
    <w:bookmarkEnd w:id="5"/>
    <w:p w14:paraId="5EB16602" w14:textId="77777777" w:rsidR="00D70349" w:rsidRDefault="00D70349" w:rsidP="004D4E19">
      <w:pPr>
        <w:pStyle w:val="4-SubsectionHeading"/>
        <w:rPr>
          <w:lang w:eastAsia="en-US"/>
        </w:rPr>
      </w:pPr>
      <w:r w:rsidRPr="009D507A">
        <w:rPr>
          <w:lang w:eastAsia="en-US"/>
        </w:rPr>
        <w:t>Estimated PBS utilisation and financial implications</w:t>
      </w:r>
    </w:p>
    <w:p w14:paraId="03B49D56" w14:textId="641C51A9" w:rsidR="00E769CF" w:rsidRDefault="000C1AFF" w:rsidP="004D4E19">
      <w:pPr>
        <w:pStyle w:val="3-BodyText"/>
        <w:numPr>
          <w:ilvl w:val="1"/>
          <w:numId w:val="1"/>
        </w:numPr>
      </w:pPr>
      <w:r w:rsidRPr="007C1A53">
        <w:t xml:space="preserve">The requested </w:t>
      </w:r>
      <w:r>
        <w:t>price</w:t>
      </w:r>
      <w:r w:rsidRPr="007C1A53">
        <w:t xml:space="preserve"> </w:t>
      </w:r>
      <w:r w:rsidR="004253FC">
        <w:t xml:space="preserve">for natalizumab SC (i.e. two 150 mg PFS) </w:t>
      </w:r>
      <w:r w:rsidRPr="007C1A53">
        <w:t>was based on the</w:t>
      </w:r>
      <w:r w:rsidR="00B735E3">
        <w:t xml:space="preserve"> </w:t>
      </w:r>
      <w:r w:rsidRPr="00B735E3">
        <w:t>AEMP</w:t>
      </w:r>
      <w:r w:rsidR="00B735E3">
        <w:t xml:space="preserve"> ($12</w:t>
      </w:r>
      <w:r w:rsidR="00C56010">
        <w:t>68.34)</w:t>
      </w:r>
      <w:r w:rsidRPr="00B735E3">
        <w:t xml:space="preserve"> of </w:t>
      </w:r>
      <w:r w:rsidR="00E769CF" w:rsidRPr="003F23C0">
        <w:t xml:space="preserve">natalizumab </w:t>
      </w:r>
      <w:r w:rsidR="004253FC">
        <w:t>IV (i.e. one 300 mg vial)</w:t>
      </w:r>
      <w:r w:rsidRPr="00B735E3">
        <w:t xml:space="preserve"> </w:t>
      </w:r>
      <w:r w:rsidR="00235E1F">
        <w:t xml:space="preserve">as </w:t>
      </w:r>
      <w:r w:rsidR="00AE5FDC">
        <w:t xml:space="preserve">of </w:t>
      </w:r>
      <w:r w:rsidR="00A5174B">
        <w:t>February</w:t>
      </w:r>
      <w:r w:rsidR="00EF46ED">
        <w:t xml:space="preserve"> 202</w:t>
      </w:r>
      <w:r w:rsidR="002A4E3A">
        <w:t>3</w:t>
      </w:r>
      <w:r w:rsidR="00EF46ED">
        <w:t>.</w:t>
      </w:r>
    </w:p>
    <w:p w14:paraId="626B0F5E" w14:textId="65DFA939" w:rsidR="00652163" w:rsidRPr="00402321" w:rsidRDefault="00E15F3C" w:rsidP="004D4E19">
      <w:pPr>
        <w:pStyle w:val="3-BodyText"/>
        <w:numPr>
          <w:ilvl w:val="1"/>
          <w:numId w:val="1"/>
        </w:numPr>
      </w:pPr>
      <w:r>
        <w:t>The submission used a market share approach to estimate the financial impact of listing n</w:t>
      </w:r>
      <w:r w:rsidRPr="00F57814">
        <w:t xml:space="preserve">atalizumab </w:t>
      </w:r>
      <w:r w:rsidR="004253FC">
        <w:t>SC</w:t>
      </w:r>
      <w:r w:rsidRPr="00F57814">
        <w:t xml:space="preserve"> </w:t>
      </w:r>
      <w:r>
        <w:t xml:space="preserve">on the PBS. </w:t>
      </w:r>
      <w:r w:rsidR="00652163">
        <w:t>The submission estimated that t</w:t>
      </w:r>
      <w:r w:rsidR="00652163" w:rsidRPr="00C06DCA">
        <w:rPr>
          <w:rFonts w:eastAsia="Times New Roman"/>
          <w:szCs w:val="24"/>
          <w:lang w:val="en-US"/>
        </w:rPr>
        <w:t xml:space="preserve">he rate at which natalizumab SC would substitute for natalizumab IV in the RRMS market is expected to be </w:t>
      </w:r>
      <w:r w:rsidR="00DB23DE" w:rsidRPr="00BA4B53">
        <w:rPr>
          <w:rFonts w:eastAsia="Times New Roman"/>
          <w:color w:val="000000"/>
          <w:spacing w:val="4"/>
          <w:w w:val="20"/>
          <w:szCs w:val="24"/>
          <w:shd w:val="solid" w:color="000000" w:fill="000000"/>
          <w:fitText w:val="80" w:id="-1233817088"/>
          <w:lang w:val="en-US"/>
          <w14:textFill>
            <w14:solidFill>
              <w14:srgbClr w14:val="000000">
                <w14:alpha w14:val="100000"/>
              </w14:srgbClr>
            </w14:solidFill>
          </w14:textFill>
        </w:rPr>
        <w:t xml:space="preserve">|  </w:t>
      </w:r>
      <w:r w:rsidR="00DB23DE" w:rsidRPr="00BA4B53">
        <w:rPr>
          <w:rFonts w:eastAsia="Times New Roman"/>
          <w:color w:val="000000"/>
          <w:spacing w:val="3"/>
          <w:w w:val="20"/>
          <w:szCs w:val="24"/>
          <w:shd w:val="solid" w:color="000000" w:fill="000000"/>
          <w:fitText w:val="80" w:id="-1233817088"/>
          <w:lang w:val="en-US"/>
          <w14:textFill>
            <w14:solidFill>
              <w14:srgbClr w14:val="000000">
                <w14:alpha w14:val="100000"/>
              </w14:srgbClr>
            </w14:solidFill>
          </w14:textFill>
        </w:rPr>
        <w:t>|</w:t>
      </w:r>
      <w:r w:rsidR="00652163" w:rsidRPr="00C06DCA">
        <w:rPr>
          <w:rFonts w:eastAsia="Times New Roman"/>
          <w:szCs w:val="24"/>
          <w:lang w:val="en-US"/>
        </w:rPr>
        <w:t xml:space="preserve">% in year 1, increasing to </w:t>
      </w:r>
      <w:r w:rsidR="00DB23DE" w:rsidRPr="00BA4B53">
        <w:rPr>
          <w:rFonts w:eastAsia="Times New Roman"/>
          <w:color w:val="000000"/>
          <w:w w:val="20"/>
          <w:szCs w:val="24"/>
          <w:shd w:val="solid" w:color="000000" w:fill="000000"/>
          <w:fitText w:val="70" w:id="-1233817087"/>
          <w:lang w:val="en-US"/>
          <w14:textFill>
            <w14:solidFill>
              <w14:srgbClr w14:val="000000">
                <w14:alpha w14:val="100000"/>
              </w14:srgbClr>
            </w14:solidFill>
          </w14:textFill>
        </w:rPr>
        <w:t>|  |</w:t>
      </w:r>
      <w:r w:rsidR="00652163" w:rsidRPr="00C06DCA">
        <w:rPr>
          <w:rFonts w:eastAsia="Times New Roman"/>
          <w:szCs w:val="24"/>
          <w:lang w:val="en-US"/>
        </w:rPr>
        <w:t xml:space="preserve">% in year 2, </w:t>
      </w:r>
      <w:r w:rsidR="00DB23DE" w:rsidRPr="00BA4B53">
        <w:rPr>
          <w:rFonts w:eastAsia="Times New Roman"/>
          <w:color w:val="000000"/>
          <w:spacing w:val="4"/>
          <w:w w:val="20"/>
          <w:szCs w:val="24"/>
          <w:shd w:val="solid" w:color="000000" w:fill="000000"/>
          <w:fitText w:val="80" w:id="-1233817086"/>
          <w:lang w:val="en-US"/>
          <w14:textFill>
            <w14:solidFill>
              <w14:srgbClr w14:val="000000">
                <w14:alpha w14:val="100000"/>
              </w14:srgbClr>
            </w14:solidFill>
          </w14:textFill>
        </w:rPr>
        <w:t xml:space="preserve">|  </w:t>
      </w:r>
      <w:r w:rsidR="00DB23DE" w:rsidRPr="00BA4B53">
        <w:rPr>
          <w:rFonts w:eastAsia="Times New Roman"/>
          <w:color w:val="000000"/>
          <w:spacing w:val="3"/>
          <w:w w:val="20"/>
          <w:szCs w:val="24"/>
          <w:shd w:val="solid" w:color="000000" w:fill="000000"/>
          <w:fitText w:val="80" w:id="-1233817086"/>
          <w:lang w:val="en-US"/>
          <w14:textFill>
            <w14:solidFill>
              <w14:srgbClr w14:val="000000">
                <w14:alpha w14:val="100000"/>
              </w14:srgbClr>
            </w14:solidFill>
          </w14:textFill>
        </w:rPr>
        <w:t>|</w:t>
      </w:r>
      <w:r w:rsidR="00652163" w:rsidRPr="00C06DCA">
        <w:rPr>
          <w:rFonts w:eastAsia="Times New Roman"/>
          <w:szCs w:val="24"/>
          <w:lang w:val="en-US"/>
        </w:rPr>
        <w:t xml:space="preserve">% in year 3, </w:t>
      </w:r>
      <w:r w:rsidR="00DB23DE" w:rsidRPr="00BA4B53">
        <w:rPr>
          <w:rFonts w:eastAsia="Times New Roman"/>
          <w:color w:val="000000"/>
          <w:spacing w:val="4"/>
          <w:w w:val="20"/>
          <w:szCs w:val="24"/>
          <w:shd w:val="solid" w:color="000000" w:fill="000000"/>
          <w:fitText w:val="80" w:id="-1233817085"/>
          <w:lang w:val="en-US"/>
          <w14:textFill>
            <w14:solidFill>
              <w14:srgbClr w14:val="000000">
                <w14:alpha w14:val="100000"/>
              </w14:srgbClr>
            </w14:solidFill>
          </w14:textFill>
        </w:rPr>
        <w:t xml:space="preserve">|  </w:t>
      </w:r>
      <w:r w:rsidR="00DB23DE" w:rsidRPr="00BA4B53">
        <w:rPr>
          <w:rFonts w:eastAsia="Times New Roman"/>
          <w:color w:val="000000"/>
          <w:spacing w:val="3"/>
          <w:w w:val="20"/>
          <w:szCs w:val="24"/>
          <w:shd w:val="solid" w:color="000000" w:fill="000000"/>
          <w:fitText w:val="80" w:id="-1233817085"/>
          <w:lang w:val="en-US"/>
          <w14:textFill>
            <w14:solidFill>
              <w14:srgbClr w14:val="000000">
                <w14:alpha w14:val="100000"/>
              </w14:srgbClr>
            </w14:solidFill>
          </w14:textFill>
        </w:rPr>
        <w:t>|</w:t>
      </w:r>
      <w:r w:rsidR="00652163" w:rsidRPr="00C06DCA">
        <w:rPr>
          <w:rFonts w:eastAsia="Times New Roman"/>
          <w:szCs w:val="24"/>
          <w:lang w:val="en-US"/>
        </w:rPr>
        <w:t xml:space="preserve">% in year 4, </w:t>
      </w:r>
      <w:r w:rsidR="00DB23DE" w:rsidRPr="00BA4B53">
        <w:rPr>
          <w:rFonts w:eastAsia="Times New Roman"/>
          <w:color w:val="000000"/>
          <w:spacing w:val="4"/>
          <w:w w:val="20"/>
          <w:szCs w:val="24"/>
          <w:shd w:val="solid" w:color="000000" w:fill="000000"/>
          <w:fitText w:val="80" w:id="-1233817084"/>
          <w:lang w:val="en-US"/>
          <w14:textFill>
            <w14:solidFill>
              <w14:srgbClr w14:val="000000">
                <w14:alpha w14:val="100000"/>
              </w14:srgbClr>
            </w14:solidFill>
          </w14:textFill>
        </w:rPr>
        <w:t xml:space="preserve">|  </w:t>
      </w:r>
      <w:r w:rsidR="00DB23DE" w:rsidRPr="00BA4B53">
        <w:rPr>
          <w:rFonts w:eastAsia="Times New Roman"/>
          <w:color w:val="000000"/>
          <w:spacing w:val="3"/>
          <w:w w:val="20"/>
          <w:szCs w:val="24"/>
          <w:shd w:val="solid" w:color="000000" w:fill="000000"/>
          <w:fitText w:val="80" w:id="-1233817084"/>
          <w:lang w:val="en-US"/>
          <w14:textFill>
            <w14:solidFill>
              <w14:srgbClr w14:val="000000">
                <w14:alpha w14:val="100000"/>
              </w14:srgbClr>
            </w14:solidFill>
          </w14:textFill>
        </w:rPr>
        <w:t>|</w:t>
      </w:r>
      <w:r w:rsidR="00652163" w:rsidRPr="00C06DCA">
        <w:rPr>
          <w:rFonts w:eastAsia="Times New Roman"/>
          <w:szCs w:val="24"/>
          <w:lang w:val="en-US"/>
        </w:rPr>
        <w:t xml:space="preserve">% in year 5 and </w:t>
      </w:r>
      <w:r w:rsidR="00DB23DE" w:rsidRPr="00BA4B53">
        <w:rPr>
          <w:rFonts w:eastAsia="Times New Roman"/>
          <w:color w:val="000000"/>
          <w:spacing w:val="4"/>
          <w:w w:val="20"/>
          <w:szCs w:val="24"/>
          <w:shd w:val="solid" w:color="000000" w:fill="000000"/>
          <w:fitText w:val="80" w:id="-1233817083"/>
          <w:lang w:val="en-US"/>
          <w14:textFill>
            <w14:solidFill>
              <w14:srgbClr w14:val="000000">
                <w14:alpha w14:val="100000"/>
              </w14:srgbClr>
            </w14:solidFill>
          </w14:textFill>
        </w:rPr>
        <w:t xml:space="preserve">|  </w:t>
      </w:r>
      <w:r w:rsidR="00DB23DE" w:rsidRPr="00BA4B53">
        <w:rPr>
          <w:rFonts w:eastAsia="Times New Roman"/>
          <w:color w:val="000000"/>
          <w:spacing w:val="3"/>
          <w:w w:val="20"/>
          <w:szCs w:val="24"/>
          <w:shd w:val="solid" w:color="000000" w:fill="000000"/>
          <w:fitText w:val="80" w:id="-1233817083"/>
          <w:lang w:val="en-US"/>
          <w14:textFill>
            <w14:solidFill>
              <w14:srgbClr w14:val="000000">
                <w14:alpha w14:val="100000"/>
              </w14:srgbClr>
            </w14:solidFill>
          </w14:textFill>
        </w:rPr>
        <w:t>|</w:t>
      </w:r>
      <w:r w:rsidR="00652163" w:rsidRPr="00C06DCA">
        <w:rPr>
          <w:rFonts w:eastAsia="Times New Roman"/>
          <w:szCs w:val="24"/>
          <w:lang w:val="en-US"/>
        </w:rPr>
        <w:t>% in year 6.</w:t>
      </w:r>
    </w:p>
    <w:p w14:paraId="0C09307E" w14:textId="5D7AFB3A" w:rsidR="00E15F3C" w:rsidRDefault="00E15F3C" w:rsidP="004D4E19">
      <w:pPr>
        <w:pStyle w:val="3-BodyText"/>
        <w:numPr>
          <w:ilvl w:val="1"/>
          <w:numId w:val="1"/>
        </w:numPr>
      </w:pPr>
      <w:r>
        <w:t xml:space="preserve">The submission </w:t>
      </w:r>
      <w:r w:rsidR="00CF7C75">
        <w:t xml:space="preserve">estimated </w:t>
      </w:r>
      <w:r>
        <w:t>that the proposed listing of n</w:t>
      </w:r>
      <w:r w:rsidRPr="00F57814">
        <w:t xml:space="preserve">atalizumab </w:t>
      </w:r>
      <w:r w:rsidR="004253FC">
        <w:t>SC</w:t>
      </w:r>
      <w:r>
        <w:t xml:space="preserve"> </w:t>
      </w:r>
      <w:r w:rsidR="00CF7C75">
        <w:t>would</w:t>
      </w:r>
      <w:r>
        <w:t xml:space="preserve"> have no net impact on the PBS/RPBS</w:t>
      </w:r>
      <w:r w:rsidR="00C92936">
        <w:t>.</w:t>
      </w:r>
    </w:p>
    <w:p w14:paraId="4F629310" w14:textId="6AB8F43B" w:rsidR="002E6072" w:rsidRDefault="00C97890" w:rsidP="004D4E19">
      <w:pPr>
        <w:pStyle w:val="3-BodyText"/>
        <w:numPr>
          <w:ilvl w:val="1"/>
          <w:numId w:val="1"/>
        </w:numPr>
      </w:pPr>
      <w:r w:rsidRPr="00C97890">
        <w:t>The submission state</w:t>
      </w:r>
      <w:r w:rsidR="00466CB2">
        <w:t>d that</w:t>
      </w:r>
      <w:r w:rsidRPr="00C97890">
        <w:t xml:space="preserve"> the proposed change would result in a</w:t>
      </w:r>
      <w:r w:rsidR="00466CB2">
        <w:t>n overall net</w:t>
      </w:r>
      <w:r w:rsidRPr="00C97890">
        <w:t xml:space="preserve"> </w:t>
      </w:r>
      <w:r w:rsidR="00466CB2">
        <w:t>saving</w:t>
      </w:r>
      <w:r w:rsidRPr="00C97890">
        <w:t xml:space="preserve"> to Government</w:t>
      </w:r>
      <w:r w:rsidR="00DE1C84">
        <w:t>, driven by the lower MBS costs (administration and monitoring) associated with the SC formulation, compared with the IV formulation, noting that:</w:t>
      </w:r>
    </w:p>
    <w:p w14:paraId="4ED9D544" w14:textId="025A1F5A" w:rsidR="00C97890" w:rsidRDefault="00B51E84" w:rsidP="004D4E19">
      <w:pPr>
        <w:pStyle w:val="3-BodyText"/>
        <w:numPr>
          <w:ilvl w:val="0"/>
          <w:numId w:val="7"/>
        </w:numPr>
      </w:pPr>
      <w:r w:rsidRPr="00B51E84">
        <w:t>the cost of each administration</w:t>
      </w:r>
      <w:r>
        <w:t xml:space="preserve"> of natalizumab </w:t>
      </w:r>
      <w:r w:rsidR="004253FC">
        <w:t>IV</w:t>
      </w:r>
      <w:r w:rsidRPr="00B51E84">
        <w:t xml:space="preserve"> is based on the cost of MBS Item 14245</w:t>
      </w:r>
      <w:r w:rsidR="002E6072">
        <w:t xml:space="preserve"> ($103.55)</w:t>
      </w:r>
      <w:r w:rsidRPr="00B51E84">
        <w:t>, which covers the cost of an IV administration over approximately 1 hour followed by a 1-hour period of observation for signs or symptoms consistent with a hypersensitivity-type reaction</w:t>
      </w:r>
      <w:r w:rsidR="00F601B5">
        <w:t>.</w:t>
      </w:r>
    </w:p>
    <w:p w14:paraId="2A1FCDBE" w14:textId="7D808B01" w:rsidR="000564D5" w:rsidRPr="00A46C92" w:rsidRDefault="002E6072" w:rsidP="004D4E19">
      <w:pPr>
        <w:pStyle w:val="3-BodyText"/>
        <w:numPr>
          <w:ilvl w:val="0"/>
          <w:numId w:val="7"/>
        </w:numPr>
      </w:pPr>
      <w:r>
        <w:t xml:space="preserve">the cost of </w:t>
      </w:r>
      <w:r w:rsidRPr="00B51E84">
        <w:t>each administration</w:t>
      </w:r>
      <w:r>
        <w:t xml:space="preserve"> of natalizumab SC</w:t>
      </w:r>
      <w:r w:rsidR="001420A4">
        <w:t xml:space="preserve"> </w:t>
      </w:r>
      <w:r w:rsidR="001420A4" w:rsidRPr="00B51E84">
        <w:t>is based on the cost of MBS Item</w:t>
      </w:r>
      <w:r w:rsidR="001420A4">
        <w:t xml:space="preserve"> 36 ($76.95), </w:t>
      </w:r>
      <w:r w:rsidR="001420A4" w:rsidRPr="001420A4">
        <w:t>which covers the cost of a general practitioner attendance to administer the first subcutaneous injection, followed by the second subcutaneous injection no later than 30 minutes after the first injection, and for observation up to an hour for signs and symptoms of injection reactions including hypersensitivity.</w:t>
      </w:r>
      <w:r w:rsidR="00CF7C75">
        <w:t xml:space="preserve"> </w:t>
      </w:r>
    </w:p>
    <w:p w14:paraId="2ACF689A" w14:textId="70926E12" w:rsidR="004C0B26" w:rsidRDefault="00DF3FD2" w:rsidP="00B959F4">
      <w:pPr>
        <w:pStyle w:val="3Bodytext"/>
      </w:pPr>
      <w:r>
        <w:t>T</w:t>
      </w:r>
      <w:r w:rsidR="00402321" w:rsidRPr="00402321">
        <w:t xml:space="preserve">he submission estimated that the requested listing is expected to </w:t>
      </w:r>
      <w:r w:rsidR="00744C85">
        <w:t>result in a net cost saving to</w:t>
      </w:r>
      <w:r w:rsidR="00402321" w:rsidRPr="00402321">
        <w:t xml:space="preserve"> </w:t>
      </w:r>
      <w:r w:rsidR="00744C85">
        <w:t xml:space="preserve">the </w:t>
      </w:r>
      <w:r w:rsidR="00402321" w:rsidRPr="00402321">
        <w:t>Government in year 1 to year 6.</w:t>
      </w:r>
    </w:p>
    <w:p w14:paraId="5A817EE1" w14:textId="102B9575" w:rsidR="004C0B26" w:rsidRPr="00E24D28" w:rsidRDefault="0023292A" w:rsidP="004D4E19">
      <w:pPr>
        <w:pStyle w:val="3Bodytext"/>
        <w:jc w:val="both"/>
      </w:pPr>
      <w:r>
        <w:t>While not a matter for PBAC, t</w:t>
      </w:r>
      <w:r w:rsidR="00F96FCB" w:rsidRPr="00E24D28">
        <w:t xml:space="preserve">he </w:t>
      </w:r>
      <w:r w:rsidR="009C456C">
        <w:t>p</w:t>
      </w:r>
      <w:r w:rsidR="00F96FCB" w:rsidRPr="00E24D28">
        <w:t xml:space="preserve">re-PBAC response </w:t>
      </w:r>
      <w:r w:rsidR="00CE1BF7">
        <w:t>accepted</w:t>
      </w:r>
      <w:r w:rsidR="004C0B26" w:rsidRPr="005E22F1">
        <w:t xml:space="preserve"> that a first new brand price reduction </w:t>
      </w:r>
      <w:r w:rsidR="004C0B26" w:rsidRPr="00E24D28">
        <w:t xml:space="preserve">would be applied to natalizumab SC </w:t>
      </w:r>
      <w:r w:rsidR="004C0B26" w:rsidRPr="005E22F1">
        <w:t>in accordance with Section</w:t>
      </w:r>
      <w:r w:rsidR="002A605A">
        <w:t> </w:t>
      </w:r>
      <w:r w:rsidR="004C0B26" w:rsidRPr="005E22F1">
        <w:t xml:space="preserve">99ACB of </w:t>
      </w:r>
      <w:r w:rsidR="00E44957" w:rsidRPr="00512431">
        <w:t>the</w:t>
      </w:r>
      <w:r w:rsidR="004C0B26" w:rsidRPr="00512431">
        <w:t xml:space="preserve"> Act</w:t>
      </w:r>
      <w:r w:rsidR="004C0B26" w:rsidRPr="005E22F1">
        <w:t>.</w:t>
      </w:r>
    </w:p>
    <w:p w14:paraId="0CC69526" w14:textId="239322FC" w:rsidR="006F6068" w:rsidRDefault="006F6068" w:rsidP="004D4E19">
      <w:pPr>
        <w:pStyle w:val="4-SubsectionHeading"/>
        <w:rPr>
          <w:lang w:eastAsia="en-US"/>
        </w:rPr>
      </w:pPr>
      <w:r>
        <w:rPr>
          <w:lang w:eastAsia="en-US"/>
        </w:rPr>
        <w:t>Quality use of medicines</w:t>
      </w:r>
      <w:r w:rsidRPr="009D507A">
        <w:rPr>
          <w:lang w:eastAsia="en-US"/>
        </w:rPr>
        <w:t xml:space="preserve"> </w:t>
      </w:r>
    </w:p>
    <w:p w14:paraId="5F7E41AD" w14:textId="473A4D6A" w:rsidR="00200DDB" w:rsidRDefault="00200DDB" w:rsidP="004D4E19">
      <w:pPr>
        <w:pStyle w:val="3Bodytext"/>
        <w:jc w:val="both"/>
      </w:pPr>
      <w:r>
        <w:t>The Product Information state</w:t>
      </w:r>
      <w:r w:rsidR="00CF7C75">
        <w:t>s</w:t>
      </w:r>
      <w:r>
        <w:t xml:space="preserve"> that </w:t>
      </w:r>
      <w:r w:rsidR="0072241C">
        <w:t>n</w:t>
      </w:r>
      <w:r>
        <w:t>atalizumab IV</w:t>
      </w:r>
      <w:r w:rsidRPr="00200DDB">
        <w:t xml:space="preserve"> is not intended for subcutaneous administration and vice versa</w:t>
      </w:r>
      <w:r>
        <w:t xml:space="preserve">. </w:t>
      </w:r>
    </w:p>
    <w:p w14:paraId="55CB7B39" w14:textId="7BFD005F" w:rsidR="00200DDB" w:rsidRPr="005E22F1" w:rsidRDefault="00AC28E3" w:rsidP="004D4E19">
      <w:pPr>
        <w:pStyle w:val="3Bodytext"/>
        <w:jc w:val="both"/>
      </w:pPr>
      <w:r w:rsidRPr="005E22F1">
        <w:t>Noting issues raised in paragraphs 3.2, 3.3 and 3.4, t</w:t>
      </w:r>
      <w:r w:rsidR="00200DDB" w:rsidRPr="005E22F1">
        <w:t>he PBAC consider</w:t>
      </w:r>
      <w:r w:rsidR="002A605A">
        <w:t>ed</w:t>
      </w:r>
      <w:r w:rsidR="00200DDB" w:rsidRPr="005E22F1">
        <w:t xml:space="preserve"> </w:t>
      </w:r>
      <w:r w:rsidR="003775E6">
        <w:t xml:space="preserve">there would not be additional </w:t>
      </w:r>
      <w:r w:rsidR="00CF7C75" w:rsidRPr="005E22F1">
        <w:t xml:space="preserve">quality use of medicines </w:t>
      </w:r>
      <w:r w:rsidR="00200DDB" w:rsidRPr="005E22F1">
        <w:t xml:space="preserve">issues associated with natalizumab SC </w:t>
      </w:r>
      <w:r w:rsidR="00CF7C75" w:rsidRPr="005E22F1">
        <w:t xml:space="preserve">being </w:t>
      </w:r>
      <w:r w:rsidR="00200DDB" w:rsidRPr="005E22F1">
        <w:t xml:space="preserve">administered outside of the hospital </w:t>
      </w:r>
      <w:r w:rsidR="00CF7C75" w:rsidRPr="005E22F1">
        <w:t xml:space="preserve">outpatient </w:t>
      </w:r>
      <w:r w:rsidR="00200DDB" w:rsidRPr="005E22F1">
        <w:t>setting.</w:t>
      </w:r>
      <w:r w:rsidR="00226E38" w:rsidRPr="005E22F1">
        <w:t xml:space="preserve"> </w:t>
      </w:r>
    </w:p>
    <w:p w14:paraId="04580187" w14:textId="53CC3EAE" w:rsidR="008E7EEC" w:rsidRDefault="004317AF" w:rsidP="004D4E19">
      <w:pPr>
        <w:pStyle w:val="3Bodytext"/>
        <w:jc w:val="both"/>
        <w:rPr>
          <w:i/>
        </w:rPr>
      </w:pPr>
      <w:bookmarkStart w:id="7" w:name="_Hlk127944956"/>
      <w:r>
        <w:t>The PBAC noted t</w:t>
      </w:r>
      <w:r w:rsidR="00915913">
        <w:t xml:space="preserve">he submission considered that </w:t>
      </w:r>
      <w:r w:rsidR="00CF7C75">
        <w:t xml:space="preserve">administration outside of the hospital </w:t>
      </w:r>
      <w:r w:rsidR="002C37B4">
        <w:t xml:space="preserve">outpatient </w:t>
      </w:r>
      <w:r w:rsidR="00CF7C75">
        <w:t>setting</w:t>
      </w:r>
      <w:r w:rsidR="00CF7C75" w:rsidRPr="006F6068">
        <w:t xml:space="preserve"> </w:t>
      </w:r>
      <w:r w:rsidR="006F6068" w:rsidRPr="006F6068">
        <w:t xml:space="preserve">is particularly important for patients in rural and remote </w:t>
      </w:r>
      <w:r w:rsidR="00CF7C75">
        <w:t>areas</w:t>
      </w:r>
      <w:r w:rsidR="00CF7C75" w:rsidRPr="006F6068">
        <w:t xml:space="preserve"> </w:t>
      </w:r>
      <w:r w:rsidR="006F6068" w:rsidRPr="006F6068">
        <w:t xml:space="preserve">who are currently required to travel for hours to have their treatment administered in a hospital. </w:t>
      </w:r>
      <w:bookmarkEnd w:id="7"/>
      <w:r w:rsidR="00915913">
        <w:t>The submission further claimed that i</w:t>
      </w:r>
      <w:r w:rsidR="006F6068" w:rsidRPr="006F6068">
        <w:t>ntroduction of a SC formulation of natalizumab also has the potential of increasing capacity for IV infusions across the health system for other conditions.</w:t>
      </w:r>
      <w:r w:rsidR="008E7EEC" w:rsidRPr="008E7EEC">
        <w:rPr>
          <w:i/>
        </w:rPr>
        <w:t xml:space="preserve"> </w:t>
      </w:r>
    </w:p>
    <w:p w14:paraId="00ACDD65" w14:textId="77B75C36" w:rsidR="008E7EEC" w:rsidRDefault="008E7EEC" w:rsidP="004D4E19">
      <w:pPr>
        <w:pStyle w:val="3Bodytext"/>
        <w:numPr>
          <w:ilvl w:val="0"/>
          <w:numId w:val="0"/>
        </w:numPr>
        <w:ind w:left="720"/>
        <w:jc w:val="both"/>
      </w:pPr>
      <w:r w:rsidRPr="00A10280">
        <w:rPr>
          <w:i/>
        </w:rPr>
        <w:t xml:space="preserve">For more detail on PBAC’s view, see section </w:t>
      </w:r>
      <w:r>
        <w:rPr>
          <w:i/>
        </w:rPr>
        <w:t>6</w:t>
      </w:r>
      <w:r w:rsidRPr="00A10280">
        <w:rPr>
          <w:i/>
        </w:rPr>
        <w:t xml:space="preserve"> PBAC outcome</w:t>
      </w:r>
    </w:p>
    <w:p w14:paraId="1118A4A3" w14:textId="77777777" w:rsidR="008E7EEC" w:rsidRPr="00E24D28" w:rsidRDefault="008E7EEC" w:rsidP="004D4E19">
      <w:pPr>
        <w:pStyle w:val="Heading1"/>
        <w:keepLines/>
        <w:numPr>
          <w:ilvl w:val="0"/>
          <w:numId w:val="1"/>
        </w:numPr>
        <w:spacing w:before="240"/>
        <w:ind w:left="709" w:hanging="709"/>
        <w:jc w:val="both"/>
      </w:pPr>
      <w:r w:rsidRPr="00005D1D">
        <w:rPr>
          <w:sz w:val="32"/>
          <w:szCs w:val="32"/>
        </w:rPr>
        <w:t>PBAC Outcome</w:t>
      </w:r>
    </w:p>
    <w:p w14:paraId="348E4DB3" w14:textId="0A14593A" w:rsidR="00285763" w:rsidRDefault="00A6110E" w:rsidP="004D4E19">
      <w:pPr>
        <w:pStyle w:val="3Bodytext"/>
        <w:jc w:val="both"/>
      </w:pPr>
      <w:bookmarkStart w:id="8" w:name="_Hlk130993275"/>
      <w:r>
        <w:t>The PBAC recommended</w:t>
      </w:r>
      <w:r w:rsidR="00424589">
        <w:t xml:space="preserve"> the </w:t>
      </w:r>
      <w:r w:rsidR="0004208B" w:rsidRPr="00E24CBE">
        <w:t>Section 100</w:t>
      </w:r>
      <w:r w:rsidR="00591659">
        <w:t xml:space="preserve"> </w:t>
      </w:r>
      <w:r w:rsidR="00591659" w:rsidRPr="00792D98">
        <w:rPr>
          <w:rFonts w:cstheme="minorHAnsi"/>
        </w:rPr>
        <w:t>(Highly Specialised Drugs Program)</w:t>
      </w:r>
      <w:r w:rsidR="0004208B" w:rsidRPr="00E24CBE">
        <w:t xml:space="preserve"> </w:t>
      </w:r>
      <w:r w:rsidR="00424589">
        <w:t>Authority Required (STREAMLINED)</w:t>
      </w:r>
      <w:r>
        <w:t xml:space="preserve"> listing </w:t>
      </w:r>
      <w:r w:rsidR="00424589">
        <w:t xml:space="preserve">of </w:t>
      </w:r>
      <w:r>
        <w:t>natalizumab 150 mg in 1 mL PFS for subcutaneous injection under the same circumstances as the PBS-listed natalizumab 300 mg in 15 mL vial for intravenous infusion.</w:t>
      </w:r>
      <w:r w:rsidR="00285763" w:rsidRPr="00285763">
        <w:t xml:space="preserve"> </w:t>
      </w:r>
    </w:p>
    <w:bookmarkEnd w:id="8"/>
    <w:p w14:paraId="4A78ABC4" w14:textId="162CC05D" w:rsidR="00F44BE1" w:rsidRDefault="00004202" w:rsidP="004D4E19">
      <w:pPr>
        <w:pStyle w:val="3Bodytext"/>
        <w:jc w:val="both"/>
      </w:pPr>
      <w:r>
        <w:t xml:space="preserve">The PBAC recommended listing natalizumab SC on a cost-minimisation basis </w:t>
      </w:r>
      <w:r w:rsidR="007D4764">
        <w:t>against</w:t>
      </w:r>
      <w:r>
        <w:t xml:space="preserve"> the PBS-listed natalizumab IV</w:t>
      </w:r>
      <w:r w:rsidR="007D4764">
        <w:t xml:space="preserve"> for the treatment of R</w:t>
      </w:r>
      <w:r w:rsidR="00C41DF2">
        <w:t>R</w:t>
      </w:r>
      <w:r w:rsidR="007D4764">
        <w:t>MS</w:t>
      </w:r>
      <w:r>
        <w:t xml:space="preserve">. </w:t>
      </w:r>
      <w:r w:rsidR="000A35BF">
        <w:t xml:space="preserve">The PBAC considered that the nomination of natalizumab IV as comparator is appropriate. While there are PBS-listed RRMS therapies which may be less costly, </w:t>
      </w:r>
      <w:r w:rsidR="00981638">
        <w:t>the PBAC considered these are not relevant comparators, as it is unlikely to be appropriate for patients stabilised on another RRMS treatment to</w:t>
      </w:r>
      <w:r w:rsidR="000A35BF">
        <w:t xml:space="preserve"> switch to natalizumab</w:t>
      </w:r>
      <w:r w:rsidR="007E1554">
        <w:t>, or to change prescriber choice of agent in new RRMS patients,</w:t>
      </w:r>
      <w:r w:rsidR="000A35BF">
        <w:t xml:space="preserve"> </w:t>
      </w:r>
      <w:r w:rsidR="00981638">
        <w:t xml:space="preserve">because an </w:t>
      </w:r>
      <w:r w:rsidR="000A35BF">
        <w:t xml:space="preserve">SC </w:t>
      </w:r>
      <w:r w:rsidR="00981638">
        <w:t>form is available</w:t>
      </w:r>
      <w:r w:rsidR="000A35BF">
        <w:t xml:space="preserve">. </w:t>
      </w:r>
      <w:r w:rsidR="00D079AE" w:rsidRPr="00D079AE">
        <w:t xml:space="preserve"> </w:t>
      </w:r>
      <w:r w:rsidR="00D079AE">
        <w:t xml:space="preserve">The PBAC considered the most likely candidates to use natalizumab SC are patients who are already using natalizumab IV. </w:t>
      </w:r>
      <w:r w:rsidR="00997822">
        <w:t xml:space="preserve">This was also consistent with the financial estimates presented which assumed replacement of natalizumab IV only. </w:t>
      </w:r>
    </w:p>
    <w:p w14:paraId="64FDA7DF" w14:textId="3BFBCB0D" w:rsidR="00FE3EC2" w:rsidRDefault="00FE3EC2" w:rsidP="004D4E19">
      <w:pPr>
        <w:pStyle w:val="3Bodytext"/>
        <w:jc w:val="both"/>
      </w:pPr>
      <w:r>
        <w:t>The PBAC advised that the equi-effective doses were</w:t>
      </w:r>
      <w:r w:rsidR="00997822">
        <w:t xml:space="preserve"> n</w:t>
      </w:r>
      <w:r>
        <w:t>atalizumab SC 300 mg Q4W</w:t>
      </w:r>
      <w:r w:rsidR="00997822">
        <w:t xml:space="preserve"> and n</w:t>
      </w:r>
      <w:r>
        <w:t>atalizumab IV: 300 mg Q4W.</w:t>
      </w:r>
    </w:p>
    <w:p w14:paraId="66F2BB43" w14:textId="750533FB" w:rsidR="00004202" w:rsidRDefault="00004202" w:rsidP="004D4E19">
      <w:pPr>
        <w:pStyle w:val="3Bodytext"/>
        <w:jc w:val="both"/>
      </w:pPr>
      <w:r>
        <w:t xml:space="preserve">The PBAC noted the listing of natalizumab SC is expected to have no net cost to the PBS. </w:t>
      </w:r>
      <w:r w:rsidR="00724E80">
        <w:t>T</w:t>
      </w:r>
      <w:r w:rsidR="00724E80" w:rsidRPr="00FB2462">
        <w:t>he PBAC considered that it was uncertain whether the estimated MBS save would be realised</w:t>
      </w:r>
      <w:r w:rsidR="00724E80">
        <w:t xml:space="preserve">. </w:t>
      </w:r>
    </w:p>
    <w:p w14:paraId="202154EE" w14:textId="01CD190D" w:rsidR="00D317D9" w:rsidRDefault="00D317D9" w:rsidP="004D4E19">
      <w:pPr>
        <w:pStyle w:val="3Bodytext"/>
        <w:jc w:val="both"/>
      </w:pPr>
      <w:r>
        <w:t>The PBAC acknowledged a high demand</w:t>
      </w:r>
      <w:r w:rsidR="00383484">
        <w:t xml:space="preserve"> from patients</w:t>
      </w:r>
      <w:r>
        <w:t xml:space="preserve"> for a </w:t>
      </w:r>
      <w:r w:rsidR="00FE3EC2" w:rsidRPr="00FE3EC2">
        <w:t xml:space="preserve">subcutaneous form of natalizumab </w:t>
      </w:r>
      <w:r w:rsidR="00FE3EC2">
        <w:t xml:space="preserve">because it </w:t>
      </w:r>
      <w:r w:rsidR="00FE3EC2" w:rsidRPr="00FE3EC2">
        <w:t>would improve access for those unable to attend a hospital for treatment, such as those who live in remote or rural areas.</w:t>
      </w:r>
      <w:r>
        <w:t xml:space="preserve"> </w:t>
      </w:r>
    </w:p>
    <w:p w14:paraId="13749A85" w14:textId="5BE8351D" w:rsidR="000A30DB" w:rsidRPr="00424589" w:rsidRDefault="000A30DB" w:rsidP="00430A72">
      <w:pPr>
        <w:pStyle w:val="3Bodytext"/>
        <w:jc w:val="both"/>
      </w:pPr>
      <w:r w:rsidRPr="00424589">
        <w:t xml:space="preserve">The PBAC noted the TGA </w:t>
      </w:r>
      <w:r w:rsidR="003775E6">
        <w:t xml:space="preserve">assessed the bioequivalence between </w:t>
      </w:r>
      <w:r w:rsidR="003775E6" w:rsidRPr="00424589">
        <w:t>natalizumab SC and natalizumab</w:t>
      </w:r>
      <w:r w:rsidR="003775E6">
        <w:t xml:space="preserve"> IV, and </w:t>
      </w:r>
      <w:r w:rsidRPr="00424589">
        <w:t xml:space="preserve">did not consider </w:t>
      </w:r>
      <w:r w:rsidR="003775E6">
        <w:t>these two forms</w:t>
      </w:r>
      <w:r w:rsidRPr="00424589">
        <w:t xml:space="preserve"> </w:t>
      </w:r>
      <w:r w:rsidR="00AB3EEA">
        <w:t xml:space="preserve">to </w:t>
      </w:r>
      <w:r w:rsidRPr="00424589">
        <w:t xml:space="preserve">be bioequivalent. </w:t>
      </w:r>
      <w:r>
        <w:t xml:space="preserve">The PBAC considered that natalizumab SC was therapeutically equivalent to natalizumab IV </w:t>
      </w:r>
      <w:r w:rsidR="004042EF">
        <w:t xml:space="preserve">at </w:t>
      </w:r>
      <w:r>
        <w:t xml:space="preserve">the equi-effective doses. </w:t>
      </w:r>
    </w:p>
    <w:p w14:paraId="26E68DA4" w14:textId="36C08280" w:rsidR="00351B64" w:rsidRDefault="00F4005B" w:rsidP="00430A72">
      <w:pPr>
        <w:pStyle w:val="3Bodytext"/>
        <w:jc w:val="both"/>
      </w:pPr>
      <w:bookmarkStart w:id="9" w:name="_Hlk129701285"/>
      <w:r>
        <w:t xml:space="preserve">The PBAC noted that the pre-PBAC response </w:t>
      </w:r>
      <w:r w:rsidR="00EE15B5">
        <w:t>requested that natalizumab SC be determined as a pharmaceutical item exempt from statutory price reductions in accordance with Section 84AH of the Act. The PBAC noted that natalizumab SC is suitable therapy for patients with R</w:t>
      </w:r>
      <w:r w:rsidR="004042EF">
        <w:t>R</w:t>
      </w:r>
      <w:r w:rsidR="00EE15B5">
        <w:t>MS (in accordance with the circumstance specified under Section 101 (4AB) (a) of the Act). However, the PBAC considered that patients who have difficult or poor venous access due to the current natalizumab IV regimen or other health conditions do not represent an alternative, demographically based subgroup of patients as set out in S101(4AB) (b) of the Act. Moreover, t</w:t>
      </w:r>
      <w:r w:rsidR="00926900">
        <w:t>he PBAC considered that the existing natalizumab IV is a suitable alternative therapy for patients with RRMS and therefore considered that Section 101(4AB)</w:t>
      </w:r>
      <w:r w:rsidR="00845DA9">
        <w:t xml:space="preserve"> </w:t>
      </w:r>
      <w:r w:rsidR="00926900">
        <w:t>(c) was not met.</w:t>
      </w:r>
      <w:r w:rsidR="009A588F">
        <w:t xml:space="preserve"> </w:t>
      </w:r>
      <w:r w:rsidR="00EE15B5">
        <w:t>Overall, the PBAC had no reason to advise the Minister under section 101(4AB) of the Act that the relevant circumstances exist for natalizumab SC to be determined as an item exempt from statutory price reductions.</w:t>
      </w:r>
    </w:p>
    <w:p w14:paraId="7DCAD7E3" w14:textId="63BC920C" w:rsidR="00D776E2" w:rsidRPr="00FB527F" w:rsidRDefault="00D776E2" w:rsidP="00430A72">
      <w:pPr>
        <w:pStyle w:val="3Bodytext"/>
        <w:jc w:val="both"/>
      </w:pPr>
      <w:r>
        <w:t xml:space="preserve">The PBAC noted that its recommendation was on a cost-minimisation basis and advised that, because </w:t>
      </w:r>
      <w:r w:rsidR="0072241C">
        <w:t>n</w:t>
      </w:r>
      <w:r>
        <w:t xml:space="preserve">atalizumab </w:t>
      </w:r>
      <w:r w:rsidR="002E1F36">
        <w:t>SC is</w:t>
      </w:r>
      <w:r>
        <w:t xml:space="preserve"> not expected to provide a substantial and clinically relevant improvement in efficacy, or reduction of toxicity, over </w:t>
      </w:r>
      <w:r w:rsidR="002E1F36">
        <w:t>currently listed form of n</w:t>
      </w:r>
      <w:r>
        <w:t>atalizumab, or not expected to address a high and urgent unmet clinical need given the presence of an alternative therapy, the criteria prescribed by the National Health (Pharmaceuticals and Vaccines – Cost Recovery) Regulations 2009 for Pricing Pathway A were not met.</w:t>
      </w:r>
    </w:p>
    <w:bookmarkEnd w:id="9"/>
    <w:p w14:paraId="0D94CE7C" w14:textId="33E6E436" w:rsidR="00D776E2" w:rsidRDefault="00D776E2" w:rsidP="00430A72">
      <w:pPr>
        <w:pStyle w:val="3Bodytext"/>
        <w:jc w:val="both"/>
      </w:pPr>
      <w:r>
        <w:t>The PBAC noted that this submission is not eligible for an Independent Review as it received a positive recommendation.</w:t>
      </w:r>
    </w:p>
    <w:p w14:paraId="56FBF3BF" w14:textId="1210F0D0" w:rsidR="008E7EEC" w:rsidRPr="00525B39" w:rsidRDefault="008E7EEC" w:rsidP="008E7EEC">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0FC56B8" w14:textId="6A39EF4F" w:rsidR="00801AF0" w:rsidRDefault="008E7EEC" w:rsidP="008E7EEC">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3F631F91" w14:textId="77777777" w:rsidR="008E7EEC" w:rsidRPr="00F237A4" w:rsidRDefault="008E7EEC" w:rsidP="008E7EEC">
      <w:pPr>
        <w:pStyle w:val="2-SectionHeading"/>
        <w:rPr>
          <w:b w:val="0"/>
          <w:iCs/>
          <w:lang w:val="en-GB"/>
        </w:rPr>
      </w:pPr>
      <w:r w:rsidRPr="00525B39">
        <w:rPr>
          <w:lang w:val="en-GB"/>
        </w:rPr>
        <w:t>Recommended listing</w:t>
      </w:r>
    </w:p>
    <w:p w14:paraId="540F9EB5" w14:textId="236ACE01" w:rsidR="00DB1970" w:rsidRDefault="005F5B39" w:rsidP="005F5B39">
      <w:pPr>
        <w:pStyle w:val="3Bodytext"/>
      </w:pPr>
      <w:r>
        <w:t>Add new item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67"/>
        <w:gridCol w:w="2410"/>
        <w:gridCol w:w="1276"/>
        <w:gridCol w:w="850"/>
        <w:gridCol w:w="851"/>
        <w:gridCol w:w="708"/>
        <w:gridCol w:w="1701"/>
      </w:tblGrid>
      <w:tr w:rsidR="00DB1970" w:rsidRPr="007C2F4B" w14:paraId="276467FA" w14:textId="77777777" w:rsidTr="004D4E19">
        <w:trPr>
          <w:cantSplit/>
          <w:trHeight w:val="471"/>
        </w:trPr>
        <w:tc>
          <w:tcPr>
            <w:tcW w:w="3681" w:type="dxa"/>
            <w:gridSpan w:val="3"/>
          </w:tcPr>
          <w:p w14:paraId="7648589F" w14:textId="77777777" w:rsidR="00DB1970" w:rsidRPr="007C2F4B" w:rsidRDefault="00DB1970" w:rsidP="00BA4B53">
            <w:pPr>
              <w:rPr>
                <w:rFonts w:ascii="Arial Narrow" w:hAnsi="Arial Narrow" w:cs="Arial"/>
                <w:b/>
                <w:bCs/>
                <w:sz w:val="20"/>
                <w:szCs w:val="20"/>
              </w:rPr>
            </w:pPr>
            <w:r w:rsidRPr="007C2F4B">
              <w:rPr>
                <w:rFonts w:ascii="Arial Narrow" w:hAnsi="Arial Narrow" w:cs="Arial"/>
                <w:b/>
                <w:bCs/>
                <w:sz w:val="20"/>
                <w:szCs w:val="20"/>
              </w:rPr>
              <w:t>MEDICINAL PRODUCT</w:t>
            </w:r>
          </w:p>
          <w:p w14:paraId="507CC7EB" w14:textId="77777777" w:rsidR="00DB1970" w:rsidRPr="007C2F4B" w:rsidRDefault="00DB1970" w:rsidP="004D4E19">
            <w:pPr>
              <w:keepNext/>
              <w:rPr>
                <w:rFonts w:ascii="Arial Narrow" w:hAnsi="Arial Narrow" w:cs="Arial"/>
                <w:b/>
                <w:sz w:val="20"/>
                <w:szCs w:val="20"/>
              </w:rPr>
            </w:pPr>
            <w:r w:rsidRPr="007C2F4B">
              <w:rPr>
                <w:rFonts w:ascii="Arial Narrow" w:hAnsi="Arial Narrow" w:cs="Arial"/>
                <w:b/>
                <w:bCs/>
                <w:sz w:val="20"/>
                <w:szCs w:val="20"/>
              </w:rPr>
              <w:t>Medicinal Product Pack</w:t>
            </w:r>
          </w:p>
        </w:tc>
        <w:tc>
          <w:tcPr>
            <w:tcW w:w="1276" w:type="dxa"/>
          </w:tcPr>
          <w:p w14:paraId="5E0E5B76" w14:textId="77777777" w:rsidR="00DB1970" w:rsidRPr="007C2F4B" w:rsidRDefault="00DB1970" w:rsidP="004D4E19">
            <w:pPr>
              <w:keepNext/>
              <w:ind w:left="-108"/>
              <w:jc w:val="center"/>
              <w:rPr>
                <w:rFonts w:ascii="Arial Narrow" w:hAnsi="Arial Narrow" w:cs="Arial"/>
                <w:b/>
                <w:sz w:val="20"/>
                <w:szCs w:val="20"/>
              </w:rPr>
            </w:pPr>
            <w:r w:rsidRPr="007C2F4B">
              <w:rPr>
                <w:rFonts w:ascii="Arial Narrow" w:hAnsi="Arial Narrow" w:cs="Arial"/>
                <w:b/>
                <w:sz w:val="20"/>
                <w:szCs w:val="20"/>
              </w:rPr>
              <w:t>PBS item code</w:t>
            </w:r>
          </w:p>
        </w:tc>
        <w:tc>
          <w:tcPr>
            <w:tcW w:w="850" w:type="dxa"/>
          </w:tcPr>
          <w:p w14:paraId="67D79695" w14:textId="77777777" w:rsidR="00DB1970" w:rsidRPr="007C2F4B" w:rsidRDefault="00DB1970" w:rsidP="004D4E19">
            <w:pPr>
              <w:keepNext/>
              <w:ind w:left="-108"/>
              <w:jc w:val="center"/>
              <w:rPr>
                <w:rFonts w:ascii="Arial Narrow" w:hAnsi="Arial Narrow" w:cs="Arial"/>
                <w:b/>
                <w:sz w:val="20"/>
                <w:szCs w:val="20"/>
              </w:rPr>
            </w:pPr>
            <w:r w:rsidRPr="007C2F4B">
              <w:rPr>
                <w:rFonts w:ascii="Arial Narrow" w:hAnsi="Arial Narrow" w:cs="Arial"/>
                <w:b/>
                <w:sz w:val="20"/>
                <w:szCs w:val="20"/>
              </w:rPr>
              <w:t>Max. qty packs</w:t>
            </w:r>
          </w:p>
        </w:tc>
        <w:tc>
          <w:tcPr>
            <w:tcW w:w="851" w:type="dxa"/>
          </w:tcPr>
          <w:p w14:paraId="54B8AE5D" w14:textId="77777777" w:rsidR="00DB1970" w:rsidRPr="007C2F4B" w:rsidRDefault="00DB1970" w:rsidP="004D4E19">
            <w:pPr>
              <w:keepNext/>
              <w:ind w:left="-108"/>
              <w:jc w:val="center"/>
              <w:rPr>
                <w:rFonts w:ascii="Arial Narrow" w:hAnsi="Arial Narrow" w:cs="Arial"/>
                <w:b/>
                <w:sz w:val="20"/>
                <w:szCs w:val="20"/>
              </w:rPr>
            </w:pPr>
            <w:r w:rsidRPr="007C2F4B">
              <w:rPr>
                <w:rFonts w:ascii="Arial Narrow" w:hAnsi="Arial Narrow" w:cs="Arial"/>
                <w:b/>
                <w:sz w:val="20"/>
                <w:szCs w:val="20"/>
              </w:rPr>
              <w:t>Max. qty units</w:t>
            </w:r>
          </w:p>
        </w:tc>
        <w:tc>
          <w:tcPr>
            <w:tcW w:w="708" w:type="dxa"/>
          </w:tcPr>
          <w:p w14:paraId="4C0616A0" w14:textId="77777777" w:rsidR="00DB1970" w:rsidRPr="007C2F4B" w:rsidRDefault="00DB1970" w:rsidP="004D4E19">
            <w:pPr>
              <w:keepNext/>
              <w:ind w:left="-108"/>
              <w:jc w:val="center"/>
              <w:rPr>
                <w:rFonts w:ascii="Arial Narrow" w:hAnsi="Arial Narrow" w:cs="Arial"/>
                <w:b/>
                <w:sz w:val="20"/>
                <w:szCs w:val="20"/>
              </w:rPr>
            </w:pPr>
            <w:r w:rsidRPr="007C2F4B">
              <w:rPr>
                <w:rFonts w:ascii="Arial Narrow" w:hAnsi="Arial Narrow" w:cs="Arial"/>
                <w:b/>
                <w:sz w:val="20"/>
                <w:szCs w:val="20"/>
              </w:rPr>
              <w:t>№.of</w:t>
            </w:r>
          </w:p>
          <w:p w14:paraId="209EE719" w14:textId="77777777" w:rsidR="00DB1970" w:rsidRPr="007C2F4B" w:rsidRDefault="00DB1970" w:rsidP="004D4E19">
            <w:pPr>
              <w:keepNext/>
              <w:ind w:left="-108"/>
              <w:jc w:val="center"/>
              <w:rPr>
                <w:rFonts w:ascii="Arial Narrow" w:hAnsi="Arial Narrow" w:cs="Arial"/>
                <w:b/>
                <w:sz w:val="20"/>
                <w:szCs w:val="20"/>
              </w:rPr>
            </w:pPr>
            <w:r w:rsidRPr="007C2F4B">
              <w:rPr>
                <w:rFonts w:ascii="Arial Narrow" w:hAnsi="Arial Narrow" w:cs="Arial"/>
                <w:b/>
                <w:sz w:val="20"/>
                <w:szCs w:val="20"/>
              </w:rPr>
              <w:t>Rpts</w:t>
            </w:r>
          </w:p>
        </w:tc>
        <w:tc>
          <w:tcPr>
            <w:tcW w:w="1701" w:type="dxa"/>
          </w:tcPr>
          <w:p w14:paraId="0B145DF0" w14:textId="77777777" w:rsidR="00DB1970" w:rsidRPr="007C2F4B" w:rsidRDefault="00DB1970" w:rsidP="004D4E19">
            <w:pPr>
              <w:keepNext/>
              <w:rPr>
                <w:rFonts w:ascii="Arial Narrow" w:hAnsi="Arial Narrow" w:cs="Arial"/>
                <w:b/>
                <w:sz w:val="20"/>
                <w:szCs w:val="20"/>
                <w:lang w:val="fr-FR"/>
              </w:rPr>
            </w:pPr>
            <w:r w:rsidRPr="007C2F4B">
              <w:rPr>
                <w:rFonts w:ascii="Arial Narrow" w:hAnsi="Arial Narrow" w:cs="Arial"/>
                <w:b/>
                <w:sz w:val="20"/>
                <w:szCs w:val="20"/>
              </w:rPr>
              <w:t>Available brands</w:t>
            </w:r>
          </w:p>
        </w:tc>
      </w:tr>
      <w:tr w:rsidR="004D4E19" w:rsidRPr="007C2F4B" w14:paraId="46B52485" w14:textId="77777777" w:rsidTr="006C5E84">
        <w:trPr>
          <w:cantSplit/>
          <w:trHeight w:val="277"/>
        </w:trPr>
        <w:tc>
          <w:tcPr>
            <w:tcW w:w="9067" w:type="dxa"/>
            <w:gridSpan w:val="8"/>
          </w:tcPr>
          <w:p w14:paraId="694CE9E0" w14:textId="6AAED6CD" w:rsidR="004D4E19" w:rsidRPr="004D4E19" w:rsidRDefault="004D4E19" w:rsidP="00BA4B53">
            <w:pPr>
              <w:rPr>
                <w:rFonts w:ascii="Arial Narrow" w:hAnsi="Arial Narrow" w:cs="Arial"/>
                <w:i/>
                <w:iCs/>
                <w:sz w:val="20"/>
                <w:szCs w:val="20"/>
              </w:rPr>
            </w:pPr>
            <w:r w:rsidRPr="00A41818">
              <w:rPr>
                <w:rFonts w:ascii="Arial Narrow" w:hAnsi="Arial Narrow" w:cs="Arial"/>
                <w:sz w:val="20"/>
                <w:szCs w:val="20"/>
              </w:rPr>
              <w:t>NATALIZU</w:t>
            </w:r>
            <w:r>
              <w:rPr>
                <w:rFonts w:ascii="Arial Narrow" w:hAnsi="Arial Narrow" w:cs="Arial"/>
                <w:sz w:val="20"/>
                <w:szCs w:val="20"/>
              </w:rPr>
              <w:t>M</w:t>
            </w:r>
            <w:r w:rsidRPr="00A41818">
              <w:rPr>
                <w:rFonts w:ascii="Arial Narrow" w:hAnsi="Arial Narrow" w:cs="Arial"/>
                <w:sz w:val="20"/>
                <w:szCs w:val="20"/>
              </w:rPr>
              <w:t>AB</w:t>
            </w:r>
          </w:p>
        </w:tc>
      </w:tr>
      <w:tr w:rsidR="00DB1970" w:rsidRPr="007C2F4B" w14:paraId="6A2FF048" w14:textId="77777777" w:rsidTr="004D4E19">
        <w:trPr>
          <w:cantSplit/>
          <w:trHeight w:val="277"/>
        </w:trPr>
        <w:tc>
          <w:tcPr>
            <w:tcW w:w="3681" w:type="dxa"/>
            <w:gridSpan w:val="3"/>
          </w:tcPr>
          <w:p w14:paraId="2E46DC9B" w14:textId="3E8C6AFA" w:rsidR="00DB1970" w:rsidRPr="00A41818" w:rsidRDefault="004D4E19" w:rsidP="00BA4B53">
            <w:pPr>
              <w:rPr>
                <w:rFonts w:ascii="Arial Narrow" w:hAnsi="Arial Narrow" w:cs="Arial"/>
                <w:sz w:val="20"/>
                <w:szCs w:val="20"/>
              </w:rPr>
            </w:pPr>
            <w:r w:rsidRPr="005E22F1">
              <w:rPr>
                <w:rFonts w:ascii="Arial Narrow" w:hAnsi="Arial Narrow" w:cs="Arial"/>
                <w:sz w:val="20"/>
                <w:szCs w:val="20"/>
              </w:rPr>
              <w:t>natalizumab 150 mg/mL injection, 2 x 1 mL syringes</w:t>
            </w:r>
          </w:p>
        </w:tc>
        <w:tc>
          <w:tcPr>
            <w:tcW w:w="1276" w:type="dxa"/>
          </w:tcPr>
          <w:p w14:paraId="6F89FB6D" w14:textId="4D93E276" w:rsidR="00DB1970" w:rsidRPr="00E4376F" w:rsidRDefault="004D4E19" w:rsidP="00BA4B53">
            <w:pPr>
              <w:rPr>
                <w:rFonts w:ascii="Arial Narrow" w:hAnsi="Arial Narrow" w:cs="Arial"/>
                <w:i/>
                <w:iCs/>
                <w:sz w:val="20"/>
                <w:szCs w:val="20"/>
              </w:rPr>
            </w:pPr>
            <w:r w:rsidRPr="005E22F1">
              <w:rPr>
                <w:rFonts w:ascii="Arial Narrow" w:hAnsi="Arial Narrow" w:cs="Arial"/>
                <w:sz w:val="20"/>
                <w:szCs w:val="20"/>
              </w:rPr>
              <w:t>NEW (Public)</w:t>
            </w:r>
            <w:r w:rsidRPr="005E22F1">
              <w:rPr>
                <w:rFonts w:ascii="Arial Narrow" w:hAnsi="Arial Narrow" w:cs="Arial"/>
                <w:sz w:val="20"/>
                <w:szCs w:val="20"/>
              </w:rPr>
              <w:br/>
              <w:t>NEW (Private</w:t>
            </w:r>
            <w:r>
              <w:rPr>
                <w:rFonts w:ascii="Arial Narrow" w:hAnsi="Arial Narrow" w:cs="Arial"/>
                <w:sz w:val="20"/>
                <w:szCs w:val="20"/>
              </w:rPr>
              <w:t>)</w:t>
            </w:r>
          </w:p>
        </w:tc>
        <w:tc>
          <w:tcPr>
            <w:tcW w:w="850" w:type="dxa"/>
          </w:tcPr>
          <w:p w14:paraId="1B7F6BA0" w14:textId="08DE06C0" w:rsidR="00DB1970" w:rsidRPr="00E4376F" w:rsidRDefault="004D4E19" w:rsidP="00BA4B53">
            <w:pPr>
              <w:rPr>
                <w:rFonts w:ascii="Arial Narrow" w:hAnsi="Arial Narrow" w:cs="Arial"/>
                <w:i/>
                <w:iCs/>
                <w:sz w:val="20"/>
                <w:szCs w:val="20"/>
              </w:rPr>
            </w:pPr>
            <w:r w:rsidRPr="005E22F1">
              <w:rPr>
                <w:rFonts w:ascii="Arial Narrow" w:hAnsi="Arial Narrow" w:cs="Arial"/>
                <w:sz w:val="20"/>
                <w:szCs w:val="20"/>
              </w:rPr>
              <w:t>1</w:t>
            </w:r>
          </w:p>
        </w:tc>
        <w:tc>
          <w:tcPr>
            <w:tcW w:w="851" w:type="dxa"/>
          </w:tcPr>
          <w:p w14:paraId="0250A9AD" w14:textId="1897D06A" w:rsidR="00DB1970" w:rsidRPr="003F23C0" w:rsidRDefault="004D4E19" w:rsidP="00BA4B53">
            <w:pPr>
              <w:rPr>
                <w:rFonts w:ascii="Arial Narrow" w:hAnsi="Arial Narrow" w:cs="Arial"/>
                <w:i/>
                <w:iCs/>
                <w:strike/>
                <w:sz w:val="20"/>
                <w:szCs w:val="20"/>
              </w:rPr>
            </w:pPr>
            <w:r w:rsidRPr="005E22F1">
              <w:rPr>
                <w:rFonts w:ascii="Arial Narrow" w:hAnsi="Arial Narrow" w:cs="Arial"/>
                <w:sz w:val="20"/>
                <w:szCs w:val="20"/>
              </w:rPr>
              <w:t>2</w:t>
            </w:r>
          </w:p>
        </w:tc>
        <w:tc>
          <w:tcPr>
            <w:tcW w:w="708" w:type="dxa"/>
          </w:tcPr>
          <w:p w14:paraId="6B8A0F70" w14:textId="16CD640A" w:rsidR="00DB1970" w:rsidRPr="00E4376F" w:rsidRDefault="004D4E19" w:rsidP="00BA4B53">
            <w:pPr>
              <w:rPr>
                <w:rFonts w:ascii="Arial Narrow" w:hAnsi="Arial Narrow" w:cs="Arial"/>
                <w:i/>
                <w:iCs/>
                <w:sz w:val="20"/>
                <w:szCs w:val="20"/>
              </w:rPr>
            </w:pPr>
            <w:r w:rsidRPr="005E22F1">
              <w:rPr>
                <w:rFonts w:ascii="Arial Narrow" w:hAnsi="Arial Narrow" w:cs="Arial"/>
                <w:sz w:val="20"/>
                <w:szCs w:val="20"/>
              </w:rPr>
              <w:t>5</w:t>
            </w:r>
          </w:p>
        </w:tc>
        <w:tc>
          <w:tcPr>
            <w:tcW w:w="1701" w:type="dxa"/>
          </w:tcPr>
          <w:p w14:paraId="2A7F215F" w14:textId="55A348BB" w:rsidR="00DB1970" w:rsidRPr="00E4376F" w:rsidRDefault="004D4E19" w:rsidP="00BA4B53">
            <w:pPr>
              <w:rPr>
                <w:rFonts w:ascii="Arial Narrow" w:hAnsi="Arial Narrow" w:cs="Arial"/>
                <w:sz w:val="20"/>
                <w:szCs w:val="20"/>
              </w:rPr>
            </w:pPr>
            <w:r>
              <w:rPr>
                <w:rFonts w:ascii="Arial Narrow" w:hAnsi="Arial Narrow" w:cs="Arial"/>
                <w:sz w:val="20"/>
                <w:szCs w:val="20"/>
              </w:rPr>
              <w:t>T</w:t>
            </w:r>
            <w:r w:rsidRPr="00E4376F">
              <w:rPr>
                <w:rFonts w:ascii="Arial Narrow" w:hAnsi="Arial Narrow" w:cs="Arial"/>
                <w:sz w:val="20"/>
                <w:szCs w:val="20"/>
              </w:rPr>
              <w:t>ysabri</w:t>
            </w:r>
          </w:p>
        </w:tc>
      </w:tr>
      <w:tr w:rsidR="004D4E19" w:rsidRPr="007C2F4B" w14:paraId="396D78F8" w14:textId="77777777" w:rsidTr="00F679B1">
        <w:trPr>
          <w:cantSplit/>
          <w:trHeight w:val="277"/>
        </w:trPr>
        <w:tc>
          <w:tcPr>
            <w:tcW w:w="9067" w:type="dxa"/>
            <w:gridSpan w:val="8"/>
          </w:tcPr>
          <w:p w14:paraId="60731159" w14:textId="77777777" w:rsidR="004D4E19" w:rsidRPr="00E4376F" w:rsidRDefault="004D4E19" w:rsidP="00BA4B53">
            <w:pPr>
              <w:rPr>
                <w:rFonts w:ascii="Arial Narrow" w:hAnsi="Arial Narrow" w:cs="Arial"/>
                <w:sz w:val="20"/>
                <w:szCs w:val="20"/>
              </w:rPr>
            </w:pPr>
          </w:p>
        </w:tc>
      </w:tr>
      <w:tr w:rsidR="00DB1970" w:rsidRPr="001428E9" w14:paraId="4D499BB5" w14:textId="77777777" w:rsidTr="001B520D">
        <w:tblPrEx>
          <w:tblCellMar>
            <w:top w:w="15" w:type="dxa"/>
            <w:bottom w:w="15" w:type="dxa"/>
          </w:tblCellMar>
          <w:tblLook w:val="04A0" w:firstRow="1" w:lastRow="0" w:firstColumn="1" w:lastColumn="0" w:noHBand="0" w:noVBand="1"/>
        </w:tblPrEx>
        <w:trPr>
          <w:trHeight w:val="20"/>
        </w:trPr>
        <w:tc>
          <w:tcPr>
            <w:tcW w:w="9067" w:type="dxa"/>
            <w:gridSpan w:val="8"/>
            <w:tcBorders>
              <w:top w:val="single" w:sz="4" w:space="0" w:color="auto"/>
              <w:left w:val="single" w:sz="4" w:space="0" w:color="auto"/>
              <w:right w:val="single" w:sz="4" w:space="0" w:color="auto"/>
            </w:tcBorders>
            <w:vAlign w:val="center"/>
          </w:tcPr>
          <w:p w14:paraId="4C21F1E4" w14:textId="224275DA" w:rsidR="00DB1970" w:rsidRPr="001428E9" w:rsidRDefault="00DB1970" w:rsidP="00BA4B53">
            <w:pPr>
              <w:keepLines/>
              <w:rPr>
                <w:rFonts w:ascii="Arial Narrow" w:hAnsi="Arial Narrow" w:cs="Arial"/>
                <w:b/>
                <w:sz w:val="20"/>
                <w:szCs w:val="20"/>
              </w:rPr>
            </w:pPr>
            <w:r w:rsidRPr="001428E9">
              <w:rPr>
                <w:rFonts w:ascii="Arial Narrow" w:hAnsi="Arial Narrow"/>
                <w:b/>
                <w:sz w:val="20"/>
                <w:szCs w:val="20"/>
              </w:rPr>
              <w:t xml:space="preserve">Restriction Summary / Treatment of Concept: </w:t>
            </w:r>
          </w:p>
        </w:tc>
      </w:tr>
      <w:tr w:rsidR="00DB1970" w:rsidRPr="001428E9" w14:paraId="204DA71D" w14:textId="77777777" w:rsidTr="004D4E19">
        <w:tblPrEx>
          <w:tblCellMar>
            <w:top w:w="15" w:type="dxa"/>
            <w:bottom w:w="15" w:type="dxa"/>
          </w:tblCellMar>
          <w:tblLook w:val="04A0" w:firstRow="1" w:lastRow="0" w:firstColumn="1" w:lastColumn="0" w:noHBand="0" w:noVBand="1"/>
        </w:tblPrEx>
        <w:trPr>
          <w:trHeight w:val="55"/>
        </w:trPr>
        <w:tc>
          <w:tcPr>
            <w:tcW w:w="1271" w:type="dxa"/>
            <w:gridSpan w:val="2"/>
            <w:vMerge w:val="restart"/>
            <w:tcBorders>
              <w:top w:val="single" w:sz="4" w:space="0" w:color="auto"/>
              <w:left w:val="single" w:sz="4" w:space="0" w:color="auto"/>
              <w:right w:val="single" w:sz="4" w:space="0" w:color="auto"/>
            </w:tcBorders>
          </w:tcPr>
          <w:p w14:paraId="1BE74D77" w14:textId="77777777" w:rsidR="00DB1970" w:rsidRPr="001428E9" w:rsidRDefault="00DB1970" w:rsidP="00BA4B53">
            <w:pPr>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r w:rsidRPr="001428E9">
              <w:rPr>
                <w:rFonts w:ascii="Arial Narrow" w:hAnsi="Arial Narrow" w:cs="Arial"/>
                <w:sz w:val="20"/>
                <w:szCs w:val="20"/>
              </w:rPr>
              <w:t>(for internal Dept. use)</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393987D" w14:textId="77777777" w:rsidR="00DB1970" w:rsidRPr="001428E9" w:rsidRDefault="00DB1970" w:rsidP="00BA4B53">
            <w:pPr>
              <w:keepLines/>
              <w:rPr>
                <w:rFonts w:ascii="Arial Narrow" w:hAnsi="Arial Narrow" w:cs="Arial"/>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 xml:space="preserve">Section 100 – Highly Specialised Drugs Program </w:t>
            </w:r>
            <w:r>
              <w:rPr>
                <w:rFonts w:ascii="Arial Narrow" w:hAnsi="Arial Narrow" w:cs="Arial"/>
                <w:sz w:val="20"/>
                <w:szCs w:val="20"/>
              </w:rPr>
              <w:t>(Public/Private)</w:t>
            </w:r>
          </w:p>
        </w:tc>
      </w:tr>
      <w:tr w:rsidR="00DB1970" w:rsidRPr="001428E9" w14:paraId="5D10C6A4" w14:textId="77777777" w:rsidTr="001B520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E10C3BF" w14:textId="77777777" w:rsidR="00DB1970" w:rsidRPr="001428E9" w:rsidRDefault="00DB1970" w:rsidP="00BA4B53">
            <w:pPr>
              <w:rPr>
                <w:rFonts w:ascii="Arial Narrow" w:hAnsi="Arial Narrow" w:cs="Arial"/>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443269C7" w14:textId="77777777" w:rsidR="00DB1970" w:rsidRPr="001428E9" w:rsidRDefault="00DB1970" w:rsidP="00BA4B53">
            <w:pPr>
              <w:keepLines/>
              <w:rPr>
                <w:rFonts w:ascii="Arial Narrow" w:hAnsi="Arial Narrow" w:cs="Arial"/>
                <w:b/>
                <w:sz w:val="20"/>
                <w:szCs w:val="20"/>
              </w:rPr>
            </w:pPr>
            <w:r w:rsidRPr="001428E9">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A295D">
              <w:rPr>
                <w:rFonts w:ascii="Arial Narrow" w:hAnsi="Arial Narrow" w:cs="Arial"/>
                <w:sz w:val="20"/>
                <w:szCs w:val="20"/>
              </w:rPr>
            </w:r>
            <w:r w:rsidR="006A295D">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p>
        </w:tc>
      </w:tr>
      <w:tr w:rsidR="00DB1970" w:rsidRPr="00D56F94" w14:paraId="742E04E0" w14:textId="77777777" w:rsidTr="001B520D">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7A16920" w14:textId="77777777" w:rsidR="00DB1970" w:rsidRPr="001428E9" w:rsidRDefault="00DB1970" w:rsidP="00BA4B53">
            <w:pPr>
              <w:rPr>
                <w:rFonts w:ascii="Arial Narrow" w:hAnsi="Arial Narrow" w:cs="Arial"/>
                <w:sz w:val="20"/>
                <w:szCs w:val="20"/>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364AF1E1" w14:textId="2A1FA3AE" w:rsidR="00DB1970" w:rsidRPr="00845DDB" w:rsidRDefault="00DB1970" w:rsidP="00BA4B53">
            <w:pPr>
              <w:keepLines/>
              <w:jc w:val="left"/>
              <w:rPr>
                <w:rFonts w:ascii="Arial Narrow" w:hAnsi="Arial Narrow" w:cs="Arial"/>
                <w:b/>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sidR="006A295D">
              <w:rPr>
                <w:rFonts w:ascii="Arial Narrow" w:eastAsia="Calibri" w:hAnsi="Arial Narrow" w:cs="Arial"/>
                <w:sz w:val="20"/>
                <w:szCs w:val="20"/>
              </w:rPr>
            </w:r>
            <w:r w:rsidR="006A295D">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[new code] </w:t>
            </w:r>
          </w:p>
        </w:tc>
      </w:tr>
      <w:tr w:rsidR="00DB1970" w:rsidRPr="001E468F" w14:paraId="29639F51" w14:textId="77777777" w:rsidTr="001B4ABD">
        <w:tblPrEx>
          <w:tblCellMar>
            <w:top w:w="15" w:type="dxa"/>
            <w:bottom w:w="15" w:type="dxa"/>
          </w:tblCellMar>
          <w:tblLook w:val="04A0" w:firstRow="1" w:lastRow="0" w:firstColumn="1" w:lastColumn="0" w:noHBand="0" w:noVBand="1"/>
        </w:tblPrEx>
        <w:trPr>
          <w:trHeight w:val="947"/>
        </w:trPr>
        <w:tc>
          <w:tcPr>
            <w:tcW w:w="704" w:type="dxa"/>
            <w:tcBorders>
              <w:left w:val="single" w:sz="4" w:space="0" w:color="auto"/>
              <w:right w:val="single" w:sz="4" w:space="0" w:color="auto"/>
            </w:tcBorders>
            <w:textDirection w:val="btLr"/>
            <w:vAlign w:val="center"/>
          </w:tcPr>
          <w:p w14:paraId="247DF1CC" w14:textId="77777777" w:rsidR="00DB1970" w:rsidRPr="001428E9" w:rsidRDefault="00DB1970" w:rsidP="00BA4B53">
            <w:pPr>
              <w:jc w:val="center"/>
              <w:rPr>
                <w:rFonts w:ascii="Arial Narrow" w:hAnsi="Arial Narrow" w:cs="Arial"/>
                <w:sz w:val="20"/>
                <w:szCs w:val="20"/>
              </w:rPr>
            </w:pPr>
            <w:r w:rsidRPr="001428E9">
              <w:rPr>
                <w:rFonts w:ascii="Arial Narrow" w:hAnsi="Arial Narrow" w:cs="Arial"/>
                <w:sz w:val="20"/>
                <w:szCs w:val="20"/>
              </w:rPr>
              <w:t>Prescribing rule level</w:t>
            </w:r>
          </w:p>
        </w:tc>
        <w:tc>
          <w:tcPr>
            <w:tcW w:w="567" w:type="dxa"/>
            <w:vAlign w:val="center"/>
          </w:tcPr>
          <w:p w14:paraId="0EB1F2A8" w14:textId="37680FEB"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5BB6DED0" w14:textId="77777777" w:rsidR="00DB1970" w:rsidRPr="00C9237C" w:rsidRDefault="00DB1970" w:rsidP="00BA4B53">
            <w:pPr>
              <w:rPr>
                <w:rFonts w:ascii="Arial Narrow" w:hAnsi="Arial Narrow"/>
                <w:sz w:val="20"/>
                <w:szCs w:val="20"/>
              </w:rPr>
            </w:pPr>
            <w:r w:rsidRPr="00C9237C">
              <w:rPr>
                <w:rFonts w:ascii="Arial Narrow" w:hAnsi="Arial Narrow"/>
                <w:b/>
                <w:bCs/>
                <w:sz w:val="20"/>
                <w:szCs w:val="20"/>
              </w:rPr>
              <w:t>Caution:</w:t>
            </w:r>
          </w:p>
          <w:p w14:paraId="118EABDB" w14:textId="77777777" w:rsidR="00DB1970" w:rsidRPr="00C9237C" w:rsidRDefault="00DB1970" w:rsidP="00BA4B53">
            <w:pPr>
              <w:rPr>
                <w:rFonts w:ascii="Arial Narrow" w:hAnsi="Arial Narrow"/>
                <w:sz w:val="20"/>
                <w:szCs w:val="20"/>
              </w:rPr>
            </w:pPr>
            <w:r w:rsidRPr="00C9237C">
              <w:rPr>
                <w:rFonts w:ascii="Arial Narrow" w:hAnsi="Arial Narrow"/>
                <w:sz w:val="20"/>
                <w:szCs w:val="20"/>
              </w:rPr>
              <w:t>Progressive multifocal leukoencephalopathy has been reported with this drug.</w:t>
            </w:r>
          </w:p>
        </w:tc>
      </w:tr>
      <w:tr w:rsidR="00DB1970" w:rsidRPr="001E468F" w14:paraId="4CE9BB27"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E3A716" w14:textId="2E378DE1" w:rsidR="00DB1970" w:rsidRPr="00845DDB" w:rsidRDefault="00DB1970" w:rsidP="00BA4B53">
            <w:pPr>
              <w:keepLines/>
              <w:jc w:val="center"/>
              <w:rPr>
                <w:rFonts w:ascii="Arial Narrow" w:hAnsi="Arial Narrow"/>
                <w:color w:val="333333"/>
                <w:sz w:val="20"/>
                <w:szCs w:val="20"/>
              </w:rPr>
            </w:pPr>
          </w:p>
        </w:tc>
        <w:tc>
          <w:tcPr>
            <w:tcW w:w="7796" w:type="dxa"/>
            <w:gridSpan w:val="6"/>
            <w:vAlign w:val="center"/>
            <w:hideMark/>
          </w:tcPr>
          <w:p w14:paraId="518DEDD4" w14:textId="77777777" w:rsidR="00DB1970" w:rsidRPr="00C9237C" w:rsidRDefault="00DB1970" w:rsidP="00BA4B53">
            <w:pPr>
              <w:keepLines/>
              <w:rPr>
                <w:rFonts w:ascii="Arial Narrow" w:hAnsi="Arial Narrow"/>
                <w:sz w:val="20"/>
                <w:szCs w:val="20"/>
              </w:rPr>
            </w:pPr>
            <w:r w:rsidRPr="00C9237C">
              <w:rPr>
                <w:rFonts w:ascii="Arial Narrow" w:hAnsi="Arial Narrow"/>
                <w:b/>
                <w:bCs/>
                <w:sz w:val="20"/>
                <w:szCs w:val="20"/>
              </w:rPr>
              <w:t>Indication:</w:t>
            </w:r>
            <w:r w:rsidRPr="00C9237C">
              <w:rPr>
                <w:rFonts w:ascii="Arial Narrow" w:hAnsi="Arial Narrow"/>
                <w:sz w:val="20"/>
                <w:szCs w:val="20"/>
              </w:rPr>
              <w:t xml:space="preserve"> Clinically definite relapsing-remitting multiple sclerosis</w:t>
            </w:r>
          </w:p>
        </w:tc>
      </w:tr>
      <w:tr w:rsidR="00DB1970" w:rsidRPr="001E468F" w14:paraId="4CFFB3CC"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BD988A" w14:textId="77777777" w:rsidR="00DB1970" w:rsidRPr="00845DDB" w:rsidRDefault="00DB1970" w:rsidP="00BA4B53">
            <w:pPr>
              <w:keepLines/>
              <w:jc w:val="center"/>
              <w:rPr>
                <w:rFonts w:ascii="Arial Narrow" w:hAnsi="Arial Narrow"/>
                <w:color w:val="333333"/>
                <w:sz w:val="20"/>
                <w:szCs w:val="20"/>
              </w:rPr>
            </w:pPr>
          </w:p>
        </w:tc>
        <w:tc>
          <w:tcPr>
            <w:tcW w:w="7796" w:type="dxa"/>
            <w:gridSpan w:val="6"/>
            <w:vAlign w:val="center"/>
          </w:tcPr>
          <w:p w14:paraId="2D91CA04" w14:textId="77777777" w:rsidR="00DB1970" w:rsidRPr="00C9237C" w:rsidRDefault="00DB1970" w:rsidP="00BA4B53">
            <w:pPr>
              <w:keepLines/>
              <w:rPr>
                <w:rFonts w:ascii="Arial Narrow" w:hAnsi="Arial Narrow"/>
                <w:b/>
                <w:bCs/>
                <w:sz w:val="20"/>
                <w:szCs w:val="20"/>
              </w:rPr>
            </w:pPr>
          </w:p>
        </w:tc>
      </w:tr>
      <w:tr w:rsidR="00DB1970" w:rsidRPr="001E468F" w14:paraId="445FF36E"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8A189BB" w14:textId="244AAC9C"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382D7EA3" w14:textId="77777777" w:rsidR="00DB1970" w:rsidRPr="00C9237C" w:rsidRDefault="00DB1970" w:rsidP="00BA4B53">
            <w:pPr>
              <w:rPr>
                <w:rFonts w:ascii="Arial Narrow" w:hAnsi="Arial Narrow"/>
                <w:b/>
                <w:bCs/>
                <w:sz w:val="20"/>
                <w:szCs w:val="20"/>
              </w:rPr>
            </w:pPr>
            <w:r w:rsidRPr="00C9237C">
              <w:rPr>
                <w:rFonts w:ascii="Arial Narrow" w:hAnsi="Arial Narrow"/>
                <w:b/>
                <w:bCs/>
                <w:sz w:val="20"/>
                <w:szCs w:val="20"/>
              </w:rPr>
              <w:t>Treatment criteria:</w:t>
            </w:r>
          </w:p>
        </w:tc>
      </w:tr>
      <w:tr w:rsidR="00DB1970" w:rsidRPr="001E468F" w14:paraId="38D74787"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00A8FFD" w14:textId="5FCC952B"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2042AC43" w14:textId="77777777" w:rsidR="00DB1970" w:rsidRPr="00C9237C" w:rsidRDefault="00DB1970" w:rsidP="00BA4B53">
            <w:pPr>
              <w:rPr>
                <w:rFonts w:ascii="Arial Narrow" w:hAnsi="Arial Narrow"/>
                <w:b/>
                <w:bCs/>
                <w:sz w:val="20"/>
                <w:szCs w:val="20"/>
              </w:rPr>
            </w:pPr>
            <w:r w:rsidRPr="00C9237C">
              <w:rPr>
                <w:rFonts w:ascii="Arial Narrow" w:hAnsi="Arial Narrow" w:cs="Arial Narrow"/>
                <w:iCs/>
                <w:sz w:val="20"/>
                <w:szCs w:val="20"/>
              </w:rPr>
              <w:t>Must be treated by a neurologist</w:t>
            </w:r>
          </w:p>
        </w:tc>
      </w:tr>
      <w:tr w:rsidR="00DB1970" w:rsidRPr="001E468F" w14:paraId="665CF9C9"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DFE0EF" w14:textId="77777777" w:rsidR="00DB1970" w:rsidRDefault="00DB1970" w:rsidP="00BA4B53">
            <w:pPr>
              <w:jc w:val="center"/>
              <w:rPr>
                <w:rFonts w:ascii="Arial Narrow" w:hAnsi="Arial Narrow"/>
                <w:color w:val="333333"/>
                <w:sz w:val="20"/>
                <w:szCs w:val="20"/>
              </w:rPr>
            </w:pPr>
          </w:p>
        </w:tc>
        <w:tc>
          <w:tcPr>
            <w:tcW w:w="7796" w:type="dxa"/>
            <w:gridSpan w:val="6"/>
            <w:vAlign w:val="center"/>
          </w:tcPr>
          <w:p w14:paraId="68C4F0F6" w14:textId="77777777" w:rsidR="00DB1970" w:rsidRPr="00C9237C" w:rsidRDefault="00DB1970" w:rsidP="00BA4B53">
            <w:pPr>
              <w:rPr>
                <w:rFonts w:ascii="Arial Narrow" w:hAnsi="Arial Narrow" w:cs="Arial Narrow"/>
                <w:iCs/>
                <w:sz w:val="20"/>
                <w:szCs w:val="20"/>
              </w:rPr>
            </w:pPr>
          </w:p>
        </w:tc>
      </w:tr>
      <w:tr w:rsidR="00DB1970" w:rsidRPr="001E468F" w14:paraId="7824077A" w14:textId="77777777" w:rsidTr="009C456C">
        <w:tblPrEx>
          <w:tblCellMar>
            <w:top w:w="15" w:type="dxa"/>
            <w:bottom w:w="15" w:type="dxa"/>
          </w:tblCellMar>
          <w:tblLook w:val="04A0" w:firstRow="1" w:lastRow="0" w:firstColumn="1" w:lastColumn="0" w:noHBand="0" w:noVBand="1"/>
        </w:tblPrEx>
        <w:trPr>
          <w:cantSplit/>
          <w:trHeight w:val="55"/>
        </w:trPr>
        <w:tc>
          <w:tcPr>
            <w:tcW w:w="1271" w:type="dxa"/>
            <w:gridSpan w:val="2"/>
            <w:vAlign w:val="center"/>
          </w:tcPr>
          <w:p w14:paraId="2939CB60" w14:textId="46836AD0"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293BD9EC" w14:textId="77777777" w:rsidR="00DB1970" w:rsidRPr="001E468F" w:rsidRDefault="00DB1970" w:rsidP="00BA4B53">
            <w:pPr>
              <w:rPr>
                <w:rFonts w:ascii="Arial Narrow" w:hAnsi="Arial Narrow"/>
                <w:sz w:val="20"/>
                <w:szCs w:val="20"/>
              </w:rPr>
            </w:pPr>
            <w:r w:rsidRPr="00C9237C">
              <w:rPr>
                <w:rFonts w:ascii="Arial Narrow" w:hAnsi="Arial Narrow"/>
                <w:b/>
                <w:bCs/>
                <w:sz w:val="20"/>
                <w:szCs w:val="20"/>
              </w:rPr>
              <w:t xml:space="preserve">Clinical criteria: </w:t>
            </w:r>
          </w:p>
        </w:tc>
      </w:tr>
      <w:tr w:rsidR="00DB1970" w:rsidRPr="001E468F" w14:paraId="399DC46D"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93FBDDF" w14:textId="3AA57F63"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3D63D2E1" w14:textId="77777777" w:rsidR="00DB1970" w:rsidRPr="00C9237C" w:rsidRDefault="00DB1970" w:rsidP="00BA4B53">
            <w:pPr>
              <w:rPr>
                <w:rFonts w:ascii="Arial Narrow" w:hAnsi="Arial Narrow"/>
                <w:sz w:val="20"/>
                <w:szCs w:val="20"/>
              </w:rPr>
            </w:pPr>
            <w:r w:rsidRPr="00C9237C">
              <w:rPr>
                <w:rFonts w:ascii="Arial Narrow" w:hAnsi="Arial Narrow"/>
                <w:sz w:val="20"/>
                <w:szCs w:val="20"/>
              </w:rPr>
              <w:t>The treatment must be the sole PBS-subsidised disease modifying therapy for this condition</w:t>
            </w:r>
          </w:p>
        </w:tc>
      </w:tr>
      <w:tr w:rsidR="00DB1970" w:rsidRPr="001E468F" w14:paraId="39AD56D6"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855665" w14:textId="77777777"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3A5067DD" w14:textId="77777777" w:rsidR="00DB1970" w:rsidRPr="00C9237C" w:rsidRDefault="00DB1970" w:rsidP="00BA4B53">
            <w:pPr>
              <w:rPr>
                <w:rFonts w:ascii="Arial Narrow" w:hAnsi="Arial Narrow"/>
                <w:sz w:val="20"/>
                <w:szCs w:val="20"/>
              </w:rPr>
            </w:pPr>
            <w:r w:rsidRPr="00C9237C">
              <w:rPr>
                <w:rFonts w:ascii="Arial Narrow" w:hAnsi="Arial Narrow"/>
                <w:b/>
                <w:bCs/>
                <w:sz w:val="20"/>
                <w:szCs w:val="20"/>
              </w:rPr>
              <w:t>AND</w:t>
            </w:r>
          </w:p>
        </w:tc>
      </w:tr>
      <w:tr w:rsidR="00DB1970" w:rsidRPr="001E468F" w14:paraId="027DC9FA"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E92982" w14:textId="7A14B9ED"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10EA2AEF" w14:textId="77777777" w:rsidR="00DB1970" w:rsidRPr="00C9237C" w:rsidRDefault="00DB1970" w:rsidP="00BA4B53">
            <w:pPr>
              <w:rPr>
                <w:rFonts w:ascii="Arial Narrow" w:hAnsi="Arial Narrow"/>
                <w:sz w:val="20"/>
                <w:szCs w:val="20"/>
              </w:rPr>
            </w:pPr>
            <w:r w:rsidRPr="00C9237C">
              <w:rPr>
                <w:rFonts w:ascii="Arial Narrow" w:hAnsi="Arial Narrow"/>
                <w:b/>
                <w:bCs/>
                <w:sz w:val="20"/>
                <w:szCs w:val="20"/>
              </w:rPr>
              <w:t>Clinical criteria:</w:t>
            </w:r>
          </w:p>
        </w:tc>
      </w:tr>
      <w:tr w:rsidR="00DB1970" w:rsidRPr="001E468F" w14:paraId="54A0B40B"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BA234F" w14:textId="082DA573"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35E95CFA" w14:textId="77777777" w:rsidR="00DB1970" w:rsidRPr="00C9237C" w:rsidRDefault="00DB1970" w:rsidP="00BA4B53">
            <w:pPr>
              <w:rPr>
                <w:rFonts w:ascii="Arial Narrow" w:hAnsi="Arial Narrow"/>
                <w:sz w:val="20"/>
                <w:szCs w:val="20"/>
              </w:rPr>
            </w:pPr>
            <w:r w:rsidRPr="00C9237C">
              <w:rPr>
                <w:rFonts w:ascii="Arial Narrow" w:hAnsi="Arial Narrow"/>
                <w:sz w:val="20"/>
                <w:szCs w:val="20"/>
              </w:rPr>
              <w:t xml:space="preserve">Patient must be ambulatory (without assistance or support) </w:t>
            </w:r>
          </w:p>
        </w:tc>
      </w:tr>
      <w:tr w:rsidR="00DB1970" w:rsidRPr="001E468F" w14:paraId="00B7EB96"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427DFF1" w14:textId="77777777"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78C6E123" w14:textId="77777777" w:rsidR="00DB1970" w:rsidRPr="00C9237C" w:rsidRDefault="00DB1970" w:rsidP="00BA4B53">
            <w:pPr>
              <w:rPr>
                <w:rFonts w:ascii="Arial Narrow" w:hAnsi="Arial Narrow"/>
                <w:sz w:val="20"/>
                <w:szCs w:val="20"/>
              </w:rPr>
            </w:pPr>
            <w:r w:rsidRPr="00C9237C">
              <w:rPr>
                <w:rFonts w:ascii="Arial Narrow" w:hAnsi="Arial Narrow"/>
                <w:b/>
                <w:bCs/>
                <w:sz w:val="20"/>
                <w:szCs w:val="20"/>
              </w:rPr>
              <w:t>AND</w:t>
            </w:r>
          </w:p>
        </w:tc>
      </w:tr>
      <w:tr w:rsidR="00DB1970" w:rsidRPr="001E468F" w14:paraId="5C8FE861"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D59450" w14:textId="5A30D310"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5EA78B17" w14:textId="77777777" w:rsidR="00DB1970" w:rsidRPr="00C9237C" w:rsidRDefault="00DB1970" w:rsidP="00BA4B53">
            <w:pPr>
              <w:rPr>
                <w:rFonts w:ascii="Arial Narrow" w:hAnsi="Arial Narrow"/>
                <w:sz w:val="20"/>
                <w:szCs w:val="20"/>
              </w:rPr>
            </w:pPr>
            <w:r w:rsidRPr="00C9237C">
              <w:rPr>
                <w:rFonts w:ascii="Arial Narrow" w:hAnsi="Arial Narrow"/>
                <w:b/>
                <w:bCs/>
                <w:sz w:val="20"/>
                <w:szCs w:val="20"/>
              </w:rPr>
              <w:t>Clinical criteria:</w:t>
            </w:r>
          </w:p>
        </w:tc>
      </w:tr>
      <w:tr w:rsidR="00DB1970" w:rsidRPr="001E468F" w14:paraId="49B07F80"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7D2AC81" w14:textId="1E1E060D"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08308D7C" w14:textId="77777777" w:rsidR="00DB1970" w:rsidRPr="00C9237C" w:rsidRDefault="00DB1970" w:rsidP="00BA4B53">
            <w:pPr>
              <w:rPr>
                <w:rFonts w:ascii="Arial Narrow" w:hAnsi="Arial Narrow"/>
                <w:sz w:val="20"/>
                <w:szCs w:val="20"/>
              </w:rPr>
            </w:pPr>
            <w:r w:rsidRPr="00C9237C">
              <w:rPr>
                <w:rFonts w:ascii="Arial Narrow" w:hAnsi="Arial Narrow"/>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DB1970" w:rsidRPr="001E468F" w14:paraId="5C35FDBE"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1826D9" w14:textId="77777777"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2097020A" w14:textId="77777777" w:rsidR="00DB1970" w:rsidRPr="00C9237C" w:rsidRDefault="00DB1970" w:rsidP="00BA4B53">
            <w:pPr>
              <w:rPr>
                <w:rFonts w:ascii="Arial Narrow" w:hAnsi="Arial Narrow"/>
                <w:sz w:val="20"/>
                <w:szCs w:val="20"/>
              </w:rPr>
            </w:pPr>
            <w:r w:rsidRPr="00C9237C">
              <w:rPr>
                <w:rFonts w:ascii="Arial Narrow" w:hAnsi="Arial Narrow"/>
                <w:b/>
                <w:bCs/>
                <w:sz w:val="20"/>
                <w:szCs w:val="20"/>
              </w:rPr>
              <w:t>AND</w:t>
            </w:r>
          </w:p>
        </w:tc>
      </w:tr>
      <w:tr w:rsidR="00DB1970" w:rsidRPr="001E468F" w14:paraId="5EBA4A29"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544023" w14:textId="00DAD028"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212D3796" w14:textId="77777777" w:rsidR="00DB1970" w:rsidRPr="001E468F" w:rsidRDefault="00DB1970" w:rsidP="00BA4B53">
            <w:pPr>
              <w:autoSpaceDE w:val="0"/>
              <w:autoSpaceDN w:val="0"/>
              <w:adjustRightInd w:val="0"/>
              <w:rPr>
                <w:rFonts w:ascii="Arial Narrow" w:hAnsi="Arial Narrow" w:cs="Arial Narrow"/>
                <w:i/>
                <w:iCs/>
                <w:sz w:val="20"/>
                <w:szCs w:val="20"/>
              </w:rPr>
            </w:pPr>
            <w:r w:rsidRPr="00C9237C">
              <w:rPr>
                <w:rFonts w:ascii="Arial Narrow" w:hAnsi="Arial Narrow"/>
                <w:b/>
                <w:bCs/>
                <w:sz w:val="20"/>
                <w:szCs w:val="20"/>
              </w:rPr>
              <w:t>Clinical criteria:</w:t>
            </w:r>
          </w:p>
        </w:tc>
      </w:tr>
      <w:tr w:rsidR="00DB1970" w:rsidRPr="001E468F" w14:paraId="39489245"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BBBEA7A" w14:textId="6570412E"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631F0D28" w14:textId="77777777" w:rsidR="00DB1970" w:rsidRPr="001E468F" w:rsidRDefault="00DB1970" w:rsidP="00BA4B53">
            <w:pPr>
              <w:autoSpaceDE w:val="0"/>
              <w:autoSpaceDN w:val="0"/>
              <w:adjustRightInd w:val="0"/>
              <w:rPr>
                <w:rFonts w:ascii="Arial Narrow" w:hAnsi="Arial Narrow" w:cs="Arial Narrow"/>
                <w:sz w:val="20"/>
                <w:szCs w:val="20"/>
              </w:rPr>
            </w:pPr>
            <w:r w:rsidRPr="001E468F">
              <w:rPr>
                <w:rFonts w:ascii="Arial Narrow" w:hAnsi="Arial Narrow" w:cs="Arial Narrow"/>
                <w:sz w:val="20"/>
                <w:szCs w:val="20"/>
              </w:rPr>
              <w:t>The condition must be confirmed by magnetic resonance imaging of the brain and/or spinal cord; or</w:t>
            </w:r>
          </w:p>
        </w:tc>
      </w:tr>
      <w:tr w:rsidR="00DB1970" w:rsidRPr="001E468F" w14:paraId="130B0CE4"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02039A2" w14:textId="1E8179D3"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5F4FCA26" w14:textId="77777777" w:rsidR="00DB1970" w:rsidRPr="00C9237C" w:rsidRDefault="00DB1970" w:rsidP="00BA4B53">
            <w:pPr>
              <w:rPr>
                <w:rFonts w:ascii="Arial Narrow" w:hAnsi="Arial Narrow"/>
                <w:sz w:val="20"/>
                <w:szCs w:val="20"/>
              </w:rPr>
            </w:pPr>
            <w:r w:rsidRPr="00C9237C">
              <w:rPr>
                <w:rFonts w:ascii="Arial Narrow" w:hAnsi="Arial Narrow"/>
                <w:sz w:val="20"/>
                <w:szCs w:val="20"/>
              </w:rPr>
              <w:t xml:space="preserve">Patient must be deemed unsuitable for magnetic resonance imaging due to the risk of physical (not psychological) injury to the patient </w:t>
            </w:r>
          </w:p>
        </w:tc>
      </w:tr>
      <w:tr w:rsidR="00DB1970" w:rsidRPr="001E468F" w14:paraId="395A6C61"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9FA4EB0" w14:textId="77777777"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02A970D6" w14:textId="77777777" w:rsidR="00DB1970" w:rsidRPr="00C9237C" w:rsidRDefault="00DB1970" w:rsidP="00BA4B53">
            <w:pPr>
              <w:rPr>
                <w:rFonts w:ascii="Arial Narrow" w:hAnsi="Arial Narrow"/>
                <w:sz w:val="20"/>
                <w:szCs w:val="20"/>
              </w:rPr>
            </w:pPr>
          </w:p>
        </w:tc>
      </w:tr>
      <w:tr w:rsidR="00DB1970" w:rsidRPr="001E468F" w14:paraId="0BA54050"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CFC8647" w14:textId="682B591C"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5EB835BF" w14:textId="77777777" w:rsidR="00DB1970" w:rsidRPr="00C9237C" w:rsidRDefault="00DB1970" w:rsidP="00BA4B53">
            <w:pPr>
              <w:rPr>
                <w:rFonts w:ascii="Arial Narrow" w:hAnsi="Arial Narrow"/>
                <w:b/>
                <w:bCs/>
                <w:sz w:val="20"/>
                <w:szCs w:val="20"/>
              </w:rPr>
            </w:pPr>
            <w:r w:rsidRPr="00C9237C">
              <w:rPr>
                <w:rFonts w:ascii="Arial Narrow" w:hAnsi="Arial Narrow"/>
                <w:b/>
                <w:bCs/>
                <w:sz w:val="20"/>
                <w:szCs w:val="20"/>
              </w:rPr>
              <w:t>Prescribing Instructions:</w:t>
            </w:r>
          </w:p>
          <w:p w14:paraId="5BF2C610" w14:textId="77777777" w:rsidR="00DB1970" w:rsidRPr="00C9237C" w:rsidRDefault="00DB1970" w:rsidP="00BA4B53">
            <w:pPr>
              <w:rPr>
                <w:rFonts w:ascii="Arial Narrow" w:hAnsi="Arial Narrow"/>
                <w:sz w:val="20"/>
                <w:szCs w:val="20"/>
              </w:rPr>
            </w:pPr>
            <w:r w:rsidRPr="00C9237C">
              <w:rPr>
                <w:rFonts w:ascii="Arial Narrow" w:hAnsi="Arial Narrow"/>
                <w:sz w:val="20"/>
                <w:szCs w:val="20"/>
              </w:rPr>
              <w:t xml:space="preserve">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 </w:t>
            </w:r>
          </w:p>
        </w:tc>
      </w:tr>
      <w:tr w:rsidR="00DB1970" w:rsidRPr="001E468F" w14:paraId="3A5E3FEC" w14:textId="77777777" w:rsidTr="001B520D">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A0F123" w14:textId="62066F9F" w:rsidR="00DB1970" w:rsidRPr="001428E9" w:rsidRDefault="00DB1970" w:rsidP="00BA4B53">
            <w:pPr>
              <w:jc w:val="center"/>
              <w:rPr>
                <w:rFonts w:ascii="Arial Narrow" w:hAnsi="Arial Narrow"/>
                <w:color w:val="333333"/>
                <w:sz w:val="20"/>
                <w:szCs w:val="20"/>
              </w:rPr>
            </w:pPr>
          </w:p>
        </w:tc>
        <w:tc>
          <w:tcPr>
            <w:tcW w:w="7796" w:type="dxa"/>
            <w:gridSpan w:val="6"/>
            <w:vAlign w:val="center"/>
          </w:tcPr>
          <w:p w14:paraId="024FAEC6" w14:textId="77777777" w:rsidR="00DB1970" w:rsidRPr="00C9237C" w:rsidRDefault="00DB1970" w:rsidP="00BA4B53">
            <w:pPr>
              <w:rPr>
                <w:rFonts w:ascii="Arial Narrow" w:hAnsi="Arial Narrow"/>
                <w:b/>
                <w:bCs/>
                <w:sz w:val="20"/>
                <w:szCs w:val="20"/>
              </w:rPr>
            </w:pPr>
            <w:r w:rsidRPr="00C9237C">
              <w:rPr>
                <w:rFonts w:ascii="Arial Narrow" w:hAnsi="Arial Narrow"/>
                <w:b/>
                <w:bCs/>
                <w:sz w:val="20"/>
                <w:szCs w:val="20"/>
              </w:rPr>
              <w:t>Prescribing Instructions:</w:t>
            </w:r>
          </w:p>
          <w:p w14:paraId="45F09A5A" w14:textId="77777777" w:rsidR="00DB1970" w:rsidRPr="00C9237C" w:rsidRDefault="00DB1970" w:rsidP="00BA4B53">
            <w:pPr>
              <w:rPr>
                <w:rFonts w:ascii="Arial Narrow" w:hAnsi="Arial Narrow"/>
                <w:sz w:val="20"/>
                <w:szCs w:val="20"/>
              </w:rPr>
            </w:pPr>
            <w:r w:rsidRPr="00C9237C">
              <w:rPr>
                <w:rFonts w:ascii="Arial Narrow" w:hAnsi="Arial Narrow"/>
                <w:sz w:val="20"/>
                <w:szCs w:val="20"/>
              </w:rPr>
              <w:t xml:space="preserve">Treatment with this drug must cease if there is continuing progression of disability whilst the patient is being treated with this drug. </w:t>
            </w:r>
          </w:p>
        </w:tc>
      </w:tr>
      <w:tr w:rsidR="00DB1970" w:rsidRPr="001E468F" w14:paraId="5E60145C" w14:textId="77777777" w:rsidTr="009C456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CC70751" w14:textId="2BF5088B" w:rsidR="00DB1970" w:rsidRPr="001428E9" w:rsidRDefault="00DB1970" w:rsidP="00BA4B53">
            <w:pPr>
              <w:jc w:val="center"/>
              <w:rPr>
                <w:rFonts w:ascii="Arial Narrow" w:hAnsi="Arial Narrow"/>
                <w:color w:val="333333"/>
                <w:sz w:val="20"/>
                <w:szCs w:val="20"/>
              </w:rPr>
            </w:pPr>
          </w:p>
        </w:tc>
        <w:tc>
          <w:tcPr>
            <w:tcW w:w="7796" w:type="dxa"/>
            <w:gridSpan w:val="6"/>
            <w:vAlign w:val="center"/>
            <w:hideMark/>
          </w:tcPr>
          <w:p w14:paraId="0A708C51" w14:textId="77777777" w:rsidR="00DB1970" w:rsidRPr="00C9237C" w:rsidRDefault="00DB1970" w:rsidP="00BA4B53">
            <w:pPr>
              <w:rPr>
                <w:rFonts w:ascii="Arial Narrow" w:hAnsi="Arial Narrow"/>
                <w:bCs/>
                <w:sz w:val="20"/>
                <w:szCs w:val="20"/>
              </w:rPr>
            </w:pPr>
            <w:r w:rsidRPr="00C9237C">
              <w:rPr>
                <w:rFonts w:ascii="Arial Narrow" w:hAnsi="Arial Narrow"/>
                <w:b/>
                <w:bCs/>
                <w:sz w:val="20"/>
                <w:szCs w:val="20"/>
              </w:rPr>
              <w:t xml:space="preserve">Prescribing Instructions: </w:t>
            </w:r>
          </w:p>
          <w:p w14:paraId="1AC3A365" w14:textId="77777777" w:rsidR="00DB1970" w:rsidRPr="001E468F" w:rsidRDefault="00DB1970" w:rsidP="00BA4B53">
            <w:pPr>
              <w:rPr>
                <w:rFonts w:ascii="Arial Narrow" w:hAnsi="Arial Narrow"/>
                <w:sz w:val="20"/>
                <w:szCs w:val="20"/>
              </w:rPr>
            </w:pPr>
            <w:r w:rsidRPr="00C9237C">
              <w:rPr>
                <w:rFonts w:ascii="Arial Narrow" w:hAnsi="Arial Narrow"/>
                <w:bCs/>
                <w:sz w:val="20"/>
                <w:szCs w:val="20"/>
              </w:rPr>
              <w:t>For continued treatment the patient must demonstrate compliance with, and an ability to tolerate, this drug.</w:t>
            </w:r>
          </w:p>
        </w:tc>
      </w:tr>
    </w:tbl>
    <w:p w14:paraId="67701E0E" w14:textId="77777777" w:rsidR="00801AF0" w:rsidRDefault="00801AF0" w:rsidP="004D4E19">
      <w:pPr>
        <w:pStyle w:val="ListParagraph"/>
        <w:keepNext/>
        <w:spacing w:after="0"/>
        <w:ind w:left="567" w:firstLine="0"/>
        <w:rPr>
          <w:rFonts w:ascii="Calibri" w:hAnsi="Calibri" w:cs="Calibri"/>
        </w:rPr>
      </w:pPr>
      <w:bookmarkStart w:id="10" w:name="_Hlk76377978"/>
    </w:p>
    <w:p w14:paraId="68A67940" w14:textId="2012EF77" w:rsidR="00D81468" w:rsidRDefault="003A54BB" w:rsidP="004D4E19">
      <w:pPr>
        <w:keepNext/>
        <w:tabs>
          <w:tab w:val="center" w:pos="4153"/>
          <w:tab w:val="right" w:pos="8306"/>
        </w:tabs>
        <w:autoSpaceDE w:val="0"/>
        <w:autoSpaceDN w:val="0"/>
        <w:adjustRightInd w:val="0"/>
        <w:spacing w:after="120"/>
        <w:rPr>
          <w:rFonts w:asciiTheme="minorHAnsi" w:eastAsiaTheme="minorHAnsi" w:hAnsiTheme="minorHAnsi" w:cstheme="minorHAnsi"/>
          <w:b/>
          <w:bCs/>
          <w:i/>
          <w:iCs/>
          <w:lang w:eastAsia="en-US"/>
        </w:rPr>
      </w:pPr>
      <w:r w:rsidRPr="00763C4C">
        <w:rPr>
          <w:rFonts w:asciiTheme="minorHAnsi" w:eastAsiaTheme="minorHAnsi" w:hAnsiTheme="minorHAnsi" w:cstheme="minorHAnsi"/>
          <w:b/>
          <w:bCs/>
          <w:i/>
          <w:iCs/>
          <w:lang w:eastAsia="en-US"/>
        </w:rPr>
        <w:t>This restriction may be subject to further review. Should there be any changes made to the restriction the Sponsor will be informed.</w:t>
      </w:r>
      <w:bookmarkEnd w:id="10"/>
    </w:p>
    <w:p w14:paraId="492ABF87" w14:textId="0DE47CCE" w:rsidR="009C456C" w:rsidRDefault="009C456C" w:rsidP="009C456C">
      <w:pPr>
        <w:pStyle w:val="2-SectionHeading"/>
        <w:rPr>
          <w:bCs/>
          <w:lang w:val="en-GB"/>
        </w:rPr>
      </w:pPr>
      <w:r w:rsidRPr="009C456C">
        <w:rPr>
          <w:lang w:val="en-GB"/>
        </w:rPr>
        <w:t>Context</w:t>
      </w:r>
      <w:r w:rsidRPr="00C07617">
        <w:t xml:space="preserve"> for Decision</w:t>
      </w:r>
    </w:p>
    <w:p w14:paraId="080272CB" w14:textId="77777777" w:rsidR="009C456C" w:rsidRPr="007129F2" w:rsidRDefault="009C456C" w:rsidP="009C456C">
      <w:pPr>
        <w:pStyle w:val="3Bodytext"/>
        <w:numPr>
          <w:ilvl w:val="0"/>
          <w:numId w:val="0"/>
        </w:numPr>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0FA8A92" w14:textId="653079CE" w:rsidR="009C456C" w:rsidRPr="00C07617" w:rsidRDefault="009C456C" w:rsidP="009C456C">
      <w:pPr>
        <w:pStyle w:val="2-SectionHeading"/>
        <w:rPr>
          <w:b w:val="0"/>
        </w:rPr>
      </w:pPr>
      <w:r w:rsidRPr="009C456C">
        <w:rPr>
          <w:lang w:val="en-GB"/>
        </w:rPr>
        <w:t>Sponsor’s</w:t>
      </w:r>
      <w:r>
        <w:t xml:space="preserve"> Comment</w:t>
      </w:r>
    </w:p>
    <w:p w14:paraId="06A2DF0E" w14:textId="52E21078" w:rsidR="009C456C" w:rsidRPr="00C07617" w:rsidRDefault="00554BE8" w:rsidP="009C456C">
      <w:pPr>
        <w:spacing w:after="120"/>
        <w:ind w:left="720"/>
        <w:rPr>
          <w:rFonts w:asciiTheme="minorHAnsi" w:hAnsiTheme="minorHAnsi" w:cs="Arial"/>
          <w:bCs/>
        </w:rPr>
      </w:pPr>
      <w:r w:rsidRPr="00704A4C">
        <w:rPr>
          <w:rFonts w:asciiTheme="minorHAnsi" w:hAnsiTheme="minorHAnsi" w:cs="Arial"/>
          <w:bCs/>
          <w:lang w:val="en-GB"/>
        </w:rPr>
        <w:t>Biogen welcomes the PBAC decision to recommend a new subcutaneous (SC) formulation of TYSABRI (natalizumab) for relapsing-remitting multiple sclerosis. TYSABRI (natalizumab) adds to the portfolio of multiple sclerosis treatments, to provide further choice to healthcare professionals and those they care for.</w:t>
      </w:r>
      <w:r w:rsidR="00632E64" w:rsidRPr="00704A4C" w:rsidDel="00632E64">
        <w:rPr>
          <w:rFonts w:asciiTheme="minorHAnsi" w:hAnsiTheme="minorHAnsi" w:cs="Arial"/>
          <w:bCs/>
        </w:rPr>
        <w:t xml:space="preserve"> </w:t>
      </w:r>
    </w:p>
    <w:p w14:paraId="034D57B7" w14:textId="77777777" w:rsidR="009C456C" w:rsidRPr="004D4E19" w:rsidRDefault="009C456C" w:rsidP="00704A4C">
      <w:pPr>
        <w:spacing w:after="120"/>
        <w:ind w:left="720"/>
        <w:rPr>
          <w:rFonts w:asciiTheme="minorHAnsi" w:eastAsiaTheme="minorHAnsi" w:hAnsiTheme="minorHAnsi" w:cstheme="minorHAnsi"/>
          <w:b/>
          <w:bCs/>
          <w:i/>
          <w:iCs/>
          <w:lang w:eastAsia="en-US"/>
        </w:rPr>
      </w:pPr>
    </w:p>
    <w:sectPr w:rsidR="009C456C" w:rsidRPr="004D4E1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A30" w14:textId="77777777" w:rsidR="0059645C" w:rsidRDefault="0059645C">
      <w:r>
        <w:separator/>
      </w:r>
    </w:p>
    <w:p w14:paraId="48D7C74A" w14:textId="77777777" w:rsidR="0059645C" w:rsidRDefault="0059645C"/>
  </w:endnote>
  <w:endnote w:type="continuationSeparator" w:id="0">
    <w:p w14:paraId="77108E0D" w14:textId="77777777" w:rsidR="0059645C" w:rsidRDefault="0059645C">
      <w:r>
        <w:continuationSeparator/>
      </w:r>
    </w:p>
    <w:p w14:paraId="51267F2F" w14:textId="77777777" w:rsidR="0059645C" w:rsidRDefault="0059645C"/>
  </w:endnote>
  <w:endnote w:type="continuationNotice" w:id="1">
    <w:p w14:paraId="4A41220A" w14:textId="77777777" w:rsidR="0059645C" w:rsidRDefault="00596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4635" w14:textId="77777777" w:rsidR="001073CE" w:rsidRDefault="001073CE">
    <w:pPr>
      <w:pStyle w:val="Footer"/>
      <w:jc w:val="center"/>
    </w:pPr>
  </w:p>
  <w:sdt>
    <w:sdtPr>
      <w:id w:val="1540785729"/>
      <w:docPartObj>
        <w:docPartGallery w:val="Page Numbers (Bottom of Page)"/>
        <w:docPartUnique/>
      </w:docPartObj>
    </w:sdtPr>
    <w:sdtEndPr>
      <w:rPr>
        <w:b/>
        <w:bCs/>
        <w:noProof/>
      </w:rPr>
    </w:sdtEndPr>
    <w:sdtContent>
      <w:p w14:paraId="23054722" w14:textId="6D1743DC" w:rsidR="001073CE" w:rsidRPr="001073CE" w:rsidRDefault="001073CE">
        <w:pPr>
          <w:pStyle w:val="Footer"/>
          <w:jc w:val="center"/>
          <w:rPr>
            <w:b/>
            <w:bCs/>
          </w:rPr>
        </w:pPr>
        <w:r w:rsidRPr="001073CE">
          <w:rPr>
            <w:b/>
            <w:bCs/>
          </w:rPr>
          <w:fldChar w:fldCharType="begin"/>
        </w:r>
        <w:r w:rsidRPr="001073CE">
          <w:rPr>
            <w:b/>
            <w:bCs/>
          </w:rPr>
          <w:instrText xml:space="preserve"> PAGE   \* MERGEFORMAT </w:instrText>
        </w:r>
        <w:r w:rsidRPr="001073CE">
          <w:rPr>
            <w:b/>
            <w:bCs/>
          </w:rPr>
          <w:fldChar w:fldCharType="separate"/>
        </w:r>
        <w:r w:rsidRPr="001073CE">
          <w:rPr>
            <w:b/>
            <w:bCs/>
            <w:noProof/>
          </w:rPr>
          <w:t>2</w:t>
        </w:r>
        <w:r w:rsidRPr="001073CE">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Look w:val="04A0" w:firstRow="1" w:lastRow="0" w:firstColumn="1" w:lastColumn="0" w:noHBand="0" w:noVBand="1"/>
    </w:tblPr>
    <w:tblGrid>
      <w:gridCol w:w="3882"/>
      <w:gridCol w:w="1252"/>
      <w:gridCol w:w="3882"/>
    </w:tblGrid>
    <w:tr w:rsidR="009C26AA" w14:paraId="1B1A9BFB" w14:textId="77777777" w:rsidTr="00BA4B53">
      <w:trPr>
        <w:trHeight w:val="151"/>
      </w:trPr>
      <w:tc>
        <w:tcPr>
          <w:tcW w:w="2153" w:type="pct"/>
        </w:tcPr>
        <w:p w14:paraId="1AEC0F9B" w14:textId="77777777" w:rsidR="009C26AA" w:rsidRPr="005A3173" w:rsidRDefault="009C26AA" w:rsidP="005A3173">
          <w:pPr>
            <w:pStyle w:val="Header"/>
            <w:spacing w:line="276" w:lineRule="auto"/>
            <w:rPr>
              <w:rFonts w:eastAsia="MS Gothic"/>
              <w:b/>
              <w:bCs/>
              <w:color w:val="4F81BD"/>
            </w:rPr>
          </w:pPr>
        </w:p>
      </w:tc>
      <w:tc>
        <w:tcPr>
          <w:tcW w:w="694" w:type="pct"/>
          <w:vMerge w:val="restart"/>
          <w:noWrap/>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153" w:type="pct"/>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BA4B53">
      <w:trPr>
        <w:trHeight w:val="150"/>
      </w:trPr>
      <w:tc>
        <w:tcPr>
          <w:tcW w:w="2153" w:type="pct"/>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hideMark/>
        </w:tcPr>
        <w:p w14:paraId="0726D67B" w14:textId="77777777" w:rsidR="009C26AA" w:rsidRPr="005A3173" w:rsidRDefault="009C26AA" w:rsidP="005A3173">
          <w:pPr>
            <w:rPr>
              <w:color w:val="365F91"/>
              <w:sz w:val="22"/>
              <w:szCs w:val="22"/>
            </w:rPr>
          </w:pPr>
        </w:p>
      </w:tc>
      <w:tc>
        <w:tcPr>
          <w:tcW w:w="2153" w:type="pct"/>
        </w:tcPr>
        <w:p w14:paraId="77FEEEB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362F" w14:textId="77777777" w:rsidR="0059645C" w:rsidRDefault="0059645C">
      <w:r>
        <w:separator/>
      </w:r>
    </w:p>
    <w:p w14:paraId="7F0E8E00" w14:textId="77777777" w:rsidR="0059645C" w:rsidRDefault="0059645C"/>
  </w:footnote>
  <w:footnote w:type="continuationSeparator" w:id="0">
    <w:p w14:paraId="4E2B5091" w14:textId="77777777" w:rsidR="0059645C" w:rsidRDefault="0059645C">
      <w:r>
        <w:continuationSeparator/>
      </w:r>
    </w:p>
    <w:p w14:paraId="6EBEB7FE" w14:textId="77777777" w:rsidR="0059645C" w:rsidRDefault="0059645C"/>
  </w:footnote>
  <w:footnote w:type="continuationNotice" w:id="1">
    <w:p w14:paraId="5AF8B83C" w14:textId="77777777" w:rsidR="0059645C" w:rsidRDefault="00596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AD4E" w14:textId="596D9807" w:rsidR="001073CE" w:rsidRDefault="009C456C" w:rsidP="009C456C">
    <w:pPr>
      <w:pStyle w:val="Header"/>
      <w:ind w:left="360"/>
      <w:rPr>
        <w:rFonts w:asciiTheme="minorHAnsi" w:hAnsiTheme="minorHAnsi" w:cs="Arial"/>
        <w:i/>
        <w:color w:val="808080"/>
      </w:rPr>
    </w:pPr>
    <w:bookmarkStart w:id="11" w:name="_Hlk76375146"/>
    <w:r>
      <w:rPr>
        <w:rFonts w:asciiTheme="minorHAnsi" w:hAnsiTheme="minorHAnsi" w:cs="Arial"/>
        <w:i/>
        <w:color w:val="808080"/>
      </w:rPr>
      <w:t>Public Summary Document</w:t>
    </w:r>
    <w:r w:rsidR="00564C80">
      <w:rPr>
        <w:rFonts w:asciiTheme="minorHAnsi" w:hAnsiTheme="minorHAnsi" w:cs="Arial"/>
        <w:i/>
        <w:color w:val="808080"/>
      </w:rPr>
      <w:t xml:space="preserve"> </w:t>
    </w:r>
    <w:r w:rsidR="001073CE" w:rsidRPr="00056684">
      <w:rPr>
        <w:rFonts w:asciiTheme="minorHAnsi" w:hAnsiTheme="minorHAnsi" w:cs="Arial"/>
        <w:i/>
        <w:color w:val="808080"/>
      </w:rPr>
      <w:t xml:space="preserve">– </w:t>
    </w:r>
    <w:r w:rsidR="001073CE">
      <w:rPr>
        <w:rFonts w:asciiTheme="minorHAnsi" w:hAnsiTheme="minorHAnsi" w:cs="Arial"/>
        <w:i/>
        <w:color w:val="808080"/>
      </w:rPr>
      <w:t>March 2023</w:t>
    </w:r>
    <w:r w:rsidR="001073CE" w:rsidRPr="00056684">
      <w:rPr>
        <w:rFonts w:asciiTheme="minorHAnsi" w:hAnsiTheme="minorHAnsi" w:cs="Arial"/>
        <w:i/>
        <w:color w:val="808080"/>
      </w:rPr>
      <w:t xml:space="preserve"> PBAC Meeting</w:t>
    </w:r>
  </w:p>
  <w:bookmarkEnd w:id="11"/>
  <w:p w14:paraId="49E1B9F5" w14:textId="77777777" w:rsidR="009C26AA" w:rsidRDefault="009C26AA"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4076" w14:textId="77777777" w:rsidR="00DB23DE" w:rsidRDefault="00DB2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2A9003B"/>
    <w:multiLevelType w:val="hybridMultilevel"/>
    <w:tmpl w:val="12BC2028"/>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41452B72"/>
    <w:multiLevelType w:val="hybridMultilevel"/>
    <w:tmpl w:val="C77445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3E73282"/>
    <w:multiLevelType w:val="hybridMultilevel"/>
    <w:tmpl w:val="F5008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E933CE"/>
    <w:multiLevelType w:val="hybridMultilevel"/>
    <w:tmpl w:val="50F666F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3AF0649"/>
    <w:multiLevelType w:val="hybridMultilevel"/>
    <w:tmpl w:val="52BECE6E"/>
    <w:lvl w:ilvl="0" w:tplc="AE3242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84D033C"/>
    <w:multiLevelType w:val="multilevel"/>
    <w:tmpl w:val="7C22C604"/>
    <w:lvl w:ilvl="0">
      <w:start w:val="1"/>
      <w:numFmt w:val="decimal"/>
      <w:pStyle w:val="2-SectionHeading"/>
      <w:lvlText w:val="%1"/>
      <w:lvlJc w:val="left"/>
      <w:pPr>
        <w:ind w:left="720" w:hanging="720"/>
      </w:pPr>
      <w:rPr>
        <w:b/>
        <w:color w:val="auto"/>
        <w:sz w:val="32"/>
        <w:szCs w:val="32"/>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9"/>
  </w:num>
  <w:num w:numId="2">
    <w:abstractNumId w:val="0"/>
  </w:num>
  <w:num w:numId="3">
    <w:abstractNumId w:val="7"/>
  </w:num>
  <w:num w:numId="4">
    <w:abstractNumId w:val="3"/>
  </w:num>
  <w:num w:numId="5">
    <w:abstractNumId w:val="1"/>
  </w:num>
  <w:num w:numId="6">
    <w:abstractNumId w:val="6"/>
  </w:num>
  <w:num w:numId="7">
    <w:abstractNumId w:val="2"/>
  </w:num>
  <w:num w:numId="8">
    <w:abstractNumId w:val="4"/>
  </w:num>
  <w:num w:numId="9">
    <w:abstractNumId w:val="5"/>
  </w:num>
  <w:num w:numId="10">
    <w:abstractNumId w:val="8"/>
  </w:num>
  <w:num w:numId="11">
    <w:abstractNumId w:val="9"/>
  </w:num>
  <w:num w:numId="12">
    <w:abstractNumId w:val="9"/>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781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D46"/>
    <w:rsid w:val="00001663"/>
    <w:rsid w:val="000025AD"/>
    <w:rsid w:val="0000335D"/>
    <w:rsid w:val="00004202"/>
    <w:rsid w:val="00005D1D"/>
    <w:rsid w:val="00006782"/>
    <w:rsid w:val="00006A70"/>
    <w:rsid w:val="0001179A"/>
    <w:rsid w:val="00011A59"/>
    <w:rsid w:val="00014D69"/>
    <w:rsid w:val="00016A41"/>
    <w:rsid w:val="000214D1"/>
    <w:rsid w:val="00021F20"/>
    <w:rsid w:val="0002464A"/>
    <w:rsid w:val="00024EC5"/>
    <w:rsid w:val="00025A04"/>
    <w:rsid w:val="00025F10"/>
    <w:rsid w:val="0002693D"/>
    <w:rsid w:val="0003050E"/>
    <w:rsid w:val="00030C9F"/>
    <w:rsid w:val="0003106B"/>
    <w:rsid w:val="00031320"/>
    <w:rsid w:val="000327FE"/>
    <w:rsid w:val="000335B9"/>
    <w:rsid w:val="00034905"/>
    <w:rsid w:val="0003622C"/>
    <w:rsid w:val="000371AC"/>
    <w:rsid w:val="00040A30"/>
    <w:rsid w:val="00040C93"/>
    <w:rsid w:val="0004208B"/>
    <w:rsid w:val="000421A1"/>
    <w:rsid w:val="0004240E"/>
    <w:rsid w:val="00042C95"/>
    <w:rsid w:val="00042FF4"/>
    <w:rsid w:val="00044EC4"/>
    <w:rsid w:val="00045E26"/>
    <w:rsid w:val="00046903"/>
    <w:rsid w:val="00050C5B"/>
    <w:rsid w:val="000514B5"/>
    <w:rsid w:val="00052D38"/>
    <w:rsid w:val="0005322E"/>
    <w:rsid w:val="000540F7"/>
    <w:rsid w:val="00054E2B"/>
    <w:rsid w:val="000564D5"/>
    <w:rsid w:val="00060E64"/>
    <w:rsid w:val="00061BA6"/>
    <w:rsid w:val="000621AB"/>
    <w:rsid w:val="00062E88"/>
    <w:rsid w:val="00066193"/>
    <w:rsid w:val="00066755"/>
    <w:rsid w:val="00071A5B"/>
    <w:rsid w:val="00072558"/>
    <w:rsid w:val="00072730"/>
    <w:rsid w:val="000728C3"/>
    <w:rsid w:val="0007337F"/>
    <w:rsid w:val="00074320"/>
    <w:rsid w:val="000763D5"/>
    <w:rsid w:val="0007647B"/>
    <w:rsid w:val="00076C38"/>
    <w:rsid w:val="00077143"/>
    <w:rsid w:val="00077DF7"/>
    <w:rsid w:val="0008050C"/>
    <w:rsid w:val="00082169"/>
    <w:rsid w:val="000834BE"/>
    <w:rsid w:val="00083F01"/>
    <w:rsid w:val="00087C4C"/>
    <w:rsid w:val="000918CB"/>
    <w:rsid w:val="00091B06"/>
    <w:rsid w:val="000951C4"/>
    <w:rsid w:val="00095ADA"/>
    <w:rsid w:val="00095F3A"/>
    <w:rsid w:val="00095FDC"/>
    <w:rsid w:val="000969AD"/>
    <w:rsid w:val="000975FB"/>
    <w:rsid w:val="000A02F8"/>
    <w:rsid w:val="000A1366"/>
    <w:rsid w:val="000A20F9"/>
    <w:rsid w:val="000A30DB"/>
    <w:rsid w:val="000A35BF"/>
    <w:rsid w:val="000A3AA2"/>
    <w:rsid w:val="000A42EF"/>
    <w:rsid w:val="000A44B2"/>
    <w:rsid w:val="000A52F6"/>
    <w:rsid w:val="000A58B8"/>
    <w:rsid w:val="000B44C3"/>
    <w:rsid w:val="000B53E0"/>
    <w:rsid w:val="000B558D"/>
    <w:rsid w:val="000B5A89"/>
    <w:rsid w:val="000B65F6"/>
    <w:rsid w:val="000B6DBC"/>
    <w:rsid w:val="000B7767"/>
    <w:rsid w:val="000B797A"/>
    <w:rsid w:val="000C0157"/>
    <w:rsid w:val="000C1AFF"/>
    <w:rsid w:val="000C5989"/>
    <w:rsid w:val="000C5F95"/>
    <w:rsid w:val="000C6237"/>
    <w:rsid w:val="000C6996"/>
    <w:rsid w:val="000C7C46"/>
    <w:rsid w:val="000D09E9"/>
    <w:rsid w:val="000D113F"/>
    <w:rsid w:val="000D16A5"/>
    <w:rsid w:val="000D1F64"/>
    <w:rsid w:val="000D23BA"/>
    <w:rsid w:val="000E19B7"/>
    <w:rsid w:val="000E20FC"/>
    <w:rsid w:val="000E3DFB"/>
    <w:rsid w:val="000E5EA1"/>
    <w:rsid w:val="000E681E"/>
    <w:rsid w:val="000E696B"/>
    <w:rsid w:val="000E7E52"/>
    <w:rsid w:val="000E7E90"/>
    <w:rsid w:val="000EE1C7"/>
    <w:rsid w:val="000F0003"/>
    <w:rsid w:val="000F3384"/>
    <w:rsid w:val="000F4E6A"/>
    <w:rsid w:val="000F6157"/>
    <w:rsid w:val="000F6ABB"/>
    <w:rsid w:val="000F6DF6"/>
    <w:rsid w:val="000F7354"/>
    <w:rsid w:val="000F7C27"/>
    <w:rsid w:val="00101ABE"/>
    <w:rsid w:val="00102202"/>
    <w:rsid w:val="00102700"/>
    <w:rsid w:val="00102A78"/>
    <w:rsid w:val="00103118"/>
    <w:rsid w:val="00103F1B"/>
    <w:rsid w:val="00104227"/>
    <w:rsid w:val="001053D5"/>
    <w:rsid w:val="001073CE"/>
    <w:rsid w:val="001107BF"/>
    <w:rsid w:val="00113649"/>
    <w:rsid w:val="001137F8"/>
    <w:rsid w:val="00113D5C"/>
    <w:rsid w:val="00114228"/>
    <w:rsid w:val="00116B03"/>
    <w:rsid w:val="00116F94"/>
    <w:rsid w:val="00117211"/>
    <w:rsid w:val="00120AA6"/>
    <w:rsid w:val="001239DB"/>
    <w:rsid w:val="0012417C"/>
    <w:rsid w:val="00124BF2"/>
    <w:rsid w:val="00125034"/>
    <w:rsid w:val="001255D1"/>
    <w:rsid w:val="00125837"/>
    <w:rsid w:val="0012597F"/>
    <w:rsid w:val="00126B19"/>
    <w:rsid w:val="00126D3A"/>
    <w:rsid w:val="0012749D"/>
    <w:rsid w:val="00127A23"/>
    <w:rsid w:val="001306A5"/>
    <w:rsid w:val="00130918"/>
    <w:rsid w:val="001311AE"/>
    <w:rsid w:val="0013623E"/>
    <w:rsid w:val="001366C2"/>
    <w:rsid w:val="00136C17"/>
    <w:rsid w:val="00140B74"/>
    <w:rsid w:val="00140D94"/>
    <w:rsid w:val="001420A4"/>
    <w:rsid w:val="00142395"/>
    <w:rsid w:val="00142714"/>
    <w:rsid w:val="00144D09"/>
    <w:rsid w:val="001452ED"/>
    <w:rsid w:val="00147D84"/>
    <w:rsid w:val="00151CBD"/>
    <w:rsid w:val="001533C3"/>
    <w:rsid w:val="0015395D"/>
    <w:rsid w:val="001549C1"/>
    <w:rsid w:val="00156C8D"/>
    <w:rsid w:val="00156CB9"/>
    <w:rsid w:val="00157400"/>
    <w:rsid w:val="00160F4D"/>
    <w:rsid w:val="00162BDD"/>
    <w:rsid w:val="00162D4E"/>
    <w:rsid w:val="00162DEA"/>
    <w:rsid w:val="00163329"/>
    <w:rsid w:val="00164623"/>
    <w:rsid w:val="001652DE"/>
    <w:rsid w:val="001653EC"/>
    <w:rsid w:val="00165B64"/>
    <w:rsid w:val="00167BC9"/>
    <w:rsid w:val="00167BFC"/>
    <w:rsid w:val="00167C39"/>
    <w:rsid w:val="00170C9A"/>
    <w:rsid w:val="00176B9D"/>
    <w:rsid w:val="00180713"/>
    <w:rsid w:val="00180720"/>
    <w:rsid w:val="00180A54"/>
    <w:rsid w:val="001830CE"/>
    <w:rsid w:val="001836E3"/>
    <w:rsid w:val="00184659"/>
    <w:rsid w:val="001860E5"/>
    <w:rsid w:val="0018643B"/>
    <w:rsid w:val="001877BB"/>
    <w:rsid w:val="00192BD0"/>
    <w:rsid w:val="00196307"/>
    <w:rsid w:val="00196CF5"/>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4ABD"/>
    <w:rsid w:val="001B5129"/>
    <w:rsid w:val="001C0B4C"/>
    <w:rsid w:val="001C0EC4"/>
    <w:rsid w:val="001C1195"/>
    <w:rsid w:val="001C12AE"/>
    <w:rsid w:val="001C1E84"/>
    <w:rsid w:val="001C20E1"/>
    <w:rsid w:val="001C2A0F"/>
    <w:rsid w:val="001C2E42"/>
    <w:rsid w:val="001D1F5F"/>
    <w:rsid w:val="001D4689"/>
    <w:rsid w:val="001D5BB8"/>
    <w:rsid w:val="001D74F9"/>
    <w:rsid w:val="001E06D2"/>
    <w:rsid w:val="001E17C4"/>
    <w:rsid w:val="001E286D"/>
    <w:rsid w:val="001E2D65"/>
    <w:rsid w:val="001E468F"/>
    <w:rsid w:val="001E700A"/>
    <w:rsid w:val="001F005B"/>
    <w:rsid w:val="001F1850"/>
    <w:rsid w:val="001F1FBF"/>
    <w:rsid w:val="001F2311"/>
    <w:rsid w:val="001F2B80"/>
    <w:rsid w:val="001F2F1C"/>
    <w:rsid w:val="001F3189"/>
    <w:rsid w:val="00200AC2"/>
    <w:rsid w:val="00200BEA"/>
    <w:rsid w:val="00200DDB"/>
    <w:rsid w:val="00201FB8"/>
    <w:rsid w:val="00203039"/>
    <w:rsid w:val="00203FAC"/>
    <w:rsid w:val="002060D2"/>
    <w:rsid w:val="0020729E"/>
    <w:rsid w:val="002133FB"/>
    <w:rsid w:val="00213CFB"/>
    <w:rsid w:val="0021553C"/>
    <w:rsid w:val="0021557B"/>
    <w:rsid w:val="00216B87"/>
    <w:rsid w:val="0021745A"/>
    <w:rsid w:val="002174FD"/>
    <w:rsid w:val="00217BE1"/>
    <w:rsid w:val="002214B9"/>
    <w:rsid w:val="00221AEC"/>
    <w:rsid w:val="002221DD"/>
    <w:rsid w:val="00222680"/>
    <w:rsid w:val="00223370"/>
    <w:rsid w:val="00226611"/>
    <w:rsid w:val="00226E38"/>
    <w:rsid w:val="00227BC5"/>
    <w:rsid w:val="00230F63"/>
    <w:rsid w:val="0023292A"/>
    <w:rsid w:val="00234252"/>
    <w:rsid w:val="0023466E"/>
    <w:rsid w:val="00235E1F"/>
    <w:rsid w:val="00237AC6"/>
    <w:rsid w:val="002419EE"/>
    <w:rsid w:val="00242BFD"/>
    <w:rsid w:val="00244139"/>
    <w:rsid w:val="00244490"/>
    <w:rsid w:val="00244BEC"/>
    <w:rsid w:val="00245B9C"/>
    <w:rsid w:val="00245D8C"/>
    <w:rsid w:val="00246275"/>
    <w:rsid w:val="00252587"/>
    <w:rsid w:val="00253499"/>
    <w:rsid w:val="002551A4"/>
    <w:rsid w:val="00255AFD"/>
    <w:rsid w:val="0025710B"/>
    <w:rsid w:val="00257664"/>
    <w:rsid w:val="00260165"/>
    <w:rsid w:val="002606D8"/>
    <w:rsid w:val="00260AED"/>
    <w:rsid w:val="002625C1"/>
    <w:rsid w:val="00262D7A"/>
    <w:rsid w:val="00262E3A"/>
    <w:rsid w:val="00263C09"/>
    <w:rsid w:val="00265151"/>
    <w:rsid w:val="00265C2C"/>
    <w:rsid w:val="00266098"/>
    <w:rsid w:val="00266509"/>
    <w:rsid w:val="002670EE"/>
    <w:rsid w:val="00271BA1"/>
    <w:rsid w:val="00272A1F"/>
    <w:rsid w:val="00272F1B"/>
    <w:rsid w:val="00273AC5"/>
    <w:rsid w:val="002749F8"/>
    <w:rsid w:val="002762FA"/>
    <w:rsid w:val="002768F1"/>
    <w:rsid w:val="00277505"/>
    <w:rsid w:val="00277873"/>
    <w:rsid w:val="0028158C"/>
    <w:rsid w:val="002823B6"/>
    <w:rsid w:val="002852ED"/>
    <w:rsid w:val="00285763"/>
    <w:rsid w:val="00290C03"/>
    <w:rsid w:val="00292E3B"/>
    <w:rsid w:val="002933A8"/>
    <w:rsid w:val="00293440"/>
    <w:rsid w:val="00294274"/>
    <w:rsid w:val="002942B3"/>
    <w:rsid w:val="0029458F"/>
    <w:rsid w:val="00297A63"/>
    <w:rsid w:val="002A018F"/>
    <w:rsid w:val="002A0C96"/>
    <w:rsid w:val="002A0E04"/>
    <w:rsid w:val="002A104C"/>
    <w:rsid w:val="002A1EF7"/>
    <w:rsid w:val="002A2B7B"/>
    <w:rsid w:val="002A4242"/>
    <w:rsid w:val="002A494D"/>
    <w:rsid w:val="002A4960"/>
    <w:rsid w:val="002A4E3A"/>
    <w:rsid w:val="002A605A"/>
    <w:rsid w:val="002A636A"/>
    <w:rsid w:val="002A755F"/>
    <w:rsid w:val="002B0AE0"/>
    <w:rsid w:val="002B1AE6"/>
    <w:rsid w:val="002B1D51"/>
    <w:rsid w:val="002B2DE8"/>
    <w:rsid w:val="002B30F8"/>
    <w:rsid w:val="002B388A"/>
    <w:rsid w:val="002B3BFE"/>
    <w:rsid w:val="002B3C1A"/>
    <w:rsid w:val="002B3CB4"/>
    <w:rsid w:val="002B5596"/>
    <w:rsid w:val="002B60F6"/>
    <w:rsid w:val="002B77D7"/>
    <w:rsid w:val="002C074E"/>
    <w:rsid w:val="002C212F"/>
    <w:rsid w:val="002C2F35"/>
    <w:rsid w:val="002C37B4"/>
    <w:rsid w:val="002C55C9"/>
    <w:rsid w:val="002C6AA9"/>
    <w:rsid w:val="002C7485"/>
    <w:rsid w:val="002D25D0"/>
    <w:rsid w:val="002D2641"/>
    <w:rsid w:val="002D283A"/>
    <w:rsid w:val="002D4543"/>
    <w:rsid w:val="002D5F7A"/>
    <w:rsid w:val="002D6123"/>
    <w:rsid w:val="002D715F"/>
    <w:rsid w:val="002E022A"/>
    <w:rsid w:val="002E1F36"/>
    <w:rsid w:val="002E3153"/>
    <w:rsid w:val="002E4A02"/>
    <w:rsid w:val="002E4F1B"/>
    <w:rsid w:val="002E5292"/>
    <w:rsid w:val="002E6072"/>
    <w:rsid w:val="002E72CA"/>
    <w:rsid w:val="002E75DD"/>
    <w:rsid w:val="002F1D07"/>
    <w:rsid w:val="002F248F"/>
    <w:rsid w:val="002F4587"/>
    <w:rsid w:val="002F491F"/>
    <w:rsid w:val="002F5212"/>
    <w:rsid w:val="002F59F2"/>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667"/>
    <w:rsid w:val="0032587F"/>
    <w:rsid w:val="0032607C"/>
    <w:rsid w:val="00326E79"/>
    <w:rsid w:val="00326F02"/>
    <w:rsid w:val="0032748A"/>
    <w:rsid w:val="003301B1"/>
    <w:rsid w:val="00330CEC"/>
    <w:rsid w:val="00331189"/>
    <w:rsid w:val="0033263D"/>
    <w:rsid w:val="00334E69"/>
    <w:rsid w:val="0033518A"/>
    <w:rsid w:val="00335535"/>
    <w:rsid w:val="00335CDB"/>
    <w:rsid w:val="003367EF"/>
    <w:rsid w:val="0034035C"/>
    <w:rsid w:val="00341AE4"/>
    <w:rsid w:val="003421E4"/>
    <w:rsid w:val="003425CA"/>
    <w:rsid w:val="00343FB7"/>
    <w:rsid w:val="0034502B"/>
    <w:rsid w:val="003453E1"/>
    <w:rsid w:val="003476EE"/>
    <w:rsid w:val="00351B64"/>
    <w:rsid w:val="00352B76"/>
    <w:rsid w:val="003541DD"/>
    <w:rsid w:val="00356E5B"/>
    <w:rsid w:val="00360887"/>
    <w:rsid w:val="0036249F"/>
    <w:rsid w:val="00367AF0"/>
    <w:rsid w:val="003703ED"/>
    <w:rsid w:val="00371246"/>
    <w:rsid w:val="003736C9"/>
    <w:rsid w:val="00375E99"/>
    <w:rsid w:val="003775E6"/>
    <w:rsid w:val="00383484"/>
    <w:rsid w:val="00383B77"/>
    <w:rsid w:val="00383ED1"/>
    <w:rsid w:val="00384988"/>
    <w:rsid w:val="003872CF"/>
    <w:rsid w:val="003874CB"/>
    <w:rsid w:val="00391B03"/>
    <w:rsid w:val="00392827"/>
    <w:rsid w:val="00395653"/>
    <w:rsid w:val="00396E08"/>
    <w:rsid w:val="003970DD"/>
    <w:rsid w:val="0039782C"/>
    <w:rsid w:val="003A13A6"/>
    <w:rsid w:val="003A2165"/>
    <w:rsid w:val="003A3AF3"/>
    <w:rsid w:val="003A3FD4"/>
    <w:rsid w:val="003A54BB"/>
    <w:rsid w:val="003A5B4A"/>
    <w:rsid w:val="003A5D95"/>
    <w:rsid w:val="003A6510"/>
    <w:rsid w:val="003A74E2"/>
    <w:rsid w:val="003B0714"/>
    <w:rsid w:val="003B0D3A"/>
    <w:rsid w:val="003B2302"/>
    <w:rsid w:val="003B23C5"/>
    <w:rsid w:val="003B2A75"/>
    <w:rsid w:val="003B3136"/>
    <w:rsid w:val="003B49B2"/>
    <w:rsid w:val="003B6124"/>
    <w:rsid w:val="003B7960"/>
    <w:rsid w:val="003C0908"/>
    <w:rsid w:val="003C093A"/>
    <w:rsid w:val="003C1ECF"/>
    <w:rsid w:val="003C2FB5"/>
    <w:rsid w:val="003D2037"/>
    <w:rsid w:val="003D24C5"/>
    <w:rsid w:val="003D4594"/>
    <w:rsid w:val="003D4AC4"/>
    <w:rsid w:val="003D5433"/>
    <w:rsid w:val="003D63B7"/>
    <w:rsid w:val="003D74C5"/>
    <w:rsid w:val="003E4374"/>
    <w:rsid w:val="003E468B"/>
    <w:rsid w:val="003E62BD"/>
    <w:rsid w:val="003E658D"/>
    <w:rsid w:val="003F044F"/>
    <w:rsid w:val="003F0C3A"/>
    <w:rsid w:val="003F15F0"/>
    <w:rsid w:val="003F23C0"/>
    <w:rsid w:val="003F2AD9"/>
    <w:rsid w:val="003F3228"/>
    <w:rsid w:val="003F494E"/>
    <w:rsid w:val="003F5C8C"/>
    <w:rsid w:val="003F63CE"/>
    <w:rsid w:val="003F775A"/>
    <w:rsid w:val="00400E55"/>
    <w:rsid w:val="0040128E"/>
    <w:rsid w:val="0040216B"/>
    <w:rsid w:val="00402321"/>
    <w:rsid w:val="004042EF"/>
    <w:rsid w:val="00404852"/>
    <w:rsid w:val="0040590E"/>
    <w:rsid w:val="00407CC8"/>
    <w:rsid w:val="00413E8E"/>
    <w:rsid w:val="00414F0C"/>
    <w:rsid w:val="004163D4"/>
    <w:rsid w:val="00420400"/>
    <w:rsid w:val="00423E78"/>
    <w:rsid w:val="00424589"/>
    <w:rsid w:val="004252EC"/>
    <w:rsid w:val="004253FC"/>
    <w:rsid w:val="004265A3"/>
    <w:rsid w:val="00430A72"/>
    <w:rsid w:val="00430D39"/>
    <w:rsid w:val="004317AF"/>
    <w:rsid w:val="00431A79"/>
    <w:rsid w:val="0044227D"/>
    <w:rsid w:val="00442C91"/>
    <w:rsid w:val="00444765"/>
    <w:rsid w:val="004465BD"/>
    <w:rsid w:val="00446938"/>
    <w:rsid w:val="004510C7"/>
    <w:rsid w:val="004528FA"/>
    <w:rsid w:val="00453439"/>
    <w:rsid w:val="004571E2"/>
    <w:rsid w:val="00461A44"/>
    <w:rsid w:val="00462D26"/>
    <w:rsid w:val="00463198"/>
    <w:rsid w:val="0046368B"/>
    <w:rsid w:val="0046385A"/>
    <w:rsid w:val="00464039"/>
    <w:rsid w:val="00466ADA"/>
    <w:rsid w:val="00466CB2"/>
    <w:rsid w:val="004702BB"/>
    <w:rsid w:val="0047494B"/>
    <w:rsid w:val="00476245"/>
    <w:rsid w:val="00477A9B"/>
    <w:rsid w:val="00477D1B"/>
    <w:rsid w:val="00482AE4"/>
    <w:rsid w:val="00483035"/>
    <w:rsid w:val="00484FBA"/>
    <w:rsid w:val="00485940"/>
    <w:rsid w:val="00486C95"/>
    <w:rsid w:val="004877C2"/>
    <w:rsid w:val="004904B9"/>
    <w:rsid w:val="004917B3"/>
    <w:rsid w:val="004928E1"/>
    <w:rsid w:val="00492D8D"/>
    <w:rsid w:val="00496662"/>
    <w:rsid w:val="004A0F99"/>
    <w:rsid w:val="004A1431"/>
    <w:rsid w:val="004A2484"/>
    <w:rsid w:val="004A51C4"/>
    <w:rsid w:val="004A5A85"/>
    <w:rsid w:val="004A71D1"/>
    <w:rsid w:val="004A7C5B"/>
    <w:rsid w:val="004B0F5D"/>
    <w:rsid w:val="004B1845"/>
    <w:rsid w:val="004B2348"/>
    <w:rsid w:val="004B2E01"/>
    <w:rsid w:val="004B2E98"/>
    <w:rsid w:val="004B5640"/>
    <w:rsid w:val="004B6084"/>
    <w:rsid w:val="004BCF29"/>
    <w:rsid w:val="004C0206"/>
    <w:rsid w:val="004C03D0"/>
    <w:rsid w:val="004C0B26"/>
    <w:rsid w:val="004C1BD7"/>
    <w:rsid w:val="004C239C"/>
    <w:rsid w:val="004C25CF"/>
    <w:rsid w:val="004C31FE"/>
    <w:rsid w:val="004C524C"/>
    <w:rsid w:val="004C5EDD"/>
    <w:rsid w:val="004C5FFA"/>
    <w:rsid w:val="004C691D"/>
    <w:rsid w:val="004C6C07"/>
    <w:rsid w:val="004C7E15"/>
    <w:rsid w:val="004D017E"/>
    <w:rsid w:val="004D2CD1"/>
    <w:rsid w:val="004D3ACD"/>
    <w:rsid w:val="004D4E19"/>
    <w:rsid w:val="004D4FF6"/>
    <w:rsid w:val="004D5ADD"/>
    <w:rsid w:val="004E0CC3"/>
    <w:rsid w:val="004E692D"/>
    <w:rsid w:val="004E7230"/>
    <w:rsid w:val="004E7D87"/>
    <w:rsid w:val="004F1EFD"/>
    <w:rsid w:val="004F2553"/>
    <w:rsid w:val="004F306A"/>
    <w:rsid w:val="004F6013"/>
    <w:rsid w:val="00501554"/>
    <w:rsid w:val="00502AFE"/>
    <w:rsid w:val="00502E64"/>
    <w:rsid w:val="00503AD7"/>
    <w:rsid w:val="00503E89"/>
    <w:rsid w:val="00504E0C"/>
    <w:rsid w:val="00504E13"/>
    <w:rsid w:val="00507092"/>
    <w:rsid w:val="005109D4"/>
    <w:rsid w:val="0051230A"/>
    <w:rsid w:val="00512431"/>
    <w:rsid w:val="00514BE7"/>
    <w:rsid w:val="00514CD7"/>
    <w:rsid w:val="005167EC"/>
    <w:rsid w:val="005170DA"/>
    <w:rsid w:val="005171BE"/>
    <w:rsid w:val="00520D6A"/>
    <w:rsid w:val="00520F18"/>
    <w:rsid w:val="00522DB6"/>
    <w:rsid w:val="00524550"/>
    <w:rsid w:val="005264A7"/>
    <w:rsid w:val="00526CFE"/>
    <w:rsid w:val="0052792D"/>
    <w:rsid w:val="005319B2"/>
    <w:rsid w:val="00532402"/>
    <w:rsid w:val="00532C74"/>
    <w:rsid w:val="00533239"/>
    <w:rsid w:val="00534E2E"/>
    <w:rsid w:val="00535133"/>
    <w:rsid w:val="0054064C"/>
    <w:rsid w:val="00542841"/>
    <w:rsid w:val="00542CAA"/>
    <w:rsid w:val="00544552"/>
    <w:rsid w:val="00545130"/>
    <w:rsid w:val="00545248"/>
    <w:rsid w:val="0054670E"/>
    <w:rsid w:val="00546B36"/>
    <w:rsid w:val="0055286A"/>
    <w:rsid w:val="0055456E"/>
    <w:rsid w:val="00554BE8"/>
    <w:rsid w:val="00555745"/>
    <w:rsid w:val="00555C2D"/>
    <w:rsid w:val="00557D4F"/>
    <w:rsid w:val="0056122E"/>
    <w:rsid w:val="005615ED"/>
    <w:rsid w:val="005617D8"/>
    <w:rsid w:val="0056233A"/>
    <w:rsid w:val="0056484E"/>
    <w:rsid w:val="00564C80"/>
    <w:rsid w:val="00565999"/>
    <w:rsid w:val="00567D8A"/>
    <w:rsid w:val="00570231"/>
    <w:rsid w:val="005764CD"/>
    <w:rsid w:val="00577C4D"/>
    <w:rsid w:val="00580532"/>
    <w:rsid w:val="00580AE7"/>
    <w:rsid w:val="00581932"/>
    <w:rsid w:val="00582D40"/>
    <w:rsid w:val="00583002"/>
    <w:rsid w:val="00585CD1"/>
    <w:rsid w:val="005903BB"/>
    <w:rsid w:val="00591659"/>
    <w:rsid w:val="00593893"/>
    <w:rsid w:val="005946B1"/>
    <w:rsid w:val="005963BB"/>
    <w:rsid w:val="0059645C"/>
    <w:rsid w:val="00596D37"/>
    <w:rsid w:val="005A15D2"/>
    <w:rsid w:val="005A3173"/>
    <w:rsid w:val="005A3223"/>
    <w:rsid w:val="005A3DA3"/>
    <w:rsid w:val="005A52C4"/>
    <w:rsid w:val="005A63A1"/>
    <w:rsid w:val="005B0486"/>
    <w:rsid w:val="005B0A27"/>
    <w:rsid w:val="005B1032"/>
    <w:rsid w:val="005B1473"/>
    <w:rsid w:val="005B36FA"/>
    <w:rsid w:val="005C4F73"/>
    <w:rsid w:val="005C597D"/>
    <w:rsid w:val="005D03AB"/>
    <w:rsid w:val="005D157F"/>
    <w:rsid w:val="005D401D"/>
    <w:rsid w:val="005D5017"/>
    <w:rsid w:val="005D5708"/>
    <w:rsid w:val="005D603B"/>
    <w:rsid w:val="005D63FA"/>
    <w:rsid w:val="005D73C7"/>
    <w:rsid w:val="005E0C2D"/>
    <w:rsid w:val="005E0D82"/>
    <w:rsid w:val="005E0F59"/>
    <w:rsid w:val="005E1333"/>
    <w:rsid w:val="005E22F1"/>
    <w:rsid w:val="005E3136"/>
    <w:rsid w:val="005E3F47"/>
    <w:rsid w:val="005E507D"/>
    <w:rsid w:val="005F0AD0"/>
    <w:rsid w:val="005F1370"/>
    <w:rsid w:val="005F5B39"/>
    <w:rsid w:val="00601A91"/>
    <w:rsid w:val="00602BA3"/>
    <w:rsid w:val="00604CC0"/>
    <w:rsid w:val="00605B63"/>
    <w:rsid w:val="00605F9A"/>
    <w:rsid w:val="00606442"/>
    <w:rsid w:val="00606EED"/>
    <w:rsid w:val="00612A95"/>
    <w:rsid w:val="00612E34"/>
    <w:rsid w:val="00613EB2"/>
    <w:rsid w:val="00613F4A"/>
    <w:rsid w:val="00614159"/>
    <w:rsid w:val="006158A3"/>
    <w:rsid w:val="00616C5F"/>
    <w:rsid w:val="00616DAC"/>
    <w:rsid w:val="00617725"/>
    <w:rsid w:val="00617C00"/>
    <w:rsid w:val="006263BF"/>
    <w:rsid w:val="0062748A"/>
    <w:rsid w:val="00627F4A"/>
    <w:rsid w:val="00630546"/>
    <w:rsid w:val="00630A2C"/>
    <w:rsid w:val="00631DBE"/>
    <w:rsid w:val="00632C74"/>
    <w:rsid w:val="00632E64"/>
    <w:rsid w:val="00634A75"/>
    <w:rsid w:val="0063682E"/>
    <w:rsid w:val="00640088"/>
    <w:rsid w:val="006403F8"/>
    <w:rsid w:val="00642672"/>
    <w:rsid w:val="00642DA8"/>
    <w:rsid w:val="006436CD"/>
    <w:rsid w:val="006444B9"/>
    <w:rsid w:val="00647B6D"/>
    <w:rsid w:val="00651169"/>
    <w:rsid w:val="00652163"/>
    <w:rsid w:val="00653D69"/>
    <w:rsid w:val="006552E6"/>
    <w:rsid w:val="00655794"/>
    <w:rsid w:val="00656F2F"/>
    <w:rsid w:val="00657C63"/>
    <w:rsid w:val="00661CBC"/>
    <w:rsid w:val="00662B85"/>
    <w:rsid w:val="006670B3"/>
    <w:rsid w:val="006670BE"/>
    <w:rsid w:val="00670A76"/>
    <w:rsid w:val="006711AA"/>
    <w:rsid w:val="00672B57"/>
    <w:rsid w:val="00673F1F"/>
    <w:rsid w:val="00673FB9"/>
    <w:rsid w:val="00675622"/>
    <w:rsid w:val="00675DEB"/>
    <w:rsid w:val="0067747D"/>
    <w:rsid w:val="006818D5"/>
    <w:rsid w:val="00681CA4"/>
    <w:rsid w:val="006847FA"/>
    <w:rsid w:val="00686559"/>
    <w:rsid w:val="0069039D"/>
    <w:rsid w:val="006906DB"/>
    <w:rsid w:val="00691900"/>
    <w:rsid w:val="00691E6C"/>
    <w:rsid w:val="0069342D"/>
    <w:rsid w:val="00693DFB"/>
    <w:rsid w:val="00694FD5"/>
    <w:rsid w:val="0069501D"/>
    <w:rsid w:val="0069520D"/>
    <w:rsid w:val="00696129"/>
    <w:rsid w:val="00696B64"/>
    <w:rsid w:val="00697CF2"/>
    <w:rsid w:val="006A0193"/>
    <w:rsid w:val="006A0E6B"/>
    <w:rsid w:val="006A12A5"/>
    <w:rsid w:val="006A2515"/>
    <w:rsid w:val="006A295D"/>
    <w:rsid w:val="006A513B"/>
    <w:rsid w:val="006A572D"/>
    <w:rsid w:val="006A5E20"/>
    <w:rsid w:val="006B0D94"/>
    <w:rsid w:val="006B16B6"/>
    <w:rsid w:val="006B366C"/>
    <w:rsid w:val="006B485D"/>
    <w:rsid w:val="006B7DDA"/>
    <w:rsid w:val="006C0C45"/>
    <w:rsid w:val="006C2806"/>
    <w:rsid w:val="006C334C"/>
    <w:rsid w:val="006C6C10"/>
    <w:rsid w:val="006C708E"/>
    <w:rsid w:val="006D1054"/>
    <w:rsid w:val="006D14E7"/>
    <w:rsid w:val="006D1D8D"/>
    <w:rsid w:val="006D3A2C"/>
    <w:rsid w:val="006D4444"/>
    <w:rsid w:val="006D6493"/>
    <w:rsid w:val="006D6EC7"/>
    <w:rsid w:val="006D7B05"/>
    <w:rsid w:val="006D7E45"/>
    <w:rsid w:val="006E1143"/>
    <w:rsid w:val="006E1BCD"/>
    <w:rsid w:val="006E2732"/>
    <w:rsid w:val="006E58CE"/>
    <w:rsid w:val="006E59CD"/>
    <w:rsid w:val="006F0A71"/>
    <w:rsid w:val="006F1C6B"/>
    <w:rsid w:val="006F261F"/>
    <w:rsid w:val="006F40C2"/>
    <w:rsid w:val="006F5125"/>
    <w:rsid w:val="006F6068"/>
    <w:rsid w:val="006F733D"/>
    <w:rsid w:val="00700765"/>
    <w:rsid w:val="00702959"/>
    <w:rsid w:val="00702B6F"/>
    <w:rsid w:val="007030B4"/>
    <w:rsid w:val="00703B86"/>
    <w:rsid w:val="00704069"/>
    <w:rsid w:val="00704A4C"/>
    <w:rsid w:val="007069D4"/>
    <w:rsid w:val="00706A2F"/>
    <w:rsid w:val="0070718E"/>
    <w:rsid w:val="00707E52"/>
    <w:rsid w:val="00710259"/>
    <w:rsid w:val="0071031F"/>
    <w:rsid w:val="00710737"/>
    <w:rsid w:val="00711093"/>
    <w:rsid w:val="00711124"/>
    <w:rsid w:val="00712808"/>
    <w:rsid w:val="0071340B"/>
    <w:rsid w:val="00713C50"/>
    <w:rsid w:val="0071436D"/>
    <w:rsid w:val="00715BBB"/>
    <w:rsid w:val="00716D3F"/>
    <w:rsid w:val="007174BB"/>
    <w:rsid w:val="0072025D"/>
    <w:rsid w:val="00720E57"/>
    <w:rsid w:val="0072241C"/>
    <w:rsid w:val="00722BD5"/>
    <w:rsid w:val="00723328"/>
    <w:rsid w:val="00723677"/>
    <w:rsid w:val="007237DE"/>
    <w:rsid w:val="00724E80"/>
    <w:rsid w:val="0072502E"/>
    <w:rsid w:val="0072782B"/>
    <w:rsid w:val="0072798D"/>
    <w:rsid w:val="0073137C"/>
    <w:rsid w:val="007340B9"/>
    <w:rsid w:val="007344A7"/>
    <w:rsid w:val="007353D3"/>
    <w:rsid w:val="0074050B"/>
    <w:rsid w:val="0074156B"/>
    <w:rsid w:val="00741619"/>
    <w:rsid w:val="00742885"/>
    <w:rsid w:val="007434B4"/>
    <w:rsid w:val="007443CE"/>
    <w:rsid w:val="00744C85"/>
    <w:rsid w:val="00747092"/>
    <w:rsid w:val="007526E6"/>
    <w:rsid w:val="00754BDF"/>
    <w:rsid w:val="00754DF9"/>
    <w:rsid w:val="007555E8"/>
    <w:rsid w:val="00755CC5"/>
    <w:rsid w:val="007567EE"/>
    <w:rsid w:val="00756AA2"/>
    <w:rsid w:val="0075755B"/>
    <w:rsid w:val="00761491"/>
    <w:rsid w:val="00761B32"/>
    <w:rsid w:val="00762862"/>
    <w:rsid w:val="00763C4C"/>
    <w:rsid w:val="0076420C"/>
    <w:rsid w:val="00771D07"/>
    <w:rsid w:val="00772649"/>
    <w:rsid w:val="00773BE3"/>
    <w:rsid w:val="007743DD"/>
    <w:rsid w:val="00774CEA"/>
    <w:rsid w:val="00774E2C"/>
    <w:rsid w:val="0077503C"/>
    <w:rsid w:val="0077518D"/>
    <w:rsid w:val="007753C2"/>
    <w:rsid w:val="00776068"/>
    <w:rsid w:val="00782FFE"/>
    <w:rsid w:val="007838B8"/>
    <w:rsid w:val="007843F9"/>
    <w:rsid w:val="00785779"/>
    <w:rsid w:val="00787FD8"/>
    <w:rsid w:val="007904E0"/>
    <w:rsid w:val="00790E3D"/>
    <w:rsid w:val="007915BA"/>
    <w:rsid w:val="00791844"/>
    <w:rsid w:val="00792D98"/>
    <w:rsid w:val="00793CE9"/>
    <w:rsid w:val="00796667"/>
    <w:rsid w:val="00797068"/>
    <w:rsid w:val="007979BD"/>
    <w:rsid w:val="007A1208"/>
    <w:rsid w:val="007A27E0"/>
    <w:rsid w:val="007A3D8E"/>
    <w:rsid w:val="007A5C88"/>
    <w:rsid w:val="007A6A2F"/>
    <w:rsid w:val="007B024E"/>
    <w:rsid w:val="007B3448"/>
    <w:rsid w:val="007B3BAF"/>
    <w:rsid w:val="007B3DDC"/>
    <w:rsid w:val="007B72A6"/>
    <w:rsid w:val="007C06D2"/>
    <w:rsid w:val="007C08E0"/>
    <w:rsid w:val="007C0F57"/>
    <w:rsid w:val="007C1A07"/>
    <w:rsid w:val="007C2F4B"/>
    <w:rsid w:val="007C40B6"/>
    <w:rsid w:val="007C53D6"/>
    <w:rsid w:val="007C5975"/>
    <w:rsid w:val="007C729F"/>
    <w:rsid w:val="007C72AD"/>
    <w:rsid w:val="007D4764"/>
    <w:rsid w:val="007D503D"/>
    <w:rsid w:val="007D59E7"/>
    <w:rsid w:val="007D5F2A"/>
    <w:rsid w:val="007E07AC"/>
    <w:rsid w:val="007E1014"/>
    <w:rsid w:val="007E12F8"/>
    <w:rsid w:val="007E1554"/>
    <w:rsid w:val="007E1D28"/>
    <w:rsid w:val="007E4564"/>
    <w:rsid w:val="007E490F"/>
    <w:rsid w:val="007E4A3F"/>
    <w:rsid w:val="007F0021"/>
    <w:rsid w:val="007F2641"/>
    <w:rsid w:val="007F2FDA"/>
    <w:rsid w:val="007F6F57"/>
    <w:rsid w:val="007F7C36"/>
    <w:rsid w:val="007F7F45"/>
    <w:rsid w:val="0080001F"/>
    <w:rsid w:val="00801958"/>
    <w:rsid w:val="00801AF0"/>
    <w:rsid w:val="00801CBB"/>
    <w:rsid w:val="008055AF"/>
    <w:rsid w:val="008057CD"/>
    <w:rsid w:val="008066B8"/>
    <w:rsid w:val="00806796"/>
    <w:rsid w:val="00806E0B"/>
    <w:rsid w:val="00806EE4"/>
    <w:rsid w:val="00810167"/>
    <w:rsid w:val="008104D0"/>
    <w:rsid w:val="00811CC0"/>
    <w:rsid w:val="00812898"/>
    <w:rsid w:val="00814276"/>
    <w:rsid w:val="008151D6"/>
    <w:rsid w:val="00820803"/>
    <w:rsid w:val="00821527"/>
    <w:rsid w:val="00822696"/>
    <w:rsid w:val="00823D36"/>
    <w:rsid w:val="00825A6C"/>
    <w:rsid w:val="0082617E"/>
    <w:rsid w:val="008268BB"/>
    <w:rsid w:val="00826F6D"/>
    <w:rsid w:val="00827887"/>
    <w:rsid w:val="008306F3"/>
    <w:rsid w:val="00830E40"/>
    <w:rsid w:val="00832D9A"/>
    <w:rsid w:val="00835C62"/>
    <w:rsid w:val="008368A1"/>
    <w:rsid w:val="00840EF7"/>
    <w:rsid w:val="00844C0A"/>
    <w:rsid w:val="0084514C"/>
    <w:rsid w:val="00845DA9"/>
    <w:rsid w:val="00845DDB"/>
    <w:rsid w:val="00846056"/>
    <w:rsid w:val="0084681F"/>
    <w:rsid w:val="008470A2"/>
    <w:rsid w:val="00847D08"/>
    <w:rsid w:val="00847EC0"/>
    <w:rsid w:val="008516E1"/>
    <w:rsid w:val="00854506"/>
    <w:rsid w:val="008552E4"/>
    <w:rsid w:val="00855FD6"/>
    <w:rsid w:val="00856DDD"/>
    <w:rsid w:val="00860233"/>
    <w:rsid w:val="00863E68"/>
    <w:rsid w:val="008647B5"/>
    <w:rsid w:val="00867D64"/>
    <w:rsid w:val="00872020"/>
    <w:rsid w:val="008724AC"/>
    <w:rsid w:val="00872E8F"/>
    <w:rsid w:val="00873FC9"/>
    <w:rsid w:val="00875DCB"/>
    <w:rsid w:val="00876901"/>
    <w:rsid w:val="00876FBF"/>
    <w:rsid w:val="0087755A"/>
    <w:rsid w:val="00877ECE"/>
    <w:rsid w:val="00880014"/>
    <w:rsid w:val="00880650"/>
    <w:rsid w:val="00882085"/>
    <w:rsid w:val="00883188"/>
    <w:rsid w:val="00884A0C"/>
    <w:rsid w:val="00886ACA"/>
    <w:rsid w:val="00886B01"/>
    <w:rsid w:val="0089031E"/>
    <w:rsid w:val="0089109A"/>
    <w:rsid w:val="00893725"/>
    <w:rsid w:val="00893802"/>
    <w:rsid w:val="0089386B"/>
    <w:rsid w:val="00893D5C"/>
    <w:rsid w:val="0089460B"/>
    <w:rsid w:val="00896460"/>
    <w:rsid w:val="00897D58"/>
    <w:rsid w:val="00897F22"/>
    <w:rsid w:val="008A0B39"/>
    <w:rsid w:val="008A17A3"/>
    <w:rsid w:val="008A1956"/>
    <w:rsid w:val="008A1E85"/>
    <w:rsid w:val="008A2419"/>
    <w:rsid w:val="008A4937"/>
    <w:rsid w:val="008A50F1"/>
    <w:rsid w:val="008A59D9"/>
    <w:rsid w:val="008A643E"/>
    <w:rsid w:val="008A6819"/>
    <w:rsid w:val="008B007A"/>
    <w:rsid w:val="008B0434"/>
    <w:rsid w:val="008B2EC0"/>
    <w:rsid w:val="008B590B"/>
    <w:rsid w:val="008B6DCF"/>
    <w:rsid w:val="008C4759"/>
    <w:rsid w:val="008D0945"/>
    <w:rsid w:val="008D1409"/>
    <w:rsid w:val="008D15CC"/>
    <w:rsid w:val="008D1729"/>
    <w:rsid w:val="008D1B5C"/>
    <w:rsid w:val="008D3776"/>
    <w:rsid w:val="008D3C82"/>
    <w:rsid w:val="008D447E"/>
    <w:rsid w:val="008D6ACF"/>
    <w:rsid w:val="008D7A41"/>
    <w:rsid w:val="008E2C72"/>
    <w:rsid w:val="008E3680"/>
    <w:rsid w:val="008E4F87"/>
    <w:rsid w:val="008E5870"/>
    <w:rsid w:val="008E598F"/>
    <w:rsid w:val="008E77E4"/>
    <w:rsid w:val="008E7EEC"/>
    <w:rsid w:val="008F0213"/>
    <w:rsid w:val="008F07ED"/>
    <w:rsid w:val="008F0C6C"/>
    <w:rsid w:val="008F11F8"/>
    <w:rsid w:val="008F1434"/>
    <w:rsid w:val="008F2BB9"/>
    <w:rsid w:val="008F3D6A"/>
    <w:rsid w:val="008F54C3"/>
    <w:rsid w:val="008F7355"/>
    <w:rsid w:val="008F7799"/>
    <w:rsid w:val="009023DC"/>
    <w:rsid w:val="009027C5"/>
    <w:rsid w:val="00904413"/>
    <w:rsid w:val="009067B7"/>
    <w:rsid w:val="00906E7A"/>
    <w:rsid w:val="0090775A"/>
    <w:rsid w:val="00907DFD"/>
    <w:rsid w:val="009101E8"/>
    <w:rsid w:val="00913C99"/>
    <w:rsid w:val="00915913"/>
    <w:rsid w:val="00917D69"/>
    <w:rsid w:val="00920B6D"/>
    <w:rsid w:val="00926560"/>
    <w:rsid w:val="00926900"/>
    <w:rsid w:val="00926B15"/>
    <w:rsid w:val="00930291"/>
    <w:rsid w:val="00930937"/>
    <w:rsid w:val="009324A6"/>
    <w:rsid w:val="00933B7D"/>
    <w:rsid w:val="00933E6C"/>
    <w:rsid w:val="00935A6E"/>
    <w:rsid w:val="00937958"/>
    <w:rsid w:val="009406E5"/>
    <w:rsid w:val="00940F86"/>
    <w:rsid w:val="00941602"/>
    <w:rsid w:val="00942160"/>
    <w:rsid w:val="0094391C"/>
    <w:rsid w:val="009446C8"/>
    <w:rsid w:val="00946921"/>
    <w:rsid w:val="00947343"/>
    <w:rsid w:val="0095146F"/>
    <w:rsid w:val="009534C7"/>
    <w:rsid w:val="00953595"/>
    <w:rsid w:val="00957944"/>
    <w:rsid w:val="009602C5"/>
    <w:rsid w:val="0096103A"/>
    <w:rsid w:val="00962223"/>
    <w:rsid w:val="0096252B"/>
    <w:rsid w:val="009644D9"/>
    <w:rsid w:val="00964A9F"/>
    <w:rsid w:val="00966D0D"/>
    <w:rsid w:val="00967732"/>
    <w:rsid w:val="0096775E"/>
    <w:rsid w:val="0096783C"/>
    <w:rsid w:val="00970023"/>
    <w:rsid w:val="009722B3"/>
    <w:rsid w:val="00973E24"/>
    <w:rsid w:val="00974C21"/>
    <w:rsid w:val="009750A0"/>
    <w:rsid w:val="00975948"/>
    <w:rsid w:val="009772FD"/>
    <w:rsid w:val="00977BF3"/>
    <w:rsid w:val="009803E4"/>
    <w:rsid w:val="00980B0E"/>
    <w:rsid w:val="00981638"/>
    <w:rsid w:val="00982B39"/>
    <w:rsid w:val="009836A3"/>
    <w:rsid w:val="00984C58"/>
    <w:rsid w:val="009855A8"/>
    <w:rsid w:val="00985CBE"/>
    <w:rsid w:val="00985D1A"/>
    <w:rsid w:val="00990CF8"/>
    <w:rsid w:val="009913F4"/>
    <w:rsid w:val="00991782"/>
    <w:rsid w:val="009937F7"/>
    <w:rsid w:val="0099465B"/>
    <w:rsid w:val="009951A1"/>
    <w:rsid w:val="00997822"/>
    <w:rsid w:val="00997A44"/>
    <w:rsid w:val="009A0CDD"/>
    <w:rsid w:val="009A1BFB"/>
    <w:rsid w:val="009A3168"/>
    <w:rsid w:val="009A4621"/>
    <w:rsid w:val="009A4BDF"/>
    <w:rsid w:val="009A588F"/>
    <w:rsid w:val="009A5D04"/>
    <w:rsid w:val="009A61CA"/>
    <w:rsid w:val="009B08B6"/>
    <w:rsid w:val="009B0C64"/>
    <w:rsid w:val="009B0F67"/>
    <w:rsid w:val="009B147D"/>
    <w:rsid w:val="009B208A"/>
    <w:rsid w:val="009B2756"/>
    <w:rsid w:val="009B3D56"/>
    <w:rsid w:val="009B3F8C"/>
    <w:rsid w:val="009B533B"/>
    <w:rsid w:val="009C0179"/>
    <w:rsid w:val="009C1810"/>
    <w:rsid w:val="009C2502"/>
    <w:rsid w:val="009C26AA"/>
    <w:rsid w:val="009C456C"/>
    <w:rsid w:val="009C5460"/>
    <w:rsid w:val="009C703C"/>
    <w:rsid w:val="009D0C29"/>
    <w:rsid w:val="009D206E"/>
    <w:rsid w:val="009D3CAA"/>
    <w:rsid w:val="009D507A"/>
    <w:rsid w:val="009D51F4"/>
    <w:rsid w:val="009D6532"/>
    <w:rsid w:val="009D71FD"/>
    <w:rsid w:val="009E06F0"/>
    <w:rsid w:val="009E0755"/>
    <w:rsid w:val="009E10AD"/>
    <w:rsid w:val="009E2588"/>
    <w:rsid w:val="009E2E8E"/>
    <w:rsid w:val="009E40E1"/>
    <w:rsid w:val="009E4F4C"/>
    <w:rsid w:val="009E707C"/>
    <w:rsid w:val="009F066C"/>
    <w:rsid w:val="009F0EFA"/>
    <w:rsid w:val="009F4E46"/>
    <w:rsid w:val="009F5B65"/>
    <w:rsid w:val="009F5F2E"/>
    <w:rsid w:val="00A0097D"/>
    <w:rsid w:val="00A01432"/>
    <w:rsid w:val="00A06225"/>
    <w:rsid w:val="00A066E6"/>
    <w:rsid w:val="00A110D1"/>
    <w:rsid w:val="00A118E1"/>
    <w:rsid w:val="00A11C8C"/>
    <w:rsid w:val="00A12587"/>
    <w:rsid w:val="00A128E6"/>
    <w:rsid w:val="00A14083"/>
    <w:rsid w:val="00A144D3"/>
    <w:rsid w:val="00A1506E"/>
    <w:rsid w:val="00A17EA7"/>
    <w:rsid w:val="00A21D7D"/>
    <w:rsid w:val="00A22AC3"/>
    <w:rsid w:val="00A2351E"/>
    <w:rsid w:val="00A23F3F"/>
    <w:rsid w:val="00A24067"/>
    <w:rsid w:val="00A24A4B"/>
    <w:rsid w:val="00A2744D"/>
    <w:rsid w:val="00A30D16"/>
    <w:rsid w:val="00A33EB7"/>
    <w:rsid w:val="00A3478B"/>
    <w:rsid w:val="00A34E6C"/>
    <w:rsid w:val="00A34FD0"/>
    <w:rsid w:val="00A36398"/>
    <w:rsid w:val="00A37C4E"/>
    <w:rsid w:val="00A37C8D"/>
    <w:rsid w:val="00A4020E"/>
    <w:rsid w:val="00A40493"/>
    <w:rsid w:val="00A408E8"/>
    <w:rsid w:val="00A40FB5"/>
    <w:rsid w:val="00A41706"/>
    <w:rsid w:val="00A41818"/>
    <w:rsid w:val="00A42826"/>
    <w:rsid w:val="00A429B3"/>
    <w:rsid w:val="00A44D36"/>
    <w:rsid w:val="00A44EC1"/>
    <w:rsid w:val="00A452D3"/>
    <w:rsid w:val="00A46619"/>
    <w:rsid w:val="00A46C92"/>
    <w:rsid w:val="00A47B06"/>
    <w:rsid w:val="00A510E4"/>
    <w:rsid w:val="00A5174B"/>
    <w:rsid w:val="00A526F7"/>
    <w:rsid w:val="00A5273B"/>
    <w:rsid w:val="00A53A9D"/>
    <w:rsid w:val="00A55FEE"/>
    <w:rsid w:val="00A57422"/>
    <w:rsid w:val="00A57D81"/>
    <w:rsid w:val="00A6110E"/>
    <w:rsid w:val="00A61279"/>
    <w:rsid w:val="00A62C1A"/>
    <w:rsid w:val="00A62F2C"/>
    <w:rsid w:val="00A63CA2"/>
    <w:rsid w:val="00A6426D"/>
    <w:rsid w:val="00A64AE2"/>
    <w:rsid w:val="00A665C1"/>
    <w:rsid w:val="00A673A4"/>
    <w:rsid w:val="00A7001A"/>
    <w:rsid w:val="00A70622"/>
    <w:rsid w:val="00A70977"/>
    <w:rsid w:val="00A70D58"/>
    <w:rsid w:val="00A744F9"/>
    <w:rsid w:val="00A7620D"/>
    <w:rsid w:val="00A77613"/>
    <w:rsid w:val="00A77B87"/>
    <w:rsid w:val="00A801AD"/>
    <w:rsid w:val="00A81851"/>
    <w:rsid w:val="00A82510"/>
    <w:rsid w:val="00A8390C"/>
    <w:rsid w:val="00A83C47"/>
    <w:rsid w:val="00A85BD4"/>
    <w:rsid w:val="00A85C1C"/>
    <w:rsid w:val="00A86101"/>
    <w:rsid w:val="00A86AE0"/>
    <w:rsid w:val="00A87A8A"/>
    <w:rsid w:val="00A91362"/>
    <w:rsid w:val="00A9151C"/>
    <w:rsid w:val="00A919C6"/>
    <w:rsid w:val="00A928BD"/>
    <w:rsid w:val="00A97DE9"/>
    <w:rsid w:val="00AA12CD"/>
    <w:rsid w:val="00AA4D1C"/>
    <w:rsid w:val="00AA52FD"/>
    <w:rsid w:val="00AA7006"/>
    <w:rsid w:val="00AB0980"/>
    <w:rsid w:val="00AB3EEA"/>
    <w:rsid w:val="00AB4684"/>
    <w:rsid w:val="00AB5856"/>
    <w:rsid w:val="00AC081D"/>
    <w:rsid w:val="00AC0C6F"/>
    <w:rsid w:val="00AC1266"/>
    <w:rsid w:val="00AC193C"/>
    <w:rsid w:val="00AC28E3"/>
    <w:rsid w:val="00AC2E91"/>
    <w:rsid w:val="00AC30C1"/>
    <w:rsid w:val="00AC4DE5"/>
    <w:rsid w:val="00AC5206"/>
    <w:rsid w:val="00AC6B5E"/>
    <w:rsid w:val="00AD095B"/>
    <w:rsid w:val="00AD2D94"/>
    <w:rsid w:val="00AD2F5C"/>
    <w:rsid w:val="00AD3106"/>
    <w:rsid w:val="00AD4322"/>
    <w:rsid w:val="00AD7237"/>
    <w:rsid w:val="00AE11A5"/>
    <w:rsid w:val="00AE13E2"/>
    <w:rsid w:val="00AE22D3"/>
    <w:rsid w:val="00AE460D"/>
    <w:rsid w:val="00AE5A49"/>
    <w:rsid w:val="00AE5FDC"/>
    <w:rsid w:val="00AF11D8"/>
    <w:rsid w:val="00AF4D9D"/>
    <w:rsid w:val="00AF5867"/>
    <w:rsid w:val="00AF62DF"/>
    <w:rsid w:val="00AF68CC"/>
    <w:rsid w:val="00AF70D7"/>
    <w:rsid w:val="00AF7AAA"/>
    <w:rsid w:val="00B00086"/>
    <w:rsid w:val="00B00CD0"/>
    <w:rsid w:val="00B00E7F"/>
    <w:rsid w:val="00B01C95"/>
    <w:rsid w:val="00B01FF4"/>
    <w:rsid w:val="00B0326D"/>
    <w:rsid w:val="00B06037"/>
    <w:rsid w:val="00B06478"/>
    <w:rsid w:val="00B064A2"/>
    <w:rsid w:val="00B07533"/>
    <w:rsid w:val="00B07CFB"/>
    <w:rsid w:val="00B1059E"/>
    <w:rsid w:val="00B11E54"/>
    <w:rsid w:val="00B138CE"/>
    <w:rsid w:val="00B14A36"/>
    <w:rsid w:val="00B16273"/>
    <w:rsid w:val="00B170A5"/>
    <w:rsid w:val="00B1725F"/>
    <w:rsid w:val="00B176C8"/>
    <w:rsid w:val="00B17EE5"/>
    <w:rsid w:val="00B205AA"/>
    <w:rsid w:val="00B2080F"/>
    <w:rsid w:val="00B21A91"/>
    <w:rsid w:val="00B21B5C"/>
    <w:rsid w:val="00B22E84"/>
    <w:rsid w:val="00B233AD"/>
    <w:rsid w:val="00B238A2"/>
    <w:rsid w:val="00B23E25"/>
    <w:rsid w:val="00B25F75"/>
    <w:rsid w:val="00B26B3F"/>
    <w:rsid w:val="00B2778F"/>
    <w:rsid w:val="00B31F18"/>
    <w:rsid w:val="00B324FF"/>
    <w:rsid w:val="00B327E2"/>
    <w:rsid w:val="00B329BE"/>
    <w:rsid w:val="00B3321C"/>
    <w:rsid w:val="00B33635"/>
    <w:rsid w:val="00B3718C"/>
    <w:rsid w:val="00B37A23"/>
    <w:rsid w:val="00B37CF8"/>
    <w:rsid w:val="00B41AB8"/>
    <w:rsid w:val="00B42AF4"/>
    <w:rsid w:val="00B43E90"/>
    <w:rsid w:val="00B44308"/>
    <w:rsid w:val="00B454BA"/>
    <w:rsid w:val="00B45722"/>
    <w:rsid w:val="00B467DC"/>
    <w:rsid w:val="00B47A88"/>
    <w:rsid w:val="00B507E3"/>
    <w:rsid w:val="00B51E84"/>
    <w:rsid w:val="00B52303"/>
    <w:rsid w:val="00B52E74"/>
    <w:rsid w:val="00B5392A"/>
    <w:rsid w:val="00B539EF"/>
    <w:rsid w:val="00B5605C"/>
    <w:rsid w:val="00B56118"/>
    <w:rsid w:val="00B566E1"/>
    <w:rsid w:val="00B56AFB"/>
    <w:rsid w:val="00B602F6"/>
    <w:rsid w:val="00B60E73"/>
    <w:rsid w:val="00B62D46"/>
    <w:rsid w:val="00B62EC1"/>
    <w:rsid w:val="00B64A96"/>
    <w:rsid w:val="00B66E31"/>
    <w:rsid w:val="00B6773F"/>
    <w:rsid w:val="00B70EB3"/>
    <w:rsid w:val="00B72560"/>
    <w:rsid w:val="00B72906"/>
    <w:rsid w:val="00B72CAE"/>
    <w:rsid w:val="00B735E3"/>
    <w:rsid w:val="00B74F48"/>
    <w:rsid w:val="00B7525E"/>
    <w:rsid w:val="00B75433"/>
    <w:rsid w:val="00B760FB"/>
    <w:rsid w:val="00B76765"/>
    <w:rsid w:val="00B767AB"/>
    <w:rsid w:val="00B801BA"/>
    <w:rsid w:val="00B812D6"/>
    <w:rsid w:val="00B84D5C"/>
    <w:rsid w:val="00B85AF6"/>
    <w:rsid w:val="00B86172"/>
    <w:rsid w:val="00B86580"/>
    <w:rsid w:val="00B904B1"/>
    <w:rsid w:val="00B907E2"/>
    <w:rsid w:val="00B9541B"/>
    <w:rsid w:val="00B956ED"/>
    <w:rsid w:val="00B959F4"/>
    <w:rsid w:val="00B95E58"/>
    <w:rsid w:val="00BA2DA8"/>
    <w:rsid w:val="00BA347C"/>
    <w:rsid w:val="00BA4B53"/>
    <w:rsid w:val="00BA4BBD"/>
    <w:rsid w:val="00BA4C79"/>
    <w:rsid w:val="00BA6189"/>
    <w:rsid w:val="00BB1C2F"/>
    <w:rsid w:val="00BB298A"/>
    <w:rsid w:val="00BB3469"/>
    <w:rsid w:val="00BB5C49"/>
    <w:rsid w:val="00BB6240"/>
    <w:rsid w:val="00BB6285"/>
    <w:rsid w:val="00BB69F5"/>
    <w:rsid w:val="00BB7EC3"/>
    <w:rsid w:val="00BC04B1"/>
    <w:rsid w:val="00BC1AF4"/>
    <w:rsid w:val="00BC470E"/>
    <w:rsid w:val="00BC4B9A"/>
    <w:rsid w:val="00BD02C3"/>
    <w:rsid w:val="00BD4B92"/>
    <w:rsid w:val="00BD7483"/>
    <w:rsid w:val="00BD784C"/>
    <w:rsid w:val="00BE020A"/>
    <w:rsid w:val="00BE13DF"/>
    <w:rsid w:val="00BE1EF0"/>
    <w:rsid w:val="00BE25D7"/>
    <w:rsid w:val="00BE2AC0"/>
    <w:rsid w:val="00BE3163"/>
    <w:rsid w:val="00BE4782"/>
    <w:rsid w:val="00BE6B90"/>
    <w:rsid w:val="00BF092C"/>
    <w:rsid w:val="00BF27A0"/>
    <w:rsid w:val="00BF4CB6"/>
    <w:rsid w:val="00BF51E1"/>
    <w:rsid w:val="00BF6CBD"/>
    <w:rsid w:val="00C0049A"/>
    <w:rsid w:val="00C00DA7"/>
    <w:rsid w:val="00C034FB"/>
    <w:rsid w:val="00C04CDE"/>
    <w:rsid w:val="00C059D5"/>
    <w:rsid w:val="00C068A6"/>
    <w:rsid w:val="00C12768"/>
    <w:rsid w:val="00C12D70"/>
    <w:rsid w:val="00C16724"/>
    <w:rsid w:val="00C215AB"/>
    <w:rsid w:val="00C21B09"/>
    <w:rsid w:val="00C25EFF"/>
    <w:rsid w:val="00C2673A"/>
    <w:rsid w:val="00C278CD"/>
    <w:rsid w:val="00C27B58"/>
    <w:rsid w:val="00C27C1C"/>
    <w:rsid w:val="00C3166C"/>
    <w:rsid w:val="00C32176"/>
    <w:rsid w:val="00C33186"/>
    <w:rsid w:val="00C35996"/>
    <w:rsid w:val="00C36EC2"/>
    <w:rsid w:val="00C3754C"/>
    <w:rsid w:val="00C4023A"/>
    <w:rsid w:val="00C40AB7"/>
    <w:rsid w:val="00C41DF2"/>
    <w:rsid w:val="00C42BCD"/>
    <w:rsid w:val="00C4485F"/>
    <w:rsid w:val="00C46C13"/>
    <w:rsid w:val="00C4747E"/>
    <w:rsid w:val="00C5151E"/>
    <w:rsid w:val="00C52256"/>
    <w:rsid w:val="00C5342C"/>
    <w:rsid w:val="00C53B2B"/>
    <w:rsid w:val="00C56010"/>
    <w:rsid w:val="00C57465"/>
    <w:rsid w:val="00C60272"/>
    <w:rsid w:val="00C603D4"/>
    <w:rsid w:val="00C6256A"/>
    <w:rsid w:val="00C63FDA"/>
    <w:rsid w:val="00C64EBC"/>
    <w:rsid w:val="00C664D2"/>
    <w:rsid w:val="00C677E1"/>
    <w:rsid w:val="00C70E6E"/>
    <w:rsid w:val="00C710E2"/>
    <w:rsid w:val="00C71C3F"/>
    <w:rsid w:val="00C72069"/>
    <w:rsid w:val="00C7409E"/>
    <w:rsid w:val="00C74D6D"/>
    <w:rsid w:val="00C76ACB"/>
    <w:rsid w:val="00C76E76"/>
    <w:rsid w:val="00C77891"/>
    <w:rsid w:val="00C77B74"/>
    <w:rsid w:val="00C82062"/>
    <w:rsid w:val="00C829A9"/>
    <w:rsid w:val="00C87B80"/>
    <w:rsid w:val="00C90330"/>
    <w:rsid w:val="00C91449"/>
    <w:rsid w:val="00C9237C"/>
    <w:rsid w:val="00C92936"/>
    <w:rsid w:val="00C92D10"/>
    <w:rsid w:val="00C92F79"/>
    <w:rsid w:val="00C93415"/>
    <w:rsid w:val="00C95200"/>
    <w:rsid w:val="00C956E9"/>
    <w:rsid w:val="00C96EC0"/>
    <w:rsid w:val="00C97890"/>
    <w:rsid w:val="00CA06F9"/>
    <w:rsid w:val="00CA2F64"/>
    <w:rsid w:val="00CA2F80"/>
    <w:rsid w:val="00CA48D9"/>
    <w:rsid w:val="00CB1193"/>
    <w:rsid w:val="00CB3A7F"/>
    <w:rsid w:val="00CB4767"/>
    <w:rsid w:val="00CB493D"/>
    <w:rsid w:val="00CC17B9"/>
    <w:rsid w:val="00CC2C91"/>
    <w:rsid w:val="00CC3B97"/>
    <w:rsid w:val="00CD6257"/>
    <w:rsid w:val="00CD70ED"/>
    <w:rsid w:val="00CD7C0B"/>
    <w:rsid w:val="00CE10C4"/>
    <w:rsid w:val="00CE1BF7"/>
    <w:rsid w:val="00CE2343"/>
    <w:rsid w:val="00CE27B5"/>
    <w:rsid w:val="00CE2BDF"/>
    <w:rsid w:val="00CE4F96"/>
    <w:rsid w:val="00CE6D24"/>
    <w:rsid w:val="00CE6DAF"/>
    <w:rsid w:val="00CE7EF9"/>
    <w:rsid w:val="00CF07C3"/>
    <w:rsid w:val="00CF0ED8"/>
    <w:rsid w:val="00CF410A"/>
    <w:rsid w:val="00CF6AE9"/>
    <w:rsid w:val="00CF7528"/>
    <w:rsid w:val="00CF7C75"/>
    <w:rsid w:val="00CF7FDE"/>
    <w:rsid w:val="00D00CD1"/>
    <w:rsid w:val="00D012AF"/>
    <w:rsid w:val="00D0321E"/>
    <w:rsid w:val="00D05457"/>
    <w:rsid w:val="00D069EB"/>
    <w:rsid w:val="00D079AE"/>
    <w:rsid w:val="00D07A8A"/>
    <w:rsid w:val="00D10E31"/>
    <w:rsid w:val="00D11199"/>
    <w:rsid w:val="00D1455A"/>
    <w:rsid w:val="00D14573"/>
    <w:rsid w:val="00D14A70"/>
    <w:rsid w:val="00D207EA"/>
    <w:rsid w:val="00D22093"/>
    <w:rsid w:val="00D24F11"/>
    <w:rsid w:val="00D31150"/>
    <w:rsid w:val="00D3138B"/>
    <w:rsid w:val="00D317D9"/>
    <w:rsid w:val="00D31FCE"/>
    <w:rsid w:val="00D3280C"/>
    <w:rsid w:val="00D3406A"/>
    <w:rsid w:val="00D34D24"/>
    <w:rsid w:val="00D37D00"/>
    <w:rsid w:val="00D40763"/>
    <w:rsid w:val="00D40B11"/>
    <w:rsid w:val="00D42864"/>
    <w:rsid w:val="00D429EC"/>
    <w:rsid w:val="00D441F1"/>
    <w:rsid w:val="00D4572C"/>
    <w:rsid w:val="00D469B2"/>
    <w:rsid w:val="00D52B24"/>
    <w:rsid w:val="00D52E65"/>
    <w:rsid w:val="00D52ECF"/>
    <w:rsid w:val="00D54A67"/>
    <w:rsid w:val="00D54B09"/>
    <w:rsid w:val="00D57981"/>
    <w:rsid w:val="00D6243E"/>
    <w:rsid w:val="00D64B07"/>
    <w:rsid w:val="00D65658"/>
    <w:rsid w:val="00D665D5"/>
    <w:rsid w:val="00D67EB2"/>
    <w:rsid w:val="00D70349"/>
    <w:rsid w:val="00D72B6F"/>
    <w:rsid w:val="00D73ADF"/>
    <w:rsid w:val="00D741EB"/>
    <w:rsid w:val="00D7679C"/>
    <w:rsid w:val="00D776E2"/>
    <w:rsid w:val="00D81468"/>
    <w:rsid w:val="00D820F3"/>
    <w:rsid w:val="00D83605"/>
    <w:rsid w:val="00D846AB"/>
    <w:rsid w:val="00D84934"/>
    <w:rsid w:val="00D85D99"/>
    <w:rsid w:val="00D866EB"/>
    <w:rsid w:val="00D87D1A"/>
    <w:rsid w:val="00D906DA"/>
    <w:rsid w:val="00D91271"/>
    <w:rsid w:val="00D919F5"/>
    <w:rsid w:val="00D9406A"/>
    <w:rsid w:val="00D945F6"/>
    <w:rsid w:val="00D94F03"/>
    <w:rsid w:val="00D95161"/>
    <w:rsid w:val="00D95C23"/>
    <w:rsid w:val="00D96B97"/>
    <w:rsid w:val="00DA0A82"/>
    <w:rsid w:val="00DA0D14"/>
    <w:rsid w:val="00DA1FC9"/>
    <w:rsid w:val="00DA2CB5"/>
    <w:rsid w:val="00DA383E"/>
    <w:rsid w:val="00DA486F"/>
    <w:rsid w:val="00DA4BAC"/>
    <w:rsid w:val="00DA722E"/>
    <w:rsid w:val="00DA792A"/>
    <w:rsid w:val="00DA7C72"/>
    <w:rsid w:val="00DB0151"/>
    <w:rsid w:val="00DB04D7"/>
    <w:rsid w:val="00DB1970"/>
    <w:rsid w:val="00DB23DE"/>
    <w:rsid w:val="00DB50E1"/>
    <w:rsid w:val="00DC0566"/>
    <w:rsid w:val="00DC05E1"/>
    <w:rsid w:val="00DC1499"/>
    <w:rsid w:val="00DC16CF"/>
    <w:rsid w:val="00DC2C3E"/>
    <w:rsid w:val="00DC3137"/>
    <w:rsid w:val="00DC4880"/>
    <w:rsid w:val="00DC5E90"/>
    <w:rsid w:val="00DC6BEB"/>
    <w:rsid w:val="00DD0BE9"/>
    <w:rsid w:val="00DD26F9"/>
    <w:rsid w:val="00DD42AB"/>
    <w:rsid w:val="00DD509F"/>
    <w:rsid w:val="00DE06AF"/>
    <w:rsid w:val="00DE1C84"/>
    <w:rsid w:val="00DE6D27"/>
    <w:rsid w:val="00DE76EA"/>
    <w:rsid w:val="00DF01F8"/>
    <w:rsid w:val="00DF021D"/>
    <w:rsid w:val="00DF14EE"/>
    <w:rsid w:val="00DF217D"/>
    <w:rsid w:val="00DF26A7"/>
    <w:rsid w:val="00DF3277"/>
    <w:rsid w:val="00DF3FD2"/>
    <w:rsid w:val="00DF6A31"/>
    <w:rsid w:val="00DF77A1"/>
    <w:rsid w:val="00DF7919"/>
    <w:rsid w:val="00E0207E"/>
    <w:rsid w:val="00E02AE6"/>
    <w:rsid w:val="00E03912"/>
    <w:rsid w:val="00E04748"/>
    <w:rsid w:val="00E059D2"/>
    <w:rsid w:val="00E06D81"/>
    <w:rsid w:val="00E078D9"/>
    <w:rsid w:val="00E10293"/>
    <w:rsid w:val="00E103A0"/>
    <w:rsid w:val="00E1043F"/>
    <w:rsid w:val="00E11F44"/>
    <w:rsid w:val="00E12371"/>
    <w:rsid w:val="00E13E60"/>
    <w:rsid w:val="00E15627"/>
    <w:rsid w:val="00E15F3C"/>
    <w:rsid w:val="00E164B3"/>
    <w:rsid w:val="00E16910"/>
    <w:rsid w:val="00E21164"/>
    <w:rsid w:val="00E239E2"/>
    <w:rsid w:val="00E24CBE"/>
    <w:rsid w:val="00E24D28"/>
    <w:rsid w:val="00E24E09"/>
    <w:rsid w:val="00E27234"/>
    <w:rsid w:val="00E33BBC"/>
    <w:rsid w:val="00E3495C"/>
    <w:rsid w:val="00E36F07"/>
    <w:rsid w:val="00E42BDB"/>
    <w:rsid w:val="00E4393F"/>
    <w:rsid w:val="00E4471F"/>
    <w:rsid w:val="00E44957"/>
    <w:rsid w:val="00E527EB"/>
    <w:rsid w:val="00E53F1A"/>
    <w:rsid w:val="00E5726D"/>
    <w:rsid w:val="00E57EEB"/>
    <w:rsid w:val="00E62D94"/>
    <w:rsid w:val="00E62ECC"/>
    <w:rsid w:val="00E64F37"/>
    <w:rsid w:val="00E65091"/>
    <w:rsid w:val="00E65393"/>
    <w:rsid w:val="00E65E54"/>
    <w:rsid w:val="00E661C7"/>
    <w:rsid w:val="00E66679"/>
    <w:rsid w:val="00E72497"/>
    <w:rsid w:val="00E732C4"/>
    <w:rsid w:val="00E74E41"/>
    <w:rsid w:val="00E769CF"/>
    <w:rsid w:val="00E80155"/>
    <w:rsid w:val="00E809FE"/>
    <w:rsid w:val="00E80EF7"/>
    <w:rsid w:val="00E8134B"/>
    <w:rsid w:val="00E81E0D"/>
    <w:rsid w:val="00E81F28"/>
    <w:rsid w:val="00E848C0"/>
    <w:rsid w:val="00E84BB8"/>
    <w:rsid w:val="00E86F92"/>
    <w:rsid w:val="00E91B96"/>
    <w:rsid w:val="00E92F2E"/>
    <w:rsid w:val="00E935DA"/>
    <w:rsid w:val="00E93D1E"/>
    <w:rsid w:val="00E941A1"/>
    <w:rsid w:val="00E95CE3"/>
    <w:rsid w:val="00E95F9A"/>
    <w:rsid w:val="00E97402"/>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C7F03"/>
    <w:rsid w:val="00ED1644"/>
    <w:rsid w:val="00ED2593"/>
    <w:rsid w:val="00ED2755"/>
    <w:rsid w:val="00ED344E"/>
    <w:rsid w:val="00ED3709"/>
    <w:rsid w:val="00ED65FA"/>
    <w:rsid w:val="00ED7D55"/>
    <w:rsid w:val="00ED7D9C"/>
    <w:rsid w:val="00EE00A7"/>
    <w:rsid w:val="00EE1341"/>
    <w:rsid w:val="00EE15B5"/>
    <w:rsid w:val="00EE31A2"/>
    <w:rsid w:val="00EE4329"/>
    <w:rsid w:val="00EE6203"/>
    <w:rsid w:val="00EE6B28"/>
    <w:rsid w:val="00EF0069"/>
    <w:rsid w:val="00EF44A0"/>
    <w:rsid w:val="00EF4580"/>
    <w:rsid w:val="00EF46ED"/>
    <w:rsid w:val="00EF4FED"/>
    <w:rsid w:val="00EF5F45"/>
    <w:rsid w:val="00EF6843"/>
    <w:rsid w:val="00EF6941"/>
    <w:rsid w:val="00EF6FB3"/>
    <w:rsid w:val="00F0068B"/>
    <w:rsid w:val="00F007C6"/>
    <w:rsid w:val="00F0172E"/>
    <w:rsid w:val="00F0422C"/>
    <w:rsid w:val="00F050BD"/>
    <w:rsid w:val="00F05657"/>
    <w:rsid w:val="00F05AB0"/>
    <w:rsid w:val="00F12C74"/>
    <w:rsid w:val="00F13214"/>
    <w:rsid w:val="00F1559A"/>
    <w:rsid w:val="00F1792D"/>
    <w:rsid w:val="00F17ED6"/>
    <w:rsid w:val="00F20676"/>
    <w:rsid w:val="00F20971"/>
    <w:rsid w:val="00F209E2"/>
    <w:rsid w:val="00F2398F"/>
    <w:rsid w:val="00F2413B"/>
    <w:rsid w:val="00F25578"/>
    <w:rsid w:val="00F258E5"/>
    <w:rsid w:val="00F25B9C"/>
    <w:rsid w:val="00F2675A"/>
    <w:rsid w:val="00F26CC6"/>
    <w:rsid w:val="00F27863"/>
    <w:rsid w:val="00F300BC"/>
    <w:rsid w:val="00F305FA"/>
    <w:rsid w:val="00F3263C"/>
    <w:rsid w:val="00F3334E"/>
    <w:rsid w:val="00F3573A"/>
    <w:rsid w:val="00F36CCB"/>
    <w:rsid w:val="00F374E5"/>
    <w:rsid w:val="00F37B93"/>
    <w:rsid w:val="00F37BAD"/>
    <w:rsid w:val="00F37ECA"/>
    <w:rsid w:val="00F4005B"/>
    <w:rsid w:val="00F40A1C"/>
    <w:rsid w:val="00F43AF2"/>
    <w:rsid w:val="00F44BE1"/>
    <w:rsid w:val="00F45216"/>
    <w:rsid w:val="00F5007E"/>
    <w:rsid w:val="00F50119"/>
    <w:rsid w:val="00F508F6"/>
    <w:rsid w:val="00F50EC4"/>
    <w:rsid w:val="00F52232"/>
    <w:rsid w:val="00F527B1"/>
    <w:rsid w:val="00F52DC2"/>
    <w:rsid w:val="00F54AF9"/>
    <w:rsid w:val="00F550CF"/>
    <w:rsid w:val="00F553D2"/>
    <w:rsid w:val="00F56A2D"/>
    <w:rsid w:val="00F57814"/>
    <w:rsid w:val="00F57A6D"/>
    <w:rsid w:val="00F601B5"/>
    <w:rsid w:val="00F6044B"/>
    <w:rsid w:val="00F62F19"/>
    <w:rsid w:val="00F638CC"/>
    <w:rsid w:val="00F64C9E"/>
    <w:rsid w:val="00F64CC1"/>
    <w:rsid w:val="00F708B1"/>
    <w:rsid w:val="00F72317"/>
    <w:rsid w:val="00F73DC1"/>
    <w:rsid w:val="00F75BB8"/>
    <w:rsid w:val="00F77714"/>
    <w:rsid w:val="00F80475"/>
    <w:rsid w:val="00F80E6E"/>
    <w:rsid w:val="00F81390"/>
    <w:rsid w:val="00F81F7A"/>
    <w:rsid w:val="00F8247A"/>
    <w:rsid w:val="00F82E5C"/>
    <w:rsid w:val="00F83E86"/>
    <w:rsid w:val="00F83F58"/>
    <w:rsid w:val="00F8450C"/>
    <w:rsid w:val="00F85206"/>
    <w:rsid w:val="00F858D6"/>
    <w:rsid w:val="00F87CEA"/>
    <w:rsid w:val="00F911F9"/>
    <w:rsid w:val="00F9265D"/>
    <w:rsid w:val="00F9629A"/>
    <w:rsid w:val="00F96EEB"/>
    <w:rsid w:val="00F96FCB"/>
    <w:rsid w:val="00F97EFC"/>
    <w:rsid w:val="00FA0B04"/>
    <w:rsid w:val="00FA0C7C"/>
    <w:rsid w:val="00FA1BDD"/>
    <w:rsid w:val="00FA305C"/>
    <w:rsid w:val="00FA462E"/>
    <w:rsid w:val="00FA4DD5"/>
    <w:rsid w:val="00FA5883"/>
    <w:rsid w:val="00FA6055"/>
    <w:rsid w:val="00FA66E6"/>
    <w:rsid w:val="00FB0B39"/>
    <w:rsid w:val="00FB132F"/>
    <w:rsid w:val="00FB2462"/>
    <w:rsid w:val="00FB322F"/>
    <w:rsid w:val="00FB442F"/>
    <w:rsid w:val="00FB480B"/>
    <w:rsid w:val="00FB527F"/>
    <w:rsid w:val="00FC118C"/>
    <w:rsid w:val="00FC1929"/>
    <w:rsid w:val="00FC5B46"/>
    <w:rsid w:val="00FD1D4F"/>
    <w:rsid w:val="00FD24BF"/>
    <w:rsid w:val="00FD3B6E"/>
    <w:rsid w:val="00FD4140"/>
    <w:rsid w:val="00FD57EB"/>
    <w:rsid w:val="00FD6D8E"/>
    <w:rsid w:val="00FD6E4A"/>
    <w:rsid w:val="00FD7408"/>
    <w:rsid w:val="00FE0663"/>
    <w:rsid w:val="00FE0E94"/>
    <w:rsid w:val="00FE369C"/>
    <w:rsid w:val="00FE38C8"/>
    <w:rsid w:val="00FE3CD9"/>
    <w:rsid w:val="00FE3EC2"/>
    <w:rsid w:val="00FE6FDA"/>
    <w:rsid w:val="00FE7417"/>
    <w:rsid w:val="00FF00BD"/>
    <w:rsid w:val="00FF07EF"/>
    <w:rsid w:val="00FF0B13"/>
    <w:rsid w:val="00FF1ED4"/>
    <w:rsid w:val="00FF2801"/>
    <w:rsid w:val="00FF62F9"/>
    <w:rsid w:val="00FF6A80"/>
    <w:rsid w:val="00FF7547"/>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7B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180A5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PBAC4">
    <w:name w:val="PBAC4"/>
    <w:basedOn w:val="Heading4"/>
    <w:link w:val="PBAC4Char"/>
    <w:qFormat/>
    <w:rsid w:val="00180A54"/>
    <w:pPr>
      <w:keepLines w:val="0"/>
      <w:widowControl w:val="0"/>
      <w:spacing w:before="0"/>
      <w:jc w:val="left"/>
    </w:pPr>
    <w:rPr>
      <w:rFonts w:ascii="Arial" w:eastAsia="Times New Roman" w:hAnsi="Arial" w:cs="Arial"/>
      <w:b/>
      <w:bCs/>
      <w:i w:val="0"/>
      <w:iCs w:val="0"/>
      <w:snapToGrid w:val="0"/>
      <w:color w:val="auto"/>
      <w:sz w:val="28"/>
      <w:szCs w:val="28"/>
      <w:lang w:eastAsia="en-US"/>
    </w:rPr>
  </w:style>
  <w:style w:type="character" w:customStyle="1" w:styleId="PBAC4Char">
    <w:name w:val="PBAC4 Char"/>
    <w:basedOn w:val="DefaultParagraphFont"/>
    <w:link w:val="PBAC4"/>
    <w:rsid w:val="00180A54"/>
    <w:rPr>
      <w:rFonts w:ascii="Arial" w:hAnsi="Arial" w:cs="Arial"/>
      <w:b/>
      <w:bCs/>
      <w:snapToGrid w:val="0"/>
      <w:sz w:val="28"/>
      <w:szCs w:val="28"/>
      <w:lang w:eastAsia="en-US"/>
    </w:rPr>
  </w:style>
  <w:style w:type="character" w:customStyle="1" w:styleId="Heading4Char">
    <w:name w:val="Heading 4 Char"/>
    <w:basedOn w:val="DefaultParagraphFont"/>
    <w:link w:val="Heading4"/>
    <w:semiHidden/>
    <w:rsid w:val="00180A54"/>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EF46ED"/>
    <w:rPr>
      <w:rFonts w:ascii="Times New Roman" w:hAnsi="Times New Roman"/>
    </w:rPr>
  </w:style>
  <w:style w:type="table" w:styleId="TableGridLight">
    <w:name w:val="Grid Table Light"/>
    <w:basedOn w:val="TableNormal"/>
    <w:uiPriority w:val="40"/>
    <w:rsid w:val="00BA4B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5375">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7174399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03861100">
      <w:bodyDiv w:val="1"/>
      <w:marLeft w:val="0"/>
      <w:marRight w:val="0"/>
      <w:marTop w:val="0"/>
      <w:marBottom w:val="0"/>
      <w:divBdr>
        <w:top w:val="none" w:sz="0" w:space="0" w:color="auto"/>
        <w:left w:val="none" w:sz="0" w:space="0" w:color="auto"/>
        <w:bottom w:val="none" w:sz="0" w:space="0" w:color="auto"/>
        <w:right w:val="none" w:sz="0" w:space="0" w:color="auto"/>
      </w:divBdr>
    </w:div>
    <w:div w:id="532036558">
      <w:bodyDiv w:val="1"/>
      <w:marLeft w:val="0"/>
      <w:marRight w:val="0"/>
      <w:marTop w:val="0"/>
      <w:marBottom w:val="0"/>
      <w:divBdr>
        <w:top w:val="none" w:sz="0" w:space="0" w:color="auto"/>
        <w:left w:val="none" w:sz="0" w:space="0" w:color="auto"/>
        <w:bottom w:val="none" w:sz="0" w:space="0" w:color="auto"/>
        <w:right w:val="none" w:sz="0" w:space="0" w:color="auto"/>
      </w:divBdr>
    </w:div>
    <w:div w:id="603655262">
      <w:bodyDiv w:val="1"/>
      <w:marLeft w:val="0"/>
      <w:marRight w:val="0"/>
      <w:marTop w:val="0"/>
      <w:marBottom w:val="0"/>
      <w:divBdr>
        <w:top w:val="none" w:sz="0" w:space="0" w:color="auto"/>
        <w:left w:val="none" w:sz="0" w:space="0" w:color="auto"/>
        <w:bottom w:val="none" w:sz="0" w:space="0" w:color="auto"/>
        <w:right w:val="none" w:sz="0" w:space="0" w:color="auto"/>
      </w:divBdr>
    </w:div>
    <w:div w:id="621108249">
      <w:bodyDiv w:val="1"/>
      <w:marLeft w:val="0"/>
      <w:marRight w:val="0"/>
      <w:marTop w:val="0"/>
      <w:marBottom w:val="0"/>
      <w:divBdr>
        <w:top w:val="none" w:sz="0" w:space="0" w:color="auto"/>
        <w:left w:val="none" w:sz="0" w:space="0" w:color="auto"/>
        <w:bottom w:val="none" w:sz="0" w:space="0" w:color="auto"/>
        <w:right w:val="none" w:sz="0" w:space="0" w:color="auto"/>
      </w:divBdr>
    </w:div>
    <w:div w:id="63892420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89857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2254032">
      <w:bodyDiv w:val="1"/>
      <w:marLeft w:val="0"/>
      <w:marRight w:val="0"/>
      <w:marTop w:val="0"/>
      <w:marBottom w:val="0"/>
      <w:divBdr>
        <w:top w:val="none" w:sz="0" w:space="0" w:color="auto"/>
        <w:left w:val="none" w:sz="0" w:space="0" w:color="auto"/>
        <w:bottom w:val="none" w:sz="0" w:space="0" w:color="auto"/>
        <w:right w:val="none" w:sz="0" w:space="0" w:color="auto"/>
      </w:divBdr>
    </w:div>
    <w:div w:id="1058434218">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0336781">
      <w:bodyDiv w:val="1"/>
      <w:marLeft w:val="0"/>
      <w:marRight w:val="0"/>
      <w:marTop w:val="0"/>
      <w:marBottom w:val="0"/>
      <w:divBdr>
        <w:top w:val="none" w:sz="0" w:space="0" w:color="auto"/>
        <w:left w:val="none" w:sz="0" w:space="0" w:color="auto"/>
        <w:bottom w:val="none" w:sz="0" w:space="0" w:color="auto"/>
        <w:right w:val="none" w:sz="0" w:space="0" w:color="auto"/>
      </w:divBdr>
    </w:div>
    <w:div w:id="1232078290">
      <w:bodyDiv w:val="1"/>
      <w:marLeft w:val="0"/>
      <w:marRight w:val="0"/>
      <w:marTop w:val="0"/>
      <w:marBottom w:val="0"/>
      <w:divBdr>
        <w:top w:val="none" w:sz="0" w:space="0" w:color="auto"/>
        <w:left w:val="none" w:sz="0" w:space="0" w:color="auto"/>
        <w:bottom w:val="none" w:sz="0" w:space="0" w:color="auto"/>
        <w:right w:val="none" w:sz="0" w:space="0" w:color="auto"/>
      </w:divBdr>
    </w:div>
    <w:div w:id="12480296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6882038">
      <w:bodyDiv w:val="1"/>
      <w:marLeft w:val="0"/>
      <w:marRight w:val="0"/>
      <w:marTop w:val="0"/>
      <w:marBottom w:val="0"/>
      <w:divBdr>
        <w:top w:val="none" w:sz="0" w:space="0" w:color="auto"/>
        <w:left w:val="none" w:sz="0" w:space="0" w:color="auto"/>
        <w:bottom w:val="none" w:sz="0" w:space="0" w:color="auto"/>
        <w:right w:val="none" w:sz="0" w:space="0" w:color="auto"/>
      </w:divBdr>
    </w:div>
    <w:div w:id="126815309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9379262">
      <w:bodyDiv w:val="1"/>
      <w:marLeft w:val="0"/>
      <w:marRight w:val="0"/>
      <w:marTop w:val="0"/>
      <w:marBottom w:val="0"/>
      <w:divBdr>
        <w:top w:val="none" w:sz="0" w:space="0" w:color="auto"/>
        <w:left w:val="none" w:sz="0" w:space="0" w:color="auto"/>
        <w:bottom w:val="none" w:sz="0" w:space="0" w:color="auto"/>
        <w:right w:val="none" w:sz="0" w:space="0" w:color="auto"/>
      </w:divBdr>
    </w:div>
    <w:div w:id="1380203965">
      <w:bodyDiv w:val="1"/>
      <w:marLeft w:val="0"/>
      <w:marRight w:val="0"/>
      <w:marTop w:val="0"/>
      <w:marBottom w:val="0"/>
      <w:divBdr>
        <w:top w:val="none" w:sz="0" w:space="0" w:color="auto"/>
        <w:left w:val="none" w:sz="0" w:space="0" w:color="auto"/>
        <w:bottom w:val="none" w:sz="0" w:space="0" w:color="auto"/>
        <w:right w:val="none" w:sz="0" w:space="0" w:color="auto"/>
      </w:divBdr>
    </w:div>
    <w:div w:id="154776404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8786800">
      <w:bodyDiv w:val="1"/>
      <w:marLeft w:val="0"/>
      <w:marRight w:val="0"/>
      <w:marTop w:val="0"/>
      <w:marBottom w:val="0"/>
      <w:divBdr>
        <w:top w:val="none" w:sz="0" w:space="0" w:color="auto"/>
        <w:left w:val="none" w:sz="0" w:space="0" w:color="auto"/>
        <w:bottom w:val="none" w:sz="0" w:space="0" w:color="auto"/>
        <w:right w:val="none" w:sz="0" w:space="0" w:color="auto"/>
      </w:divBdr>
    </w:div>
    <w:div w:id="1683161484">
      <w:bodyDiv w:val="1"/>
      <w:marLeft w:val="0"/>
      <w:marRight w:val="0"/>
      <w:marTop w:val="0"/>
      <w:marBottom w:val="0"/>
      <w:divBdr>
        <w:top w:val="none" w:sz="0" w:space="0" w:color="auto"/>
        <w:left w:val="none" w:sz="0" w:space="0" w:color="auto"/>
        <w:bottom w:val="none" w:sz="0" w:space="0" w:color="auto"/>
        <w:right w:val="none" w:sz="0" w:space="0" w:color="auto"/>
      </w:divBdr>
    </w:div>
    <w:div w:id="168928467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7269660">
      <w:bodyDiv w:val="1"/>
      <w:marLeft w:val="0"/>
      <w:marRight w:val="0"/>
      <w:marTop w:val="0"/>
      <w:marBottom w:val="0"/>
      <w:divBdr>
        <w:top w:val="none" w:sz="0" w:space="0" w:color="auto"/>
        <w:left w:val="none" w:sz="0" w:space="0" w:color="auto"/>
        <w:bottom w:val="none" w:sz="0" w:space="0" w:color="auto"/>
        <w:right w:val="none" w:sz="0" w:space="0" w:color="auto"/>
      </w:divBdr>
    </w:div>
    <w:div w:id="1821379761">
      <w:bodyDiv w:val="1"/>
      <w:marLeft w:val="0"/>
      <w:marRight w:val="0"/>
      <w:marTop w:val="0"/>
      <w:marBottom w:val="0"/>
      <w:divBdr>
        <w:top w:val="none" w:sz="0" w:space="0" w:color="auto"/>
        <w:left w:val="none" w:sz="0" w:space="0" w:color="auto"/>
        <w:bottom w:val="none" w:sz="0" w:space="0" w:color="auto"/>
        <w:right w:val="none" w:sz="0" w:space="0" w:color="auto"/>
      </w:divBdr>
    </w:div>
    <w:div w:id="1844784189">
      <w:bodyDiv w:val="1"/>
      <w:marLeft w:val="0"/>
      <w:marRight w:val="0"/>
      <w:marTop w:val="0"/>
      <w:marBottom w:val="0"/>
      <w:divBdr>
        <w:top w:val="none" w:sz="0" w:space="0" w:color="auto"/>
        <w:left w:val="none" w:sz="0" w:space="0" w:color="auto"/>
        <w:bottom w:val="none" w:sz="0" w:space="0" w:color="auto"/>
        <w:right w:val="none" w:sz="0" w:space="0" w:color="auto"/>
      </w:divBdr>
    </w:div>
    <w:div w:id="1887373881">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388094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6133515">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532B-BA9C-433D-8EC9-65C8527C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2802</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2023-06-23T05:26:00Z</dcterms:created>
  <dcterms:modified xsi:type="dcterms:W3CDTF">2023-06-23T05:26:00Z</dcterms:modified>
</cp:coreProperties>
</file>