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82DFF" w14:textId="0E4D34D7" w:rsidR="00E17A4E" w:rsidRPr="00C91ADA" w:rsidRDefault="00E17A4E" w:rsidP="00C91ADA">
      <w:pPr>
        <w:rPr>
          <w:rFonts w:cs="Calibri"/>
          <w:color w:val="FF0000"/>
        </w:rPr>
      </w:pPr>
      <w:bookmarkStart w:id="0" w:name="_Toc124866135"/>
      <w:r w:rsidRPr="0042765C">
        <w:rPr>
          <w:rFonts w:cs="Calibri"/>
          <w:color w:val="FF0000"/>
        </w:rPr>
        <w:t xml:space="preserve">An addendum to </w:t>
      </w:r>
      <w:r w:rsidR="00D74D0E" w:rsidRPr="009D5406">
        <w:rPr>
          <w:rFonts w:cs="Calibri"/>
          <w:color w:val="FF0000"/>
        </w:rPr>
        <w:t>this Public Summary Document (PSD)</w:t>
      </w:r>
      <w:r w:rsidRPr="009D5406">
        <w:rPr>
          <w:rFonts w:cs="Calibri"/>
          <w:color w:val="FF0000"/>
        </w:rPr>
        <w:t xml:space="preserve"> has been included at the end of the document.</w:t>
      </w:r>
    </w:p>
    <w:p w14:paraId="51C6701A" w14:textId="10552138" w:rsidR="00B60939" w:rsidRPr="00DB3FE7" w:rsidRDefault="00C37EAF" w:rsidP="004A6040">
      <w:pPr>
        <w:pStyle w:val="COMH1-non-numbered"/>
        <w:rPr>
          <w:sz w:val="36"/>
        </w:rPr>
      </w:pPr>
      <w:r w:rsidRPr="0042765C">
        <w:rPr>
          <w:sz w:val="36"/>
        </w:rPr>
        <w:t>5.08</w:t>
      </w:r>
      <w:r w:rsidR="00163F66" w:rsidRPr="00DB3FE7">
        <w:rPr>
          <w:sz w:val="36"/>
        </w:rPr>
        <w:tab/>
      </w:r>
      <w:r w:rsidR="00792FE1" w:rsidRPr="00DB3FE7">
        <w:rPr>
          <w:sz w:val="36"/>
        </w:rPr>
        <w:t>INCLISIRAN</w:t>
      </w:r>
      <w:r w:rsidR="00163F66" w:rsidRPr="00DB3FE7">
        <w:rPr>
          <w:sz w:val="36"/>
        </w:rPr>
        <w:t>,</w:t>
      </w:r>
      <w:r w:rsidR="00163F66" w:rsidRPr="00DB3FE7">
        <w:rPr>
          <w:sz w:val="36"/>
        </w:rPr>
        <w:br/>
      </w:r>
      <w:r w:rsidR="00792FE1" w:rsidRPr="00DB3FE7">
        <w:rPr>
          <w:sz w:val="36"/>
        </w:rPr>
        <w:t>Injection 284 mg in 1.5 m</w:t>
      </w:r>
      <w:r w:rsidR="008D1FCB" w:rsidRPr="00DB3FE7">
        <w:rPr>
          <w:sz w:val="36"/>
        </w:rPr>
        <w:t>L</w:t>
      </w:r>
      <w:r w:rsidR="00792FE1" w:rsidRPr="00DB3FE7">
        <w:rPr>
          <w:sz w:val="36"/>
        </w:rPr>
        <w:t xml:space="preserve"> single use pre-filled syringe</w:t>
      </w:r>
      <w:r w:rsidR="00163F66" w:rsidRPr="00DB3FE7">
        <w:rPr>
          <w:sz w:val="36"/>
        </w:rPr>
        <w:t>,</w:t>
      </w:r>
      <w:r w:rsidR="00163F66" w:rsidRPr="00DB3FE7">
        <w:rPr>
          <w:sz w:val="36"/>
        </w:rPr>
        <w:br/>
      </w:r>
      <w:r w:rsidR="00792FE1" w:rsidRPr="00DB3FE7">
        <w:rPr>
          <w:sz w:val="36"/>
        </w:rPr>
        <w:t>Leqvio</w:t>
      </w:r>
      <w:r w:rsidR="00B60939" w:rsidRPr="00DB3FE7">
        <w:rPr>
          <w:sz w:val="36"/>
          <w:vertAlign w:val="superscript"/>
        </w:rPr>
        <w:t>®</w:t>
      </w:r>
      <w:r w:rsidR="004A6040" w:rsidRPr="00DB3FE7">
        <w:rPr>
          <w:sz w:val="36"/>
        </w:rPr>
        <w:t>,</w:t>
      </w:r>
      <w:r w:rsidR="004A6040" w:rsidRPr="00DB3FE7">
        <w:rPr>
          <w:sz w:val="36"/>
        </w:rPr>
        <w:br/>
      </w:r>
      <w:r w:rsidR="00792FE1" w:rsidRPr="00DB3FE7">
        <w:rPr>
          <w:sz w:val="36"/>
        </w:rPr>
        <w:t>Novartis Pharmaceuticals Australia Pty Limited.</w:t>
      </w:r>
      <w:bookmarkEnd w:id="0"/>
    </w:p>
    <w:p w14:paraId="11C00795" w14:textId="0FD2F334" w:rsidR="00B50DB8" w:rsidRPr="00DB3FE7" w:rsidRDefault="00B50DB8" w:rsidP="00700411">
      <w:pPr>
        <w:pStyle w:val="COMH1numbered"/>
        <w:ind w:left="720"/>
      </w:pPr>
      <w:bookmarkStart w:id="1" w:name="_Toc124866137"/>
      <w:r w:rsidRPr="00DB3FE7">
        <w:t xml:space="preserve">Purpose of </w:t>
      </w:r>
      <w:r w:rsidR="00CD7193" w:rsidRPr="00DB3FE7">
        <w:t>s</w:t>
      </w:r>
      <w:r w:rsidR="00BB3A45" w:rsidRPr="00DB3FE7">
        <w:t>ubmission</w:t>
      </w:r>
      <w:bookmarkEnd w:id="1"/>
    </w:p>
    <w:p w14:paraId="7A323772" w14:textId="54A0C799" w:rsidR="00B375F8" w:rsidRPr="00DB3FE7" w:rsidRDefault="00B375F8" w:rsidP="00980E94">
      <w:pPr>
        <w:pStyle w:val="COMexecsumnumberedpara"/>
      </w:pPr>
      <w:r w:rsidRPr="00DB3FE7">
        <w:t>The Category 2 submission requested a General Schedule (Section 85) Authority Required (STREAMLINED) listing of inclisiran for the treatment of hypercholesterolaemia and atherosclerotic cardiovascular disease</w:t>
      </w:r>
      <w:r w:rsidR="00CB3DEF" w:rsidRPr="00DB3FE7">
        <w:t xml:space="preserve"> (ASCVD)</w:t>
      </w:r>
      <w:r w:rsidRPr="00DB3FE7">
        <w:t>. The PBAC has not previously considered inclisiran for any indication.</w:t>
      </w:r>
    </w:p>
    <w:p w14:paraId="79E2FC36" w14:textId="1A334C81" w:rsidR="00B375F8" w:rsidRPr="00DB3FE7" w:rsidRDefault="00B375F8" w:rsidP="00980E94">
      <w:pPr>
        <w:pStyle w:val="COMexecsumnumberedpara"/>
      </w:pPr>
      <w:r w:rsidRPr="00DB3FE7">
        <w:t>The submission claimed that while there are effective treatments for hypercholesterolaemia available under the PBS</w:t>
      </w:r>
      <w:r w:rsidR="00E038F6" w:rsidRPr="00DB3FE7">
        <w:t>,</w:t>
      </w:r>
      <w:r w:rsidRPr="00DB3FE7">
        <w:t xml:space="preserve"> there remains a clinical need for more effective lipid-lowering therapies in the second-line setting (without the need to first fail ezetimibe therapy) that may avoid the need for more costly therapies in the subsequent line setting (</w:t>
      </w:r>
      <w:r w:rsidR="00433F74" w:rsidRPr="00DB3FE7">
        <w:t xml:space="preserve">i.e. </w:t>
      </w:r>
      <w:r w:rsidR="00D61CFA" w:rsidRPr="00C91ADA">
        <w:t>proprotein convertase subtilisin/kexin type 9 (PCSK9) inhibitors</w:t>
      </w:r>
      <w:r w:rsidRPr="0042765C">
        <w:t xml:space="preserve">). The submission also noted the need for access to therapies with a lower treatment burden (6-monthly injections for maintenance dosing with inclisiran) compared to existing medications (fortnightly/monthly </w:t>
      </w:r>
      <w:r w:rsidRPr="00352E1C">
        <w:t>injections for PCSK9 inhibitors) in the subsequent-line setting.</w:t>
      </w:r>
    </w:p>
    <w:p w14:paraId="6DB05C5A" w14:textId="07D3E200" w:rsidR="00B375F8" w:rsidRPr="00DB3FE7" w:rsidRDefault="00B375F8" w:rsidP="00980E94">
      <w:pPr>
        <w:pStyle w:val="COMexecsumnumberedpara"/>
      </w:pPr>
      <w:r w:rsidRPr="00DB3FE7">
        <w:t xml:space="preserve">Listing was requested on the basis of a cost-effectiveness analysis versus ezetimibe followed by </w:t>
      </w:r>
      <w:r w:rsidR="008F392E" w:rsidRPr="00DB3FE7">
        <w:t>PCSK9 inhibitor therapies in the second/subsequent-line treatment setting</w:t>
      </w:r>
      <w:r w:rsidRPr="00DB3FE7">
        <w:t xml:space="preserve">. </w:t>
      </w:r>
      <w:bookmarkStart w:id="2" w:name="_Hlk124864522"/>
      <w:r w:rsidRPr="00DB3FE7">
        <w:t xml:space="preserve">The submission also presented a cost-minimisation </w:t>
      </w:r>
      <w:r w:rsidR="002E0590" w:rsidRPr="00DB3FE7">
        <w:t xml:space="preserve">analysis (CMA) </w:t>
      </w:r>
      <w:r w:rsidRPr="00DB3FE7">
        <w:t xml:space="preserve">versus </w:t>
      </w:r>
      <w:r w:rsidR="008F392E" w:rsidRPr="00DB3FE7">
        <w:t>PCSK9 inhibitor therapies in the subsequent-line treatment setting</w:t>
      </w:r>
      <w:r w:rsidR="00FC3E10" w:rsidRPr="00DB3FE7">
        <w:t xml:space="preserve">, although the </w:t>
      </w:r>
      <w:r w:rsidR="001626C9" w:rsidRPr="00DB3FE7">
        <w:t>‘placeholder’ effective price requested is based on the cost-effectiveness analysis</w:t>
      </w:r>
      <w:r w:rsidRPr="00DB3FE7">
        <w:t>.</w:t>
      </w:r>
    </w:p>
    <w:bookmarkEnd w:id="2"/>
    <w:p w14:paraId="4B82DA7E" w14:textId="1E5B508D" w:rsidR="00B375F8" w:rsidRPr="00D307C2" w:rsidRDefault="00B6645D" w:rsidP="00B6645D">
      <w:pPr>
        <w:pStyle w:val="COMtablefigcaption"/>
      </w:pPr>
      <w:r w:rsidRPr="00DB3FE7">
        <w:lastRenderedPageBreak/>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w:t>
      </w:r>
      <w:r w:rsidR="00E1209D" w:rsidRPr="00D2286B">
        <w:rPr>
          <w:noProof/>
        </w:rPr>
        <w:fldChar w:fldCharType="end"/>
      </w:r>
      <w:r w:rsidR="00B375F8" w:rsidRPr="0042765C">
        <w:t>: Key compo</w:t>
      </w:r>
      <w:r w:rsidR="00B375F8" w:rsidRPr="00D2286B">
        <w:t>nents of the clinical issue addressed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86"/>
      </w:tblGrid>
      <w:tr w:rsidR="00B375F8" w:rsidRPr="00DB3FE7" w14:paraId="0BD77E0E" w14:textId="77777777" w:rsidTr="00D74817">
        <w:tc>
          <w:tcPr>
            <w:tcW w:w="849" w:type="pct"/>
            <w:vAlign w:val="center"/>
          </w:tcPr>
          <w:p w14:paraId="7604F494" w14:textId="77777777" w:rsidR="00B375F8" w:rsidRPr="00352E1C" w:rsidRDefault="00B375F8" w:rsidP="00035F43">
            <w:pPr>
              <w:pStyle w:val="Tableheadingrow"/>
              <w:rPr>
                <w:lang w:val="en-AU"/>
              </w:rPr>
            </w:pPr>
            <w:r w:rsidRPr="00352E1C">
              <w:rPr>
                <w:lang w:val="en-AU"/>
              </w:rPr>
              <w:t>Component</w:t>
            </w:r>
          </w:p>
        </w:tc>
        <w:tc>
          <w:tcPr>
            <w:tcW w:w="4151" w:type="pct"/>
            <w:vAlign w:val="center"/>
          </w:tcPr>
          <w:p w14:paraId="3727C5AE" w14:textId="77777777" w:rsidR="00B375F8" w:rsidRPr="00DB3FE7" w:rsidRDefault="00B375F8" w:rsidP="00035F43">
            <w:pPr>
              <w:pStyle w:val="Tableheadingrow"/>
              <w:rPr>
                <w:lang w:val="en-AU"/>
              </w:rPr>
            </w:pPr>
            <w:r w:rsidRPr="00DB3FE7">
              <w:rPr>
                <w:lang w:val="en-AU"/>
              </w:rPr>
              <w:t>Description</w:t>
            </w:r>
          </w:p>
        </w:tc>
      </w:tr>
      <w:tr w:rsidR="00B375F8" w:rsidRPr="00DB3FE7" w14:paraId="6C93D9DA" w14:textId="77777777" w:rsidTr="00D74817">
        <w:tc>
          <w:tcPr>
            <w:tcW w:w="849" w:type="pct"/>
            <w:vAlign w:val="center"/>
          </w:tcPr>
          <w:p w14:paraId="650B8A64" w14:textId="77777777" w:rsidR="00B375F8" w:rsidRPr="00DB3FE7" w:rsidRDefault="00B375F8" w:rsidP="00035F43">
            <w:pPr>
              <w:pStyle w:val="TableText"/>
            </w:pPr>
            <w:r w:rsidRPr="00DB3FE7">
              <w:t>Population</w:t>
            </w:r>
          </w:p>
        </w:tc>
        <w:tc>
          <w:tcPr>
            <w:tcW w:w="4151" w:type="pct"/>
            <w:vAlign w:val="center"/>
          </w:tcPr>
          <w:p w14:paraId="06C91E16" w14:textId="3C0BD5A2" w:rsidR="00B375F8" w:rsidRPr="00DB3FE7" w:rsidRDefault="00B375F8" w:rsidP="00035F43">
            <w:pPr>
              <w:pStyle w:val="TableText"/>
            </w:pPr>
            <w:r w:rsidRPr="00DB3FE7">
              <w:t>Patients with hypercholesterolaemia and atherosclerotic cardiovascular disease who have additional cardiovascular risk factors and who are unable to achieve target lipid thresholds with statins alone or who are intolerant to statin therapy</w:t>
            </w:r>
          </w:p>
        </w:tc>
      </w:tr>
      <w:tr w:rsidR="00B375F8" w:rsidRPr="00DB3FE7" w14:paraId="430CC776" w14:textId="77777777" w:rsidTr="00D74817">
        <w:tc>
          <w:tcPr>
            <w:tcW w:w="849" w:type="pct"/>
            <w:vAlign w:val="center"/>
          </w:tcPr>
          <w:p w14:paraId="7F19724F" w14:textId="77777777" w:rsidR="00B375F8" w:rsidRPr="00DB3FE7" w:rsidRDefault="00B375F8" w:rsidP="00035F43">
            <w:pPr>
              <w:pStyle w:val="TableText"/>
            </w:pPr>
            <w:r w:rsidRPr="00DB3FE7">
              <w:t>Intervention</w:t>
            </w:r>
          </w:p>
        </w:tc>
        <w:tc>
          <w:tcPr>
            <w:tcW w:w="4151" w:type="pct"/>
            <w:vAlign w:val="center"/>
          </w:tcPr>
          <w:p w14:paraId="0E43331E" w14:textId="77777777" w:rsidR="00B375F8" w:rsidRPr="00DB3FE7" w:rsidRDefault="00B375F8" w:rsidP="00035F43">
            <w:pPr>
              <w:pStyle w:val="TableText"/>
            </w:pPr>
            <w:r w:rsidRPr="00DB3FE7">
              <w:t xml:space="preserve">Inclisiran 284 mg subcutaneous injection administered at Day 1, followed by a subsequent injection at 3 months and then every 6 months. </w:t>
            </w:r>
          </w:p>
        </w:tc>
      </w:tr>
      <w:tr w:rsidR="00B375F8" w:rsidRPr="00DB3FE7" w14:paraId="366B6F72" w14:textId="77777777" w:rsidTr="00D74817">
        <w:tc>
          <w:tcPr>
            <w:tcW w:w="849" w:type="pct"/>
            <w:vAlign w:val="center"/>
          </w:tcPr>
          <w:p w14:paraId="5C4CD13B" w14:textId="77777777" w:rsidR="00B375F8" w:rsidRPr="00DB3FE7" w:rsidRDefault="00B375F8" w:rsidP="00035F43">
            <w:pPr>
              <w:pStyle w:val="TableText"/>
            </w:pPr>
            <w:r w:rsidRPr="00DB3FE7">
              <w:t>Comparator</w:t>
            </w:r>
          </w:p>
        </w:tc>
        <w:tc>
          <w:tcPr>
            <w:tcW w:w="4151" w:type="pct"/>
            <w:vAlign w:val="center"/>
          </w:tcPr>
          <w:p w14:paraId="0A03BCB2" w14:textId="77777777" w:rsidR="00B375F8" w:rsidRPr="00DB3FE7" w:rsidRDefault="00B375F8" w:rsidP="00035F43">
            <w:pPr>
              <w:pStyle w:val="TableText"/>
            </w:pPr>
            <w:r w:rsidRPr="00DB3FE7">
              <w:t>Second-line: Ezetimibe 10 mg tablet administered once daily.</w:t>
            </w:r>
          </w:p>
          <w:p w14:paraId="4C6AC098" w14:textId="77777777" w:rsidR="00B375F8" w:rsidRPr="00DB3FE7" w:rsidRDefault="00B375F8" w:rsidP="00035F43">
            <w:pPr>
              <w:pStyle w:val="TableText"/>
            </w:pPr>
            <w:r w:rsidRPr="00DB3FE7">
              <w:t>Subsequent line: Evolocumab 140 mg subcutaneous injection administered fortnightly or 420 mg subcutaneous injection administered monthly. Alirocumab 75 or 150 mg subcutaneous injection administered fortnightly (titratable dose) or 300 mg subcutaneous injection administered monthly</w:t>
            </w:r>
          </w:p>
        </w:tc>
      </w:tr>
      <w:tr w:rsidR="00B375F8" w:rsidRPr="00DB3FE7" w14:paraId="76B2FFD2" w14:textId="77777777" w:rsidTr="00D74817">
        <w:tc>
          <w:tcPr>
            <w:tcW w:w="849" w:type="pct"/>
            <w:vAlign w:val="center"/>
          </w:tcPr>
          <w:p w14:paraId="529F354A" w14:textId="77777777" w:rsidR="00B375F8" w:rsidRPr="00DB3FE7" w:rsidRDefault="00B375F8" w:rsidP="00035F43">
            <w:pPr>
              <w:pStyle w:val="TableText"/>
            </w:pPr>
            <w:r w:rsidRPr="00DB3FE7">
              <w:t>Outcomes</w:t>
            </w:r>
          </w:p>
        </w:tc>
        <w:tc>
          <w:tcPr>
            <w:tcW w:w="4151" w:type="pct"/>
            <w:vAlign w:val="center"/>
          </w:tcPr>
          <w:p w14:paraId="40CC3FA9" w14:textId="1F70FFBB" w:rsidR="00B375F8" w:rsidRPr="00DB3FE7" w:rsidRDefault="00B375F8" w:rsidP="00035F43">
            <w:pPr>
              <w:pStyle w:val="TableText"/>
            </w:pPr>
            <w:r w:rsidRPr="00DB3FE7">
              <w:t>Reduction in LDL</w:t>
            </w:r>
            <w:r w:rsidR="00641D92" w:rsidRPr="00DB3FE7">
              <w:t>-C</w:t>
            </w:r>
            <w:r w:rsidRPr="00DB3FE7">
              <w:t xml:space="preserve"> leading to a reduction in major cardiovascular events (e.g. cardiovascular death, myocardial infarction, stroke), incidence of adverse events</w:t>
            </w:r>
          </w:p>
        </w:tc>
      </w:tr>
      <w:tr w:rsidR="00B375F8" w:rsidRPr="00DB3FE7" w14:paraId="1C3ADFC4" w14:textId="77777777" w:rsidTr="00D74817">
        <w:tc>
          <w:tcPr>
            <w:tcW w:w="849" w:type="pct"/>
            <w:vAlign w:val="center"/>
          </w:tcPr>
          <w:p w14:paraId="4C0D1BCA" w14:textId="77777777" w:rsidR="00B375F8" w:rsidRPr="00DB3FE7" w:rsidRDefault="00B375F8" w:rsidP="00035F43">
            <w:pPr>
              <w:pStyle w:val="TableText"/>
            </w:pPr>
            <w:r w:rsidRPr="00DB3FE7">
              <w:t>Clinical claim</w:t>
            </w:r>
          </w:p>
        </w:tc>
        <w:tc>
          <w:tcPr>
            <w:tcW w:w="4151" w:type="pct"/>
            <w:vAlign w:val="center"/>
          </w:tcPr>
          <w:p w14:paraId="2DF00201" w14:textId="77777777" w:rsidR="00B375F8" w:rsidRPr="00DB3FE7" w:rsidRDefault="00B375F8" w:rsidP="00035F43">
            <w:pPr>
              <w:pStyle w:val="TableText"/>
            </w:pPr>
            <w:r w:rsidRPr="00DB3FE7">
              <w:t>Inclisiran is superior in terms of efficacy and non-inferior in terms of safety compared to ezetimibe</w:t>
            </w:r>
          </w:p>
          <w:p w14:paraId="6B89B03C" w14:textId="77777777" w:rsidR="00B375F8" w:rsidRPr="00DB3FE7" w:rsidRDefault="00B375F8" w:rsidP="00035F43">
            <w:pPr>
              <w:pStyle w:val="TableText"/>
            </w:pPr>
            <w:r w:rsidRPr="00DB3FE7">
              <w:t>Inclisiran is non-inferior in terms of efficacy and safety compared to evolocumab and alirocumab</w:t>
            </w:r>
          </w:p>
        </w:tc>
      </w:tr>
    </w:tbl>
    <w:p w14:paraId="19A72052" w14:textId="143D7B4E" w:rsidR="00B375F8" w:rsidRPr="00DB3FE7" w:rsidRDefault="00B375F8" w:rsidP="00B375F8">
      <w:pPr>
        <w:pStyle w:val="COMTablefooter"/>
      </w:pPr>
      <w:r w:rsidRPr="00DB3FE7">
        <w:t>Source: Table 1; Attachment 4; Attachment 11 of the submission</w:t>
      </w:r>
    </w:p>
    <w:p w14:paraId="3B8FB385" w14:textId="2080C9D4" w:rsidR="00B375F8" w:rsidRPr="00DB3FE7" w:rsidRDefault="00B375F8" w:rsidP="00B375F8">
      <w:pPr>
        <w:pStyle w:val="COMTablefooter"/>
      </w:pPr>
      <w:r w:rsidRPr="00DB3FE7">
        <w:t>Abbreviations: LDL</w:t>
      </w:r>
      <w:r w:rsidR="00641D92" w:rsidRPr="00DB3FE7">
        <w:t>-C</w:t>
      </w:r>
      <w:r w:rsidRPr="00DB3FE7">
        <w:t>, low density lipoprotein</w:t>
      </w:r>
      <w:r w:rsidR="00641D92" w:rsidRPr="00DB3FE7">
        <w:t xml:space="preserve"> cholesterol</w:t>
      </w:r>
    </w:p>
    <w:p w14:paraId="248E28F7" w14:textId="77777777" w:rsidR="009D278D" w:rsidRPr="00DB3FE7" w:rsidRDefault="009D278D" w:rsidP="009D278D">
      <w:pPr>
        <w:pStyle w:val="COMexecsumnumberedpara"/>
      </w:pPr>
      <w:bookmarkStart w:id="3" w:name="_Ref127269375"/>
      <w:r w:rsidRPr="00DB3FE7">
        <w:t xml:space="preserve">The ESC considered the proposed positioning of inclisiran as a second-line alternative to ezetimibe was not justified for multiple reasons: </w:t>
      </w:r>
    </w:p>
    <w:p w14:paraId="7CC661D2" w14:textId="561B3E55" w:rsidR="009D278D" w:rsidRPr="00DB3FE7" w:rsidRDefault="009D278D" w:rsidP="009D278D">
      <w:pPr>
        <w:pStyle w:val="COMexecsumnumberedpara"/>
        <w:numPr>
          <w:ilvl w:val="0"/>
          <w:numId w:val="7"/>
        </w:numPr>
        <w:ind w:left="1080"/>
      </w:pPr>
      <w:r w:rsidRPr="00DB3FE7">
        <w:t>A very large number of patients who would otherwise achieve their low density lipoprotein cholesterol (LDL-C) target on a statin and ezetimibe combination would instead take a statin and inclisiran combination at a much higher drug acquisition cost.</w:t>
      </w:r>
    </w:p>
    <w:p w14:paraId="61A3AA2D" w14:textId="741DCBD8" w:rsidR="009D278D" w:rsidRPr="00DB3FE7" w:rsidRDefault="009D278D" w:rsidP="009D278D">
      <w:pPr>
        <w:pStyle w:val="COMexecsumnumberedpara"/>
        <w:numPr>
          <w:ilvl w:val="0"/>
          <w:numId w:val="7"/>
        </w:numPr>
        <w:ind w:left="1080"/>
      </w:pPr>
      <w:r w:rsidRPr="00DB3FE7">
        <w:t>The treatment burden is higher with a statin and inclisiran than with a statin and ezetimibe, i.e. a daily tablet and an injection, even if only every 6 months, rather than a daily fixed dose oral combination.</w:t>
      </w:r>
    </w:p>
    <w:p w14:paraId="5EC467F9" w14:textId="402EABE7" w:rsidR="009D278D" w:rsidRPr="00DB3FE7" w:rsidRDefault="009D278D" w:rsidP="009D278D">
      <w:pPr>
        <w:pStyle w:val="COMexecsumnumberedpara"/>
        <w:numPr>
          <w:ilvl w:val="0"/>
          <w:numId w:val="7"/>
        </w:numPr>
        <w:ind w:left="1080"/>
      </w:pPr>
      <w:r w:rsidRPr="00DB3FE7">
        <w:t>There are many potential variables and uncertainties in the eligible patient population, the long-term effectiveness and safety of inclisiran, the uptake rates and the financial estimates that any significant shift in the current treatment algorithm for treating elevated LDL-C is inadequately justified in this submission.</w:t>
      </w:r>
    </w:p>
    <w:p w14:paraId="2FD59D51" w14:textId="033BE656" w:rsidR="009D278D" w:rsidRPr="00D2286B" w:rsidRDefault="009D278D" w:rsidP="009D278D">
      <w:pPr>
        <w:pStyle w:val="COMexecsumnumberedpara"/>
        <w:numPr>
          <w:ilvl w:val="0"/>
          <w:numId w:val="7"/>
        </w:numPr>
        <w:ind w:left="1080"/>
      </w:pPr>
      <w:r w:rsidRPr="00DB3FE7">
        <w:t>The treatment algorithm as proposed by the sponsor is not supported by any national or international treatment guidelines. The American College of Cardiology (ACC) 2022 consensus statement positions inclisiran for patients with demonstrated poor adherence or intolerance to PCSK9 inhibitor therapy (</w:t>
      </w:r>
      <w:r w:rsidR="00A2240F" w:rsidRPr="00DB3FE7">
        <w:t>see </w:t>
      </w:r>
      <w:r w:rsidRPr="00DB3FE7">
        <w:t xml:space="preserve">paragraph </w:t>
      </w:r>
      <w:r w:rsidRPr="00D2286B">
        <w:fldChar w:fldCharType="begin" w:fldLock="1"/>
      </w:r>
      <w:r w:rsidRPr="00DB3FE7">
        <w:instrText xml:space="preserve"> REF _Ref127269649 \r \h  \* MERGEFORMAT </w:instrText>
      </w:r>
      <w:r w:rsidRPr="00D2286B">
        <w:fldChar w:fldCharType="separate"/>
      </w:r>
      <w:r w:rsidR="00424520" w:rsidRPr="00D2286B">
        <w:t>4</w:t>
      </w:r>
      <w:r w:rsidR="00424520" w:rsidRPr="00D307C2">
        <w:t>.7</w:t>
      </w:r>
      <w:r w:rsidRPr="00D2286B">
        <w:fldChar w:fldCharType="end"/>
      </w:r>
      <w:r w:rsidRPr="0042765C">
        <w:t>).</w:t>
      </w:r>
    </w:p>
    <w:p w14:paraId="6C3FC51D" w14:textId="3AA43728" w:rsidR="009D278D" w:rsidRPr="00DB3FE7" w:rsidRDefault="009D278D" w:rsidP="00B759E8">
      <w:pPr>
        <w:pStyle w:val="COMexecsumnumberedpara"/>
      </w:pPr>
      <w:r w:rsidRPr="00352E1C">
        <w:t xml:space="preserve">The pre-PBAC response, noting the above concerns regarding the proposed second-line listing, stated that inclisiran could be positioned as a non-inferior </w:t>
      </w:r>
      <w:bookmarkStart w:id="4" w:name="_Hlk131415378"/>
      <w:r w:rsidRPr="00352E1C">
        <w:t>alternative to the PCSK9 inhibitors</w:t>
      </w:r>
      <w:bookmarkEnd w:id="4"/>
      <w:r w:rsidRPr="00352E1C">
        <w:t xml:space="preserve"> in the third line setting for patients with ASCVD and heterozygous</w:t>
      </w:r>
      <w:r w:rsidRPr="00DB3FE7">
        <w:t xml:space="preserve"> familial hypercholesterolaemia</w:t>
      </w:r>
      <w:r w:rsidR="004C22F9" w:rsidRPr="00DB3FE7">
        <w:t xml:space="preserve"> (HeFH)</w:t>
      </w:r>
      <w:r w:rsidRPr="00DB3FE7">
        <w:t>.</w:t>
      </w:r>
    </w:p>
    <w:p w14:paraId="48E4D398" w14:textId="3FB671BE" w:rsidR="00E210F5" w:rsidRPr="00DB3FE7" w:rsidRDefault="00E210F5" w:rsidP="00B759E8">
      <w:pPr>
        <w:pStyle w:val="COMexecsumnumberedpara"/>
      </w:pPr>
      <w:r w:rsidRPr="00DB3FE7">
        <w:t>Sections 1</w:t>
      </w:r>
      <w:r w:rsidRPr="00DB3FE7">
        <w:noBreakHyphen/>
        <w:t xml:space="preserve">6 below </w:t>
      </w:r>
      <w:r w:rsidR="0050187F" w:rsidRPr="00DB3FE7">
        <w:t>include</w:t>
      </w:r>
      <w:r w:rsidRPr="00DB3FE7">
        <w:t xml:space="preserve"> the submission’s proposed second-line setting.</w:t>
      </w:r>
    </w:p>
    <w:p w14:paraId="01C52743" w14:textId="71F4E54F" w:rsidR="00E210F5" w:rsidRPr="00DB3FE7" w:rsidRDefault="00E210F5" w:rsidP="000E70F0">
      <w:pPr>
        <w:pStyle w:val="COMexecsumnumberedpara"/>
        <w:numPr>
          <w:ilvl w:val="0"/>
          <w:numId w:val="0"/>
        </w:numPr>
        <w:ind w:left="720"/>
        <w:rPr>
          <w:i/>
          <w:iCs/>
        </w:rPr>
      </w:pPr>
      <w:r w:rsidRPr="00DB3FE7">
        <w:rPr>
          <w:i/>
          <w:iCs/>
        </w:rPr>
        <w:t>For more detail on PBAC’s view, see section 7 PBAC outcome.</w:t>
      </w:r>
    </w:p>
    <w:p w14:paraId="6B4AB6C2" w14:textId="483817F5" w:rsidR="005C25FF" w:rsidRPr="00DB3FE7" w:rsidRDefault="005C25FF" w:rsidP="00AD3736">
      <w:pPr>
        <w:pStyle w:val="COMH1numbered"/>
        <w:ind w:left="720"/>
      </w:pPr>
      <w:bookmarkStart w:id="5" w:name="_Toc124866138"/>
      <w:bookmarkEnd w:id="3"/>
      <w:r w:rsidRPr="00DB3FE7">
        <w:t>Background</w:t>
      </w:r>
      <w:bookmarkEnd w:id="5"/>
    </w:p>
    <w:p w14:paraId="2C521D6D" w14:textId="53DB3792" w:rsidR="005C25FF" w:rsidRPr="00DB3FE7" w:rsidRDefault="005C25FF" w:rsidP="0045707B">
      <w:pPr>
        <w:pStyle w:val="COMH2-non-numbered"/>
      </w:pPr>
      <w:bookmarkStart w:id="6" w:name="_Toc22897638"/>
      <w:bookmarkStart w:id="7" w:name="_Toc124866139"/>
      <w:r w:rsidRPr="00DB3FE7">
        <w:t>Registration status</w:t>
      </w:r>
      <w:bookmarkEnd w:id="6"/>
      <w:bookmarkEnd w:id="7"/>
    </w:p>
    <w:p w14:paraId="21AF1D27" w14:textId="77777777" w:rsidR="00B375F8" w:rsidRPr="00DB3FE7" w:rsidRDefault="00B375F8" w:rsidP="00980E94">
      <w:pPr>
        <w:pStyle w:val="COMexecsumnumberedpara"/>
      </w:pPr>
      <w:r w:rsidRPr="00DB3FE7">
        <w:t>Inclisiran was approved by the TGA on 14 September 2021 as an adjunct to diet and exercise to reduce low-density lipoprotein (LDL) cholesterol in adults with heterozygous familial hypercholesterolaemia, atherosclerotic cardiovascular disease, or at high risk of a cardiovascular event:</w:t>
      </w:r>
    </w:p>
    <w:p w14:paraId="55FE243A" w14:textId="3A0277C1" w:rsidR="00B375F8" w:rsidRPr="00DB3FE7" w:rsidRDefault="00B375F8" w:rsidP="009B541B">
      <w:pPr>
        <w:pStyle w:val="COMexecsumnumberedpara"/>
        <w:numPr>
          <w:ilvl w:val="0"/>
          <w:numId w:val="7"/>
        </w:numPr>
        <w:ind w:left="1077" w:hanging="357"/>
      </w:pPr>
      <w:r w:rsidRPr="00DB3FE7">
        <w:t>in combination with a statin or statin with other lipid-lowering therapies in patients unable to reach LDL goals with the maximum tolerated dose of a statin, or</w:t>
      </w:r>
    </w:p>
    <w:p w14:paraId="11C0B4B7" w14:textId="3712F1F0" w:rsidR="00B375F8" w:rsidRPr="00DB3FE7" w:rsidRDefault="00B375F8" w:rsidP="009B541B">
      <w:pPr>
        <w:pStyle w:val="COMexecsumnumberedpara"/>
        <w:numPr>
          <w:ilvl w:val="0"/>
          <w:numId w:val="7"/>
        </w:numPr>
        <w:ind w:left="1077" w:hanging="357"/>
      </w:pPr>
      <w:r w:rsidRPr="00DB3FE7">
        <w:t>alone or in combination with other lipid-lowering therapies in patients who are statin-intolerant.</w:t>
      </w:r>
    </w:p>
    <w:p w14:paraId="76E4EF3C" w14:textId="66B1CEE0" w:rsidR="00B60939" w:rsidRPr="00DB3FE7" w:rsidRDefault="00B50DB8" w:rsidP="00AD3736">
      <w:pPr>
        <w:pStyle w:val="COMH1numbered"/>
        <w:ind w:left="720"/>
      </w:pPr>
      <w:bookmarkStart w:id="8" w:name="_Toc107902078"/>
      <w:bookmarkStart w:id="9" w:name="_Toc124866140"/>
      <w:bookmarkEnd w:id="8"/>
      <w:r w:rsidRPr="00DB3FE7">
        <w:t>Requested listing</w:t>
      </w:r>
      <w:bookmarkEnd w:id="9"/>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71"/>
        <w:gridCol w:w="832"/>
        <w:gridCol w:w="831"/>
        <w:gridCol w:w="832"/>
        <w:gridCol w:w="1657"/>
      </w:tblGrid>
      <w:tr w:rsidR="008D4491" w:rsidRPr="00DB3FE7" w14:paraId="21838874" w14:textId="77777777" w:rsidTr="00F25B51">
        <w:trPr>
          <w:cantSplit/>
          <w:trHeight w:val="20"/>
        </w:trPr>
        <w:tc>
          <w:tcPr>
            <w:tcW w:w="2694" w:type="dxa"/>
            <w:vAlign w:val="center"/>
          </w:tcPr>
          <w:p w14:paraId="622463CE" w14:textId="77777777" w:rsidR="008D4491" w:rsidRPr="00DB3FE7" w:rsidRDefault="008D4491" w:rsidP="00C91ADA">
            <w:pPr>
              <w:keepLines/>
              <w:rPr>
                <w:rFonts w:ascii="Arial Narrow" w:hAnsi="Arial Narrow"/>
                <w:b/>
                <w:bCs/>
                <w:sz w:val="20"/>
                <w:szCs w:val="20"/>
              </w:rPr>
            </w:pPr>
            <w:r w:rsidRPr="00DB3FE7">
              <w:rPr>
                <w:rFonts w:ascii="Arial Narrow" w:hAnsi="Arial Narrow"/>
                <w:b/>
                <w:bCs/>
                <w:sz w:val="20"/>
                <w:szCs w:val="20"/>
              </w:rPr>
              <w:t>MEDICINAL PRODUCT</w:t>
            </w:r>
          </w:p>
          <w:p w14:paraId="2915C841" w14:textId="77777777" w:rsidR="008D4491" w:rsidRPr="00DB3FE7" w:rsidRDefault="008D4491" w:rsidP="00C91ADA">
            <w:pPr>
              <w:keepLines/>
              <w:rPr>
                <w:rFonts w:ascii="Arial Narrow" w:hAnsi="Arial Narrow"/>
                <w:b/>
                <w:sz w:val="20"/>
                <w:szCs w:val="20"/>
              </w:rPr>
            </w:pPr>
            <w:r w:rsidRPr="00DB3FE7">
              <w:rPr>
                <w:rFonts w:ascii="Arial Narrow" w:hAnsi="Arial Narrow"/>
                <w:b/>
                <w:bCs/>
                <w:sz w:val="20"/>
                <w:szCs w:val="20"/>
              </w:rPr>
              <w:t>medicinal product pack</w:t>
            </w:r>
          </w:p>
        </w:tc>
        <w:tc>
          <w:tcPr>
            <w:tcW w:w="2171" w:type="dxa"/>
            <w:vAlign w:val="center"/>
          </w:tcPr>
          <w:p w14:paraId="43B0271A" w14:textId="77777777" w:rsidR="008D4491" w:rsidRPr="00DB3FE7" w:rsidRDefault="008D4491" w:rsidP="00C91ADA">
            <w:pPr>
              <w:pStyle w:val="COMTabletext"/>
              <w:keepNext w:val="0"/>
              <w:keepLines/>
              <w:jc w:val="center"/>
              <w:rPr>
                <w:b/>
                <w:bCs w:val="0"/>
                <w:szCs w:val="20"/>
              </w:rPr>
            </w:pPr>
            <w:r w:rsidRPr="00DB3FE7">
              <w:rPr>
                <w:b/>
                <w:bCs w:val="0"/>
                <w:snapToGrid w:val="0"/>
              </w:rPr>
              <w:t>Dispensed Price for Maximum Quantity</w:t>
            </w:r>
          </w:p>
        </w:tc>
        <w:tc>
          <w:tcPr>
            <w:tcW w:w="832" w:type="dxa"/>
            <w:vAlign w:val="center"/>
          </w:tcPr>
          <w:p w14:paraId="57D8E0D8" w14:textId="77777777" w:rsidR="008D4491" w:rsidRPr="00DB3FE7" w:rsidRDefault="008D4491" w:rsidP="00C91ADA">
            <w:pPr>
              <w:keepLines/>
              <w:jc w:val="center"/>
              <w:rPr>
                <w:rFonts w:ascii="Arial Narrow" w:hAnsi="Arial Narrow"/>
                <w:b/>
                <w:sz w:val="20"/>
                <w:szCs w:val="20"/>
              </w:rPr>
            </w:pPr>
            <w:r w:rsidRPr="00DB3FE7">
              <w:rPr>
                <w:rFonts w:ascii="Arial Narrow" w:hAnsi="Arial Narrow"/>
                <w:b/>
                <w:sz w:val="20"/>
                <w:szCs w:val="20"/>
              </w:rPr>
              <w:t>Max. qty packs</w:t>
            </w:r>
          </w:p>
        </w:tc>
        <w:tc>
          <w:tcPr>
            <w:tcW w:w="831" w:type="dxa"/>
            <w:vAlign w:val="center"/>
          </w:tcPr>
          <w:p w14:paraId="3636947D" w14:textId="77777777" w:rsidR="008D4491" w:rsidRPr="00DB3FE7" w:rsidRDefault="008D4491" w:rsidP="00C91ADA">
            <w:pPr>
              <w:keepLines/>
              <w:jc w:val="center"/>
              <w:rPr>
                <w:rFonts w:ascii="Arial Narrow" w:hAnsi="Arial Narrow"/>
                <w:b/>
                <w:sz w:val="20"/>
                <w:szCs w:val="20"/>
              </w:rPr>
            </w:pPr>
            <w:r w:rsidRPr="00DB3FE7">
              <w:rPr>
                <w:rFonts w:ascii="Arial Narrow" w:hAnsi="Arial Narrow"/>
                <w:b/>
                <w:sz w:val="20"/>
                <w:szCs w:val="20"/>
              </w:rPr>
              <w:t>Max. qty units</w:t>
            </w:r>
          </w:p>
        </w:tc>
        <w:tc>
          <w:tcPr>
            <w:tcW w:w="832" w:type="dxa"/>
            <w:vAlign w:val="center"/>
          </w:tcPr>
          <w:p w14:paraId="66EB46F7" w14:textId="6B6CC0A8" w:rsidR="008D4491" w:rsidRPr="00DB3FE7" w:rsidRDefault="008D4491" w:rsidP="00C91ADA">
            <w:pPr>
              <w:keepLines/>
              <w:jc w:val="center"/>
              <w:rPr>
                <w:rFonts w:ascii="Arial Narrow" w:hAnsi="Arial Narrow"/>
                <w:b/>
                <w:sz w:val="20"/>
                <w:szCs w:val="20"/>
              </w:rPr>
            </w:pPr>
            <w:r w:rsidRPr="00DB3FE7">
              <w:rPr>
                <w:rFonts w:ascii="Arial Narrow" w:hAnsi="Arial Narrow"/>
                <w:b/>
                <w:sz w:val="20"/>
                <w:szCs w:val="20"/>
              </w:rPr>
              <w:t>№.</w:t>
            </w:r>
            <w:r w:rsidR="00C37EAF" w:rsidRPr="00DB3FE7">
              <w:rPr>
                <w:rFonts w:ascii="Arial Narrow" w:hAnsi="Arial Narrow"/>
                <w:b/>
                <w:sz w:val="20"/>
                <w:szCs w:val="20"/>
              </w:rPr>
              <w:t xml:space="preserve"> </w:t>
            </w:r>
            <w:r w:rsidRPr="00DB3FE7">
              <w:rPr>
                <w:rFonts w:ascii="Arial Narrow" w:hAnsi="Arial Narrow"/>
                <w:b/>
                <w:sz w:val="20"/>
                <w:szCs w:val="20"/>
              </w:rPr>
              <w:t>of</w:t>
            </w:r>
          </w:p>
          <w:p w14:paraId="6B0E5D7A" w14:textId="77777777" w:rsidR="008D4491" w:rsidRPr="00DB3FE7" w:rsidRDefault="008D4491" w:rsidP="00C91ADA">
            <w:pPr>
              <w:keepLines/>
              <w:jc w:val="center"/>
              <w:rPr>
                <w:rFonts w:ascii="Arial Narrow" w:hAnsi="Arial Narrow"/>
                <w:b/>
                <w:sz w:val="20"/>
                <w:szCs w:val="20"/>
              </w:rPr>
            </w:pPr>
            <w:r w:rsidRPr="00DB3FE7">
              <w:rPr>
                <w:rFonts w:ascii="Arial Narrow" w:hAnsi="Arial Narrow"/>
                <w:b/>
                <w:sz w:val="20"/>
                <w:szCs w:val="20"/>
              </w:rPr>
              <w:t>Rpts</w:t>
            </w:r>
          </w:p>
        </w:tc>
        <w:tc>
          <w:tcPr>
            <w:tcW w:w="1657" w:type="dxa"/>
            <w:vAlign w:val="center"/>
          </w:tcPr>
          <w:p w14:paraId="2124F2CE" w14:textId="77777777" w:rsidR="008D4491" w:rsidRPr="00DB3FE7" w:rsidRDefault="008D4491" w:rsidP="00C91ADA">
            <w:pPr>
              <w:keepLines/>
              <w:rPr>
                <w:rFonts w:ascii="Arial Narrow" w:hAnsi="Arial Narrow"/>
                <w:b/>
                <w:sz w:val="20"/>
                <w:szCs w:val="20"/>
              </w:rPr>
            </w:pPr>
            <w:r w:rsidRPr="00DB3FE7">
              <w:rPr>
                <w:rFonts w:ascii="Arial Narrow" w:hAnsi="Arial Narrow"/>
                <w:b/>
                <w:sz w:val="20"/>
                <w:szCs w:val="20"/>
              </w:rPr>
              <w:t>Available brands</w:t>
            </w:r>
          </w:p>
        </w:tc>
      </w:tr>
      <w:tr w:rsidR="008D4491" w:rsidRPr="00DB3FE7" w14:paraId="511739F9" w14:textId="77777777" w:rsidTr="00F25B51">
        <w:trPr>
          <w:cantSplit/>
          <w:trHeight w:val="20"/>
        </w:trPr>
        <w:tc>
          <w:tcPr>
            <w:tcW w:w="9017" w:type="dxa"/>
            <w:gridSpan w:val="6"/>
            <w:vAlign w:val="center"/>
          </w:tcPr>
          <w:p w14:paraId="4E1685C8" w14:textId="77777777" w:rsidR="008D4491" w:rsidRPr="00DB3FE7" w:rsidRDefault="008D4491" w:rsidP="00C91ADA">
            <w:pPr>
              <w:pStyle w:val="COMTabletext"/>
              <w:keepNext w:val="0"/>
              <w:keepLines/>
              <w:rPr>
                <w:rFonts w:cs="Arial"/>
                <w:smallCaps/>
                <w:szCs w:val="20"/>
              </w:rPr>
            </w:pPr>
            <w:r w:rsidRPr="00DB3FE7">
              <w:rPr>
                <w:smallCaps/>
              </w:rPr>
              <w:t>INCLISIRAN</w:t>
            </w:r>
          </w:p>
        </w:tc>
      </w:tr>
      <w:tr w:rsidR="008D4491" w:rsidRPr="00DB3FE7" w14:paraId="477945CA" w14:textId="77777777" w:rsidTr="00F25B51">
        <w:trPr>
          <w:cantSplit/>
          <w:trHeight w:val="20"/>
        </w:trPr>
        <w:tc>
          <w:tcPr>
            <w:tcW w:w="9017" w:type="dxa"/>
            <w:gridSpan w:val="6"/>
            <w:vAlign w:val="center"/>
          </w:tcPr>
          <w:p w14:paraId="0317EA04" w14:textId="77777777" w:rsidR="008D4491" w:rsidRPr="00DB3FE7" w:rsidRDefault="008D4491" w:rsidP="00C91ADA">
            <w:pPr>
              <w:pStyle w:val="COMTabletext"/>
              <w:keepNext w:val="0"/>
              <w:keepLines/>
              <w:rPr>
                <w:smallCaps/>
              </w:rPr>
            </w:pPr>
            <w:r w:rsidRPr="00DB3FE7">
              <w:rPr>
                <w:smallCaps/>
              </w:rPr>
              <w:t>Initial</w:t>
            </w:r>
          </w:p>
        </w:tc>
      </w:tr>
      <w:tr w:rsidR="008D4491" w:rsidRPr="00DB3FE7" w14:paraId="02E9FB8F" w14:textId="77777777" w:rsidTr="00F25B51">
        <w:trPr>
          <w:cantSplit/>
          <w:trHeight w:val="20"/>
        </w:trPr>
        <w:tc>
          <w:tcPr>
            <w:tcW w:w="2694" w:type="dxa"/>
            <w:vAlign w:val="center"/>
          </w:tcPr>
          <w:p w14:paraId="127721EA" w14:textId="04BD94A7" w:rsidR="008D4491" w:rsidRPr="00DB3FE7" w:rsidRDefault="008D4491" w:rsidP="00C91ADA">
            <w:pPr>
              <w:pStyle w:val="COMTabletext"/>
              <w:keepNext w:val="0"/>
              <w:keepLines/>
              <w:rPr>
                <w:szCs w:val="20"/>
              </w:rPr>
            </w:pPr>
            <w:r w:rsidRPr="00DB3FE7">
              <w:rPr>
                <w:szCs w:val="20"/>
              </w:rPr>
              <w:t>Inclisiran, prefilled syringe 284</w:t>
            </w:r>
            <w:r w:rsidR="008D1FCB" w:rsidRPr="00DB3FE7">
              <w:rPr>
                <w:szCs w:val="20"/>
              </w:rPr>
              <w:t> </w:t>
            </w:r>
            <w:r w:rsidRPr="00DB3FE7">
              <w:rPr>
                <w:szCs w:val="20"/>
              </w:rPr>
              <w:t>mg/1.5 mL, 1</w:t>
            </w:r>
          </w:p>
        </w:tc>
        <w:tc>
          <w:tcPr>
            <w:tcW w:w="2171" w:type="dxa"/>
          </w:tcPr>
          <w:p w14:paraId="7F5CDC14" w14:textId="77777777" w:rsidR="008D4491" w:rsidRPr="00DB3FE7" w:rsidRDefault="008D4491" w:rsidP="00C91ADA">
            <w:pPr>
              <w:pStyle w:val="TableText"/>
              <w:keepNext w:val="0"/>
              <w:keepLines/>
            </w:pPr>
            <w:r w:rsidRPr="00DB3FE7">
              <w:t>$2,847.78 published price</w:t>
            </w:r>
          </w:p>
          <w:p w14:paraId="2873F5CF" w14:textId="5072EB64" w:rsidR="008D4491" w:rsidRPr="00DB3FE7" w:rsidRDefault="008D4491" w:rsidP="00C91ADA">
            <w:pPr>
              <w:pStyle w:val="COMTabletext"/>
              <w:keepNext w:val="0"/>
              <w:keepLines/>
              <w:jc w:val="center"/>
            </w:pPr>
            <w:r w:rsidRPr="00DB3FE7">
              <w:t>$</w:t>
            </w:r>
            <w:r w:rsidR="00544295" w:rsidRPr="00C91ADA">
              <w:rPr>
                <w:color w:val="000000"/>
                <w:spacing w:val="43"/>
                <w:shd w:val="solid" w:color="000000" w:fill="000000"/>
                <w:fitText w:val="474" w:id="-1233410816"/>
                <w14:textFill>
                  <w14:solidFill>
                    <w14:srgbClr w14:val="000000">
                      <w14:alpha w14:val="100000"/>
                    </w14:srgbClr>
                  </w14:solidFill>
                </w14:textFill>
              </w:rPr>
              <w:t>|||||</w:t>
            </w:r>
            <w:r w:rsidR="00544295" w:rsidRPr="00C91ADA">
              <w:rPr>
                <w:color w:val="000000"/>
                <w:spacing w:val="4"/>
                <w:shd w:val="solid" w:color="000000" w:fill="000000"/>
                <w:fitText w:val="474" w:id="-1233410816"/>
                <w14:textFill>
                  <w14:solidFill>
                    <w14:srgbClr w14:val="000000">
                      <w14:alpha w14:val="100000"/>
                    </w14:srgbClr>
                  </w14:solidFill>
                </w14:textFill>
              </w:rPr>
              <w:t>|</w:t>
            </w:r>
            <w:r w:rsidRPr="00DB3FE7">
              <w:t xml:space="preserve"> effective price</w:t>
            </w:r>
          </w:p>
        </w:tc>
        <w:tc>
          <w:tcPr>
            <w:tcW w:w="832" w:type="dxa"/>
            <w:vAlign w:val="center"/>
          </w:tcPr>
          <w:p w14:paraId="03A9DA7F" w14:textId="77777777" w:rsidR="008D4491" w:rsidRPr="00DB3FE7" w:rsidRDefault="008D4491" w:rsidP="00C91ADA">
            <w:pPr>
              <w:keepLines/>
              <w:jc w:val="center"/>
              <w:rPr>
                <w:rFonts w:ascii="Arial Narrow" w:hAnsi="Arial Narrow"/>
                <w:sz w:val="20"/>
                <w:szCs w:val="20"/>
              </w:rPr>
            </w:pPr>
            <w:r w:rsidRPr="00DB3FE7">
              <w:rPr>
                <w:rFonts w:ascii="Arial Narrow" w:hAnsi="Arial Narrow"/>
                <w:sz w:val="20"/>
              </w:rPr>
              <w:t>1</w:t>
            </w:r>
          </w:p>
        </w:tc>
        <w:tc>
          <w:tcPr>
            <w:tcW w:w="831" w:type="dxa"/>
            <w:vAlign w:val="center"/>
          </w:tcPr>
          <w:p w14:paraId="262FFAE0" w14:textId="77777777" w:rsidR="008D4491" w:rsidRPr="00DB3FE7" w:rsidRDefault="008D4491" w:rsidP="00C91ADA">
            <w:pPr>
              <w:keepLines/>
              <w:jc w:val="center"/>
              <w:rPr>
                <w:rFonts w:ascii="Arial Narrow" w:hAnsi="Arial Narrow"/>
                <w:sz w:val="20"/>
                <w:szCs w:val="20"/>
              </w:rPr>
            </w:pPr>
            <w:r w:rsidRPr="00DB3FE7">
              <w:rPr>
                <w:rFonts w:ascii="Arial Narrow" w:hAnsi="Arial Narrow"/>
                <w:sz w:val="20"/>
              </w:rPr>
              <w:t>1</w:t>
            </w:r>
          </w:p>
        </w:tc>
        <w:tc>
          <w:tcPr>
            <w:tcW w:w="832" w:type="dxa"/>
            <w:vAlign w:val="center"/>
          </w:tcPr>
          <w:p w14:paraId="19B83AD2" w14:textId="77777777" w:rsidR="008D4491" w:rsidRPr="00DB3FE7" w:rsidRDefault="008D4491" w:rsidP="00C91ADA">
            <w:pPr>
              <w:keepLines/>
              <w:jc w:val="center"/>
              <w:rPr>
                <w:rFonts w:ascii="Arial Narrow" w:hAnsi="Arial Narrow"/>
                <w:sz w:val="20"/>
                <w:szCs w:val="20"/>
              </w:rPr>
            </w:pPr>
            <w:r w:rsidRPr="00DB3FE7">
              <w:rPr>
                <w:rFonts w:ascii="Arial Narrow" w:hAnsi="Arial Narrow"/>
                <w:sz w:val="20"/>
              </w:rPr>
              <w:t>1</w:t>
            </w:r>
          </w:p>
        </w:tc>
        <w:tc>
          <w:tcPr>
            <w:tcW w:w="1657" w:type="dxa"/>
            <w:vAlign w:val="center"/>
          </w:tcPr>
          <w:p w14:paraId="4BB53CCA" w14:textId="77777777" w:rsidR="008D4491" w:rsidRPr="00DB3FE7" w:rsidRDefault="008D4491" w:rsidP="00C91ADA">
            <w:pPr>
              <w:keepLines/>
              <w:rPr>
                <w:rFonts w:ascii="Arial Narrow" w:hAnsi="Arial Narrow"/>
                <w:color w:val="0066FF"/>
                <w:sz w:val="20"/>
                <w:szCs w:val="20"/>
              </w:rPr>
            </w:pPr>
            <w:r w:rsidRPr="00DB3FE7">
              <w:rPr>
                <w:rFonts w:ascii="Arial Narrow" w:hAnsi="Arial Narrow"/>
                <w:sz w:val="20"/>
                <w:szCs w:val="20"/>
              </w:rPr>
              <w:t>Leqvio</w:t>
            </w:r>
          </w:p>
        </w:tc>
      </w:tr>
      <w:tr w:rsidR="008D4491" w:rsidRPr="00DB3FE7" w14:paraId="56A47DCB" w14:textId="77777777" w:rsidTr="00F25B51">
        <w:trPr>
          <w:cantSplit/>
          <w:trHeight w:val="20"/>
        </w:trPr>
        <w:tc>
          <w:tcPr>
            <w:tcW w:w="9017" w:type="dxa"/>
            <w:gridSpan w:val="6"/>
            <w:vAlign w:val="center"/>
          </w:tcPr>
          <w:p w14:paraId="65645F2F" w14:textId="77777777" w:rsidR="008D4491" w:rsidRPr="00DB3FE7" w:rsidRDefault="008D4491" w:rsidP="00C91ADA">
            <w:pPr>
              <w:pStyle w:val="COMTabletext"/>
              <w:keepNext w:val="0"/>
              <w:keepLines/>
              <w:rPr>
                <w:smallCaps/>
                <w:szCs w:val="20"/>
              </w:rPr>
            </w:pPr>
            <w:r w:rsidRPr="00DB3FE7">
              <w:rPr>
                <w:smallCaps/>
              </w:rPr>
              <w:t>Continuing</w:t>
            </w:r>
          </w:p>
        </w:tc>
      </w:tr>
      <w:tr w:rsidR="008D4491" w:rsidRPr="00DB3FE7" w14:paraId="673A0AF2" w14:textId="77777777" w:rsidTr="00F25B51">
        <w:trPr>
          <w:cantSplit/>
          <w:trHeight w:val="20"/>
        </w:trPr>
        <w:tc>
          <w:tcPr>
            <w:tcW w:w="2694" w:type="dxa"/>
            <w:vAlign w:val="center"/>
          </w:tcPr>
          <w:p w14:paraId="7F7ABEEA" w14:textId="2DAB15AA" w:rsidR="008D4491" w:rsidRPr="00DB3FE7" w:rsidRDefault="008D4491" w:rsidP="00C91ADA">
            <w:pPr>
              <w:pStyle w:val="COMTabletext"/>
              <w:keepNext w:val="0"/>
              <w:keepLines/>
              <w:rPr>
                <w:color w:val="0066FF"/>
              </w:rPr>
            </w:pPr>
            <w:r w:rsidRPr="00DB3FE7">
              <w:t>Inclisiran, prefilled syringe 284</w:t>
            </w:r>
            <w:r w:rsidR="008D1FCB" w:rsidRPr="00DB3FE7">
              <w:t> </w:t>
            </w:r>
            <w:r w:rsidRPr="00DB3FE7">
              <w:t>mg/1.5 mL, 1</w:t>
            </w:r>
          </w:p>
        </w:tc>
        <w:tc>
          <w:tcPr>
            <w:tcW w:w="2171" w:type="dxa"/>
          </w:tcPr>
          <w:p w14:paraId="22FB25F9" w14:textId="77777777" w:rsidR="008D4491" w:rsidRPr="00DB3FE7" w:rsidRDefault="008D4491" w:rsidP="00C91ADA">
            <w:pPr>
              <w:pStyle w:val="TableText"/>
              <w:keepNext w:val="0"/>
              <w:keepLines/>
            </w:pPr>
            <w:r w:rsidRPr="00DB3FE7">
              <w:t>$2,847.78 published price</w:t>
            </w:r>
          </w:p>
          <w:p w14:paraId="17EC8AD1" w14:textId="6157E529" w:rsidR="008D4491" w:rsidRPr="00DB3FE7" w:rsidRDefault="008D4491" w:rsidP="00C91ADA">
            <w:pPr>
              <w:pStyle w:val="COMTabletext"/>
              <w:keepNext w:val="0"/>
              <w:keepLines/>
              <w:jc w:val="center"/>
            </w:pPr>
            <w:r w:rsidRPr="00DB3FE7">
              <w:t>$</w:t>
            </w:r>
            <w:r w:rsidR="00544295" w:rsidRPr="00C91ADA">
              <w:rPr>
                <w:color w:val="000000"/>
                <w:spacing w:val="43"/>
                <w:shd w:val="solid" w:color="000000" w:fill="000000"/>
                <w:fitText w:val="474" w:id="-1233410815"/>
                <w14:textFill>
                  <w14:solidFill>
                    <w14:srgbClr w14:val="000000">
                      <w14:alpha w14:val="100000"/>
                    </w14:srgbClr>
                  </w14:solidFill>
                </w14:textFill>
              </w:rPr>
              <w:t>|||||</w:t>
            </w:r>
            <w:r w:rsidR="00544295" w:rsidRPr="00C91ADA">
              <w:rPr>
                <w:color w:val="000000"/>
                <w:spacing w:val="4"/>
                <w:shd w:val="solid" w:color="000000" w:fill="000000"/>
                <w:fitText w:val="474" w:id="-1233410815"/>
                <w14:textFill>
                  <w14:solidFill>
                    <w14:srgbClr w14:val="000000">
                      <w14:alpha w14:val="100000"/>
                    </w14:srgbClr>
                  </w14:solidFill>
                </w14:textFill>
              </w:rPr>
              <w:t>|</w:t>
            </w:r>
            <w:r w:rsidRPr="00DB3FE7">
              <w:t xml:space="preserve"> effective price</w:t>
            </w:r>
          </w:p>
        </w:tc>
        <w:tc>
          <w:tcPr>
            <w:tcW w:w="832" w:type="dxa"/>
            <w:vAlign w:val="center"/>
          </w:tcPr>
          <w:p w14:paraId="689620BB" w14:textId="77777777" w:rsidR="008D4491" w:rsidRPr="00DB3FE7" w:rsidRDefault="008D4491" w:rsidP="00C91ADA">
            <w:pPr>
              <w:keepLines/>
              <w:jc w:val="center"/>
              <w:rPr>
                <w:rFonts w:ascii="Arial Narrow" w:hAnsi="Arial Narrow"/>
                <w:sz w:val="20"/>
                <w:szCs w:val="20"/>
              </w:rPr>
            </w:pPr>
            <w:r w:rsidRPr="00DB3FE7">
              <w:rPr>
                <w:rFonts w:ascii="Arial Narrow" w:hAnsi="Arial Narrow"/>
                <w:sz w:val="20"/>
              </w:rPr>
              <w:t>1</w:t>
            </w:r>
          </w:p>
        </w:tc>
        <w:tc>
          <w:tcPr>
            <w:tcW w:w="831" w:type="dxa"/>
            <w:vAlign w:val="center"/>
          </w:tcPr>
          <w:p w14:paraId="62729799" w14:textId="77777777" w:rsidR="008D4491" w:rsidRPr="00DB3FE7" w:rsidRDefault="008D4491" w:rsidP="00C91ADA">
            <w:pPr>
              <w:keepLines/>
              <w:jc w:val="center"/>
              <w:rPr>
                <w:rFonts w:ascii="Arial Narrow" w:hAnsi="Arial Narrow"/>
                <w:sz w:val="20"/>
                <w:szCs w:val="20"/>
              </w:rPr>
            </w:pPr>
            <w:r w:rsidRPr="00DB3FE7">
              <w:rPr>
                <w:rFonts w:ascii="Arial Narrow" w:hAnsi="Arial Narrow"/>
                <w:sz w:val="20"/>
              </w:rPr>
              <w:t>1</w:t>
            </w:r>
          </w:p>
        </w:tc>
        <w:tc>
          <w:tcPr>
            <w:tcW w:w="832" w:type="dxa"/>
            <w:vAlign w:val="center"/>
          </w:tcPr>
          <w:p w14:paraId="612EB779" w14:textId="77777777" w:rsidR="008D4491" w:rsidRPr="00DB3FE7" w:rsidRDefault="008D4491" w:rsidP="00C91ADA">
            <w:pPr>
              <w:keepLines/>
              <w:jc w:val="center"/>
              <w:rPr>
                <w:rFonts w:ascii="Arial Narrow" w:hAnsi="Arial Narrow"/>
                <w:sz w:val="20"/>
                <w:szCs w:val="20"/>
              </w:rPr>
            </w:pPr>
            <w:r w:rsidRPr="00DB3FE7">
              <w:rPr>
                <w:rFonts w:ascii="Arial Narrow" w:hAnsi="Arial Narrow"/>
                <w:sz w:val="20"/>
              </w:rPr>
              <w:t>0</w:t>
            </w:r>
          </w:p>
        </w:tc>
        <w:tc>
          <w:tcPr>
            <w:tcW w:w="1657" w:type="dxa"/>
            <w:vAlign w:val="center"/>
          </w:tcPr>
          <w:p w14:paraId="58419691" w14:textId="77777777" w:rsidR="008D4491" w:rsidRPr="00DB3FE7" w:rsidRDefault="008D4491" w:rsidP="00C91ADA">
            <w:pPr>
              <w:keepLines/>
              <w:rPr>
                <w:rFonts w:ascii="Arial Narrow" w:hAnsi="Arial Narrow"/>
                <w:color w:val="0066FF"/>
                <w:sz w:val="20"/>
                <w:szCs w:val="20"/>
              </w:rPr>
            </w:pPr>
            <w:r w:rsidRPr="00DB3FE7">
              <w:rPr>
                <w:rFonts w:ascii="Arial Narrow" w:hAnsi="Arial Narrow"/>
                <w:sz w:val="20"/>
                <w:szCs w:val="20"/>
              </w:rPr>
              <w:t>Leqvio</w:t>
            </w:r>
          </w:p>
        </w:tc>
      </w:tr>
      <w:tr w:rsidR="00F25B51" w:rsidRPr="00DB3FE7" w14:paraId="189E98DA"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7F591C46" w14:textId="77777777" w:rsidR="00F25B51" w:rsidRPr="00DB3FE7" w:rsidRDefault="00F25B51" w:rsidP="00C91ADA">
            <w:pPr>
              <w:pStyle w:val="TableText"/>
              <w:keepNext w:val="0"/>
              <w:keepLines/>
              <w:rPr>
                <w:b/>
              </w:rPr>
            </w:pPr>
            <w:r w:rsidRPr="00DB3FE7">
              <w:rPr>
                <w:b/>
              </w:rPr>
              <w:t xml:space="preserve">Category / Program: </w:t>
            </w:r>
            <w:r w:rsidRPr="00DB3FE7">
              <w:t>GENERAL – General Schedule (Code GE)</w:t>
            </w:r>
          </w:p>
        </w:tc>
      </w:tr>
      <w:tr w:rsidR="00F25B51" w:rsidRPr="00DB3FE7" w14:paraId="09E88F6F"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75A9A92" w14:textId="35B1EAB0" w:rsidR="00F25B51" w:rsidRPr="00D2286B" w:rsidRDefault="00F25B51" w:rsidP="00C91ADA">
            <w:pPr>
              <w:pStyle w:val="TableText"/>
              <w:keepNext w:val="0"/>
              <w:keepLines/>
              <w:rPr>
                <w:b/>
              </w:rPr>
            </w:pPr>
            <w:r w:rsidRPr="00DB3FE7">
              <w:rPr>
                <w:b/>
              </w:rPr>
              <w:t xml:space="preserve">Prescriber type: </w:t>
            </w:r>
            <w:r w:rsidRPr="009D5406">
              <w:fldChar w:fldCharType="begin" w:fldLock="1">
                <w:ffData>
                  <w:name w:val="Check1"/>
                  <w:enabled/>
                  <w:calcOnExit w:val="0"/>
                  <w:checkBox>
                    <w:sizeAuto/>
                    <w:default w:val="0"/>
                  </w:checkBox>
                </w:ffData>
              </w:fldChar>
            </w:r>
            <w:r w:rsidRPr="00DB3FE7">
              <w:instrText xml:space="preserve"> FORMCHECKBOX </w:instrText>
            </w:r>
            <w:r w:rsidR="00D71C83">
              <w:fldChar w:fldCharType="separate"/>
            </w:r>
            <w:r w:rsidRPr="009D5406">
              <w:fldChar w:fldCharType="end"/>
            </w:r>
            <w:r w:rsidRPr="0042765C">
              <w:t xml:space="preserve">Dental </w:t>
            </w:r>
            <w:r w:rsidRPr="009D5406">
              <w:fldChar w:fldCharType="begin" w:fldLock="1">
                <w:ffData>
                  <w:name w:val="Check1"/>
                  <w:enabled/>
                  <w:calcOnExit w:val="0"/>
                  <w:checkBox>
                    <w:sizeAuto/>
                    <w:default w:val="1"/>
                  </w:checkBox>
                </w:ffData>
              </w:fldChar>
            </w:r>
            <w:r w:rsidRPr="00DB3FE7">
              <w:instrText xml:space="preserve"> FORMCHECKBOX </w:instrText>
            </w:r>
            <w:r w:rsidR="00D71C83">
              <w:fldChar w:fldCharType="separate"/>
            </w:r>
            <w:r w:rsidRPr="009D5406">
              <w:fldChar w:fldCharType="end"/>
            </w:r>
            <w:r w:rsidRPr="0042765C">
              <w:t xml:space="preserve">Medical Practitioners </w:t>
            </w:r>
            <w:r w:rsidRPr="009D5406">
              <w:fldChar w:fldCharType="begin" w:fldLock="1">
                <w:ffData>
                  <w:name w:val=""/>
                  <w:enabled/>
                  <w:calcOnExit w:val="0"/>
                  <w:checkBox>
                    <w:sizeAuto/>
                    <w:default w:val="0"/>
                  </w:checkBox>
                </w:ffData>
              </w:fldChar>
            </w:r>
            <w:r w:rsidRPr="00DB3FE7">
              <w:instrText xml:space="preserve"> FORMCHECKBOX </w:instrText>
            </w:r>
            <w:r w:rsidR="00D71C83">
              <w:fldChar w:fldCharType="separate"/>
            </w:r>
            <w:r w:rsidRPr="009D5406">
              <w:fldChar w:fldCharType="end"/>
            </w:r>
            <w:r w:rsidRPr="0042765C">
              <w:t xml:space="preserve">Nurse practitioners </w:t>
            </w:r>
            <w:r w:rsidRPr="009D5406">
              <w:fldChar w:fldCharType="begin" w:fldLock="1">
                <w:ffData>
                  <w:name w:val="Check1"/>
                  <w:enabled/>
                  <w:calcOnExit w:val="0"/>
                  <w:checkBox>
                    <w:sizeAuto/>
                    <w:default w:val="0"/>
                  </w:checkBox>
                </w:ffData>
              </w:fldChar>
            </w:r>
            <w:r w:rsidRPr="00DB3FE7">
              <w:instrText xml:space="preserve"> FORMCHECKBOX </w:instrText>
            </w:r>
            <w:r w:rsidR="00D71C83">
              <w:fldChar w:fldCharType="separate"/>
            </w:r>
            <w:r w:rsidRPr="009D5406">
              <w:fldChar w:fldCharType="end"/>
            </w:r>
            <w:r w:rsidRPr="0042765C">
              <w:t>Optomet</w:t>
            </w:r>
            <w:r w:rsidRPr="00D2286B">
              <w:t xml:space="preserve">rists </w:t>
            </w:r>
            <w:r w:rsidRPr="009D5406">
              <w:fldChar w:fldCharType="begin" w:fldLock="1">
                <w:ffData>
                  <w:name w:val="Check1"/>
                  <w:enabled/>
                  <w:calcOnExit w:val="0"/>
                  <w:checkBox>
                    <w:sizeAuto/>
                    <w:default w:val="0"/>
                  </w:checkBox>
                </w:ffData>
              </w:fldChar>
            </w:r>
            <w:r w:rsidRPr="00DB3FE7">
              <w:instrText xml:space="preserve"> FORMCHECKBOX </w:instrText>
            </w:r>
            <w:r w:rsidR="00D71C83">
              <w:fldChar w:fldCharType="separate"/>
            </w:r>
            <w:r w:rsidRPr="009D5406">
              <w:fldChar w:fldCharType="end"/>
            </w:r>
            <w:r w:rsidRPr="0042765C">
              <w:t>Midwives</w:t>
            </w:r>
          </w:p>
        </w:tc>
      </w:tr>
      <w:tr w:rsidR="00F25B51" w:rsidRPr="00DB3FE7" w14:paraId="7BECD780"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9D3583C" w14:textId="77777777" w:rsidR="00F25B51" w:rsidRPr="00DB3FE7" w:rsidRDefault="00F25B51" w:rsidP="00C91ADA">
            <w:pPr>
              <w:pStyle w:val="TableText"/>
              <w:keepNext w:val="0"/>
              <w:keepLines/>
              <w:rPr>
                <w:b/>
              </w:rPr>
            </w:pPr>
            <w:r w:rsidRPr="00DB3FE7">
              <w:rPr>
                <w:b/>
              </w:rPr>
              <w:t xml:space="preserve">PBS Indication: </w:t>
            </w:r>
            <w:r w:rsidRPr="00DB3FE7">
              <w:t>Hypercholesterolaemia</w:t>
            </w:r>
          </w:p>
        </w:tc>
      </w:tr>
      <w:tr w:rsidR="00F25B51" w:rsidRPr="00DB3FE7" w14:paraId="4C8D5973"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4814444F" w14:textId="77777777" w:rsidR="00F25B51" w:rsidRPr="00D2286B" w:rsidRDefault="00F25B51" w:rsidP="00C91ADA">
            <w:pPr>
              <w:pStyle w:val="TableText"/>
              <w:keepNext w:val="0"/>
              <w:keepLines/>
              <w:rPr>
                <w:i/>
              </w:rPr>
            </w:pPr>
            <w:r w:rsidRPr="00DB3FE7">
              <w:rPr>
                <w:b/>
              </w:rPr>
              <w:t xml:space="preserve">Restriction: </w:t>
            </w:r>
            <w:r w:rsidRPr="009D5406">
              <w:fldChar w:fldCharType="begin" w:fldLock="1">
                <w:ffData>
                  <w:name w:val="Check5"/>
                  <w:enabled/>
                  <w:calcOnExit w:val="0"/>
                  <w:checkBox>
                    <w:sizeAuto/>
                    <w:default w:val="1"/>
                  </w:checkBox>
                </w:ffData>
              </w:fldChar>
            </w:r>
            <w:r w:rsidRPr="00DB3FE7">
              <w:instrText xml:space="preserve"> FORMCHECKBOX </w:instrText>
            </w:r>
            <w:r w:rsidR="00D71C83">
              <w:fldChar w:fldCharType="separate"/>
            </w:r>
            <w:r w:rsidRPr="009D5406">
              <w:fldChar w:fldCharType="end"/>
            </w:r>
            <w:r w:rsidRPr="0042765C">
              <w:t>Streamlined</w:t>
            </w:r>
          </w:p>
        </w:tc>
      </w:tr>
      <w:tr w:rsidR="00F25B51" w:rsidRPr="00DB3FE7" w14:paraId="48532768"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65AD66F1" w14:textId="77777777" w:rsidR="00F25B51" w:rsidRPr="00DB3FE7" w:rsidRDefault="00F25B51" w:rsidP="00C91ADA">
            <w:pPr>
              <w:pStyle w:val="PBACTabletext0"/>
              <w:keepNext w:val="0"/>
              <w:rPr>
                <w:rFonts w:eastAsia="Calibri"/>
              </w:rPr>
            </w:pPr>
            <w:r w:rsidRPr="00DB3FE7">
              <w:rPr>
                <w:b/>
              </w:rPr>
              <w:t>CLINICAL CRITERIA FOR INITIAL THERAPY</w:t>
            </w:r>
          </w:p>
        </w:tc>
      </w:tr>
      <w:tr w:rsidR="00F25B51" w:rsidRPr="00DB3FE7" w14:paraId="747A66BF"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91BA449" w14:textId="77777777" w:rsidR="00F25B51" w:rsidRPr="00DB3FE7" w:rsidRDefault="00F25B51" w:rsidP="00C91ADA">
            <w:pPr>
              <w:pStyle w:val="PBACTabletext0"/>
              <w:keepNext w:val="0"/>
              <w:rPr>
                <w:b/>
              </w:rPr>
            </w:pPr>
            <w:r w:rsidRPr="00DB3FE7">
              <w:rPr>
                <w:b/>
              </w:rPr>
              <w:t>Clinical criteria:</w:t>
            </w:r>
          </w:p>
        </w:tc>
      </w:tr>
      <w:tr w:rsidR="00F25B51" w:rsidRPr="00DB3FE7" w14:paraId="1304E304"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6C4B29D" w14:textId="77777777" w:rsidR="00F25B51" w:rsidRPr="00DB3FE7" w:rsidRDefault="00F25B51" w:rsidP="00C91ADA">
            <w:pPr>
              <w:pStyle w:val="PBACTabletext0"/>
              <w:keepNext w:val="0"/>
              <w:rPr>
                <w:rFonts w:eastAsia="Calibri"/>
              </w:rPr>
            </w:pPr>
            <w:r w:rsidRPr="00DB3FE7">
              <w:rPr>
                <w:rFonts w:eastAsia="Calibri"/>
              </w:rPr>
              <w:t>The treatment must be in conjunction with dietary therapy and exercise</w:t>
            </w:r>
          </w:p>
        </w:tc>
      </w:tr>
      <w:tr w:rsidR="00F25B51" w:rsidRPr="00DB3FE7" w14:paraId="509D68EA"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D85C9D9" w14:textId="77777777" w:rsidR="00F25B51" w:rsidRPr="00DB3FE7" w:rsidRDefault="00F25B51" w:rsidP="00C91ADA">
            <w:pPr>
              <w:pStyle w:val="PBACTabletext0"/>
              <w:keepNext w:val="0"/>
              <w:rPr>
                <w:rFonts w:eastAsia="Calibri"/>
                <w:b/>
                <w:bCs/>
              </w:rPr>
            </w:pPr>
            <w:r w:rsidRPr="00DB3FE7">
              <w:rPr>
                <w:rFonts w:eastAsia="Calibri"/>
                <w:b/>
                <w:bCs/>
              </w:rPr>
              <w:t>AND</w:t>
            </w:r>
          </w:p>
        </w:tc>
      </w:tr>
      <w:tr w:rsidR="00F25B51" w:rsidRPr="00DB3FE7" w14:paraId="3492BF45"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41CEC61B" w14:textId="77777777" w:rsidR="00F25B51" w:rsidRPr="00DB3FE7" w:rsidRDefault="00F25B51" w:rsidP="00C91ADA">
            <w:pPr>
              <w:pStyle w:val="PBACTabletext0"/>
              <w:keepNext w:val="0"/>
              <w:rPr>
                <w:rFonts w:eastAsia="Calibri"/>
              </w:rPr>
            </w:pPr>
            <w:r w:rsidRPr="00DB3FE7">
              <w:rPr>
                <w:b/>
              </w:rPr>
              <w:t>Clinical criteria:</w:t>
            </w:r>
          </w:p>
        </w:tc>
      </w:tr>
      <w:tr w:rsidR="00F25B51" w:rsidRPr="00DB3FE7" w14:paraId="7F67C5F2"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7CC07C26" w14:textId="77777777" w:rsidR="00F25B51" w:rsidRPr="00DB3FE7" w:rsidRDefault="00F25B51" w:rsidP="00C91ADA">
            <w:pPr>
              <w:pStyle w:val="PBACTabletext0"/>
              <w:keepNext w:val="0"/>
              <w:rPr>
                <w:rFonts w:eastAsia="Calibri"/>
              </w:rPr>
            </w:pPr>
            <w:r w:rsidRPr="00DB3FE7">
              <w:rPr>
                <w:rFonts w:eastAsia="Calibri"/>
              </w:rPr>
              <w:t>Patient must have symptomatic high risk atherosclerotic cardiovascular disease</w:t>
            </w:r>
          </w:p>
        </w:tc>
      </w:tr>
      <w:tr w:rsidR="00F25B51" w:rsidRPr="00DB3FE7" w14:paraId="6C38EECC"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4B21D6C4" w14:textId="77777777" w:rsidR="00F25B51" w:rsidRPr="00DB3FE7" w:rsidRDefault="00F25B51" w:rsidP="00C91ADA">
            <w:pPr>
              <w:pStyle w:val="PBACTabletext0"/>
              <w:keepNext w:val="0"/>
              <w:rPr>
                <w:rFonts w:eastAsia="Calibri"/>
                <w:b/>
                <w:bCs/>
              </w:rPr>
            </w:pPr>
            <w:r w:rsidRPr="00DB3FE7">
              <w:rPr>
                <w:rFonts w:eastAsia="Calibri"/>
                <w:b/>
                <w:bCs/>
              </w:rPr>
              <w:t>AND</w:t>
            </w:r>
          </w:p>
        </w:tc>
      </w:tr>
      <w:tr w:rsidR="00F25B51" w:rsidRPr="00DB3FE7" w14:paraId="02E5238B"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5F2E00E4" w14:textId="77777777" w:rsidR="00F25B51" w:rsidRPr="00DB3FE7" w:rsidRDefault="00F25B51" w:rsidP="00C91ADA">
            <w:pPr>
              <w:pStyle w:val="PBACTabletext0"/>
              <w:keepNext w:val="0"/>
              <w:rPr>
                <w:rFonts w:eastAsia="Calibri"/>
                <w:szCs w:val="18"/>
              </w:rPr>
            </w:pPr>
            <w:r w:rsidRPr="00DB3FE7">
              <w:rPr>
                <w:b/>
              </w:rPr>
              <w:t>Clinical criteria:</w:t>
            </w:r>
          </w:p>
        </w:tc>
      </w:tr>
      <w:tr w:rsidR="00F25B51" w:rsidRPr="00DB3FE7" w14:paraId="7BFEE116"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2B913083" w14:textId="77777777" w:rsidR="00F25B51" w:rsidRPr="00DB3FE7" w:rsidRDefault="00F25B51" w:rsidP="00C91ADA">
            <w:pPr>
              <w:pStyle w:val="PBACTabletext0"/>
              <w:keepNext w:val="0"/>
              <w:rPr>
                <w:rFonts w:eastAsia="Calibri"/>
                <w:szCs w:val="18"/>
              </w:rPr>
            </w:pPr>
            <w:r w:rsidRPr="00DB3FE7">
              <w:rPr>
                <w:rFonts w:eastAsia="Calibri"/>
                <w:szCs w:val="18"/>
              </w:rPr>
              <w:t xml:space="preserve">Patient must have an LDL cholesterol level in excess of 1.8 mmol/L; </w:t>
            </w:r>
            <w:r w:rsidRPr="00DB3FE7">
              <w:rPr>
                <w:rFonts w:eastAsia="Calibri"/>
                <w:bCs/>
                <w:szCs w:val="18"/>
              </w:rPr>
              <w:t>OR</w:t>
            </w:r>
            <w:r w:rsidRPr="00DB3FE7">
              <w:rPr>
                <w:rFonts w:eastAsia="Calibri"/>
                <w:szCs w:val="18"/>
              </w:rPr>
              <w:t xml:space="preserve"> </w:t>
            </w:r>
          </w:p>
        </w:tc>
      </w:tr>
      <w:tr w:rsidR="00F25B51" w:rsidRPr="00DB3FE7" w14:paraId="435AFFB4"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7C0E157B" w14:textId="77777777" w:rsidR="00F25B51" w:rsidRPr="00DB3FE7" w:rsidRDefault="00F25B51" w:rsidP="00C91ADA">
            <w:pPr>
              <w:pStyle w:val="PBACTabletext0"/>
              <w:keepNext w:val="0"/>
              <w:rPr>
                <w:rFonts w:eastAsia="Calibri"/>
                <w:szCs w:val="18"/>
              </w:rPr>
            </w:pPr>
            <w:r w:rsidRPr="00DB3FE7">
              <w:rPr>
                <w:rFonts w:eastAsia="Calibri"/>
                <w:szCs w:val="18"/>
              </w:rPr>
              <w:t>Patient must be currently treated with ezetimibe</w:t>
            </w:r>
          </w:p>
        </w:tc>
      </w:tr>
      <w:tr w:rsidR="00F25B51" w:rsidRPr="00DB3FE7" w14:paraId="31052498"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5106526" w14:textId="77777777" w:rsidR="00F25B51" w:rsidRPr="00DB3FE7" w:rsidRDefault="00F25B51" w:rsidP="00C91ADA">
            <w:pPr>
              <w:pStyle w:val="PBACTabletext0"/>
              <w:keepNext w:val="0"/>
              <w:suppressLineNumbers w:val="0"/>
              <w:rPr>
                <w:rFonts w:eastAsia="Calibri"/>
                <w:b/>
                <w:bCs/>
              </w:rPr>
            </w:pPr>
            <w:r w:rsidRPr="00DB3FE7">
              <w:rPr>
                <w:rFonts w:eastAsia="Calibri"/>
                <w:b/>
                <w:bCs/>
              </w:rPr>
              <w:t>AND</w:t>
            </w:r>
          </w:p>
        </w:tc>
      </w:tr>
      <w:tr w:rsidR="00F25B51" w:rsidRPr="00DB3FE7" w14:paraId="62873485"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2D59A121" w14:textId="77777777" w:rsidR="00F25B51" w:rsidRPr="00DB3FE7" w:rsidRDefault="00F25B51" w:rsidP="00C91ADA">
            <w:pPr>
              <w:pStyle w:val="PBACTabletext0"/>
              <w:keepNext w:val="0"/>
              <w:rPr>
                <w:rFonts w:eastAsia="Calibri"/>
              </w:rPr>
            </w:pPr>
            <w:r w:rsidRPr="00DB3FE7">
              <w:rPr>
                <w:b/>
              </w:rPr>
              <w:t>Clinical criteria:</w:t>
            </w:r>
          </w:p>
        </w:tc>
      </w:tr>
      <w:tr w:rsidR="00F25B51" w:rsidRPr="00DB3FE7" w14:paraId="507326F5"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0"/>
        </w:trPr>
        <w:tc>
          <w:tcPr>
            <w:tcW w:w="9017" w:type="dxa"/>
            <w:gridSpan w:val="6"/>
            <w:tcBorders>
              <w:top w:val="single" w:sz="4" w:space="0" w:color="auto"/>
              <w:left w:val="single" w:sz="4" w:space="0" w:color="auto"/>
              <w:bottom w:val="single" w:sz="4" w:space="0" w:color="auto"/>
              <w:right w:val="single" w:sz="4" w:space="0" w:color="auto"/>
            </w:tcBorders>
          </w:tcPr>
          <w:p w14:paraId="77F6C1BB" w14:textId="77777777" w:rsidR="00F25B51" w:rsidRPr="00DB3FE7" w:rsidRDefault="00F25B51" w:rsidP="00C91ADA">
            <w:pPr>
              <w:pStyle w:val="PBACTabletext0"/>
              <w:keepNext w:val="0"/>
              <w:rPr>
                <w:rFonts w:eastAsia="Calibri"/>
              </w:rPr>
            </w:pPr>
            <w:r w:rsidRPr="00DB3FE7">
              <w:rPr>
                <w:rFonts w:eastAsia="Calibri"/>
              </w:rPr>
              <w:t xml:space="preserve">Patient must have atherosclerotic disease in two or more vascular territories (coronary, cerebrovascular or peripheral vascular territories); </w:t>
            </w:r>
            <w:r w:rsidRPr="00DB3FE7">
              <w:rPr>
                <w:rFonts w:eastAsia="Calibri"/>
                <w:bCs/>
              </w:rPr>
              <w:t>OR</w:t>
            </w:r>
          </w:p>
        </w:tc>
      </w:tr>
      <w:tr w:rsidR="00F25B51" w:rsidRPr="00DB3FE7" w14:paraId="5F55D285"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6CAA60F0" w14:textId="77777777" w:rsidR="00F25B51" w:rsidRPr="00DB3FE7" w:rsidRDefault="00F25B51" w:rsidP="00C91ADA">
            <w:pPr>
              <w:pStyle w:val="PBACTabletext0"/>
              <w:keepNext w:val="0"/>
              <w:rPr>
                <w:rFonts w:eastAsia="Calibri"/>
              </w:rPr>
            </w:pPr>
            <w:r w:rsidRPr="00DB3FE7">
              <w:rPr>
                <w:rFonts w:eastAsia="Calibri"/>
              </w:rPr>
              <w:t xml:space="preserve">Patient must have severe multi-vessel coronary heart disease defined as at least 50% stenosis in at least two large vessels; </w:t>
            </w:r>
            <w:r w:rsidRPr="00DB3FE7">
              <w:rPr>
                <w:rFonts w:eastAsia="Calibri"/>
                <w:bCs/>
              </w:rPr>
              <w:t>OR</w:t>
            </w:r>
          </w:p>
        </w:tc>
      </w:tr>
      <w:tr w:rsidR="00F25B51" w:rsidRPr="00DB3FE7" w14:paraId="38005B3D"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7A7A118E" w14:textId="77777777" w:rsidR="00F25B51" w:rsidRPr="00DB3FE7" w:rsidRDefault="00F25B51" w:rsidP="00C91ADA">
            <w:pPr>
              <w:pStyle w:val="PBACTabletext0"/>
              <w:keepNext w:val="0"/>
              <w:rPr>
                <w:rFonts w:eastAsia="Calibri"/>
              </w:rPr>
            </w:pPr>
            <w:r w:rsidRPr="00DB3FE7">
              <w:rPr>
                <w:rFonts w:eastAsia="Calibri"/>
              </w:rPr>
              <w:t xml:space="preserve">Patient must have had at least two major cardiovascular events (i.e. myocardial infarction, unstable angina, stroke or unplanned revascularisation) in the previous 5 years; </w:t>
            </w:r>
            <w:r w:rsidRPr="00DB3FE7">
              <w:rPr>
                <w:rFonts w:eastAsia="Calibri"/>
                <w:bCs/>
              </w:rPr>
              <w:t>OR</w:t>
            </w:r>
          </w:p>
        </w:tc>
      </w:tr>
      <w:tr w:rsidR="00F25B51" w:rsidRPr="00DB3FE7" w14:paraId="555A1480"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00B9074F" w14:textId="77777777" w:rsidR="00F25B51" w:rsidRPr="00DB3FE7" w:rsidRDefault="00F25B51" w:rsidP="00C91ADA">
            <w:pPr>
              <w:pStyle w:val="PBACTabletext0"/>
              <w:keepNext w:val="0"/>
              <w:rPr>
                <w:rFonts w:eastAsia="Calibri"/>
              </w:rPr>
            </w:pPr>
            <w:r w:rsidRPr="00DB3FE7">
              <w:rPr>
                <w:rFonts w:eastAsia="Calibri"/>
              </w:rPr>
              <w:t xml:space="preserve">Patient must have diabetes mellitus with microalbuminuria; </w:t>
            </w:r>
            <w:r w:rsidRPr="00DB3FE7">
              <w:rPr>
                <w:rFonts w:eastAsia="Calibri"/>
                <w:bCs/>
              </w:rPr>
              <w:t>OR</w:t>
            </w:r>
          </w:p>
        </w:tc>
      </w:tr>
      <w:tr w:rsidR="00F25B51" w:rsidRPr="00DB3FE7" w14:paraId="284AB8A8"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7BD1522E" w14:textId="77777777" w:rsidR="00F25B51" w:rsidRPr="00DB3FE7" w:rsidRDefault="00F25B51" w:rsidP="00C91ADA">
            <w:pPr>
              <w:pStyle w:val="PBACTabletext0"/>
              <w:keepNext w:val="0"/>
              <w:rPr>
                <w:rFonts w:eastAsia="Calibri"/>
              </w:rPr>
            </w:pPr>
            <w:r w:rsidRPr="00DB3FE7">
              <w:rPr>
                <w:rFonts w:eastAsia="Calibri"/>
              </w:rPr>
              <w:t xml:space="preserve">Patient must have diabetes mellitus and be aged 60 years or more; </w:t>
            </w:r>
            <w:r w:rsidRPr="00DB3FE7">
              <w:rPr>
                <w:rFonts w:eastAsia="Calibri"/>
                <w:bCs/>
              </w:rPr>
              <w:t>OR</w:t>
            </w:r>
          </w:p>
        </w:tc>
      </w:tr>
      <w:tr w:rsidR="00F25B51" w:rsidRPr="00DB3FE7" w14:paraId="2DF54A42"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559AC7F1" w14:textId="77777777" w:rsidR="00F25B51" w:rsidRPr="00DB3FE7" w:rsidRDefault="00F25B51" w:rsidP="00C91ADA">
            <w:pPr>
              <w:pStyle w:val="PBACTabletext0"/>
              <w:keepNext w:val="0"/>
              <w:rPr>
                <w:rFonts w:eastAsia="Calibri"/>
              </w:rPr>
            </w:pPr>
            <w:r w:rsidRPr="00DB3FE7">
              <w:rPr>
                <w:rFonts w:eastAsia="Calibri"/>
              </w:rPr>
              <w:t xml:space="preserve">Patient must be an Aboriginal or Torres Strait Islander with diabetes mellitus; </w:t>
            </w:r>
            <w:r w:rsidRPr="00DB3FE7">
              <w:rPr>
                <w:rFonts w:eastAsia="Calibri"/>
                <w:bCs/>
              </w:rPr>
              <w:t>OR</w:t>
            </w:r>
          </w:p>
        </w:tc>
      </w:tr>
      <w:tr w:rsidR="00F25B51" w:rsidRPr="00DB3FE7" w14:paraId="34E6EFE9"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362E9A6C" w14:textId="77777777" w:rsidR="00F25B51" w:rsidRPr="00DB3FE7" w:rsidRDefault="00F25B51" w:rsidP="00C91ADA">
            <w:pPr>
              <w:pStyle w:val="PBACTabletext0"/>
              <w:keepNext w:val="0"/>
              <w:rPr>
                <w:rFonts w:eastAsia="Calibri"/>
              </w:rPr>
            </w:pPr>
            <w:r w:rsidRPr="00DB3FE7">
              <w:rPr>
                <w:rFonts w:eastAsia="Calibri"/>
              </w:rPr>
              <w:t>Patient must have a Thrombolysis in Myocardial Infarction (TIMI) risk score for secondary prevention of 4 or higher;</w:t>
            </w:r>
          </w:p>
        </w:tc>
      </w:tr>
      <w:tr w:rsidR="00F25B51" w:rsidRPr="00DB3FE7" w14:paraId="69BE1415"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A8E8CD9" w14:textId="77777777" w:rsidR="00F25B51" w:rsidRPr="00DB3FE7" w:rsidRDefault="00F25B51" w:rsidP="00C91ADA">
            <w:pPr>
              <w:pStyle w:val="PBACTabletext0"/>
              <w:keepNext w:val="0"/>
              <w:rPr>
                <w:rFonts w:eastAsia="Calibri"/>
                <w:b/>
                <w:bCs/>
              </w:rPr>
            </w:pPr>
            <w:r w:rsidRPr="00DB3FE7">
              <w:rPr>
                <w:rFonts w:eastAsia="Calibri"/>
                <w:b/>
                <w:bCs/>
              </w:rPr>
              <w:t>AND</w:t>
            </w:r>
          </w:p>
        </w:tc>
      </w:tr>
      <w:tr w:rsidR="00F25B51" w:rsidRPr="00DB3FE7" w14:paraId="182E943B"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3C154CC2" w14:textId="77777777" w:rsidR="00F25B51" w:rsidRPr="00DB3FE7" w:rsidRDefault="00F25B51" w:rsidP="00C91ADA">
            <w:pPr>
              <w:pStyle w:val="PBACTabletext0"/>
              <w:keepNext w:val="0"/>
              <w:rPr>
                <w:rFonts w:eastAsia="Calibri"/>
                <w:b/>
                <w:bCs/>
              </w:rPr>
            </w:pPr>
            <w:r w:rsidRPr="00DB3FE7">
              <w:rPr>
                <w:b/>
              </w:rPr>
              <w:t>Clinical criteria:</w:t>
            </w:r>
          </w:p>
        </w:tc>
      </w:tr>
      <w:tr w:rsidR="00F25B51" w:rsidRPr="00DB3FE7" w14:paraId="742C2616"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6"/>
        </w:trPr>
        <w:tc>
          <w:tcPr>
            <w:tcW w:w="9017" w:type="dxa"/>
            <w:gridSpan w:val="6"/>
            <w:tcBorders>
              <w:top w:val="single" w:sz="4" w:space="0" w:color="auto"/>
              <w:left w:val="single" w:sz="4" w:space="0" w:color="auto"/>
              <w:bottom w:val="single" w:sz="4" w:space="0" w:color="auto"/>
              <w:right w:val="single" w:sz="4" w:space="0" w:color="auto"/>
            </w:tcBorders>
          </w:tcPr>
          <w:p w14:paraId="4DF96889" w14:textId="77777777" w:rsidR="00F25B51" w:rsidRPr="00DB3FE7" w:rsidRDefault="00F25B51" w:rsidP="00C91ADA">
            <w:pPr>
              <w:pStyle w:val="PBACTabletext0"/>
              <w:keepNext w:val="0"/>
              <w:rPr>
                <w:rFonts w:eastAsia="Calibri"/>
              </w:rPr>
            </w:pPr>
            <w:r w:rsidRPr="00DB3FE7">
              <w:rPr>
                <w:rFonts w:eastAsia="Calibri"/>
              </w:rPr>
              <w:t xml:space="preserve">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w:t>
            </w:r>
            <w:r w:rsidRPr="00DB3FE7">
              <w:rPr>
                <w:rFonts w:eastAsia="Calibri"/>
                <w:bCs/>
              </w:rPr>
              <w:t>OR</w:t>
            </w:r>
          </w:p>
        </w:tc>
      </w:tr>
      <w:tr w:rsidR="00F25B51" w:rsidRPr="00DB3FE7" w14:paraId="7FAFF392"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9017" w:type="dxa"/>
            <w:gridSpan w:val="6"/>
            <w:tcBorders>
              <w:top w:val="single" w:sz="4" w:space="0" w:color="auto"/>
              <w:left w:val="single" w:sz="4" w:space="0" w:color="auto"/>
              <w:bottom w:val="single" w:sz="4" w:space="0" w:color="auto"/>
              <w:right w:val="single" w:sz="4" w:space="0" w:color="auto"/>
            </w:tcBorders>
          </w:tcPr>
          <w:p w14:paraId="5CBDFD6C" w14:textId="77777777" w:rsidR="00F25B51" w:rsidRPr="00DB3FE7" w:rsidRDefault="00F25B51" w:rsidP="00C91ADA">
            <w:pPr>
              <w:pStyle w:val="PBACTabletext0"/>
              <w:keepNext w:val="0"/>
              <w:rPr>
                <w:rFonts w:eastAsia="Calibri"/>
              </w:rPr>
            </w:pPr>
            <w:r w:rsidRPr="00DB3FE7">
              <w:rPr>
                <w:rFonts w:eastAsia="Calibri"/>
              </w:rPr>
              <w:t xml:space="preserve">Patient must have developed clinically important product-related adverse events necessitating withdrawal of statin treatment to trials of each of atorvastatin and rosuvastatin; </w:t>
            </w:r>
            <w:r w:rsidRPr="00DB3FE7">
              <w:rPr>
                <w:rFonts w:eastAsia="Calibri"/>
                <w:bCs/>
              </w:rPr>
              <w:t>OR</w:t>
            </w:r>
          </w:p>
        </w:tc>
      </w:tr>
      <w:tr w:rsidR="00F25B51" w:rsidRPr="00DB3FE7" w14:paraId="155EEAC2"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9017" w:type="dxa"/>
            <w:gridSpan w:val="6"/>
            <w:tcBorders>
              <w:top w:val="single" w:sz="4" w:space="0" w:color="auto"/>
              <w:left w:val="single" w:sz="4" w:space="0" w:color="auto"/>
              <w:bottom w:val="single" w:sz="4" w:space="0" w:color="auto"/>
              <w:right w:val="single" w:sz="4" w:space="0" w:color="auto"/>
            </w:tcBorders>
          </w:tcPr>
          <w:p w14:paraId="1C2011FD" w14:textId="77777777" w:rsidR="00F25B51" w:rsidRPr="00DB3FE7" w:rsidRDefault="00F25B51" w:rsidP="00C91ADA">
            <w:pPr>
              <w:pStyle w:val="PBACTabletext0"/>
              <w:keepNext w:val="0"/>
              <w:rPr>
                <w:rFonts w:eastAsia="Calibri"/>
              </w:rPr>
            </w:pPr>
            <w:r w:rsidRPr="00DB3FE7">
              <w:rPr>
                <w:rFonts w:eastAsia="Calibri"/>
              </w:rPr>
              <w:t>Patient must be contraindicated to treatment with a HMG CoA reductase inhibitor (statin) as defined in the TGA-approved Product Information</w:t>
            </w:r>
          </w:p>
        </w:tc>
      </w:tr>
      <w:tr w:rsidR="00F25B51" w:rsidRPr="00DB3FE7" w14:paraId="1E5C3C60"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7560D1C4" w14:textId="77777777" w:rsidR="00F25B51" w:rsidRPr="00DB3FE7" w:rsidRDefault="00F25B51" w:rsidP="00C91ADA">
            <w:pPr>
              <w:pStyle w:val="PBACTabletext0"/>
              <w:keepNext w:val="0"/>
              <w:rPr>
                <w:rFonts w:eastAsia="Calibri"/>
              </w:rPr>
            </w:pPr>
            <w:r w:rsidRPr="00DB3FE7">
              <w:rPr>
                <w:b/>
              </w:rPr>
              <w:t>CLINICAL CRITERIA FOR CONTINUING THERAPY</w:t>
            </w:r>
          </w:p>
        </w:tc>
      </w:tr>
      <w:tr w:rsidR="00F25B51" w:rsidRPr="00DB3FE7" w14:paraId="2B73ADCD"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5384DF34" w14:textId="77777777" w:rsidR="00F25B51" w:rsidRPr="00DB3FE7" w:rsidRDefault="00F25B51" w:rsidP="00C91ADA">
            <w:pPr>
              <w:pStyle w:val="PBACTabletext0"/>
              <w:keepNext w:val="0"/>
              <w:rPr>
                <w:b/>
              </w:rPr>
            </w:pPr>
            <w:r w:rsidRPr="00DB3FE7">
              <w:rPr>
                <w:b/>
              </w:rPr>
              <w:t>Clinical criteria:</w:t>
            </w:r>
          </w:p>
        </w:tc>
      </w:tr>
      <w:tr w:rsidR="00F25B51" w:rsidRPr="00DB3FE7" w14:paraId="0644CED8"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0FDF5822" w14:textId="77777777" w:rsidR="00F25B51" w:rsidRPr="00DB3FE7" w:rsidRDefault="00F25B51" w:rsidP="00C91ADA">
            <w:pPr>
              <w:pStyle w:val="PBACTabletext0"/>
              <w:keepNext w:val="0"/>
              <w:rPr>
                <w:rFonts w:eastAsia="Calibri"/>
              </w:rPr>
            </w:pPr>
            <w:r w:rsidRPr="00DB3FE7">
              <w:rPr>
                <w:rFonts w:eastAsia="Calibri"/>
              </w:rPr>
              <w:t xml:space="preserve">Patient must have previously received PBS-subsidised treatment with this drug for this condition </w:t>
            </w:r>
          </w:p>
        </w:tc>
      </w:tr>
      <w:tr w:rsidR="00F25B51" w:rsidRPr="00DB3FE7" w14:paraId="1800A042"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18BFFAAE" w14:textId="77777777" w:rsidR="00F25B51" w:rsidRPr="00DB3FE7" w:rsidRDefault="00F25B51" w:rsidP="00C91ADA">
            <w:pPr>
              <w:pStyle w:val="PBACTabletext0"/>
              <w:keepNext w:val="0"/>
              <w:rPr>
                <w:rFonts w:eastAsia="Calibri"/>
                <w:b/>
                <w:bCs/>
              </w:rPr>
            </w:pPr>
            <w:r w:rsidRPr="00DB3FE7">
              <w:rPr>
                <w:rFonts w:eastAsia="Calibri"/>
                <w:b/>
                <w:bCs/>
              </w:rPr>
              <w:t>AND</w:t>
            </w:r>
          </w:p>
        </w:tc>
      </w:tr>
      <w:tr w:rsidR="00F25B51" w:rsidRPr="00DB3FE7" w14:paraId="7C1E2604"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6B10BC8C" w14:textId="77777777" w:rsidR="00F25B51" w:rsidRPr="00DB3FE7" w:rsidRDefault="00F25B51" w:rsidP="00C91ADA">
            <w:pPr>
              <w:pStyle w:val="PBACTabletext0"/>
              <w:keepNext w:val="0"/>
              <w:rPr>
                <w:rFonts w:eastAsia="Calibri"/>
              </w:rPr>
            </w:pPr>
            <w:r w:rsidRPr="00DB3FE7">
              <w:rPr>
                <w:b/>
              </w:rPr>
              <w:t>Clinical criteria:</w:t>
            </w:r>
          </w:p>
        </w:tc>
      </w:tr>
      <w:tr w:rsidR="00F25B51" w:rsidRPr="00DB3FE7" w14:paraId="01BA7E79"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2BA55BAB" w14:textId="77777777" w:rsidR="00F25B51" w:rsidRPr="00DB3FE7" w:rsidRDefault="00F25B51" w:rsidP="00C91ADA">
            <w:pPr>
              <w:pStyle w:val="PBACTabletext0"/>
              <w:keepNext w:val="0"/>
              <w:rPr>
                <w:rFonts w:eastAsia="Calibri"/>
              </w:rPr>
            </w:pPr>
            <w:r w:rsidRPr="00DB3FE7">
              <w:rPr>
                <w:rFonts w:eastAsia="Calibri"/>
              </w:rPr>
              <w:t>The treatment must be in conjunction with dietary therapy and exercise</w:t>
            </w:r>
          </w:p>
        </w:tc>
      </w:tr>
      <w:tr w:rsidR="00F25B51" w:rsidRPr="00DB3FE7" w14:paraId="176FCB56"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017" w:type="dxa"/>
            <w:gridSpan w:val="6"/>
            <w:tcBorders>
              <w:top w:val="single" w:sz="4" w:space="0" w:color="auto"/>
              <w:left w:val="single" w:sz="4" w:space="0" w:color="auto"/>
              <w:bottom w:val="single" w:sz="4" w:space="0" w:color="auto"/>
              <w:right w:val="single" w:sz="4" w:space="0" w:color="auto"/>
            </w:tcBorders>
          </w:tcPr>
          <w:p w14:paraId="6A92A924" w14:textId="77777777" w:rsidR="00F25B51" w:rsidRPr="00DB3FE7" w:rsidRDefault="00F25B51" w:rsidP="00C91ADA">
            <w:pPr>
              <w:pStyle w:val="TableText"/>
              <w:keepNext w:val="0"/>
              <w:keepLines/>
              <w:rPr>
                <w:b/>
              </w:rPr>
            </w:pPr>
            <w:r w:rsidRPr="00DB3FE7">
              <w:rPr>
                <w:b/>
              </w:rPr>
              <w:t xml:space="preserve">Prescriber Instructions: </w:t>
            </w:r>
            <w:r w:rsidRPr="00DB3FE7">
              <w:t>Must be treated by or in consultation with a specialist physician</w:t>
            </w:r>
          </w:p>
        </w:tc>
      </w:tr>
      <w:tr w:rsidR="00F25B51" w:rsidRPr="00DB3FE7" w14:paraId="23F5CA2C"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3"/>
        </w:trPr>
        <w:tc>
          <w:tcPr>
            <w:tcW w:w="9017" w:type="dxa"/>
            <w:gridSpan w:val="6"/>
            <w:tcBorders>
              <w:top w:val="single" w:sz="4" w:space="0" w:color="auto"/>
              <w:left w:val="single" w:sz="4" w:space="0" w:color="auto"/>
              <w:bottom w:val="single" w:sz="4" w:space="0" w:color="auto"/>
              <w:right w:val="single" w:sz="4" w:space="0" w:color="auto"/>
            </w:tcBorders>
          </w:tcPr>
          <w:p w14:paraId="36D85305" w14:textId="77777777" w:rsidR="00F25B51" w:rsidRPr="00DB3FE7" w:rsidRDefault="00F25B51" w:rsidP="00C91ADA">
            <w:pPr>
              <w:pStyle w:val="TableText"/>
              <w:keepNext w:val="0"/>
              <w:keepLines/>
              <w:rPr>
                <w:b/>
              </w:rPr>
            </w:pPr>
            <w:r w:rsidRPr="00DB3FE7">
              <w:rPr>
                <w:b/>
              </w:rPr>
              <w:t xml:space="preserve">Administrative Advice: </w:t>
            </w:r>
            <w:r w:rsidRPr="00DB3FE7">
              <w:t>No increase in the maximum quantity or number of units may be authorised.</w:t>
            </w:r>
          </w:p>
        </w:tc>
      </w:tr>
      <w:tr w:rsidR="00F25B51" w:rsidRPr="00DB3FE7" w14:paraId="3B4B60E5"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
        </w:trPr>
        <w:tc>
          <w:tcPr>
            <w:tcW w:w="9017" w:type="dxa"/>
            <w:gridSpan w:val="6"/>
            <w:tcBorders>
              <w:top w:val="single" w:sz="4" w:space="0" w:color="auto"/>
              <w:left w:val="single" w:sz="4" w:space="0" w:color="auto"/>
              <w:bottom w:val="single" w:sz="4" w:space="0" w:color="auto"/>
              <w:right w:val="single" w:sz="4" w:space="0" w:color="auto"/>
            </w:tcBorders>
          </w:tcPr>
          <w:p w14:paraId="2759CE48" w14:textId="77777777" w:rsidR="00F25B51" w:rsidRPr="00DB3FE7" w:rsidRDefault="00F25B51" w:rsidP="00C91ADA">
            <w:pPr>
              <w:pStyle w:val="PBACTabletext0"/>
              <w:keepNext w:val="0"/>
            </w:pPr>
            <w:r w:rsidRPr="00DB3FE7">
              <w:rPr>
                <w:b/>
              </w:rPr>
              <w:t>Administrative Advice:</w:t>
            </w:r>
            <w:r w:rsidRPr="00DB3FE7">
              <w:t xml:space="preserve"> No increase in the maximum number of repeats may be authorised.</w:t>
            </w:r>
          </w:p>
        </w:tc>
      </w:tr>
      <w:tr w:rsidR="00F25B51" w:rsidRPr="00DB3FE7" w14:paraId="4F4507B7" w14:textId="77777777" w:rsidTr="00F25B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
        </w:trPr>
        <w:tc>
          <w:tcPr>
            <w:tcW w:w="9017" w:type="dxa"/>
            <w:gridSpan w:val="6"/>
            <w:tcBorders>
              <w:top w:val="single" w:sz="4" w:space="0" w:color="auto"/>
              <w:left w:val="single" w:sz="4" w:space="0" w:color="auto"/>
              <w:bottom w:val="single" w:sz="4" w:space="0" w:color="auto"/>
              <w:right w:val="single" w:sz="4" w:space="0" w:color="auto"/>
            </w:tcBorders>
          </w:tcPr>
          <w:p w14:paraId="55D108A2" w14:textId="77777777" w:rsidR="00F25B51" w:rsidRPr="00DB3FE7" w:rsidRDefault="00F25B51" w:rsidP="00C91ADA">
            <w:pPr>
              <w:pStyle w:val="PBACTabletext0"/>
              <w:keepNext w:val="0"/>
            </w:pPr>
            <w:r w:rsidRPr="00DB3FE7">
              <w:rPr>
                <w:b/>
              </w:rPr>
              <w:t>Administrative Advice:</w:t>
            </w:r>
            <w:r w:rsidRPr="00DB3FE7">
              <w:t xml:space="preserve"> Special Pricing Arrangements apply.</w:t>
            </w:r>
          </w:p>
        </w:tc>
      </w:tr>
    </w:tbl>
    <w:p w14:paraId="22BAEBD6" w14:textId="28691F48" w:rsidR="00046D64" w:rsidRPr="00DB3FE7" w:rsidRDefault="00F25B51" w:rsidP="00F25B51">
      <w:pPr>
        <w:pStyle w:val="COMTablefooter"/>
        <w:rPr>
          <w:color w:val="0066FF"/>
        </w:rPr>
      </w:pPr>
      <w:r w:rsidRPr="00DB3FE7">
        <w:t>Source: Table 8; Table 9; Table 10; Table 11</w:t>
      </w:r>
      <w:r w:rsidR="00A12701" w:rsidRPr="00DB3FE7">
        <w:t xml:space="preserve"> </w:t>
      </w:r>
      <w:r w:rsidRPr="00DB3FE7">
        <w:t>of the submission.</w:t>
      </w:r>
    </w:p>
    <w:p w14:paraId="0E4C7DE1" w14:textId="662922D5" w:rsidR="00C11B86" w:rsidRPr="00DB3FE7" w:rsidRDefault="00C11B86" w:rsidP="00980E94">
      <w:pPr>
        <w:pStyle w:val="COMexecsumnumberedpara"/>
      </w:pPr>
      <w:r w:rsidRPr="00DB3FE7">
        <w:t xml:space="preserve">The submission requested a </w:t>
      </w:r>
      <w:r w:rsidR="002447A7" w:rsidRPr="00DB3FE7">
        <w:t>special pricing arrangement</w:t>
      </w:r>
      <w:r w:rsidRPr="00DB3FE7">
        <w:t xml:space="preserve">. The submission included a ‘placeholder’ effective price for inclisiran but noted that the economic analyses were dependent on the price of evolocumab and alirocumab which are both subject to special pricing arrangements. The submission stated that the placeholder price </w:t>
      </w:r>
      <w:r w:rsidR="00AD3736" w:rsidRPr="00DB3FE7">
        <w:t xml:space="preserve">would </w:t>
      </w:r>
      <w:r w:rsidRPr="00DB3FE7">
        <w:t xml:space="preserve">need to be adjusted once the effective prices for PCSK9 inhibitors are made known to the sponsor. The submission stated that the intent of the effective price </w:t>
      </w:r>
      <w:r w:rsidR="00AD3736" w:rsidRPr="00DB3FE7">
        <w:t>wa</w:t>
      </w:r>
      <w:r w:rsidRPr="00DB3FE7">
        <w:t>s to be sufficiently lower than PCSK9 inhibitors in order for inclisiran to be a cost-effective treatment option in the second-line setting.</w:t>
      </w:r>
    </w:p>
    <w:p w14:paraId="5FBB3E1E" w14:textId="68945E14" w:rsidR="00F25B51" w:rsidRPr="00DB3FE7" w:rsidRDefault="00F25B51" w:rsidP="00980E94">
      <w:pPr>
        <w:pStyle w:val="COMexecsumnumberedpara"/>
      </w:pPr>
      <w:r w:rsidRPr="00DB3FE7">
        <w:t>The submission stated that the proposed PBS restriction for inclisiran was modelled on existing restrictions for evolocumab and alirocumab when used as subsequent-line therapies in patients with non-familial hypercholesterolaemia</w:t>
      </w:r>
      <w:r w:rsidR="00DE3604" w:rsidRPr="00DB3FE7">
        <w:t xml:space="preserve"> (non-FH)</w:t>
      </w:r>
      <w:r w:rsidRPr="00DB3FE7">
        <w:t xml:space="preserve"> (including the recent PBAC recommendation to lower the LDL</w:t>
      </w:r>
      <w:r w:rsidR="00641D92" w:rsidRPr="00DB3FE7">
        <w:t>-C</w:t>
      </w:r>
      <w:r w:rsidRPr="00DB3FE7">
        <w:t xml:space="preserve"> criterion and permit GP prescribing in consultation with a specialist; evolocumab </w:t>
      </w:r>
      <w:r w:rsidR="00CB3DEF" w:rsidRPr="00DB3FE7">
        <w:t>PSD</w:t>
      </w:r>
      <w:r w:rsidRPr="00DB3FE7">
        <w:t>, July</w:t>
      </w:r>
      <w:r w:rsidR="008D1FCB" w:rsidRPr="00DB3FE7">
        <w:t> </w:t>
      </w:r>
      <w:r w:rsidRPr="00DB3FE7">
        <w:t xml:space="preserve">2022 PBAC meeting). </w:t>
      </w:r>
      <w:r w:rsidR="0025467F" w:rsidRPr="00DB3FE7">
        <w:t>The </w:t>
      </w:r>
      <w:r w:rsidRPr="00DB3FE7">
        <w:t>submission noted that the restriction was further modified to account for the proposed role of inclisiran as a second-line alternative to ezetimibe treatment.</w:t>
      </w:r>
      <w:r w:rsidR="007A6320" w:rsidRPr="00DB3FE7">
        <w:t xml:space="preserve"> </w:t>
      </w:r>
      <w:r w:rsidR="0025467F" w:rsidRPr="00DB3FE7">
        <w:t>The </w:t>
      </w:r>
      <w:r w:rsidR="007A6320" w:rsidRPr="00DB3FE7">
        <w:t>ESC noted the restriction using criteria fr</w:t>
      </w:r>
      <w:r w:rsidR="00C13402" w:rsidRPr="00DB3FE7">
        <w:t>o</w:t>
      </w:r>
      <w:r w:rsidR="007A6320" w:rsidRPr="00DB3FE7">
        <w:t xml:space="preserve">m current PCSK9 inhibitor therapies </w:t>
      </w:r>
      <w:r w:rsidR="00AD3736" w:rsidRPr="00DB3FE7">
        <w:t>wa</w:t>
      </w:r>
      <w:r w:rsidR="007A6320" w:rsidRPr="00DB3FE7">
        <w:t>s broadly appropriate</w:t>
      </w:r>
      <w:r w:rsidR="00962F11" w:rsidRPr="00DB3FE7">
        <w:t>;</w:t>
      </w:r>
      <w:r w:rsidR="007A6320" w:rsidRPr="00DB3FE7">
        <w:t xml:space="preserve"> however, the difference with the ezetimibe restriction may create confusion for prescribers </w:t>
      </w:r>
      <w:r w:rsidR="00452D92" w:rsidRPr="00DB3FE7">
        <w:t>as to</w:t>
      </w:r>
      <w:r w:rsidR="007A6320" w:rsidRPr="00DB3FE7">
        <w:t xml:space="preserve"> </w:t>
      </w:r>
      <w:r w:rsidR="00C13402" w:rsidRPr="00DB3FE7">
        <w:t>whether patients are eligible for inclisir</w:t>
      </w:r>
      <w:r w:rsidR="00962F11" w:rsidRPr="00DB3FE7">
        <w:t>a</w:t>
      </w:r>
      <w:r w:rsidR="00C13402" w:rsidRPr="00DB3FE7">
        <w:t xml:space="preserve">n or only ezetimibe in </w:t>
      </w:r>
      <w:r w:rsidR="00962F11" w:rsidRPr="00DB3FE7">
        <w:t xml:space="preserve">the </w:t>
      </w:r>
      <w:r w:rsidR="00C13402" w:rsidRPr="00DB3FE7">
        <w:t>second</w:t>
      </w:r>
      <w:r w:rsidR="00962F11" w:rsidRPr="00DB3FE7">
        <w:t xml:space="preserve"> </w:t>
      </w:r>
      <w:r w:rsidR="00C13402" w:rsidRPr="00DB3FE7">
        <w:t>line</w:t>
      </w:r>
      <w:r w:rsidR="007A6320" w:rsidRPr="00DB3FE7">
        <w:t>.</w:t>
      </w:r>
    </w:p>
    <w:p w14:paraId="71493278" w14:textId="12F345E5" w:rsidR="00457EB4" w:rsidRPr="00DB3FE7" w:rsidRDefault="00457EB4" w:rsidP="00980E94">
      <w:pPr>
        <w:pStyle w:val="COMexecsumnumberedpara"/>
      </w:pPr>
      <w:r w:rsidRPr="00DB3FE7">
        <w:t>The requested Streamlined Authority level may not be appropriate, given the clinical criteria and accompanying notes for inclisiran are complex and substantially more restrictive than the clinical criteria for ezetimibe. The PCSK9 inhibitors currently subsidised on the PBS (evolocumab and alirocumab) for subsequent-line therapy have an Authority Required</w:t>
      </w:r>
      <w:r w:rsidR="002A0952" w:rsidRPr="00DB3FE7">
        <w:t xml:space="preserve"> (telephone/online)</w:t>
      </w:r>
      <w:r w:rsidRPr="00DB3FE7">
        <w:t xml:space="preserve"> listing for initial scripts and a Streamlined Authority for continuing scripts in order to reduce the potential for use outside the requested restriction. A similar authority level may also be appropriate for inclisiran.</w:t>
      </w:r>
      <w:r w:rsidR="00125BAD" w:rsidRPr="00DB3FE7">
        <w:t xml:space="preserve"> The </w:t>
      </w:r>
      <w:r w:rsidR="00A01A67" w:rsidRPr="00DB3FE7">
        <w:t>Pre-Sub-Committee Response (</w:t>
      </w:r>
      <w:r w:rsidR="00125BAD" w:rsidRPr="00DB3FE7">
        <w:t>PSCR</w:t>
      </w:r>
      <w:r w:rsidR="00A01A67" w:rsidRPr="00DB3FE7">
        <w:t>)</w:t>
      </w:r>
      <w:r w:rsidR="00125BAD" w:rsidRPr="00DB3FE7">
        <w:t xml:space="preserve"> </w:t>
      </w:r>
      <w:r w:rsidR="00093E2F" w:rsidRPr="00DB3FE7">
        <w:t>offer</w:t>
      </w:r>
      <w:r w:rsidR="00125BAD" w:rsidRPr="00DB3FE7">
        <w:t xml:space="preserve">ed </w:t>
      </w:r>
      <w:r w:rsidR="00093E2F" w:rsidRPr="00DB3FE7">
        <w:t xml:space="preserve">changing the proposed restriction to </w:t>
      </w:r>
      <w:r w:rsidR="00125BAD" w:rsidRPr="00DB3FE7">
        <w:t>an Authority Required (telephone/online) listing for the initial supply scripts</w:t>
      </w:r>
      <w:r w:rsidR="004C09AC" w:rsidRPr="00DB3FE7">
        <w:t xml:space="preserve"> and Streamlined Authority for continuing scripts</w:t>
      </w:r>
      <w:r w:rsidR="00125BAD" w:rsidRPr="00DB3FE7">
        <w:t>.</w:t>
      </w:r>
      <w:r w:rsidRPr="00DB3FE7">
        <w:t xml:space="preserve"> </w:t>
      </w:r>
    </w:p>
    <w:p w14:paraId="5AACC3E5" w14:textId="3B2638AD" w:rsidR="004B73C0" w:rsidRPr="00DB3FE7" w:rsidRDefault="00457EB4" w:rsidP="004B73C0">
      <w:pPr>
        <w:pStyle w:val="COMexecsumnumberedpara"/>
      </w:pPr>
      <w:r w:rsidRPr="00DB3FE7">
        <w:t xml:space="preserve">The </w:t>
      </w:r>
      <w:r w:rsidR="00902DA0" w:rsidRPr="00DB3FE7">
        <w:t xml:space="preserve">submission </w:t>
      </w:r>
      <w:r w:rsidRPr="00DB3FE7">
        <w:t>request</w:t>
      </w:r>
      <w:r w:rsidR="00902DA0" w:rsidRPr="00DB3FE7">
        <w:t>ed</w:t>
      </w:r>
      <w:r w:rsidRPr="00DB3FE7">
        <w:t xml:space="preserve"> to </w:t>
      </w:r>
      <w:r w:rsidR="00FC3E10" w:rsidRPr="00DB3FE7">
        <w:t>exclude</w:t>
      </w:r>
      <w:r w:rsidRPr="00DB3FE7">
        <w:t xml:space="preserve"> LDL qualifying criteria</w:t>
      </w:r>
      <w:r w:rsidR="008F392E" w:rsidRPr="00DB3FE7">
        <w:t xml:space="preserve"> from the proposed restriction</w:t>
      </w:r>
      <w:r w:rsidRPr="00DB3FE7">
        <w:t xml:space="preserve"> for patients already treated with ezetimibe given that the current PBS listing for ezetimibe is agnostic to specific LDL cholesterol values. </w:t>
      </w:r>
      <w:r w:rsidR="00902DA0" w:rsidRPr="00DB3FE7">
        <w:t xml:space="preserve">The </w:t>
      </w:r>
      <w:r w:rsidR="00915228" w:rsidRPr="00DB3FE7">
        <w:t xml:space="preserve">DUSC and </w:t>
      </w:r>
      <w:r w:rsidR="00902DA0" w:rsidRPr="00DB3FE7">
        <w:t>ESC considered this was not appropriate as it</w:t>
      </w:r>
      <w:r w:rsidRPr="00DB3FE7">
        <w:t xml:space="preserve"> would provide a pathway to bypass all LDL</w:t>
      </w:r>
      <w:r w:rsidR="00292830" w:rsidRPr="00DB3FE7">
        <w:noBreakHyphen/>
      </w:r>
      <w:r w:rsidR="00641D92" w:rsidRPr="00DB3FE7">
        <w:t>C</w:t>
      </w:r>
      <w:r w:rsidRPr="00DB3FE7">
        <w:t xml:space="preserve"> requirements currently required for any PCSK9 </w:t>
      </w:r>
      <w:r w:rsidR="007A6320" w:rsidRPr="00DB3FE7">
        <w:t xml:space="preserve">inhibitor </w:t>
      </w:r>
      <w:r w:rsidRPr="00DB3FE7">
        <w:t xml:space="preserve">therapy and allow treatment in populations for which cost-effectiveness has not yet been demonstrated (i.e. in patients with baseline LDL &lt; 1.8 mmol/L). </w:t>
      </w:r>
    </w:p>
    <w:p w14:paraId="24A9EA93" w14:textId="3EFD898B" w:rsidR="00A31D54" w:rsidRPr="00DB3FE7" w:rsidRDefault="00B21530" w:rsidP="004B73C0">
      <w:pPr>
        <w:pStyle w:val="COMexecsumnumberedpara"/>
      </w:pPr>
      <w:r w:rsidRPr="00DB3FE7">
        <w:t>The proposed restriction</w:t>
      </w:r>
      <w:r w:rsidR="00457EB4" w:rsidRPr="00DB3FE7">
        <w:t xml:space="preserve"> does not allow familial hypercholesterolaemia to be considered as a qualifying </w:t>
      </w:r>
      <w:r w:rsidR="001C6444" w:rsidRPr="00DB3FE7">
        <w:t>high-risk</w:t>
      </w:r>
      <w:r w:rsidR="00457EB4" w:rsidRPr="00DB3FE7">
        <w:t xml:space="preserve"> factor for patients with atherosclerotic disease</w:t>
      </w:r>
      <w:r w:rsidR="004406A8" w:rsidRPr="00DB3FE7">
        <w:t>,</w:t>
      </w:r>
      <w:r w:rsidR="00457EB4" w:rsidRPr="00DB3FE7">
        <w:t xml:space="preserve"> which is inconsistent with other PBS listings. Additionally, all existing PBS subsidised hypercholesterolaemia therapies can be used for the primary prevention of cardiovascular events in familial hypercholesterolaemia populations. This population was not requ</w:t>
      </w:r>
      <w:r w:rsidRPr="00DB3FE7">
        <w:t>ested in the submission and</w:t>
      </w:r>
      <w:r w:rsidR="00457EB4" w:rsidRPr="00DB3FE7">
        <w:t xml:space="preserve"> the justification for excluding this population was unclear</w:t>
      </w:r>
      <w:r w:rsidR="008F392E" w:rsidRPr="00DB3FE7">
        <w:t xml:space="preserve"> given that the ORION-9 trial was conducted in a </w:t>
      </w:r>
      <w:r w:rsidR="0054116D" w:rsidRPr="00DB3FE7">
        <w:t>HeFH</w:t>
      </w:r>
      <w:r w:rsidR="008F392E" w:rsidRPr="00DB3FE7">
        <w:t xml:space="preserve"> population and inclisiran is TGA-approved for use in this population</w:t>
      </w:r>
      <w:r w:rsidR="00457EB4" w:rsidRPr="00DB3FE7">
        <w:t xml:space="preserve">. </w:t>
      </w:r>
      <w:r w:rsidR="00125BAD" w:rsidRPr="00DB3FE7">
        <w:t xml:space="preserve">The PSCR </w:t>
      </w:r>
      <w:r w:rsidR="00A31D54" w:rsidRPr="00DB3FE7">
        <w:t>suggested</w:t>
      </w:r>
      <w:r w:rsidR="00125BAD" w:rsidRPr="00DB3FE7">
        <w:t xml:space="preserve"> </w:t>
      </w:r>
      <w:r w:rsidR="006B3758" w:rsidRPr="00DB3FE7">
        <w:t>including</w:t>
      </w:r>
      <w:r w:rsidR="00125BAD" w:rsidRPr="00DB3FE7">
        <w:t xml:space="preserve"> diagnosed familial hypercholesterolaemia as a qualifying high-risk factor for patients with ASCVD</w:t>
      </w:r>
      <w:r w:rsidR="00A31D54" w:rsidRPr="00DB3FE7">
        <w:t xml:space="preserve"> to the proposed restriction</w:t>
      </w:r>
      <w:r w:rsidR="00125BAD" w:rsidRPr="00DB3FE7">
        <w:t>.</w:t>
      </w:r>
      <w:r w:rsidR="00765345" w:rsidRPr="00DB3FE7">
        <w:t xml:space="preserve"> </w:t>
      </w:r>
      <w:r w:rsidR="00A31D54" w:rsidRPr="00DB3FE7">
        <w:t>T</w:t>
      </w:r>
      <w:r w:rsidR="00765345" w:rsidRPr="00DB3FE7">
        <w:t xml:space="preserve">he ESC </w:t>
      </w:r>
      <w:r w:rsidR="00A31D54" w:rsidRPr="00DB3FE7">
        <w:t>advis</w:t>
      </w:r>
      <w:r w:rsidR="00765345" w:rsidRPr="00DB3FE7">
        <w:t xml:space="preserve">ed that the addition of diagnosed </w:t>
      </w:r>
      <w:r w:rsidR="001C6444" w:rsidRPr="00DB3FE7">
        <w:t>HeFH</w:t>
      </w:r>
      <w:r w:rsidR="00765345" w:rsidRPr="00DB3FE7">
        <w:t xml:space="preserve"> as a high-risk factor in ASCVD patients </w:t>
      </w:r>
      <w:r w:rsidR="004406A8" w:rsidRPr="00DB3FE7">
        <w:t xml:space="preserve">may </w:t>
      </w:r>
      <w:r w:rsidR="00A31D54" w:rsidRPr="00DB3FE7">
        <w:t xml:space="preserve">be appropriate, however it </w:t>
      </w:r>
      <w:r w:rsidR="00765345" w:rsidRPr="00DB3FE7">
        <w:t>affect</w:t>
      </w:r>
      <w:r w:rsidR="00A31D54" w:rsidRPr="00DB3FE7">
        <w:t>s</w:t>
      </w:r>
      <w:r w:rsidR="00765345" w:rsidRPr="00DB3FE7">
        <w:t xml:space="preserve"> the applicability of the modelled population</w:t>
      </w:r>
      <w:r w:rsidR="00F942A1" w:rsidRPr="00DB3FE7">
        <w:t xml:space="preserve"> and the treatment effect being modelled</w:t>
      </w:r>
      <w:r w:rsidR="00765345" w:rsidRPr="00DB3FE7">
        <w:t xml:space="preserve">, as </w:t>
      </w:r>
      <w:r w:rsidR="00F942A1" w:rsidRPr="00DB3FE7">
        <w:t>the</w:t>
      </w:r>
      <w:r w:rsidR="00765345" w:rsidRPr="00DB3FE7">
        <w:t xml:space="preserve"> ORION-9 </w:t>
      </w:r>
      <w:r w:rsidR="00F942A1" w:rsidRPr="00DB3FE7">
        <w:t xml:space="preserve">trial </w:t>
      </w:r>
      <w:r w:rsidR="00291780" w:rsidRPr="00DB3FE7">
        <w:t xml:space="preserve">in </w:t>
      </w:r>
      <w:r w:rsidR="006A497B" w:rsidRPr="00DB3FE7">
        <w:t>HeFH</w:t>
      </w:r>
      <w:r w:rsidR="00F942A1" w:rsidRPr="00DB3FE7">
        <w:t xml:space="preserve"> </w:t>
      </w:r>
      <w:r w:rsidR="00291780" w:rsidRPr="00DB3FE7">
        <w:t xml:space="preserve">patients </w:t>
      </w:r>
      <w:r w:rsidR="00765345" w:rsidRPr="00DB3FE7">
        <w:t xml:space="preserve">would be </w:t>
      </w:r>
      <w:r w:rsidR="00F942A1" w:rsidRPr="00DB3FE7">
        <w:t>relevant</w:t>
      </w:r>
      <w:r w:rsidR="00765345" w:rsidRPr="00DB3FE7">
        <w:t>.</w:t>
      </w:r>
      <w:r w:rsidR="00C13402" w:rsidRPr="00DB3FE7">
        <w:t xml:space="preserve"> </w:t>
      </w:r>
      <w:r w:rsidR="00A31D54" w:rsidRPr="00DB3FE7">
        <w:t>Inclisir</w:t>
      </w:r>
      <w:r w:rsidR="004B73C0" w:rsidRPr="00DB3FE7">
        <w:t>a</w:t>
      </w:r>
      <w:r w:rsidR="00A31D54" w:rsidRPr="00DB3FE7">
        <w:t xml:space="preserve">n is not registered for use in </w:t>
      </w:r>
      <w:r w:rsidR="00610D19" w:rsidRPr="00DB3FE7">
        <w:t xml:space="preserve">homozygous </w:t>
      </w:r>
      <w:r w:rsidR="00A31D54" w:rsidRPr="00DB3FE7">
        <w:t xml:space="preserve">familial hypercholesterolaemia. </w:t>
      </w:r>
    </w:p>
    <w:p w14:paraId="7D7133E7" w14:textId="320CDA07" w:rsidR="00457EB4" w:rsidRPr="00DB3FE7" w:rsidRDefault="00457EB4" w:rsidP="00980E94">
      <w:pPr>
        <w:pStyle w:val="COMexecsumnumberedpara"/>
      </w:pPr>
      <w:r w:rsidRPr="00DB3FE7">
        <w:t>The submission requested listing of inclisiran as a monotherapy and as part of non</w:t>
      </w:r>
      <w:r w:rsidR="00292830" w:rsidRPr="00DB3FE7">
        <w:noBreakHyphen/>
      </w:r>
      <w:r w:rsidRPr="00DB3FE7">
        <w:t xml:space="preserve">statin combination therapy </w:t>
      </w:r>
      <w:r w:rsidR="006C03A3" w:rsidRPr="00DB3FE7">
        <w:t>(</w:t>
      </w:r>
      <w:r w:rsidR="008F392E" w:rsidRPr="00DB3FE7">
        <w:t>e.g.</w:t>
      </w:r>
      <w:r w:rsidR="006C03A3" w:rsidRPr="00DB3FE7">
        <w:t xml:space="preserve"> with ezetimibe) </w:t>
      </w:r>
      <w:r w:rsidRPr="00DB3FE7">
        <w:t>in patients who are statin</w:t>
      </w:r>
      <w:r w:rsidR="00292830" w:rsidRPr="00DB3FE7">
        <w:noBreakHyphen/>
      </w:r>
      <w:r w:rsidRPr="00DB3FE7">
        <w:t>intolerant. However, the submission did not provide any comparative data in statin-intolerant patients which is a significant limitation given the extensive body of evidence supporting the use of both evolocumab and alirocumab in this population</w:t>
      </w:r>
      <w:r w:rsidR="005C4748" w:rsidRPr="00DB3FE7">
        <w:t xml:space="preserve"> (see paragraph </w:t>
      </w:r>
      <w:r w:rsidR="005C4748" w:rsidRPr="00D2286B">
        <w:fldChar w:fldCharType="begin" w:fldLock="1"/>
      </w:r>
      <w:r w:rsidR="005C4748" w:rsidRPr="00DB3FE7">
        <w:instrText xml:space="preserve"> REF _Ref126922164 \r \h </w:instrText>
      </w:r>
      <w:r w:rsidR="007F2E83" w:rsidRPr="00DB3FE7">
        <w:instrText xml:space="preserve"> \* MERGEFORMAT </w:instrText>
      </w:r>
      <w:r w:rsidR="005C4748" w:rsidRPr="00D2286B">
        <w:fldChar w:fldCharType="separate"/>
      </w:r>
      <w:r w:rsidR="00424520" w:rsidRPr="00D2286B">
        <w:t>6.14</w:t>
      </w:r>
      <w:r w:rsidR="005C4748" w:rsidRPr="00D2286B">
        <w:fldChar w:fldCharType="end"/>
      </w:r>
      <w:r w:rsidR="005C4748" w:rsidRPr="0042765C">
        <w:t>)</w:t>
      </w:r>
      <w:r w:rsidRPr="00D2286B">
        <w:t>.</w:t>
      </w:r>
    </w:p>
    <w:p w14:paraId="0CBAE2B0" w14:textId="44601C01" w:rsidR="00457EB4" w:rsidRPr="00DB3FE7" w:rsidRDefault="00457EB4" w:rsidP="00980E94">
      <w:pPr>
        <w:pStyle w:val="COMexecsumnumberedpara"/>
      </w:pPr>
      <w:r w:rsidRPr="00352E1C">
        <w:t>The proposed restriction did not include any criteria preventing the use of inclisiran in combination with existing PCSK9 inhibitors. Th</w:t>
      </w:r>
      <w:r w:rsidR="001F5D6B" w:rsidRPr="00DB3FE7">
        <w:t>is was inappropriate as there are</w:t>
      </w:r>
      <w:r w:rsidRPr="00DB3FE7">
        <w:t xml:space="preserve"> no clinical data nor any mechanistic plausibility to support combination therapy. </w:t>
      </w:r>
      <w:r w:rsidR="00982EE8" w:rsidRPr="00DB3FE7">
        <w:t>The </w:t>
      </w:r>
      <w:r w:rsidR="00125BAD" w:rsidRPr="00DB3FE7">
        <w:t xml:space="preserve">PSCR </w:t>
      </w:r>
      <w:r w:rsidR="0090498F" w:rsidRPr="00DB3FE7">
        <w:t>supported</w:t>
      </w:r>
      <w:r w:rsidR="00125BAD" w:rsidRPr="00DB3FE7">
        <w:t xml:space="preserve"> the addition of a criterion preventing the use of inclisiran in combination with PCSK9 inhibitors.</w:t>
      </w:r>
    </w:p>
    <w:p w14:paraId="23E7B7F6" w14:textId="7DE45E26" w:rsidR="007F2E83" w:rsidRPr="00DB3FE7" w:rsidRDefault="008F392E" w:rsidP="007F2E83">
      <w:pPr>
        <w:pStyle w:val="COMexecsumnumberedpara"/>
      </w:pPr>
      <w:r w:rsidRPr="00DB3FE7">
        <w:t xml:space="preserve">The submission requested a grandfathered listing for patients currently enrolled in the Australian VICTORION-ASCERTAIN trial as well as patients enrolled in a patient familiarisation program that would be initiated if inclisiran receives a positive PBAC recommendation (planned size of approximately </w:t>
      </w:r>
      <w:r w:rsidR="0083060E" w:rsidRPr="00DB3FE7">
        <w:t>500 to &lt; 5,000</w:t>
      </w:r>
      <w:r w:rsidR="005521AF" w:rsidRPr="00DB3FE7">
        <w:t xml:space="preserve"> </w:t>
      </w:r>
      <w:r w:rsidRPr="00DB3FE7">
        <w:t>patients)</w:t>
      </w:r>
      <w:r w:rsidR="003B07E4" w:rsidRPr="00DB3FE7">
        <w:t>.</w:t>
      </w:r>
    </w:p>
    <w:p w14:paraId="04B26C6A" w14:textId="43923BFA" w:rsidR="007F2E83" w:rsidRPr="00DB3FE7" w:rsidRDefault="007F2E83" w:rsidP="007F2E83">
      <w:pPr>
        <w:pStyle w:val="COMexecsumnumberedpara"/>
        <w:numPr>
          <w:ilvl w:val="0"/>
          <w:numId w:val="0"/>
        </w:numPr>
        <w:ind w:firstLine="720"/>
        <w:rPr>
          <w:i/>
          <w:iCs/>
        </w:rPr>
      </w:pPr>
      <w:r w:rsidRPr="00DB3FE7">
        <w:rPr>
          <w:i/>
          <w:iCs/>
        </w:rPr>
        <w:t>For more detail on PBAC’s view, see section 7 PBAC outcome.</w:t>
      </w:r>
    </w:p>
    <w:p w14:paraId="7075B85C" w14:textId="321C9B30" w:rsidR="00B50DB8" w:rsidRPr="00DB3FE7" w:rsidDel="00195452" w:rsidRDefault="00203181" w:rsidP="00130BEA">
      <w:pPr>
        <w:pStyle w:val="COMH1numbered"/>
        <w:ind w:left="720"/>
      </w:pPr>
      <w:bookmarkStart w:id="10" w:name="_Toc124866141"/>
      <w:r w:rsidRPr="00DB3FE7" w:rsidDel="00195452">
        <w:t xml:space="preserve">Population and </w:t>
      </w:r>
      <w:r w:rsidR="008E0D3C" w:rsidRPr="00DB3FE7" w:rsidDel="00195452">
        <w:t>d</w:t>
      </w:r>
      <w:r w:rsidRPr="00DB3FE7" w:rsidDel="00195452">
        <w:t>isease</w:t>
      </w:r>
      <w:bookmarkEnd w:id="10"/>
    </w:p>
    <w:p w14:paraId="0B8F77C5" w14:textId="77777777" w:rsidR="00C95457" w:rsidRPr="00DB3FE7" w:rsidRDefault="00C95457" w:rsidP="00980E94">
      <w:pPr>
        <w:pStyle w:val="COMexecsumnumberedpara"/>
      </w:pPr>
      <w:r w:rsidRPr="00DB3FE7">
        <w:t xml:space="preserve">Hypercholesterolaemia is a common condition characterised by elevated serum cholesterol levels. The causes of hypercholesterolaemia can include both genetic and environmental factors (e.g. diet and lifestyle) although the vast majority of patients with hypercholesterolaemia have elevated cholesterol levels in the absence of any specific genetic disorder. </w:t>
      </w:r>
    </w:p>
    <w:p w14:paraId="19F2873A" w14:textId="1EC7C8D5" w:rsidR="00C95457" w:rsidRPr="00DB3FE7" w:rsidRDefault="00C95457" w:rsidP="00980E94">
      <w:pPr>
        <w:pStyle w:val="COMexecsumnumberedpara"/>
      </w:pPr>
      <w:r w:rsidRPr="00DB3FE7">
        <w:t xml:space="preserve">A minority of patients have an autosomal dominant inherited disorder that affects receptor-mediated uptake of LDL cholesterol resulting in high cholesterol levels. </w:t>
      </w:r>
      <w:r w:rsidR="00292830" w:rsidRPr="00DB3FE7">
        <w:t>The </w:t>
      </w:r>
      <w:r w:rsidRPr="00DB3FE7">
        <w:t>mutation is most frequently inherited from one parent (</w:t>
      </w:r>
      <w:r w:rsidR="00130BEA" w:rsidRPr="00DB3FE7">
        <w:t>HeFH</w:t>
      </w:r>
      <w:r w:rsidRPr="00DB3FE7">
        <w:t>) or more rarely from both parents, which results in a more severe manifestation of the disorder (homozygous familial hypercholesterolaemia</w:t>
      </w:r>
      <w:r w:rsidR="00D533BF" w:rsidRPr="00DB3FE7">
        <w:t>, HoFH</w:t>
      </w:r>
      <w:r w:rsidRPr="00DB3FE7">
        <w:t>). Patients with familial hypercholesterolaemia are exposed to elevated cholesterol levels from birth and typically have very high LDL</w:t>
      </w:r>
      <w:r w:rsidR="00641D92" w:rsidRPr="00DB3FE7">
        <w:t>-C</w:t>
      </w:r>
      <w:r w:rsidRPr="00DB3FE7">
        <w:t xml:space="preserve"> levels.</w:t>
      </w:r>
    </w:p>
    <w:p w14:paraId="467CAC85" w14:textId="61F360DB" w:rsidR="00C95457" w:rsidRPr="00DB3FE7" w:rsidRDefault="00C95457" w:rsidP="00980E94">
      <w:pPr>
        <w:pStyle w:val="COMexecsumnumberedpara"/>
      </w:pPr>
      <w:r w:rsidRPr="00DB3FE7">
        <w:t>Hypercholesterolaemia is associated with the development of atherosclerosis and an increased incidence of angina, myocardial infarction, stroke, coronary artery disease and peripheral vascular disease. These cardiovascular events can have major impact on survival, quality of life and future risk of further cardiovascular events.</w:t>
      </w:r>
    </w:p>
    <w:p w14:paraId="5CD10AB3" w14:textId="7F5F35DE" w:rsidR="00B46A70" w:rsidRPr="00DB3FE7" w:rsidRDefault="00B46A70" w:rsidP="00980E94">
      <w:pPr>
        <w:pStyle w:val="COMexecsumnumberedpara"/>
      </w:pPr>
      <w:r w:rsidRPr="00DB3FE7">
        <w:t xml:space="preserve">Inclisiran is a small interference RNA (siRNA) that operates as a ‘gene silencer’, inhibiting the translation of PCSK9 in the liver cell, which prevents the degradation of the LDL receptor on the cell surface, leading to a reduction of LDL cholesterol. </w:t>
      </w:r>
    </w:p>
    <w:p w14:paraId="02A28A80" w14:textId="5A808B5E" w:rsidR="008F392E" w:rsidRPr="00DB3FE7" w:rsidRDefault="008F392E" w:rsidP="008F392E">
      <w:pPr>
        <w:pStyle w:val="COMexecsumnumberedpara"/>
      </w:pPr>
      <w:r w:rsidRPr="00DB3FE7">
        <w:t xml:space="preserve">The </w:t>
      </w:r>
      <w:r w:rsidR="008621A8" w:rsidRPr="00DB3FE7">
        <w:t xml:space="preserve">clinical management </w:t>
      </w:r>
      <w:r w:rsidRPr="00DB3FE7">
        <w:t xml:space="preserve">algorithm positioned inclisiran as a second-line alternative to ezetimibe in a subset of patients with atherosclerotic disease and additional cardiovascular risk factors who are unable to achieve target lipid thresholds with statins alone or who are intolerant to statin therapy. The algorithm lacked sufficient detail of the subsequent line treatment setting, in particular the role of inclisiran and ezetimibe in this setting. Based on other parts of the submission the sponsor assumed inclisiran would be an alternative to PCSK9 inhibitors in the subsequent-line setting and assumed that subsequent-line PCSK9 </w:t>
      </w:r>
      <w:r w:rsidR="008621A8" w:rsidRPr="00DB3FE7">
        <w:t xml:space="preserve">inhibitor </w:t>
      </w:r>
      <w:r w:rsidRPr="00DB3FE7">
        <w:t>treatment would replace second</w:t>
      </w:r>
      <w:r w:rsidR="00292830" w:rsidRPr="00DB3FE7">
        <w:noBreakHyphen/>
      </w:r>
      <w:r w:rsidRPr="00DB3FE7">
        <w:t>line ezetimibe rather than be used as an additional therapy.</w:t>
      </w:r>
      <w:r w:rsidR="00CB3DEF" w:rsidRPr="00DB3FE7">
        <w:t xml:space="preserve"> The ESC considered that the place in therapy proposed in the submission, as a second-line alternative to ezetimibe, was not </w:t>
      </w:r>
      <w:r w:rsidR="00F954E9" w:rsidRPr="00DB3FE7">
        <w:t xml:space="preserve">justified (see paragraph </w:t>
      </w:r>
      <w:r w:rsidR="00F954E9" w:rsidRPr="00D2286B">
        <w:fldChar w:fldCharType="begin" w:fldLock="1"/>
      </w:r>
      <w:r w:rsidR="00F954E9" w:rsidRPr="00DB3FE7">
        <w:instrText xml:space="preserve"> REF _Ref127269375 \r \h </w:instrText>
      </w:r>
      <w:r w:rsidR="007F2E83" w:rsidRPr="00DB3FE7">
        <w:instrText xml:space="preserve"> \* MERGEFORMAT </w:instrText>
      </w:r>
      <w:r w:rsidR="00F954E9" w:rsidRPr="00D2286B">
        <w:fldChar w:fldCharType="separate"/>
      </w:r>
      <w:r w:rsidR="00424520" w:rsidRPr="00D2286B">
        <w:t>1.4</w:t>
      </w:r>
      <w:r w:rsidR="00F954E9" w:rsidRPr="00D2286B">
        <w:fldChar w:fldCharType="end"/>
      </w:r>
      <w:r w:rsidR="00F954E9" w:rsidRPr="0042765C">
        <w:t>)</w:t>
      </w:r>
      <w:r w:rsidR="00CB3DEF" w:rsidRPr="00D2286B">
        <w:t>. The ESC c</w:t>
      </w:r>
      <w:r w:rsidR="00CB3DEF" w:rsidRPr="00DB3FE7">
        <w:t xml:space="preserve">onsidered that inclisiran </w:t>
      </w:r>
      <w:r w:rsidR="00F954E9" w:rsidRPr="00352E1C">
        <w:t xml:space="preserve">would be most appropriately </w:t>
      </w:r>
      <w:r w:rsidR="00CB3DEF" w:rsidRPr="00352E1C">
        <w:t>positioned as an alternative to the PCSK9s inhibitors</w:t>
      </w:r>
      <w:r w:rsidR="006C6213" w:rsidRPr="00DB3FE7">
        <w:t>, due to its different mechanism of action</w:t>
      </w:r>
      <w:r w:rsidR="00F954E9" w:rsidRPr="00DB3FE7">
        <w:t xml:space="preserve"> in the inhibition of PCSK9</w:t>
      </w:r>
      <w:r w:rsidR="006C6213" w:rsidRPr="00DB3FE7">
        <w:t>,</w:t>
      </w:r>
      <w:r w:rsidR="00CB3DEF" w:rsidRPr="00DB3FE7">
        <w:t xml:space="preserve"> </w:t>
      </w:r>
      <w:r w:rsidR="00F954E9" w:rsidRPr="00DB3FE7">
        <w:t>in the subsequent treatment line to statin and/or ezetimibe</w:t>
      </w:r>
      <w:r w:rsidR="006C6213" w:rsidRPr="00DB3FE7">
        <w:t>.</w:t>
      </w:r>
    </w:p>
    <w:p w14:paraId="41B1AED3" w14:textId="4CCAFF62" w:rsidR="008F392E" w:rsidRPr="00DB3FE7" w:rsidRDefault="008F392E" w:rsidP="008F392E">
      <w:pPr>
        <w:pStyle w:val="COMexecsumnumberedpara"/>
      </w:pPr>
      <w:r w:rsidRPr="00DB3FE7">
        <w:t>The submission noted that the introduction of more effective agents (such as PCSK9 monoclonal antibodies) has allowed the adoption of more aggressive treatment targets for LDL</w:t>
      </w:r>
      <w:r w:rsidR="00641D92" w:rsidRPr="00DB3FE7">
        <w:t>-C</w:t>
      </w:r>
      <w:r w:rsidRPr="00DB3FE7">
        <w:t xml:space="preserve"> lowering in the treatment guidelines. Recent international guidelines note that there is currently no defined level of LDL</w:t>
      </w:r>
      <w:r w:rsidR="00641D92" w:rsidRPr="00DB3FE7">
        <w:t>-C</w:t>
      </w:r>
      <w:r w:rsidRPr="00DB3FE7">
        <w:t xml:space="preserve"> below which benefit ceases or harm occurs. The submission expects that the updated Australian guidelines will also adopt similarly aggressive LDL</w:t>
      </w:r>
      <w:r w:rsidR="00641D92" w:rsidRPr="00DB3FE7">
        <w:t>-C</w:t>
      </w:r>
      <w:r w:rsidRPr="00DB3FE7">
        <w:t xml:space="preserve"> targets.</w:t>
      </w:r>
    </w:p>
    <w:p w14:paraId="0A1ED087" w14:textId="77777777" w:rsidR="007F2E83" w:rsidRPr="00DB3FE7" w:rsidRDefault="008F392E" w:rsidP="007F2E83">
      <w:pPr>
        <w:pStyle w:val="COMexecsumnumberedpara"/>
      </w:pPr>
      <w:bookmarkStart w:id="11" w:name="_Ref127269649"/>
      <w:r w:rsidRPr="00DB3FE7">
        <w:t xml:space="preserve">The 2022 American College of Cardiology </w:t>
      </w:r>
      <w:r w:rsidR="00444247" w:rsidRPr="00DB3FE7">
        <w:t xml:space="preserve">(ACC) </w:t>
      </w:r>
      <w:r w:rsidRPr="00DB3FE7">
        <w:t>consensus statement was the only report to explicitly include inclisiran in the recommendations. The report stated that PCSK9 monoclonal antibodies remain the preferred PCSK9 inhibitor choice given the demonstrated safety, efficacy and cardiovascular outcome data for these therapies compared to inclisiran. However, the ACC consensus stated that inclisiran may be considered in patients with demonstrated poor adherence to PCSK9 monoclonal antibodies, patients with adverse effects from PCSK9 monoclonal antibodies or those who may be unable to self-inject. The report noted that there is currently no evidence or mechanistic plausibility for additional efficacy in LDL</w:t>
      </w:r>
      <w:r w:rsidR="00641D92" w:rsidRPr="00DB3FE7">
        <w:t>-C</w:t>
      </w:r>
      <w:r w:rsidRPr="00DB3FE7">
        <w:t xml:space="preserve"> lowering or cardiovascular outcomes from combination therapy with a PCSK9 monoclonal antibody and inclisiran. Therefore, the ACC consensus states that if inclisiran is to be used, it should be used in place of a PCSK9 monoclonal antibody.</w:t>
      </w:r>
      <w:bookmarkEnd w:id="11"/>
    </w:p>
    <w:p w14:paraId="56B14F43" w14:textId="5DAB27B2" w:rsidR="007F2E83" w:rsidRPr="00DB3FE7" w:rsidRDefault="007F2E83" w:rsidP="007F2E83">
      <w:pPr>
        <w:pStyle w:val="COMexecsumnumberedpara"/>
        <w:numPr>
          <w:ilvl w:val="0"/>
          <w:numId w:val="0"/>
        </w:numPr>
        <w:ind w:left="720"/>
        <w:rPr>
          <w:i/>
          <w:iCs/>
        </w:rPr>
      </w:pPr>
      <w:r w:rsidRPr="00DB3FE7">
        <w:rPr>
          <w:i/>
          <w:iCs/>
        </w:rPr>
        <w:t>For more detail on PBAC’s view, see section 7 PBAC outcome.</w:t>
      </w:r>
    </w:p>
    <w:p w14:paraId="51E5AE96" w14:textId="5945884B" w:rsidR="00B50DB8" w:rsidRPr="00DB3FE7" w:rsidRDefault="00B50DB8" w:rsidP="00D533BF">
      <w:pPr>
        <w:pStyle w:val="COMH1numbered"/>
        <w:ind w:left="720"/>
      </w:pPr>
      <w:bookmarkStart w:id="12" w:name="_Toc124866142"/>
      <w:r w:rsidRPr="00DB3FE7">
        <w:t>Comparator</w:t>
      </w:r>
      <w:bookmarkEnd w:id="12"/>
    </w:p>
    <w:p w14:paraId="04C9612C" w14:textId="6BB52818" w:rsidR="00015253" w:rsidRPr="00DB3FE7" w:rsidRDefault="00015253" w:rsidP="00980E94">
      <w:pPr>
        <w:pStyle w:val="COMexecsumnumberedpara"/>
        <w:rPr>
          <w:snapToGrid/>
        </w:rPr>
      </w:pPr>
      <w:r w:rsidRPr="00DB3FE7">
        <w:rPr>
          <w:snapToGrid/>
        </w:rPr>
        <w:t>The submission nominated ezetimibe as the main comparator in the second</w:t>
      </w:r>
      <w:r w:rsidR="004B73C0" w:rsidRPr="00DB3FE7">
        <w:rPr>
          <w:snapToGrid/>
        </w:rPr>
        <w:t xml:space="preserve"> </w:t>
      </w:r>
      <w:r w:rsidRPr="00DB3FE7">
        <w:rPr>
          <w:snapToGrid/>
        </w:rPr>
        <w:t xml:space="preserve">line setting and </w:t>
      </w:r>
      <w:r w:rsidR="008F392E" w:rsidRPr="00DB3FE7">
        <w:rPr>
          <w:snapToGrid/>
        </w:rPr>
        <w:t xml:space="preserve">PCSK9 inhibitor therapies </w:t>
      </w:r>
      <w:r w:rsidRPr="00DB3FE7">
        <w:rPr>
          <w:snapToGrid/>
        </w:rPr>
        <w:t xml:space="preserve">as the main comparators in the subsequent-line treatment setting. The </w:t>
      </w:r>
      <w:r w:rsidR="005F0A07" w:rsidRPr="00DB3FE7">
        <w:rPr>
          <w:snapToGrid/>
        </w:rPr>
        <w:t xml:space="preserve">ESC considered that the </w:t>
      </w:r>
      <w:r w:rsidRPr="00DB3FE7">
        <w:rPr>
          <w:snapToGrid/>
        </w:rPr>
        <w:t>nominated comparators were appropriate</w:t>
      </w:r>
      <w:r w:rsidR="00444247" w:rsidRPr="00DB3FE7">
        <w:rPr>
          <w:snapToGrid/>
        </w:rPr>
        <w:t xml:space="preserve"> for the proposed treatment lines</w:t>
      </w:r>
      <w:r w:rsidRPr="00DB3FE7">
        <w:rPr>
          <w:snapToGrid/>
        </w:rPr>
        <w:t>.</w:t>
      </w:r>
      <w:r w:rsidR="00173F1B" w:rsidRPr="00DB3FE7">
        <w:rPr>
          <w:snapToGrid/>
        </w:rPr>
        <w:t xml:space="preserve"> However, if the place in therapy is as an alternative to PCSK9 inhibitors, evolocumab and alirocumab are the appropriate comparators</w:t>
      </w:r>
      <w:r w:rsidR="00B70726" w:rsidRPr="00DB3FE7">
        <w:rPr>
          <w:snapToGrid/>
        </w:rPr>
        <w:t>,</w:t>
      </w:r>
      <w:r w:rsidR="00173F1B" w:rsidRPr="00DB3FE7">
        <w:rPr>
          <w:snapToGrid/>
        </w:rPr>
        <w:t xml:space="preserve"> and ezetimibe would not need to be considered.</w:t>
      </w:r>
    </w:p>
    <w:p w14:paraId="22A14E05" w14:textId="77777777" w:rsidR="00015253" w:rsidRPr="00DB3FE7" w:rsidRDefault="00015253" w:rsidP="00980E94">
      <w:pPr>
        <w:pStyle w:val="COMexecsumnumberedpara"/>
        <w:rPr>
          <w:snapToGrid/>
        </w:rPr>
      </w:pPr>
      <w:r w:rsidRPr="00DB3FE7">
        <w:rPr>
          <w:snapToGrid/>
        </w:rPr>
        <w:t>The main differences between inclisiran, ezetimibe, evolocumab and alirocumab are:</w:t>
      </w:r>
    </w:p>
    <w:p w14:paraId="213ADE20" w14:textId="77777777" w:rsidR="00015253" w:rsidRPr="00DB3FE7" w:rsidRDefault="00015253" w:rsidP="009B541B">
      <w:pPr>
        <w:pStyle w:val="COMexecsumnumberedpara"/>
        <w:numPr>
          <w:ilvl w:val="0"/>
          <w:numId w:val="8"/>
        </w:numPr>
        <w:ind w:left="1077" w:hanging="357"/>
        <w:rPr>
          <w:snapToGrid/>
        </w:rPr>
      </w:pPr>
      <w:r w:rsidRPr="00DB3FE7">
        <w:rPr>
          <w:snapToGrid/>
        </w:rPr>
        <w:t>Inclisiran is a small interference RNA therapy that targets PCSK9. Evolocumab and alirocumab are monoclonal antibodies that target PCSK9. Ezetimibe is a conventional small molecule therapy that targets NPC1L1.</w:t>
      </w:r>
    </w:p>
    <w:p w14:paraId="6A682FF7" w14:textId="77777777" w:rsidR="00015253" w:rsidRPr="00DB3FE7" w:rsidRDefault="00015253" w:rsidP="009B541B">
      <w:pPr>
        <w:pStyle w:val="COMexecsumnumberedpara"/>
        <w:numPr>
          <w:ilvl w:val="0"/>
          <w:numId w:val="8"/>
        </w:numPr>
        <w:ind w:left="1077" w:hanging="357"/>
        <w:rPr>
          <w:snapToGrid/>
        </w:rPr>
      </w:pPr>
      <w:r w:rsidRPr="00DB3FE7">
        <w:rPr>
          <w:snapToGrid/>
        </w:rPr>
        <w:t>Inclisiran is administered as a subcutaneous injection by a healthcare professional. Evolocumab and alirocumab are self-administered as subcutaneous injections. Ezetimibe is self-administered as an oral tablet.</w:t>
      </w:r>
    </w:p>
    <w:p w14:paraId="3A04F55E" w14:textId="77777777" w:rsidR="00015253" w:rsidRPr="00DB3FE7" w:rsidRDefault="00015253" w:rsidP="009B541B">
      <w:pPr>
        <w:pStyle w:val="COMexecsumnumberedpara"/>
        <w:numPr>
          <w:ilvl w:val="0"/>
          <w:numId w:val="8"/>
        </w:numPr>
        <w:ind w:left="1077" w:hanging="357"/>
        <w:rPr>
          <w:snapToGrid/>
        </w:rPr>
      </w:pPr>
      <w:r w:rsidRPr="00DB3FE7">
        <w:rPr>
          <w:snapToGrid/>
        </w:rPr>
        <w:t>Inclisiran, evolocumab and ezetimibe have fixed dosing regimens while alirocumab has a flexible dosing regimen (allowing titration-to-effect).</w:t>
      </w:r>
    </w:p>
    <w:p w14:paraId="6B45DA6F" w14:textId="7B9AD8BB" w:rsidR="00015253" w:rsidRPr="00DB3FE7" w:rsidRDefault="00015253" w:rsidP="009B541B">
      <w:pPr>
        <w:pStyle w:val="COMexecsumnumberedpara"/>
        <w:numPr>
          <w:ilvl w:val="0"/>
          <w:numId w:val="8"/>
        </w:numPr>
        <w:ind w:left="1077" w:hanging="357"/>
        <w:rPr>
          <w:snapToGrid/>
        </w:rPr>
      </w:pPr>
      <w:r w:rsidRPr="00DB3FE7">
        <w:rPr>
          <w:snapToGrid/>
        </w:rPr>
        <w:t xml:space="preserve">Inclisiran is administered once every 6 months (after the initial two doses at Day 1 and Month 3). Evolocumab and alirocumab are administered once fortnightly or monthly. Ezetimibe is administered once daily. </w:t>
      </w:r>
      <w:r w:rsidR="004406A8" w:rsidRPr="00DB3FE7">
        <w:rPr>
          <w:snapToGrid/>
        </w:rPr>
        <w:t>Unless intolerant or contra</w:t>
      </w:r>
      <w:r w:rsidR="00982EE8" w:rsidRPr="00DB3FE7">
        <w:rPr>
          <w:snapToGrid/>
        </w:rPr>
        <w:noBreakHyphen/>
      </w:r>
      <w:r w:rsidR="004406A8" w:rsidRPr="00DB3FE7">
        <w:rPr>
          <w:snapToGrid/>
        </w:rPr>
        <w:t xml:space="preserve">indicated, </w:t>
      </w:r>
      <w:r w:rsidRPr="00DB3FE7">
        <w:rPr>
          <w:snapToGrid/>
        </w:rPr>
        <w:t>patients receiving inclisiran, evolocumab, alirocumab and ezetimibe will also receive treatment with oral statin therapies.</w:t>
      </w:r>
    </w:p>
    <w:p w14:paraId="71D9B282" w14:textId="5B327DFE" w:rsidR="00015253" w:rsidRPr="00DB3FE7" w:rsidRDefault="00015253" w:rsidP="009B541B">
      <w:pPr>
        <w:pStyle w:val="COMexecsumnumberedpara"/>
        <w:numPr>
          <w:ilvl w:val="0"/>
          <w:numId w:val="8"/>
        </w:numPr>
        <w:ind w:left="1077" w:hanging="357"/>
        <w:rPr>
          <w:snapToGrid/>
        </w:rPr>
      </w:pPr>
      <w:r w:rsidRPr="00DB3FE7">
        <w:rPr>
          <w:snapToGrid/>
        </w:rPr>
        <w:t xml:space="preserve">Ezetimibe is available as a fixed dose combination with statins while the other therapies are only available as single agents. </w:t>
      </w:r>
    </w:p>
    <w:p w14:paraId="422F38B2" w14:textId="77777777" w:rsidR="007F2E83" w:rsidRPr="00DB3FE7" w:rsidRDefault="007F2E83" w:rsidP="007F2E83">
      <w:pPr>
        <w:pStyle w:val="COMexecsumnumberedpara"/>
        <w:numPr>
          <w:ilvl w:val="0"/>
          <w:numId w:val="0"/>
        </w:numPr>
        <w:ind w:left="720"/>
        <w:rPr>
          <w:i/>
          <w:iCs/>
        </w:rPr>
      </w:pPr>
      <w:r w:rsidRPr="00DB3FE7">
        <w:rPr>
          <w:i/>
          <w:iCs/>
        </w:rPr>
        <w:t>For more detail on PBAC’s view, see section 7 PBAC outcome.</w:t>
      </w:r>
    </w:p>
    <w:p w14:paraId="7F9C27C8" w14:textId="73EBD390" w:rsidR="00223D5A" w:rsidRPr="00DB3FE7" w:rsidRDefault="00223D5A" w:rsidP="00D533BF">
      <w:pPr>
        <w:pStyle w:val="COMH1numbered"/>
        <w:ind w:left="720"/>
      </w:pPr>
      <w:bookmarkStart w:id="13" w:name="_Toc124866143"/>
      <w:r w:rsidRPr="00DB3FE7">
        <w:t>Consideration of the evidence</w:t>
      </w:r>
      <w:bookmarkStart w:id="14" w:name="_Toc22897640"/>
      <w:bookmarkEnd w:id="13"/>
    </w:p>
    <w:p w14:paraId="12649927" w14:textId="77777777" w:rsidR="007F2E83" w:rsidRPr="00DB3FE7" w:rsidRDefault="007F2E83" w:rsidP="007F2E83">
      <w:pPr>
        <w:pStyle w:val="3-SubsectionHeading"/>
      </w:pPr>
      <w:bookmarkStart w:id="15" w:name="_Hlk76375935"/>
      <w:bookmarkStart w:id="16" w:name="_Toc124866144"/>
      <w:r w:rsidRPr="00DB3FE7">
        <w:t>Sponsor hearing</w:t>
      </w:r>
    </w:p>
    <w:p w14:paraId="38542810" w14:textId="61B1FD7B" w:rsidR="007F2E83" w:rsidRPr="00DB3FE7" w:rsidRDefault="007F2E83" w:rsidP="007F2E83">
      <w:pPr>
        <w:widowControl w:val="0"/>
        <w:numPr>
          <w:ilvl w:val="1"/>
          <w:numId w:val="1"/>
        </w:numPr>
        <w:spacing w:after="120"/>
        <w:rPr>
          <w:rFonts w:asciiTheme="minorHAnsi" w:hAnsiTheme="minorHAnsi"/>
          <w:bCs/>
          <w:snapToGrid w:val="0"/>
        </w:rPr>
      </w:pPr>
      <w:bookmarkStart w:id="17" w:name="_Hlk76382586"/>
      <w:r w:rsidRPr="00DB3FE7">
        <w:rPr>
          <w:rFonts w:asciiTheme="minorHAnsi" w:hAnsiTheme="minorHAnsi"/>
          <w:bCs/>
          <w:snapToGrid w:val="0"/>
        </w:rPr>
        <w:t>The sponsor requested a hearing for this item. The clinician discussed th</w:t>
      </w:r>
      <w:r w:rsidR="009D7096" w:rsidRPr="00DB3FE7">
        <w:rPr>
          <w:rFonts w:asciiTheme="minorHAnsi" w:hAnsiTheme="minorHAnsi"/>
          <w:bCs/>
          <w:snapToGrid w:val="0"/>
        </w:rPr>
        <w:t>e need for new therapies to treat patients who remained sub-optimally controlled on currently available treatments. The clinician also described the durability of the LDL-C lowering treatment effect associated with inclisiran and the benefits associated with the 6</w:t>
      </w:r>
      <w:r w:rsidR="00982EE8" w:rsidRPr="00DB3FE7">
        <w:rPr>
          <w:rFonts w:asciiTheme="minorHAnsi" w:hAnsiTheme="minorHAnsi"/>
          <w:bCs/>
          <w:snapToGrid w:val="0"/>
        </w:rPr>
        <w:noBreakHyphen/>
      </w:r>
      <w:r w:rsidR="009D7096" w:rsidRPr="00DB3FE7">
        <w:rPr>
          <w:rFonts w:asciiTheme="minorHAnsi" w:hAnsiTheme="minorHAnsi"/>
          <w:bCs/>
          <w:snapToGrid w:val="0"/>
        </w:rPr>
        <w:t xml:space="preserve">monthly dosing schedule which included improved adherence to therapy and the better management of patients, particularly those in rural and remote areas and older patients. </w:t>
      </w:r>
      <w:r w:rsidRPr="00DB3FE7">
        <w:rPr>
          <w:rFonts w:asciiTheme="minorHAnsi" w:hAnsiTheme="minorHAnsi"/>
          <w:bCs/>
          <w:snapToGrid w:val="0"/>
        </w:rPr>
        <w:t>The PBAC considered that the hearing was informative.</w:t>
      </w:r>
    </w:p>
    <w:bookmarkEnd w:id="17"/>
    <w:p w14:paraId="13D4CAE6" w14:textId="77777777" w:rsidR="007F2E83" w:rsidRPr="00DB3FE7" w:rsidRDefault="007F2E83" w:rsidP="007F2E83">
      <w:pPr>
        <w:pStyle w:val="3-SubsectionHeading"/>
      </w:pPr>
      <w:r w:rsidRPr="00DB3FE7">
        <w:t>Consumer comments</w:t>
      </w:r>
    </w:p>
    <w:p w14:paraId="6578A1EF" w14:textId="39323868" w:rsidR="007F2E83" w:rsidRPr="00DB3FE7" w:rsidRDefault="007F2E83" w:rsidP="007F2E83">
      <w:pPr>
        <w:widowControl w:val="0"/>
        <w:numPr>
          <w:ilvl w:val="1"/>
          <w:numId w:val="1"/>
        </w:numPr>
        <w:spacing w:after="120"/>
        <w:rPr>
          <w:rFonts w:asciiTheme="minorHAnsi" w:hAnsiTheme="minorHAnsi"/>
          <w:bCs/>
          <w:snapToGrid w:val="0"/>
        </w:rPr>
      </w:pPr>
      <w:bookmarkStart w:id="18" w:name="_Hlk76382618"/>
      <w:r w:rsidRPr="00DB3FE7">
        <w:rPr>
          <w:rFonts w:asciiTheme="minorHAnsi" w:hAnsiTheme="minorHAnsi"/>
          <w:bCs/>
          <w:snapToGrid w:val="0"/>
        </w:rPr>
        <w:t>The PBAC noted and welcomed the input from individuals (</w:t>
      </w:r>
      <w:r w:rsidR="00BD4F67" w:rsidRPr="00DB3FE7">
        <w:rPr>
          <w:rFonts w:asciiTheme="minorHAnsi" w:hAnsiTheme="minorHAnsi"/>
          <w:bCs/>
          <w:snapToGrid w:val="0"/>
        </w:rPr>
        <w:t>3</w:t>
      </w:r>
      <w:r w:rsidRPr="00DB3FE7">
        <w:rPr>
          <w:rFonts w:asciiTheme="minorHAnsi" w:hAnsiTheme="minorHAnsi"/>
          <w:bCs/>
          <w:snapToGrid w:val="0"/>
        </w:rPr>
        <w:t>), health care professionals (1) and organisations (</w:t>
      </w:r>
      <w:r w:rsidR="00BD4F67" w:rsidRPr="00DB3FE7">
        <w:rPr>
          <w:rFonts w:asciiTheme="minorHAnsi" w:hAnsiTheme="minorHAnsi"/>
          <w:bCs/>
          <w:snapToGrid w:val="0"/>
        </w:rPr>
        <w:t>4</w:t>
      </w:r>
      <w:r w:rsidRPr="00DB3FE7">
        <w:rPr>
          <w:rFonts w:asciiTheme="minorHAnsi" w:hAnsiTheme="minorHAnsi"/>
          <w:bCs/>
          <w:snapToGrid w:val="0"/>
        </w:rPr>
        <w:t xml:space="preserve">) via the Consumer Comments facility on the PBS website. The comments described </w:t>
      </w:r>
      <w:r w:rsidR="00BD4F67" w:rsidRPr="00DB3FE7">
        <w:rPr>
          <w:rFonts w:asciiTheme="minorHAnsi" w:hAnsiTheme="minorHAnsi"/>
          <w:bCs/>
          <w:snapToGrid w:val="0"/>
        </w:rPr>
        <w:t>the</w:t>
      </w:r>
      <w:r w:rsidRPr="00DB3FE7">
        <w:rPr>
          <w:rFonts w:asciiTheme="minorHAnsi" w:hAnsiTheme="minorHAnsi"/>
          <w:bCs/>
          <w:snapToGrid w:val="0"/>
        </w:rPr>
        <w:t xml:space="preserve"> benefits of treatment with </w:t>
      </w:r>
      <w:r w:rsidR="00BD4F67" w:rsidRPr="00DB3FE7">
        <w:rPr>
          <w:rFonts w:asciiTheme="minorHAnsi" w:hAnsiTheme="minorHAnsi"/>
          <w:bCs/>
          <w:snapToGrid w:val="0"/>
        </w:rPr>
        <w:t>inclisiran</w:t>
      </w:r>
      <w:r w:rsidRPr="00DB3FE7">
        <w:rPr>
          <w:rFonts w:asciiTheme="minorHAnsi" w:hAnsiTheme="minorHAnsi"/>
          <w:bCs/>
          <w:snapToGrid w:val="0"/>
        </w:rPr>
        <w:t xml:space="preserve"> including </w:t>
      </w:r>
      <w:r w:rsidR="00BD4F67" w:rsidRPr="00DB3FE7">
        <w:rPr>
          <w:rFonts w:asciiTheme="minorHAnsi" w:hAnsiTheme="minorHAnsi"/>
          <w:bCs/>
          <w:snapToGrid w:val="0"/>
        </w:rPr>
        <w:t>the ease and quality of life benefits associated with twice yearly dosing and the need for alternate therapies for patients who are intolerant to currently available treatments.</w:t>
      </w:r>
    </w:p>
    <w:p w14:paraId="5FE9397F" w14:textId="00A31F19" w:rsidR="007F2E83" w:rsidRPr="00DB3FE7" w:rsidRDefault="007F2E83" w:rsidP="007F2E83">
      <w:pPr>
        <w:widowControl w:val="0"/>
        <w:numPr>
          <w:ilvl w:val="1"/>
          <w:numId w:val="1"/>
        </w:numPr>
        <w:spacing w:after="120"/>
        <w:rPr>
          <w:rFonts w:asciiTheme="minorHAnsi" w:hAnsiTheme="minorHAnsi"/>
          <w:bCs/>
          <w:snapToGrid w:val="0"/>
        </w:rPr>
      </w:pPr>
      <w:r w:rsidRPr="00DB3FE7">
        <w:rPr>
          <w:rFonts w:asciiTheme="minorHAnsi" w:hAnsiTheme="minorHAnsi"/>
          <w:bCs/>
          <w:snapToGrid w:val="0"/>
        </w:rPr>
        <w:t xml:space="preserve">The PBAC noted the advice received from </w:t>
      </w:r>
      <w:r w:rsidR="003D2625" w:rsidRPr="00DB3FE7">
        <w:rPr>
          <w:rFonts w:asciiTheme="minorHAnsi" w:hAnsiTheme="minorHAnsi"/>
          <w:bCs/>
          <w:snapToGrid w:val="0"/>
        </w:rPr>
        <w:t xml:space="preserve">the Familial Hypercholesterolaemia Australasia Network clarifying the likely use of inclisiran in clinical practice, particularly for patients with familial hypercholesterolaemia and </w:t>
      </w:r>
      <w:r w:rsidR="00D0653B" w:rsidRPr="00DB3FE7">
        <w:rPr>
          <w:rFonts w:asciiTheme="minorHAnsi" w:hAnsiTheme="minorHAnsi"/>
          <w:bCs/>
          <w:snapToGrid w:val="0"/>
        </w:rPr>
        <w:t>high</w:t>
      </w:r>
      <w:r w:rsidR="00110338" w:rsidRPr="00DB3FE7">
        <w:rPr>
          <w:rFonts w:asciiTheme="minorHAnsi" w:hAnsiTheme="minorHAnsi"/>
          <w:bCs/>
          <w:snapToGrid w:val="0"/>
        </w:rPr>
        <w:t>-</w:t>
      </w:r>
      <w:r w:rsidR="00D0653B" w:rsidRPr="00DB3FE7">
        <w:rPr>
          <w:rFonts w:asciiTheme="minorHAnsi" w:hAnsiTheme="minorHAnsi"/>
          <w:bCs/>
          <w:snapToGrid w:val="0"/>
        </w:rPr>
        <w:t xml:space="preserve">risk </w:t>
      </w:r>
      <w:r w:rsidR="003D2625" w:rsidRPr="00DB3FE7">
        <w:rPr>
          <w:rFonts w:asciiTheme="minorHAnsi" w:hAnsiTheme="minorHAnsi"/>
          <w:bCs/>
          <w:snapToGrid w:val="0"/>
        </w:rPr>
        <w:t xml:space="preserve">cardiovascular </w:t>
      </w:r>
      <w:r w:rsidR="00D0653B" w:rsidRPr="00DB3FE7">
        <w:rPr>
          <w:rFonts w:asciiTheme="minorHAnsi" w:hAnsiTheme="minorHAnsi"/>
          <w:bCs/>
          <w:snapToGrid w:val="0"/>
        </w:rPr>
        <w:t>patients with hypercholesterolaemia who are intolerant to statins and PCSK9 inhibitor therapies. Advice was also received from the</w:t>
      </w:r>
      <w:r w:rsidR="003D2625" w:rsidRPr="00DB3FE7">
        <w:rPr>
          <w:rFonts w:asciiTheme="minorHAnsi" w:hAnsiTheme="minorHAnsi"/>
          <w:bCs/>
          <w:snapToGrid w:val="0"/>
        </w:rPr>
        <w:t xml:space="preserve"> Heart Foundation, Hearts 4 Hearts and Heartbeat of Football </w:t>
      </w:r>
      <w:r w:rsidR="00D0653B" w:rsidRPr="00DB3FE7">
        <w:rPr>
          <w:rFonts w:asciiTheme="minorHAnsi" w:hAnsiTheme="minorHAnsi"/>
          <w:bCs/>
          <w:snapToGrid w:val="0"/>
        </w:rPr>
        <w:t xml:space="preserve">which noted the need for alternate therapies and the ease of administration associated with twice yearly injections. </w:t>
      </w:r>
      <w:r w:rsidRPr="00DB3FE7">
        <w:rPr>
          <w:rFonts w:asciiTheme="minorHAnsi" w:hAnsiTheme="minorHAnsi"/>
          <w:bCs/>
          <w:snapToGrid w:val="0"/>
        </w:rPr>
        <w:t>The PBAC noted that this advice was supportive of the evidence provided in the submission.</w:t>
      </w:r>
    </w:p>
    <w:bookmarkEnd w:id="15"/>
    <w:bookmarkEnd w:id="18"/>
    <w:p w14:paraId="609C0765" w14:textId="305AECC0" w:rsidR="00B60939" w:rsidRPr="00DB3FE7" w:rsidRDefault="00B60939" w:rsidP="002E4F02">
      <w:pPr>
        <w:pStyle w:val="COMH2-non-numbered"/>
      </w:pPr>
      <w:r w:rsidRPr="00DB3FE7">
        <w:t>Clinical trials</w:t>
      </w:r>
      <w:bookmarkEnd w:id="14"/>
      <w:bookmarkEnd w:id="16"/>
    </w:p>
    <w:p w14:paraId="64CADFAA" w14:textId="10968D3B" w:rsidR="00915F03" w:rsidRPr="00DB3FE7" w:rsidRDefault="00915F03" w:rsidP="00980E94">
      <w:pPr>
        <w:pStyle w:val="COMexecsumnumberedpara"/>
      </w:pPr>
      <w:r w:rsidRPr="00DB3FE7">
        <w:t>No head-to-head trials comparing inclisiran with ezetimibe, evolocumab or alirocumab were identified. The submission was based on a series of indirect comparisons against nominated comparators:</w:t>
      </w:r>
    </w:p>
    <w:p w14:paraId="55F37AF0" w14:textId="77777777" w:rsidR="00915F03" w:rsidRPr="00DB3FE7" w:rsidRDefault="00915F03" w:rsidP="009B541B">
      <w:pPr>
        <w:pStyle w:val="COMexecsumnumberedpara"/>
        <w:numPr>
          <w:ilvl w:val="0"/>
          <w:numId w:val="9"/>
        </w:numPr>
        <w:ind w:left="1077" w:hanging="357"/>
      </w:pPr>
      <w:r w:rsidRPr="00DB3FE7">
        <w:t>Indirect analyses of lipid outcomes with inclisiran (ORION-10, ORION-11) versus ezetimibe (ACCENTUATE, EASE) with placebo as the common reference in patients with ASCVD or ASCVD risk-equivalents.</w:t>
      </w:r>
    </w:p>
    <w:p w14:paraId="78C01E87" w14:textId="34966AE7" w:rsidR="00915F03" w:rsidRPr="00DB3FE7" w:rsidRDefault="00915F03" w:rsidP="009B541B">
      <w:pPr>
        <w:pStyle w:val="COMexecsumnumberedpara"/>
        <w:numPr>
          <w:ilvl w:val="0"/>
          <w:numId w:val="9"/>
        </w:numPr>
        <w:ind w:left="1077" w:hanging="357"/>
      </w:pPr>
      <w:r w:rsidRPr="00DB3FE7">
        <w:t>Indirect analyses of lipid outcomes with inclisiran (ORION-10, ORION-11) versus evolocumab (DESCARTES, LAPLACE-2, BANTING; or separate analyses using longer</w:t>
      </w:r>
      <w:r w:rsidR="00982EE8" w:rsidRPr="00DB3FE7">
        <w:noBreakHyphen/>
      </w:r>
      <w:r w:rsidRPr="00DB3FE7">
        <w:t>term data from DESCARTES or FOURIER) with placebo as the common reference in patients with ASCVD or ASCVD risk-equivalents.</w:t>
      </w:r>
    </w:p>
    <w:p w14:paraId="7D601CF9" w14:textId="53C3E50B" w:rsidR="00915F03" w:rsidRPr="00DB3FE7" w:rsidRDefault="00915F03" w:rsidP="009B541B">
      <w:pPr>
        <w:pStyle w:val="COMexecsumnumberedpara"/>
        <w:numPr>
          <w:ilvl w:val="0"/>
          <w:numId w:val="9"/>
        </w:numPr>
        <w:ind w:left="1077" w:hanging="357"/>
      </w:pPr>
      <w:r w:rsidRPr="00DB3FE7">
        <w:t xml:space="preserve">Indirect analyses of lipid outcomes with inclisiran (ORION-9) versus evolocumab (RUTHERFORD-1, RUTHERFORD-2) with placebo as the common reference in patients with </w:t>
      </w:r>
      <w:r w:rsidR="00873B86" w:rsidRPr="00DB3FE7">
        <w:t>HeFH</w:t>
      </w:r>
      <w:r w:rsidRPr="00DB3FE7">
        <w:t>.</w:t>
      </w:r>
    </w:p>
    <w:p w14:paraId="6B446714" w14:textId="4895ABFA" w:rsidR="00915F03" w:rsidRPr="00DB3FE7" w:rsidRDefault="00915F03" w:rsidP="009B541B">
      <w:pPr>
        <w:pStyle w:val="COMexecsumnumberedpara"/>
        <w:numPr>
          <w:ilvl w:val="0"/>
          <w:numId w:val="9"/>
        </w:numPr>
        <w:ind w:left="1077" w:hanging="357"/>
      </w:pPr>
      <w:r w:rsidRPr="00DB3FE7">
        <w:t>Indirect analyses of lipid outcomes with inclisiran (ORION-10, ORION-11) versus alirocumab (COMBO-I, CHOICE-I, CHOICE-II, KT, INSULIN-DM, LONG-TERM; or separate analyses using longer-term data from LONG-TERM and/or OUTCOMES) with placebo as the common reference in patients with ASCVD or ASCVD risk</w:t>
      </w:r>
      <w:r w:rsidR="0025467F" w:rsidRPr="00DB3FE7">
        <w:noBreakHyphen/>
      </w:r>
      <w:r w:rsidRPr="00DB3FE7">
        <w:t>equivalents.</w:t>
      </w:r>
    </w:p>
    <w:p w14:paraId="5E85F200" w14:textId="731318D1" w:rsidR="00915F03" w:rsidRPr="00DB3FE7" w:rsidRDefault="00915F03" w:rsidP="009B541B">
      <w:pPr>
        <w:pStyle w:val="COMexecsumnumberedpara"/>
        <w:numPr>
          <w:ilvl w:val="0"/>
          <w:numId w:val="9"/>
        </w:numPr>
        <w:ind w:left="1077" w:hanging="357"/>
      </w:pPr>
      <w:r w:rsidRPr="00DB3FE7">
        <w:t xml:space="preserve">Indirect analyses of lipid outcomes with inclisiran (ORION-9) versus alirocumab (FH-1, FH-2, HIGH-FH) with placebo as the common reference in patients with </w:t>
      </w:r>
      <w:r w:rsidR="00BC507E" w:rsidRPr="00DB3FE7">
        <w:t>HeFH</w:t>
      </w:r>
      <w:r w:rsidRPr="00DB3FE7">
        <w:t>.</w:t>
      </w:r>
    </w:p>
    <w:p w14:paraId="53A1C244" w14:textId="77777777" w:rsidR="00915F03" w:rsidRPr="00DB3FE7" w:rsidRDefault="00915F03" w:rsidP="00980E94">
      <w:pPr>
        <w:pStyle w:val="COMexecsumnumberedpara"/>
      </w:pPr>
      <w:r w:rsidRPr="00DB3FE7">
        <w:t xml:space="preserve">The submission also noted two ongoing cardiovascular outcome trials of inclisiran compared to placebo in patients with ASCVD (ORION-4 with estimated completion July 2026; VICTORION-2P with estimated completion in October 2027). These studies were excluded from the submission as no results were available. </w:t>
      </w:r>
    </w:p>
    <w:p w14:paraId="0AD12426" w14:textId="5C1FAC29" w:rsidR="00326B75" w:rsidRPr="00D2286B" w:rsidRDefault="00A73134" w:rsidP="00980E94">
      <w:pPr>
        <w:pStyle w:val="COMexecsumnumberedpara"/>
      </w:pPr>
      <w:r w:rsidRPr="00DB3FE7">
        <w:rPr>
          <w:snapToGrid/>
        </w:rPr>
        <w:t>Details of the trials</w:t>
      </w:r>
      <w:r w:rsidR="00915F03" w:rsidRPr="00DB3FE7">
        <w:rPr>
          <w:snapToGrid/>
        </w:rPr>
        <w:t xml:space="preserve"> </w:t>
      </w:r>
      <w:r w:rsidRPr="00DB3FE7">
        <w:rPr>
          <w:snapToGrid/>
        </w:rPr>
        <w:t>presented in the submission are provided in</w:t>
      </w:r>
      <w:r w:rsidR="00334451" w:rsidRPr="00DB3FE7">
        <w:rPr>
          <w:snapToGrid/>
        </w:rPr>
        <w:t xml:space="preserve"> </w:t>
      </w:r>
      <w:r w:rsidR="00334451" w:rsidRPr="00D2286B">
        <w:rPr>
          <w:snapToGrid/>
        </w:rPr>
        <w:fldChar w:fldCharType="begin" w:fldLock="1"/>
      </w:r>
      <w:r w:rsidR="00334451" w:rsidRPr="00DB3FE7">
        <w:rPr>
          <w:snapToGrid/>
        </w:rPr>
        <w:instrText xml:space="preserve"> REF _Ref124101494 \h </w:instrText>
      </w:r>
      <w:r w:rsidR="007F2E83" w:rsidRPr="00DB3FE7">
        <w:rPr>
          <w:snapToGrid/>
        </w:rPr>
        <w:instrText xml:space="preserve"> \* MERGEFORMAT </w:instrText>
      </w:r>
      <w:r w:rsidR="00334451" w:rsidRPr="00D2286B">
        <w:rPr>
          <w:snapToGrid/>
        </w:rPr>
      </w:r>
      <w:r w:rsidR="00334451" w:rsidRPr="00D2286B">
        <w:rPr>
          <w:snapToGrid/>
        </w:rPr>
        <w:fldChar w:fldCharType="separate"/>
      </w:r>
      <w:r w:rsidR="00424520" w:rsidRPr="00D2286B">
        <w:t xml:space="preserve">Table </w:t>
      </w:r>
      <w:r w:rsidR="00424520" w:rsidRPr="00D2286B">
        <w:rPr>
          <w:noProof/>
        </w:rPr>
        <w:t>2</w:t>
      </w:r>
      <w:r w:rsidR="00334451" w:rsidRPr="00D2286B">
        <w:rPr>
          <w:snapToGrid/>
        </w:rPr>
        <w:fldChar w:fldCharType="end"/>
      </w:r>
      <w:r w:rsidRPr="0042765C">
        <w:rPr>
          <w:snapToGrid/>
        </w:rPr>
        <w:t>.</w:t>
      </w:r>
      <w:r w:rsidR="00BC591F" w:rsidRPr="00D2286B">
        <w:rPr>
          <w:snapToGrid/>
        </w:rPr>
        <w:t xml:space="preserve"> </w:t>
      </w:r>
      <w:bookmarkStart w:id="19" w:name="_Ref104803956"/>
    </w:p>
    <w:p w14:paraId="7F0D4E0C" w14:textId="4FE67613" w:rsidR="00326B75" w:rsidRPr="00D2286B" w:rsidRDefault="003D2173" w:rsidP="003D2173">
      <w:pPr>
        <w:pStyle w:val="COMtablefigcaption"/>
      </w:pPr>
      <w:bookmarkStart w:id="20" w:name="_Ref124101494"/>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2</w:t>
      </w:r>
      <w:r w:rsidR="00E1209D" w:rsidRPr="00D2286B">
        <w:rPr>
          <w:noProof/>
        </w:rPr>
        <w:fldChar w:fldCharType="end"/>
      </w:r>
      <w:bookmarkEnd w:id="20"/>
      <w:r w:rsidR="00326B75" w:rsidRPr="0042765C">
        <w:t xml:space="preserve">: Trials and </w:t>
      </w:r>
      <w:r w:rsidR="00326B75" w:rsidRPr="00D2286B">
        <w:t>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326B75" w:rsidRPr="00DB3FE7" w14:paraId="00274D2D" w14:textId="77777777" w:rsidTr="00035F43">
        <w:trPr>
          <w:tblHeader/>
        </w:trPr>
        <w:tc>
          <w:tcPr>
            <w:tcW w:w="796" w:type="pct"/>
            <w:vAlign w:val="center"/>
          </w:tcPr>
          <w:p w14:paraId="3C781719" w14:textId="77777777" w:rsidR="00326B75" w:rsidRPr="00352E1C" w:rsidRDefault="00326B75" w:rsidP="00035F43">
            <w:pPr>
              <w:pStyle w:val="Tableheadingrow"/>
              <w:keepNext w:val="0"/>
              <w:rPr>
                <w:lang w:val="en-AU"/>
              </w:rPr>
            </w:pPr>
            <w:r w:rsidRPr="00352E1C">
              <w:rPr>
                <w:lang w:val="en-AU"/>
              </w:rPr>
              <w:t>Trial ID</w:t>
            </w:r>
          </w:p>
        </w:tc>
        <w:tc>
          <w:tcPr>
            <w:tcW w:w="3027" w:type="pct"/>
            <w:vAlign w:val="center"/>
          </w:tcPr>
          <w:p w14:paraId="661AF3EB" w14:textId="77777777" w:rsidR="00326B75" w:rsidRPr="00DB3FE7" w:rsidRDefault="00326B75" w:rsidP="00035F43">
            <w:pPr>
              <w:pStyle w:val="Tableheadingrow"/>
              <w:keepNext w:val="0"/>
              <w:rPr>
                <w:lang w:val="en-AU"/>
              </w:rPr>
            </w:pPr>
            <w:r w:rsidRPr="00DB3FE7">
              <w:rPr>
                <w:lang w:val="en-AU"/>
              </w:rPr>
              <w:t>Protocol title/ Publication title</w:t>
            </w:r>
          </w:p>
        </w:tc>
        <w:tc>
          <w:tcPr>
            <w:tcW w:w="1177" w:type="pct"/>
            <w:vAlign w:val="center"/>
          </w:tcPr>
          <w:p w14:paraId="330C7668" w14:textId="77777777" w:rsidR="00326B75" w:rsidRPr="00DB3FE7" w:rsidRDefault="00326B75" w:rsidP="00035F43">
            <w:pPr>
              <w:pStyle w:val="Tableheadingrow"/>
              <w:keepNext w:val="0"/>
              <w:rPr>
                <w:lang w:val="en-AU"/>
              </w:rPr>
            </w:pPr>
            <w:r w:rsidRPr="00DB3FE7">
              <w:rPr>
                <w:lang w:val="en-AU"/>
              </w:rPr>
              <w:t>Publication citation</w:t>
            </w:r>
          </w:p>
        </w:tc>
      </w:tr>
      <w:tr w:rsidR="00326B75" w:rsidRPr="00DB3FE7" w14:paraId="67F9665E" w14:textId="77777777" w:rsidTr="00035F43">
        <w:tc>
          <w:tcPr>
            <w:tcW w:w="5000" w:type="pct"/>
            <w:gridSpan w:val="3"/>
            <w:tcBorders>
              <w:bottom w:val="nil"/>
            </w:tcBorders>
            <w:vAlign w:val="center"/>
          </w:tcPr>
          <w:p w14:paraId="7EC85F35" w14:textId="77777777" w:rsidR="00326B75" w:rsidRPr="00DB3FE7" w:rsidRDefault="00326B75" w:rsidP="00035F43">
            <w:pPr>
              <w:pStyle w:val="TableText"/>
              <w:keepNext w:val="0"/>
              <w:rPr>
                <w:b/>
              </w:rPr>
            </w:pPr>
            <w:r w:rsidRPr="00DB3FE7">
              <w:rPr>
                <w:b/>
              </w:rPr>
              <w:t>Inclisiran trials</w:t>
            </w:r>
          </w:p>
        </w:tc>
      </w:tr>
      <w:tr w:rsidR="00326B75" w:rsidRPr="00DB3FE7" w14:paraId="4061C2FB" w14:textId="77777777" w:rsidTr="00035F43">
        <w:tc>
          <w:tcPr>
            <w:tcW w:w="796" w:type="pct"/>
            <w:vMerge w:val="restart"/>
            <w:vAlign w:val="center"/>
          </w:tcPr>
          <w:p w14:paraId="65D924F3" w14:textId="77777777" w:rsidR="00326B75" w:rsidRPr="00DB3FE7" w:rsidRDefault="00326B75" w:rsidP="00035F43">
            <w:pPr>
              <w:pStyle w:val="TableText"/>
            </w:pPr>
            <w:r w:rsidRPr="00DB3FE7">
              <w:t>ORION 9</w:t>
            </w:r>
          </w:p>
        </w:tc>
        <w:tc>
          <w:tcPr>
            <w:tcW w:w="3027" w:type="pct"/>
            <w:tcBorders>
              <w:bottom w:val="nil"/>
            </w:tcBorders>
            <w:vAlign w:val="center"/>
          </w:tcPr>
          <w:p w14:paraId="566B6155" w14:textId="77777777" w:rsidR="00326B75" w:rsidRPr="00DB3FE7" w:rsidRDefault="00326B75" w:rsidP="00035F43">
            <w:pPr>
              <w:pStyle w:val="TableText"/>
              <w:keepNext w:val="0"/>
              <w:rPr>
                <w:rFonts w:eastAsia="Times New Roman" w:cs="Times New Roman"/>
                <w:bCs w:val="0"/>
              </w:rPr>
            </w:pPr>
            <w:r w:rsidRPr="00DB3FE7">
              <w:rPr>
                <w:rFonts w:eastAsia="Times New Roman" w:cs="Times New Roman"/>
                <w:bCs w:val="0"/>
              </w:rPr>
              <w:t>The Medicines Company (2019). A placebo-controlled, double-blind, randomized trial to evaluate the effect of 300 mg of inclisiran sodium given as subcutaneous injections in subjects with heterozygous familial hypercholesterolemia (HeFH) and elevated low density lipoprotein cholesterol (LDL-C)</w:t>
            </w:r>
          </w:p>
        </w:tc>
        <w:tc>
          <w:tcPr>
            <w:tcW w:w="1177" w:type="pct"/>
            <w:tcBorders>
              <w:bottom w:val="nil"/>
            </w:tcBorders>
            <w:vAlign w:val="center"/>
          </w:tcPr>
          <w:p w14:paraId="7081D8A9" w14:textId="77777777" w:rsidR="00326B75" w:rsidRPr="00DB3FE7" w:rsidRDefault="00326B75" w:rsidP="00035F43">
            <w:pPr>
              <w:pStyle w:val="TableText"/>
              <w:keepNext w:val="0"/>
            </w:pPr>
            <w:r w:rsidRPr="00DB3FE7">
              <w:t>Internal study report</w:t>
            </w:r>
          </w:p>
        </w:tc>
      </w:tr>
      <w:tr w:rsidR="00326B75" w:rsidRPr="00DB3FE7" w14:paraId="267561CA" w14:textId="77777777" w:rsidTr="00035F43">
        <w:tc>
          <w:tcPr>
            <w:tcW w:w="796" w:type="pct"/>
            <w:vMerge/>
            <w:vAlign w:val="center"/>
          </w:tcPr>
          <w:p w14:paraId="0181ED21" w14:textId="77777777" w:rsidR="00326B75" w:rsidRPr="00DB3FE7" w:rsidRDefault="00326B75" w:rsidP="00035F43">
            <w:pPr>
              <w:pStyle w:val="TableText"/>
              <w:keepNext w:val="0"/>
            </w:pPr>
          </w:p>
        </w:tc>
        <w:tc>
          <w:tcPr>
            <w:tcW w:w="3027" w:type="pct"/>
            <w:tcBorders>
              <w:bottom w:val="nil"/>
            </w:tcBorders>
            <w:vAlign w:val="center"/>
          </w:tcPr>
          <w:p w14:paraId="7072CB93" w14:textId="77777777" w:rsidR="00326B75" w:rsidRPr="00DB3FE7" w:rsidRDefault="00326B75" w:rsidP="00035F43">
            <w:pPr>
              <w:pStyle w:val="TableText"/>
              <w:keepNext w:val="0"/>
              <w:rPr>
                <w:rFonts w:eastAsia="Times New Roman" w:cs="Times New Roman"/>
                <w:bCs w:val="0"/>
              </w:rPr>
            </w:pPr>
            <w:r w:rsidRPr="00DB3FE7">
              <w:rPr>
                <w:rFonts w:cs="Times New Roman"/>
              </w:rPr>
              <w:t xml:space="preserve">Raal FJ et al (2020). Inclisiran for the treatment of heterozygous familial hypercholesterolemia. </w:t>
            </w:r>
          </w:p>
        </w:tc>
        <w:tc>
          <w:tcPr>
            <w:tcW w:w="1177" w:type="pct"/>
            <w:tcBorders>
              <w:bottom w:val="nil"/>
            </w:tcBorders>
            <w:vAlign w:val="center"/>
          </w:tcPr>
          <w:p w14:paraId="7EF8B645" w14:textId="77777777" w:rsidR="00326B75" w:rsidRPr="00DB3FE7" w:rsidRDefault="00326B75" w:rsidP="00035F43">
            <w:pPr>
              <w:pStyle w:val="TableText"/>
              <w:keepNext w:val="0"/>
            </w:pPr>
            <w:r w:rsidRPr="00DB3FE7">
              <w:rPr>
                <w:rFonts w:cs="Times New Roman"/>
              </w:rPr>
              <w:t>New England Journal of Medicine 382(16):1520-30.</w:t>
            </w:r>
          </w:p>
        </w:tc>
      </w:tr>
      <w:tr w:rsidR="00326B75" w:rsidRPr="00DB3FE7" w14:paraId="537971A9" w14:textId="77777777" w:rsidTr="00035F43">
        <w:tc>
          <w:tcPr>
            <w:tcW w:w="796" w:type="pct"/>
            <w:vMerge w:val="restart"/>
            <w:vAlign w:val="center"/>
          </w:tcPr>
          <w:p w14:paraId="00354B71" w14:textId="77777777" w:rsidR="00326B75" w:rsidRPr="00DB3FE7" w:rsidRDefault="00326B75" w:rsidP="00035F43">
            <w:pPr>
              <w:pStyle w:val="TableText"/>
            </w:pPr>
            <w:r w:rsidRPr="00DB3FE7">
              <w:t>ORION 10</w:t>
            </w:r>
          </w:p>
        </w:tc>
        <w:tc>
          <w:tcPr>
            <w:tcW w:w="3027" w:type="pct"/>
            <w:tcBorders>
              <w:bottom w:val="nil"/>
            </w:tcBorders>
            <w:vAlign w:val="center"/>
          </w:tcPr>
          <w:p w14:paraId="179BE55A" w14:textId="77777777" w:rsidR="00326B75" w:rsidRPr="00DB3FE7" w:rsidRDefault="00326B75" w:rsidP="00035F43">
            <w:pPr>
              <w:pStyle w:val="TableText"/>
              <w:keepNext w:val="0"/>
              <w:rPr>
                <w:rFonts w:eastAsia="Times New Roman" w:cs="Times New Roman"/>
                <w:bCs w:val="0"/>
              </w:rPr>
            </w:pPr>
            <w:r w:rsidRPr="00DB3FE7">
              <w:rPr>
                <w:rFonts w:eastAsia="Times New Roman" w:cs="Times New Roman"/>
                <w:bCs w:val="0"/>
              </w:rPr>
              <w:t>The Medicines Company (2019). A placebo-controlled, double-blind, randomized trial to evaluate the effect of 300 mg of inclisiran sodium given as subcutaneous injections in subjects with atherosclerotic cardiovascular disease (ASCVD) and elevated low density lipoprotein cholesterol (LDL-C)</w:t>
            </w:r>
          </w:p>
        </w:tc>
        <w:tc>
          <w:tcPr>
            <w:tcW w:w="1177" w:type="pct"/>
            <w:tcBorders>
              <w:bottom w:val="nil"/>
            </w:tcBorders>
            <w:vAlign w:val="center"/>
          </w:tcPr>
          <w:p w14:paraId="52BA631F" w14:textId="77777777" w:rsidR="00326B75" w:rsidRPr="00DB3FE7" w:rsidRDefault="00326B75" w:rsidP="00035F43">
            <w:pPr>
              <w:pStyle w:val="TableText"/>
              <w:keepNext w:val="0"/>
              <w:rPr>
                <w:rFonts w:eastAsia="Times New Roman" w:cs="Times New Roman"/>
                <w:bCs w:val="0"/>
                <w:iCs/>
              </w:rPr>
            </w:pPr>
            <w:r w:rsidRPr="00DB3FE7">
              <w:rPr>
                <w:rFonts w:eastAsia="Times New Roman" w:cs="Times New Roman"/>
                <w:bCs w:val="0"/>
                <w:iCs/>
              </w:rPr>
              <w:t>Internal study report</w:t>
            </w:r>
          </w:p>
        </w:tc>
      </w:tr>
      <w:tr w:rsidR="00326B75" w:rsidRPr="00DB3FE7" w14:paraId="3D5E4B3C" w14:textId="77777777" w:rsidTr="00035F43">
        <w:trPr>
          <w:trHeight w:val="82"/>
        </w:trPr>
        <w:tc>
          <w:tcPr>
            <w:tcW w:w="796" w:type="pct"/>
            <w:vMerge/>
            <w:vAlign w:val="center"/>
          </w:tcPr>
          <w:p w14:paraId="750A44CC" w14:textId="77777777" w:rsidR="00326B75" w:rsidRPr="00DB3FE7" w:rsidRDefault="00326B75" w:rsidP="00035F43">
            <w:pPr>
              <w:pStyle w:val="TableText"/>
              <w:keepNext w:val="0"/>
            </w:pPr>
          </w:p>
        </w:tc>
        <w:tc>
          <w:tcPr>
            <w:tcW w:w="3027" w:type="pct"/>
            <w:vAlign w:val="center"/>
          </w:tcPr>
          <w:p w14:paraId="25FE2F3C" w14:textId="77777777" w:rsidR="00326B75" w:rsidRPr="00DB3FE7" w:rsidRDefault="00326B75" w:rsidP="00035F43">
            <w:pPr>
              <w:pStyle w:val="TableText"/>
              <w:keepNext w:val="0"/>
              <w:rPr>
                <w:rFonts w:eastAsia="Times New Roman" w:cs="Times New Roman"/>
                <w:bCs w:val="0"/>
              </w:rPr>
            </w:pPr>
            <w:r w:rsidRPr="00DB3FE7">
              <w:rPr>
                <w:rFonts w:cs="Times New Roman"/>
              </w:rPr>
              <w:t xml:space="preserve">Ray KK et al (2020). Two phase 3 trials of inclisiran in patients with elevated LDL cholesterol. </w:t>
            </w:r>
          </w:p>
        </w:tc>
        <w:tc>
          <w:tcPr>
            <w:tcW w:w="1177" w:type="pct"/>
            <w:vAlign w:val="center"/>
          </w:tcPr>
          <w:p w14:paraId="2366E4A5" w14:textId="77777777" w:rsidR="00326B75" w:rsidRPr="00DB3FE7" w:rsidRDefault="00326B75" w:rsidP="00035F43">
            <w:pPr>
              <w:pStyle w:val="TableText"/>
              <w:keepNext w:val="0"/>
              <w:rPr>
                <w:rFonts w:eastAsia="Times New Roman" w:cs="Times New Roman"/>
                <w:bCs w:val="0"/>
              </w:rPr>
            </w:pPr>
            <w:r w:rsidRPr="00DB3FE7">
              <w:rPr>
                <w:rFonts w:cs="Times New Roman"/>
              </w:rPr>
              <w:t>New England Journal of Medicine 382(16):1507-19.</w:t>
            </w:r>
          </w:p>
        </w:tc>
      </w:tr>
      <w:tr w:rsidR="00326B75" w:rsidRPr="00DB3FE7" w14:paraId="75C7F977" w14:textId="77777777" w:rsidTr="00035F43">
        <w:tc>
          <w:tcPr>
            <w:tcW w:w="796" w:type="pct"/>
            <w:vMerge w:val="restart"/>
            <w:vAlign w:val="center"/>
          </w:tcPr>
          <w:p w14:paraId="65790699" w14:textId="77777777" w:rsidR="00326B75" w:rsidRPr="00DB3FE7" w:rsidRDefault="00326B75" w:rsidP="00035F43">
            <w:pPr>
              <w:pStyle w:val="TableText"/>
            </w:pPr>
            <w:r w:rsidRPr="00DB3FE7">
              <w:t>ORION 11</w:t>
            </w:r>
          </w:p>
        </w:tc>
        <w:tc>
          <w:tcPr>
            <w:tcW w:w="3027" w:type="pct"/>
            <w:tcBorders>
              <w:bottom w:val="single" w:sz="4" w:space="0" w:color="auto"/>
            </w:tcBorders>
            <w:vAlign w:val="center"/>
          </w:tcPr>
          <w:p w14:paraId="6EFF188F" w14:textId="77777777" w:rsidR="00326B75" w:rsidRPr="00DB3FE7" w:rsidRDefault="00326B75" w:rsidP="00035F43">
            <w:pPr>
              <w:pStyle w:val="TableText"/>
              <w:keepNext w:val="0"/>
              <w:rPr>
                <w:rFonts w:eastAsia="Times New Roman" w:cs="Times New Roman"/>
                <w:bCs w:val="0"/>
              </w:rPr>
            </w:pPr>
            <w:r w:rsidRPr="00DB3FE7">
              <w:rPr>
                <w:rFonts w:eastAsia="Times New Roman" w:cs="Times New Roman"/>
                <w:bCs w:val="0"/>
              </w:rPr>
              <w:t>The Medicines Company (2019). A placebo-controlled, double-blind, randomized trial to evaluate the effect of 300 mg of inclisiran sodium given as subcutaneous injections in subjects with atherosclerotic cardiovascular disease (ASCVD) or ASCVD risk equivalents and elevated low density lipoprotein cholesterol (LDL-C)</w:t>
            </w:r>
          </w:p>
        </w:tc>
        <w:tc>
          <w:tcPr>
            <w:tcW w:w="1177" w:type="pct"/>
            <w:tcBorders>
              <w:bottom w:val="single" w:sz="4" w:space="0" w:color="auto"/>
            </w:tcBorders>
            <w:vAlign w:val="center"/>
          </w:tcPr>
          <w:p w14:paraId="4B5E2541" w14:textId="77777777" w:rsidR="00326B75" w:rsidRPr="00DB3FE7" w:rsidRDefault="00326B75" w:rsidP="00035F43">
            <w:pPr>
              <w:pStyle w:val="TableText"/>
              <w:keepNext w:val="0"/>
            </w:pPr>
            <w:r w:rsidRPr="00DB3FE7">
              <w:t>Internal study report</w:t>
            </w:r>
          </w:p>
        </w:tc>
      </w:tr>
      <w:tr w:rsidR="00326B75" w:rsidRPr="00DB3FE7" w14:paraId="1B6E7363" w14:textId="77777777" w:rsidTr="00035F43">
        <w:tc>
          <w:tcPr>
            <w:tcW w:w="796" w:type="pct"/>
            <w:vMerge/>
            <w:tcBorders>
              <w:bottom w:val="single" w:sz="4" w:space="0" w:color="auto"/>
            </w:tcBorders>
            <w:vAlign w:val="center"/>
          </w:tcPr>
          <w:p w14:paraId="13BA35AE" w14:textId="77777777" w:rsidR="00326B75" w:rsidRPr="00DB3FE7" w:rsidRDefault="00326B75" w:rsidP="00035F43">
            <w:pPr>
              <w:pStyle w:val="TableText"/>
              <w:keepNext w:val="0"/>
            </w:pPr>
          </w:p>
        </w:tc>
        <w:tc>
          <w:tcPr>
            <w:tcW w:w="3027" w:type="pct"/>
            <w:tcBorders>
              <w:top w:val="single" w:sz="4" w:space="0" w:color="auto"/>
              <w:bottom w:val="single" w:sz="4" w:space="0" w:color="auto"/>
            </w:tcBorders>
            <w:vAlign w:val="center"/>
          </w:tcPr>
          <w:p w14:paraId="69AA19F8" w14:textId="77777777" w:rsidR="00326B75" w:rsidRPr="00DB3FE7" w:rsidRDefault="00326B75" w:rsidP="00035F43">
            <w:pPr>
              <w:pStyle w:val="TableText"/>
              <w:keepNext w:val="0"/>
              <w:rPr>
                <w:szCs w:val="18"/>
              </w:rPr>
            </w:pPr>
            <w:r w:rsidRPr="00DB3FE7">
              <w:rPr>
                <w:rFonts w:cs="Times New Roman"/>
              </w:rPr>
              <w:t xml:space="preserve">Ray KK et al (2020). Two phase 3 trials of inclisiran in patients with elevated LDL cholesterol. </w:t>
            </w:r>
          </w:p>
        </w:tc>
        <w:tc>
          <w:tcPr>
            <w:tcW w:w="1177" w:type="pct"/>
            <w:tcBorders>
              <w:top w:val="single" w:sz="4" w:space="0" w:color="auto"/>
              <w:bottom w:val="single" w:sz="4" w:space="0" w:color="auto"/>
            </w:tcBorders>
            <w:vAlign w:val="center"/>
          </w:tcPr>
          <w:p w14:paraId="3DB31D0E" w14:textId="77777777" w:rsidR="00326B75" w:rsidRPr="00DB3FE7" w:rsidRDefault="00326B75" w:rsidP="00035F43">
            <w:pPr>
              <w:pStyle w:val="TableText"/>
              <w:keepNext w:val="0"/>
              <w:rPr>
                <w:i/>
                <w:szCs w:val="18"/>
              </w:rPr>
            </w:pPr>
            <w:r w:rsidRPr="00DB3FE7">
              <w:rPr>
                <w:rFonts w:cs="Times New Roman"/>
              </w:rPr>
              <w:t>New England Journal of Medicine 382(16):1507-19.</w:t>
            </w:r>
          </w:p>
        </w:tc>
      </w:tr>
      <w:tr w:rsidR="00326B75" w:rsidRPr="00DB3FE7" w14:paraId="6C89AB6B" w14:textId="77777777" w:rsidTr="00035F43">
        <w:tc>
          <w:tcPr>
            <w:tcW w:w="5000" w:type="pct"/>
            <w:gridSpan w:val="3"/>
            <w:tcBorders>
              <w:top w:val="nil"/>
              <w:bottom w:val="single" w:sz="4" w:space="0" w:color="auto"/>
            </w:tcBorders>
            <w:vAlign w:val="center"/>
          </w:tcPr>
          <w:p w14:paraId="774D5382" w14:textId="77777777" w:rsidR="00326B75" w:rsidRPr="00DB3FE7" w:rsidRDefault="00326B75" w:rsidP="00035F43">
            <w:pPr>
              <w:pStyle w:val="TableText"/>
              <w:rPr>
                <w:b/>
              </w:rPr>
            </w:pPr>
            <w:r w:rsidRPr="00DB3FE7">
              <w:rPr>
                <w:b/>
              </w:rPr>
              <w:t>Ezetimibe trials</w:t>
            </w:r>
          </w:p>
        </w:tc>
      </w:tr>
      <w:tr w:rsidR="00326B75" w:rsidRPr="00DB3FE7" w14:paraId="7EC6BABE" w14:textId="77777777" w:rsidTr="00035F43">
        <w:tc>
          <w:tcPr>
            <w:tcW w:w="796" w:type="pct"/>
            <w:vAlign w:val="center"/>
          </w:tcPr>
          <w:p w14:paraId="7882182F" w14:textId="77777777" w:rsidR="00326B75" w:rsidRPr="00DB3FE7" w:rsidRDefault="00326B75" w:rsidP="00035F43">
            <w:pPr>
              <w:pStyle w:val="TableText"/>
              <w:keepNext w:val="0"/>
            </w:pPr>
            <w:r w:rsidRPr="00DB3FE7">
              <w:rPr>
                <w:rFonts w:cs="Times New Roman"/>
              </w:rPr>
              <w:t>ACCENTUATE</w:t>
            </w:r>
          </w:p>
        </w:tc>
        <w:tc>
          <w:tcPr>
            <w:tcW w:w="3027" w:type="pct"/>
          </w:tcPr>
          <w:p w14:paraId="31E6CE11" w14:textId="77777777" w:rsidR="00326B75" w:rsidRPr="00DB3FE7" w:rsidRDefault="00326B75" w:rsidP="00035F43">
            <w:pPr>
              <w:pStyle w:val="TableText"/>
              <w:keepNext w:val="0"/>
              <w:rPr>
                <w:szCs w:val="18"/>
              </w:rPr>
            </w:pPr>
            <w:r w:rsidRPr="00DB3FE7">
              <w:rPr>
                <w:rFonts w:cs="Times New Roman"/>
              </w:rPr>
              <w:t xml:space="preserve">Nicholls SJ et al (2017). Comparative effects of cholesteryl ester transfer protein inhibition, statin or ezetimibe on lipid factors: the ACCENTUATE trial. </w:t>
            </w:r>
          </w:p>
        </w:tc>
        <w:tc>
          <w:tcPr>
            <w:tcW w:w="1177" w:type="pct"/>
            <w:tcBorders>
              <w:top w:val="nil"/>
              <w:bottom w:val="single" w:sz="4" w:space="0" w:color="auto"/>
            </w:tcBorders>
            <w:vAlign w:val="center"/>
          </w:tcPr>
          <w:p w14:paraId="7E7C39EA" w14:textId="77777777" w:rsidR="00326B75" w:rsidRPr="00DB3FE7" w:rsidRDefault="00326B75" w:rsidP="00035F43">
            <w:pPr>
              <w:pStyle w:val="TableText"/>
              <w:keepNext w:val="0"/>
              <w:rPr>
                <w:szCs w:val="18"/>
              </w:rPr>
            </w:pPr>
            <w:r w:rsidRPr="00DB3FE7">
              <w:rPr>
                <w:rFonts w:cs="Times New Roman"/>
              </w:rPr>
              <w:t>Atherosclerosis 261:12-8.</w:t>
            </w:r>
          </w:p>
        </w:tc>
      </w:tr>
      <w:tr w:rsidR="00326B75" w:rsidRPr="00DB3FE7" w14:paraId="0ADA2DA1" w14:textId="77777777" w:rsidTr="00035F43">
        <w:tc>
          <w:tcPr>
            <w:tcW w:w="796" w:type="pct"/>
            <w:vAlign w:val="center"/>
          </w:tcPr>
          <w:p w14:paraId="28F70B3A" w14:textId="77777777" w:rsidR="00326B75" w:rsidRPr="00DB3FE7" w:rsidRDefault="00326B75" w:rsidP="00035F43">
            <w:pPr>
              <w:pStyle w:val="TableText"/>
              <w:keepNext w:val="0"/>
            </w:pPr>
            <w:r w:rsidRPr="00DB3FE7">
              <w:rPr>
                <w:rFonts w:cs="Times New Roman"/>
              </w:rPr>
              <w:t>EASE</w:t>
            </w:r>
          </w:p>
        </w:tc>
        <w:tc>
          <w:tcPr>
            <w:tcW w:w="3027" w:type="pct"/>
          </w:tcPr>
          <w:p w14:paraId="287681D2" w14:textId="77777777" w:rsidR="00326B75" w:rsidRPr="00DB3FE7" w:rsidRDefault="00326B75" w:rsidP="00035F43">
            <w:pPr>
              <w:pStyle w:val="TableText"/>
              <w:keepNext w:val="0"/>
              <w:rPr>
                <w:szCs w:val="18"/>
              </w:rPr>
            </w:pPr>
            <w:r w:rsidRPr="00DB3FE7">
              <w:rPr>
                <w:rFonts w:cs="Times New Roman"/>
              </w:rPr>
              <w:t xml:space="preserve">Pearson TA et al (2005). A community-based, randomized trial of ezetimibe added to statin therapy to attain NCEP ATP III goals for LDL cholesterol in hypercholesterolemic patients: the ezetimibe add-on to statin for effectiveness (EASE) trial. </w:t>
            </w:r>
          </w:p>
        </w:tc>
        <w:tc>
          <w:tcPr>
            <w:tcW w:w="1177" w:type="pct"/>
            <w:tcBorders>
              <w:top w:val="single" w:sz="4" w:space="0" w:color="auto"/>
              <w:bottom w:val="single" w:sz="4" w:space="0" w:color="auto"/>
            </w:tcBorders>
            <w:vAlign w:val="center"/>
          </w:tcPr>
          <w:p w14:paraId="655F0F48" w14:textId="77777777" w:rsidR="00326B75" w:rsidRPr="00DB3FE7" w:rsidRDefault="00326B75" w:rsidP="00035F43">
            <w:pPr>
              <w:pStyle w:val="TableText"/>
              <w:keepNext w:val="0"/>
              <w:rPr>
                <w:szCs w:val="18"/>
              </w:rPr>
            </w:pPr>
            <w:r w:rsidRPr="00DB3FE7">
              <w:rPr>
                <w:rFonts w:cs="Times New Roman"/>
              </w:rPr>
              <w:t>Mayo Clinic Proceedings 80(5): 587-595.</w:t>
            </w:r>
          </w:p>
        </w:tc>
      </w:tr>
      <w:tr w:rsidR="00326B75" w:rsidRPr="00DB3FE7" w14:paraId="185CC912" w14:textId="77777777" w:rsidTr="00035F43">
        <w:tc>
          <w:tcPr>
            <w:tcW w:w="5000" w:type="pct"/>
            <w:gridSpan w:val="3"/>
            <w:vAlign w:val="center"/>
          </w:tcPr>
          <w:p w14:paraId="6F151F40" w14:textId="77777777" w:rsidR="00326B75" w:rsidRPr="00DB3FE7" w:rsidRDefault="00326B75" w:rsidP="00035F43">
            <w:pPr>
              <w:pStyle w:val="TableText"/>
              <w:keepNext w:val="0"/>
              <w:rPr>
                <w:b/>
                <w:bCs w:val="0"/>
                <w:iCs/>
                <w:szCs w:val="18"/>
              </w:rPr>
            </w:pPr>
            <w:r w:rsidRPr="00DB3FE7">
              <w:rPr>
                <w:b/>
                <w:bCs w:val="0"/>
                <w:iCs/>
                <w:szCs w:val="18"/>
              </w:rPr>
              <w:t>Evolocumab trials</w:t>
            </w:r>
          </w:p>
        </w:tc>
      </w:tr>
      <w:tr w:rsidR="00326B75" w:rsidRPr="00DB3FE7" w14:paraId="4A1075FF" w14:textId="77777777" w:rsidTr="00035F43">
        <w:tc>
          <w:tcPr>
            <w:tcW w:w="796" w:type="pct"/>
            <w:vAlign w:val="center"/>
          </w:tcPr>
          <w:p w14:paraId="3A9A83E4" w14:textId="77777777" w:rsidR="00326B75" w:rsidRPr="00DB3FE7" w:rsidRDefault="00326B75" w:rsidP="00035F43">
            <w:pPr>
              <w:pStyle w:val="TableText"/>
              <w:keepNext w:val="0"/>
              <w:rPr>
                <w:rFonts w:cs="Times New Roman"/>
              </w:rPr>
            </w:pPr>
            <w:r w:rsidRPr="00DB3FE7">
              <w:rPr>
                <w:rFonts w:eastAsia="Times New Roman" w:cs="Times New Roman"/>
              </w:rPr>
              <w:t>RUTHERFORD-1</w:t>
            </w:r>
          </w:p>
        </w:tc>
        <w:tc>
          <w:tcPr>
            <w:tcW w:w="3027" w:type="pct"/>
          </w:tcPr>
          <w:p w14:paraId="54C29F30" w14:textId="77777777" w:rsidR="00326B75" w:rsidRPr="00DB3FE7" w:rsidRDefault="00326B75" w:rsidP="00035F43">
            <w:pPr>
              <w:pStyle w:val="TableText"/>
              <w:keepNext w:val="0"/>
              <w:rPr>
                <w:rFonts w:cs="Times New Roman"/>
              </w:rPr>
            </w:pPr>
            <w:r w:rsidRPr="00DB3FE7">
              <w:rPr>
                <w:rFonts w:eastAsia="Times New Roman" w:cs="Times New Roman"/>
              </w:rPr>
              <w:t xml:space="preserve">Raal F et al (2012). Low-density lipoprotein cholesterol–lowering effects of AMG 145, a monoclonal antibody to proprotein convertase subtilisin/kexin type 9 serine protease in patients with heterozygous familial hypercholesterolemia: the Reduction of LDL-C with PCSK9 Inhibition in Heterozygous Familial Hypercholesterolemia Disorder (RUTHERFORD) randomized trial. </w:t>
            </w:r>
          </w:p>
        </w:tc>
        <w:tc>
          <w:tcPr>
            <w:tcW w:w="1177" w:type="pct"/>
            <w:tcBorders>
              <w:top w:val="single" w:sz="4" w:space="0" w:color="auto"/>
              <w:bottom w:val="single" w:sz="4" w:space="0" w:color="auto"/>
            </w:tcBorders>
            <w:vAlign w:val="center"/>
          </w:tcPr>
          <w:p w14:paraId="4961DAB7" w14:textId="77777777" w:rsidR="00326B75" w:rsidRPr="00DB3FE7" w:rsidRDefault="00326B75" w:rsidP="00035F43">
            <w:pPr>
              <w:pStyle w:val="TableText"/>
              <w:keepNext w:val="0"/>
              <w:rPr>
                <w:szCs w:val="18"/>
              </w:rPr>
            </w:pPr>
            <w:r w:rsidRPr="00DB3FE7">
              <w:rPr>
                <w:rFonts w:eastAsia="Times New Roman" w:cs="Times New Roman"/>
              </w:rPr>
              <w:t>Circulation 126(20):2408-17.</w:t>
            </w:r>
          </w:p>
        </w:tc>
      </w:tr>
      <w:tr w:rsidR="00326B75" w:rsidRPr="00DB3FE7" w14:paraId="4DFB32F2" w14:textId="77777777" w:rsidTr="00035F43">
        <w:tc>
          <w:tcPr>
            <w:tcW w:w="796" w:type="pct"/>
            <w:vAlign w:val="center"/>
          </w:tcPr>
          <w:p w14:paraId="748B9778" w14:textId="77777777" w:rsidR="00326B75" w:rsidRPr="00DB3FE7" w:rsidRDefault="00326B75" w:rsidP="00035F43">
            <w:pPr>
              <w:pStyle w:val="TableText"/>
              <w:keepNext w:val="0"/>
              <w:rPr>
                <w:rFonts w:cs="Times New Roman"/>
              </w:rPr>
            </w:pPr>
            <w:r w:rsidRPr="00DB3FE7">
              <w:rPr>
                <w:rFonts w:eastAsia="Times New Roman" w:cs="Times New Roman"/>
              </w:rPr>
              <w:t>RUTHERFORD-2</w:t>
            </w:r>
          </w:p>
        </w:tc>
        <w:tc>
          <w:tcPr>
            <w:tcW w:w="3027" w:type="pct"/>
          </w:tcPr>
          <w:p w14:paraId="2A3EBCA6" w14:textId="77777777" w:rsidR="00326B75" w:rsidRPr="00DB3FE7" w:rsidRDefault="00326B75" w:rsidP="00035F43">
            <w:pPr>
              <w:pStyle w:val="TableText"/>
              <w:keepNext w:val="0"/>
              <w:rPr>
                <w:rFonts w:cs="Times New Roman"/>
              </w:rPr>
            </w:pPr>
            <w:r w:rsidRPr="00DB3FE7">
              <w:rPr>
                <w:rFonts w:eastAsia="Times New Roman" w:cs="Times New Roman"/>
              </w:rPr>
              <w:t xml:space="preserve">Raal FJ et al (2015). PCSK9 inhibition with evolocumab (AMG 145) in heterozygous familial hypercholesterolaemia (RUTHERFORD-2): a randomised, double-blind, placebo-controlled trial. </w:t>
            </w:r>
          </w:p>
        </w:tc>
        <w:tc>
          <w:tcPr>
            <w:tcW w:w="1177" w:type="pct"/>
            <w:tcBorders>
              <w:top w:val="single" w:sz="4" w:space="0" w:color="auto"/>
              <w:bottom w:val="single" w:sz="4" w:space="0" w:color="auto"/>
            </w:tcBorders>
            <w:vAlign w:val="center"/>
          </w:tcPr>
          <w:p w14:paraId="43D7EF11" w14:textId="77777777" w:rsidR="00326B75" w:rsidRPr="00DB3FE7" w:rsidRDefault="00326B75" w:rsidP="00035F43">
            <w:pPr>
              <w:pStyle w:val="TableText"/>
              <w:keepNext w:val="0"/>
              <w:rPr>
                <w:i/>
                <w:szCs w:val="18"/>
              </w:rPr>
            </w:pPr>
            <w:r w:rsidRPr="00DB3FE7">
              <w:rPr>
                <w:rFonts w:eastAsia="Times New Roman" w:cs="Times New Roman"/>
              </w:rPr>
              <w:t>Lancet 385(9965):331-40.</w:t>
            </w:r>
          </w:p>
        </w:tc>
      </w:tr>
      <w:tr w:rsidR="00326B75" w:rsidRPr="00DB3FE7" w14:paraId="47FA5213" w14:textId="77777777" w:rsidTr="00035F43">
        <w:tc>
          <w:tcPr>
            <w:tcW w:w="796" w:type="pct"/>
            <w:vAlign w:val="center"/>
          </w:tcPr>
          <w:p w14:paraId="38DE4A9A" w14:textId="77777777" w:rsidR="00326B75" w:rsidRPr="00DB3FE7" w:rsidRDefault="00326B75" w:rsidP="00035F43">
            <w:pPr>
              <w:pStyle w:val="TableText"/>
              <w:keepNext w:val="0"/>
              <w:rPr>
                <w:rFonts w:cs="Times New Roman"/>
              </w:rPr>
            </w:pPr>
            <w:r w:rsidRPr="00DB3FE7">
              <w:rPr>
                <w:rFonts w:eastAsia="Times New Roman" w:cs="Times New Roman"/>
              </w:rPr>
              <w:t>DESCARTES</w:t>
            </w:r>
          </w:p>
        </w:tc>
        <w:tc>
          <w:tcPr>
            <w:tcW w:w="3027" w:type="pct"/>
          </w:tcPr>
          <w:p w14:paraId="42E0C3DF" w14:textId="77777777" w:rsidR="00326B75" w:rsidRPr="00DB3FE7" w:rsidRDefault="00326B75" w:rsidP="00035F43">
            <w:pPr>
              <w:pStyle w:val="TableText"/>
              <w:keepNext w:val="0"/>
              <w:rPr>
                <w:rFonts w:cs="Times New Roman"/>
              </w:rPr>
            </w:pPr>
            <w:r w:rsidRPr="00DB3FE7">
              <w:rPr>
                <w:rFonts w:eastAsia="Times New Roman" w:cs="Times New Roman"/>
              </w:rPr>
              <w:t xml:space="preserve">Blom DJ et al (2014). A 52-week placebo-controlled trial of evolocumab in hyperlipidemia. </w:t>
            </w:r>
          </w:p>
        </w:tc>
        <w:tc>
          <w:tcPr>
            <w:tcW w:w="1177" w:type="pct"/>
            <w:tcBorders>
              <w:top w:val="single" w:sz="4" w:space="0" w:color="auto"/>
              <w:bottom w:val="single" w:sz="4" w:space="0" w:color="auto"/>
            </w:tcBorders>
            <w:vAlign w:val="center"/>
          </w:tcPr>
          <w:p w14:paraId="43C71841" w14:textId="77777777" w:rsidR="00326B75" w:rsidRPr="00DB3FE7" w:rsidRDefault="00326B75" w:rsidP="00035F43">
            <w:pPr>
              <w:pStyle w:val="TableText"/>
              <w:keepNext w:val="0"/>
              <w:rPr>
                <w:rFonts w:eastAsia="Times New Roman" w:cs="Times New Roman"/>
                <w:i/>
                <w:iCs/>
              </w:rPr>
            </w:pPr>
            <w:r w:rsidRPr="00DB3FE7">
              <w:rPr>
                <w:rFonts w:cs="Times New Roman"/>
              </w:rPr>
              <w:t>New England Journal of Medicine</w:t>
            </w:r>
            <w:r w:rsidRPr="00DB3FE7">
              <w:rPr>
                <w:rFonts w:eastAsia="Times New Roman" w:cs="Times New Roman"/>
              </w:rPr>
              <w:t xml:space="preserve"> 370:1809-19.</w:t>
            </w:r>
          </w:p>
        </w:tc>
      </w:tr>
      <w:tr w:rsidR="00326B75" w:rsidRPr="00DB3FE7" w14:paraId="0A244A52" w14:textId="77777777" w:rsidTr="00035F43">
        <w:tc>
          <w:tcPr>
            <w:tcW w:w="796" w:type="pct"/>
            <w:vAlign w:val="center"/>
          </w:tcPr>
          <w:p w14:paraId="692B8249" w14:textId="77777777" w:rsidR="00326B75" w:rsidRPr="00DB3FE7" w:rsidRDefault="00326B75" w:rsidP="00035F43">
            <w:pPr>
              <w:pStyle w:val="TableText"/>
              <w:keepNext w:val="0"/>
              <w:rPr>
                <w:rFonts w:cs="Times New Roman"/>
              </w:rPr>
            </w:pPr>
            <w:r w:rsidRPr="00DB3FE7">
              <w:rPr>
                <w:rFonts w:eastAsia="Times New Roman" w:cs="Times New Roman"/>
              </w:rPr>
              <w:t xml:space="preserve">FOURIER </w:t>
            </w:r>
          </w:p>
        </w:tc>
        <w:tc>
          <w:tcPr>
            <w:tcW w:w="3027" w:type="pct"/>
          </w:tcPr>
          <w:p w14:paraId="45320D20" w14:textId="77777777" w:rsidR="00326B75" w:rsidRPr="00DB3FE7" w:rsidRDefault="00326B75" w:rsidP="00035F43">
            <w:pPr>
              <w:pStyle w:val="TableText"/>
              <w:keepNext w:val="0"/>
              <w:rPr>
                <w:rFonts w:cs="Times New Roman"/>
              </w:rPr>
            </w:pPr>
            <w:r w:rsidRPr="00DB3FE7">
              <w:rPr>
                <w:rFonts w:eastAsia="Times New Roman" w:cs="Times New Roman"/>
              </w:rPr>
              <w:t xml:space="preserve">Sabatine MS et al (2017). Evolocumab and clinical outcomes in patients with cardiovascular disease. </w:t>
            </w:r>
          </w:p>
        </w:tc>
        <w:tc>
          <w:tcPr>
            <w:tcW w:w="1177" w:type="pct"/>
            <w:tcBorders>
              <w:top w:val="single" w:sz="4" w:space="0" w:color="auto"/>
              <w:bottom w:val="single" w:sz="4" w:space="0" w:color="auto"/>
            </w:tcBorders>
            <w:vAlign w:val="center"/>
          </w:tcPr>
          <w:p w14:paraId="2C2E5FF7" w14:textId="77777777" w:rsidR="00326B75" w:rsidRPr="00DB3FE7" w:rsidRDefault="00326B75" w:rsidP="00035F43">
            <w:pPr>
              <w:pStyle w:val="TableText"/>
              <w:keepNext w:val="0"/>
              <w:rPr>
                <w:rFonts w:eastAsia="Times New Roman" w:cs="Times New Roman"/>
                <w:i/>
                <w:iCs/>
              </w:rPr>
            </w:pPr>
            <w:r w:rsidRPr="00DB3FE7">
              <w:rPr>
                <w:rFonts w:cs="Times New Roman"/>
              </w:rPr>
              <w:t>New England Journal of Medicine</w:t>
            </w:r>
            <w:r w:rsidRPr="00DB3FE7">
              <w:rPr>
                <w:rFonts w:eastAsia="Times New Roman" w:cs="Times New Roman"/>
              </w:rPr>
              <w:t xml:space="preserve"> 376(18):1713-22.</w:t>
            </w:r>
          </w:p>
        </w:tc>
      </w:tr>
      <w:tr w:rsidR="00326B75" w:rsidRPr="00DB3FE7" w14:paraId="6588074D" w14:textId="77777777" w:rsidTr="00035F43">
        <w:tc>
          <w:tcPr>
            <w:tcW w:w="796" w:type="pct"/>
            <w:vAlign w:val="center"/>
          </w:tcPr>
          <w:p w14:paraId="2D43D91F" w14:textId="77777777" w:rsidR="00326B75" w:rsidRPr="00DB3FE7" w:rsidRDefault="00326B75" w:rsidP="00035F43">
            <w:pPr>
              <w:pStyle w:val="TableText"/>
              <w:keepNext w:val="0"/>
              <w:rPr>
                <w:rFonts w:cs="Times New Roman"/>
              </w:rPr>
            </w:pPr>
            <w:r w:rsidRPr="00DB3FE7">
              <w:rPr>
                <w:rFonts w:eastAsia="Times New Roman" w:cs="Times New Roman"/>
              </w:rPr>
              <w:t>LAPLACE-2</w:t>
            </w:r>
          </w:p>
        </w:tc>
        <w:tc>
          <w:tcPr>
            <w:tcW w:w="3027" w:type="pct"/>
          </w:tcPr>
          <w:p w14:paraId="1EED4FFB" w14:textId="77777777" w:rsidR="00326B75" w:rsidRPr="00DB3FE7" w:rsidRDefault="00326B75" w:rsidP="00035F43">
            <w:pPr>
              <w:pStyle w:val="TableText"/>
              <w:keepNext w:val="0"/>
              <w:rPr>
                <w:rFonts w:cs="Times New Roman"/>
              </w:rPr>
            </w:pPr>
            <w:r w:rsidRPr="00DB3FE7">
              <w:rPr>
                <w:rFonts w:eastAsia="Times New Roman" w:cs="Times New Roman"/>
              </w:rPr>
              <w:t xml:space="preserve">Robinson JG et al (2014). Effect of evolocumab or ezetimibe added to moderate-or high-intensity statin therapy on LDL-C lowering in patients with hypercholesterolemia: the LAPLACE-2 randomized clinical trial. </w:t>
            </w:r>
          </w:p>
        </w:tc>
        <w:tc>
          <w:tcPr>
            <w:tcW w:w="1177" w:type="pct"/>
            <w:tcBorders>
              <w:top w:val="single" w:sz="4" w:space="0" w:color="auto"/>
              <w:bottom w:val="single" w:sz="4" w:space="0" w:color="auto"/>
            </w:tcBorders>
            <w:vAlign w:val="center"/>
          </w:tcPr>
          <w:p w14:paraId="1122223C" w14:textId="77777777" w:rsidR="00326B75" w:rsidRPr="00DB3FE7" w:rsidRDefault="00326B75" w:rsidP="00035F43">
            <w:pPr>
              <w:pStyle w:val="TableText"/>
              <w:keepNext w:val="0"/>
              <w:rPr>
                <w:i/>
                <w:szCs w:val="18"/>
              </w:rPr>
            </w:pPr>
            <w:r w:rsidRPr="00DB3FE7">
              <w:rPr>
                <w:rFonts w:eastAsia="Times New Roman" w:cs="Times New Roman"/>
              </w:rPr>
              <w:t>JAMA 311(18):1870-83.</w:t>
            </w:r>
          </w:p>
        </w:tc>
      </w:tr>
      <w:tr w:rsidR="00326B75" w:rsidRPr="00DB3FE7" w14:paraId="7D62165C" w14:textId="77777777" w:rsidTr="00035F43">
        <w:tc>
          <w:tcPr>
            <w:tcW w:w="796" w:type="pct"/>
            <w:vAlign w:val="center"/>
          </w:tcPr>
          <w:p w14:paraId="2E8CF4F5" w14:textId="77777777" w:rsidR="00326B75" w:rsidRPr="00DB3FE7" w:rsidRDefault="00326B75" w:rsidP="00035F43">
            <w:pPr>
              <w:pStyle w:val="TableText"/>
              <w:keepNext w:val="0"/>
              <w:rPr>
                <w:rFonts w:cs="Times New Roman"/>
              </w:rPr>
            </w:pPr>
            <w:r w:rsidRPr="00DB3FE7">
              <w:rPr>
                <w:rFonts w:eastAsia="Times New Roman" w:cs="Times New Roman"/>
              </w:rPr>
              <w:t>BANTING</w:t>
            </w:r>
          </w:p>
        </w:tc>
        <w:tc>
          <w:tcPr>
            <w:tcW w:w="3027" w:type="pct"/>
          </w:tcPr>
          <w:p w14:paraId="709E28A1" w14:textId="77777777" w:rsidR="00326B75" w:rsidRPr="00DB3FE7" w:rsidRDefault="00326B75" w:rsidP="00035F43">
            <w:pPr>
              <w:pStyle w:val="TableText"/>
              <w:keepNext w:val="0"/>
              <w:rPr>
                <w:rFonts w:cs="Times New Roman"/>
              </w:rPr>
            </w:pPr>
            <w:r w:rsidRPr="00DB3FE7">
              <w:rPr>
                <w:rFonts w:eastAsia="Times New Roman" w:cs="Times New Roman"/>
              </w:rPr>
              <w:t xml:space="preserve">Rosenson RS et al (2019). Efficacy and safety of evolocumab in individuals with type 2 diabetes mellitus: primary results of the randomised controlled BANTING study. </w:t>
            </w:r>
          </w:p>
        </w:tc>
        <w:tc>
          <w:tcPr>
            <w:tcW w:w="1177" w:type="pct"/>
            <w:tcBorders>
              <w:top w:val="single" w:sz="4" w:space="0" w:color="auto"/>
              <w:bottom w:val="single" w:sz="4" w:space="0" w:color="auto"/>
            </w:tcBorders>
            <w:vAlign w:val="center"/>
          </w:tcPr>
          <w:p w14:paraId="7E898938" w14:textId="77777777" w:rsidR="00326B75" w:rsidRPr="00DB3FE7" w:rsidRDefault="00326B75" w:rsidP="00035F43">
            <w:pPr>
              <w:pStyle w:val="TableText"/>
              <w:keepNext w:val="0"/>
              <w:rPr>
                <w:szCs w:val="18"/>
              </w:rPr>
            </w:pPr>
            <w:r w:rsidRPr="00DB3FE7">
              <w:rPr>
                <w:rFonts w:eastAsia="Times New Roman" w:cs="Times New Roman"/>
              </w:rPr>
              <w:t>Diabetologia 62(6):948-58.</w:t>
            </w:r>
          </w:p>
        </w:tc>
      </w:tr>
      <w:tr w:rsidR="00326B75" w:rsidRPr="00DB3FE7" w14:paraId="35A083BC" w14:textId="77777777" w:rsidTr="00035F43">
        <w:tc>
          <w:tcPr>
            <w:tcW w:w="5000" w:type="pct"/>
            <w:gridSpan w:val="3"/>
          </w:tcPr>
          <w:p w14:paraId="3700D2B7" w14:textId="77777777" w:rsidR="00326B75" w:rsidRPr="00DB3FE7" w:rsidRDefault="00326B75" w:rsidP="00D74817">
            <w:pPr>
              <w:pStyle w:val="TableText"/>
              <w:keepLines/>
              <w:rPr>
                <w:b/>
                <w:bCs w:val="0"/>
                <w:iCs/>
                <w:szCs w:val="18"/>
              </w:rPr>
            </w:pPr>
            <w:r w:rsidRPr="00DB3FE7">
              <w:rPr>
                <w:b/>
                <w:bCs w:val="0"/>
                <w:iCs/>
                <w:szCs w:val="18"/>
              </w:rPr>
              <w:t>Alirocumab trials</w:t>
            </w:r>
          </w:p>
        </w:tc>
      </w:tr>
      <w:tr w:rsidR="00326B75" w:rsidRPr="00DB3FE7" w14:paraId="539DE0B6" w14:textId="77777777" w:rsidTr="00035F43">
        <w:trPr>
          <w:trHeight w:val="343"/>
        </w:trPr>
        <w:tc>
          <w:tcPr>
            <w:tcW w:w="796" w:type="pct"/>
            <w:vAlign w:val="center"/>
          </w:tcPr>
          <w:p w14:paraId="69EA812F" w14:textId="77777777" w:rsidR="00326B75" w:rsidRPr="00DB3FE7" w:rsidRDefault="00326B75" w:rsidP="00035F43">
            <w:pPr>
              <w:pStyle w:val="TableText"/>
              <w:keepNext w:val="0"/>
              <w:rPr>
                <w:rFonts w:cs="Times New Roman"/>
              </w:rPr>
            </w:pPr>
            <w:r w:rsidRPr="00DB3FE7">
              <w:rPr>
                <w:rFonts w:eastAsia="Times New Roman" w:cs="Times New Roman"/>
              </w:rPr>
              <w:t>ODYSSEY FH I</w:t>
            </w:r>
          </w:p>
          <w:p w14:paraId="646AE9A0" w14:textId="77777777" w:rsidR="00326B75" w:rsidRPr="00DB3FE7" w:rsidRDefault="00326B75" w:rsidP="00035F43">
            <w:pPr>
              <w:pStyle w:val="TableText"/>
              <w:rPr>
                <w:rFonts w:cs="Times New Roman"/>
              </w:rPr>
            </w:pPr>
            <w:r w:rsidRPr="00DB3FE7">
              <w:rPr>
                <w:rFonts w:eastAsia="Times New Roman" w:cs="Times New Roman"/>
              </w:rPr>
              <w:t>ODYSSEY FH II</w:t>
            </w:r>
          </w:p>
        </w:tc>
        <w:tc>
          <w:tcPr>
            <w:tcW w:w="3027" w:type="pct"/>
          </w:tcPr>
          <w:p w14:paraId="74917B22" w14:textId="77777777" w:rsidR="00326B75" w:rsidRPr="00DB3FE7" w:rsidRDefault="00326B75" w:rsidP="00D74817">
            <w:pPr>
              <w:pStyle w:val="TableText"/>
              <w:keepLines/>
              <w:rPr>
                <w:rFonts w:cs="Times New Roman"/>
              </w:rPr>
            </w:pPr>
            <w:r w:rsidRPr="00DB3FE7">
              <w:rPr>
                <w:rFonts w:cs="Segoe UI"/>
              </w:rPr>
              <w:t xml:space="preserve">Kastelein JJ et al (2015). ODYSSEY FH I and FH II: 78 week results with alirocumab treatment in 735 patients with heterozygous familial hypercholesterolaemia. </w:t>
            </w:r>
          </w:p>
        </w:tc>
        <w:tc>
          <w:tcPr>
            <w:tcW w:w="1177" w:type="pct"/>
            <w:tcBorders>
              <w:top w:val="single" w:sz="4" w:space="0" w:color="auto"/>
            </w:tcBorders>
            <w:vAlign w:val="center"/>
          </w:tcPr>
          <w:p w14:paraId="0C2DC9A8" w14:textId="77777777" w:rsidR="00326B75" w:rsidRPr="00DB3FE7" w:rsidRDefault="00326B75" w:rsidP="00D74817">
            <w:pPr>
              <w:pStyle w:val="TableText"/>
              <w:keepLines/>
              <w:rPr>
                <w:szCs w:val="18"/>
              </w:rPr>
            </w:pPr>
            <w:r w:rsidRPr="00DB3FE7">
              <w:rPr>
                <w:rFonts w:cs="Segoe UI"/>
              </w:rPr>
              <w:t>European Heart Journal 36(43):2996-3003.</w:t>
            </w:r>
          </w:p>
        </w:tc>
      </w:tr>
      <w:tr w:rsidR="00326B75" w:rsidRPr="00DB3FE7" w14:paraId="649E2437" w14:textId="77777777" w:rsidTr="00035F43">
        <w:tc>
          <w:tcPr>
            <w:tcW w:w="796" w:type="pct"/>
            <w:vAlign w:val="center"/>
          </w:tcPr>
          <w:p w14:paraId="6AC2862C" w14:textId="77777777" w:rsidR="00326B75" w:rsidRPr="00DB3FE7" w:rsidRDefault="00326B75" w:rsidP="00035F43">
            <w:pPr>
              <w:pStyle w:val="TableText"/>
              <w:keepNext w:val="0"/>
              <w:rPr>
                <w:rFonts w:cs="Times New Roman"/>
              </w:rPr>
            </w:pPr>
            <w:r w:rsidRPr="00DB3FE7">
              <w:rPr>
                <w:rFonts w:eastAsia="Times New Roman" w:cs="Times New Roman"/>
              </w:rPr>
              <w:t>ODYSSEY HIGH FH</w:t>
            </w:r>
          </w:p>
        </w:tc>
        <w:tc>
          <w:tcPr>
            <w:tcW w:w="3027" w:type="pct"/>
          </w:tcPr>
          <w:p w14:paraId="43A240F1" w14:textId="77777777" w:rsidR="00326B75" w:rsidRPr="00DB3FE7" w:rsidRDefault="00326B75" w:rsidP="00D74817">
            <w:pPr>
              <w:pStyle w:val="TableText"/>
              <w:keepLines/>
              <w:rPr>
                <w:rFonts w:cs="Times New Roman"/>
              </w:rPr>
            </w:pPr>
            <w:r w:rsidRPr="00DB3FE7">
              <w:rPr>
                <w:rFonts w:cs="Segoe UI"/>
              </w:rPr>
              <w:t xml:space="preserve">Ginsberg HN et al (2016). Efficacy and safety of alirocumab in patients with heterozygous familial hypercholesterolemia and LDL-C of 160 mg/dl or higher. </w:t>
            </w:r>
          </w:p>
        </w:tc>
        <w:tc>
          <w:tcPr>
            <w:tcW w:w="1177" w:type="pct"/>
            <w:tcBorders>
              <w:top w:val="single" w:sz="4" w:space="0" w:color="auto"/>
              <w:bottom w:val="single" w:sz="4" w:space="0" w:color="auto"/>
            </w:tcBorders>
            <w:vAlign w:val="center"/>
          </w:tcPr>
          <w:p w14:paraId="42A23A2A" w14:textId="1D6AD3C5" w:rsidR="00326B75" w:rsidRPr="00DB3FE7" w:rsidRDefault="00326B75" w:rsidP="00D74817">
            <w:pPr>
              <w:pStyle w:val="TableText"/>
              <w:keepLines/>
              <w:rPr>
                <w:szCs w:val="18"/>
              </w:rPr>
            </w:pPr>
            <w:r w:rsidRPr="00DB3FE7">
              <w:rPr>
                <w:rFonts w:cs="Segoe UI"/>
              </w:rPr>
              <w:t>Cardiovascular Drugs and Therapy 30(5):473-83.</w:t>
            </w:r>
          </w:p>
        </w:tc>
      </w:tr>
      <w:tr w:rsidR="00326B75" w:rsidRPr="00DB3FE7" w14:paraId="2EF6581F" w14:textId="77777777" w:rsidTr="00035F43">
        <w:tc>
          <w:tcPr>
            <w:tcW w:w="796" w:type="pct"/>
            <w:vAlign w:val="center"/>
          </w:tcPr>
          <w:p w14:paraId="21E02C59" w14:textId="77777777" w:rsidR="00326B75" w:rsidRPr="00DB3FE7" w:rsidRDefault="00326B75" w:rsidP="00035F43">
            <w:pPr>
              <w:pStyle w:val="TableText"/>
              <w:keepNext w:val="0"/>
              <w:rPr>
                <w:rFonts w:cs="Times New Roman"/>
              </w:rPr>
            </w:pPr>
            <w:r w:rsidRPr="00DB3FE7">
              <w:rPr>
                <w:rFonts w:eastAsia="Times New Roman" w:cs="Times New Roman"/>
              </w:rPr>
              <w:t>ODYSSEY CHOICE I</w:t>
            </w:r>
          </w:p>
        </w:tc>
        <w:tc>
          <w:tcPr>
            <w:tcW w:w="3027" w:type="pct"/>
          </w:tcPr>
          <w:p w14:paraId="3012080F" w14:textId="77777777" w:rsidR="00326B75" w:rsidRPr="00DB3FE7" w:rsidRDefault="00326B75" w:rsidP="00035F43">
            <w:pPr>
              <w:pStyle w:val="TableText"/>
              <w:keepNext w:val="0"/>
              <w:rPr>
                <w:rFonts w:cs="Times New Roman"/>
              </w:rPr>
            </w:pPr>
            <w:r w:rsidRPr="00DB3FE7">
              <w:rPr>
                <w:rFonts w:cs="Segoe UI"/>
              </w:rPr>
              <w:t xml:space="preserve">Roth EM et al (2016). A phase III randomized trial evaluating alirocumab 300 mg every 4 weeks as monotherapy or add-on to statin: ODYSSEY CHOICE I. </w:t>
            </w:r>
          </w:p>
        </w:tc>
        <w:tc>
          <w:tcPr>
            <w:tcW w:w="1177" w:type="pct"/>
            <w:tcBorders>
              <w:top w:val="single" w:sz="4" w:space="0" w:color="auto"/>
              <w:bottom w:val="single" w:sz="4" w:space="0" w:color="auto"/>
            </w:tcBorders>
            <w:vAlign w:val="center"/>
          </w:tcPr>
          <w:p w14:paraId="3ECBE3FE" w14:textId="77777777" w:rsidR="00326B75" w:rsidRPr="00DB3FE7" w:rsidRDefault="00326B75" w:rsidP="00035F43">
            <w:pPr>
              <w:pStyle w:val="TableText"/>
              <w:keepNext w:val="0"/>
              <w:rPr>
                <w:szCs w:val="18"/>
              </w:rPr>
            </w:pPr>
            <w:r w:rsidRPr="00DB3FE7">
              <w:rPr>
                <w:rFonts w:cs="Segoe UI"/>
              </w:rPr>
              <w:t>Atherosclerosis 254:254-62.</w:t>
            </w:r>
          </w:p>
        </w:tc>
      </w:tr>
      <w:tr w:rsidR="00326B75" w:rsidRPr="00DB3FE7" w14:paraId="67474E18" w14:textId="77777777" w:rsidTr="00035F43">
        <w:tc>
          <w:tcPr>
            <w:tcW w:w="796" w:type="pct"/>
            <w:vAlign w:val="center"/>
          </w:tcPr>
          <w:p w14:paraId="3B9F76BA" w14:textId="77777777" w:rsidR="00326B75" w:rsidRPr="00DB3FE7" w:rsidRDefault="00326B75" w:rsidP="00035F43">
            <w:pPr>
              <w:pStyle w:val="TableText"/>
              <w:keepNext w:val="0"/>
              <w:rPr>
                <w:rFonts w:cs="Times New Roman"/>
              </w:rPr>
            </w:pPr>
            <w:r w:rsidRPr="00DB3FE7">
              <w:rPr>
                <w:rFonts w:eastAsia="Times New Roman" w:cs="Times New Roman"/>
              </w:rPr>
              <w:t>ODYSSEY CHOICE II</w:t>
            </w:r>
          </w:p>
        </w:tc>
        <w:tc>
          <w:tcPr>
            <w:tcW w:w="3027" w:type="pct"/>
          </w:tcPr>
          <w:p w14:paraId="6F9A92C3" w14:textId="77777777" w:rsidR="00326B75" w:rsidRPr="00DB3FE7" w:rsidRDefault="00326B75" w:rsidP="00035F43">
            <w:pPr>
              <w:pStyle w:val="TableText"/>
              <w:keepNext w:val="0"/>
              <w:rPr>
                <w:rFonts w:cs="Times New Roman"/>
              </w:rPr>
            </w:pPr>
            <w:r w:rsidRPr="00DB3FE7">
              <w:rPr>
                <w:rFonts w:cs="Segoe UI"/>
              </w:rPr>
              <w:t xml:space="preserve">Stroes E et al (2016). Efficacy and safety of alirocumab 150 mg every 4 weeks in patients with hypercholesterolemia not on statin therapy: the ODYSSEY CHOICE II study. </w:t>
            </w:r>
          </w:p>
        </w:tc>
        <w:tc>
          <w:tcPr>
            <w:tcW w:w="1177" w:type="pct"/>
            <w:tcBorders>
              <w:top w:val="single" w:sz="4" w:space="0" w:color="auto"/>
              <w:bottom w:val="single" w:sz="4" w:space="0" w:color="auto"/>
            </w:tcBorders>
            <w:vAlign w:val="center"/>
          </w:tcPr>
          <w:p w14:paraId="17FD30D6" w14:textId="77777777" w:rsidR="00326B75" w:rsidRPr="00DB3FE7" w:rsidRDefault="00326B75" w:rsidP="00035F43">
            <w:pPr>
              <w:pStyle w:val="TableText"/>
              <w:keepNext w:val="0"/>
              <w:rPr>
                <w:szCs w:val="18"/>
              </w:rPr>
            </w:pPr>
            <w:r w:rsidRPr="00DB3FE7">
              <w:rPr>
                <w:rFonts w:cs="Segoe UI"/>
              </w:rPr>
              <w:t>Journal of the American Heart Association 5(9):e003421.</w:t>
            </w:r>
          </w:p>
        </w:tc>
      </w:tr>
      <w:tr w:rsidR="00326B75" w:rsidRPr="00DB3FE7" w14:paraId="337797ED" w14:textId="77777777" w:rsidTr="00035F43">
        <w:tc>
          <w:tcPr>
            <w:tcW w:w="796" w:type="pct"/>
            <w:vAlign w:val="center"/>
          </w:tcPr>
          <w:p w14:paraId="358BCC15" w14:textId="77777777" w:rsidR="00326B75" w:rsidRPr="00DB3FE7" w:rsidRDefault="00326B75" w:rsidP="00035F43">
            <w:pPr>
              <w:pStyle w:val="TableText"/>
              <w:keepNext w:val="0"/>
              <w:rPr>
                <w:rFonts w:cs="Times New Roman"/>
              </w:rPr>
            </w:pPr>
            <w:r w:rsidRPr="00DB3FE7">
              <w:rPr>
                <w:rFonts w:eastAsia="Times New Roman" w:cs="Times New Roman"/>
              </w:rPr>
              <w:t>ODYSSEY COMBO I</w:t>
            </w:r>
          </w:p>
        </w:tc>
        <w:tc>
          <w:tcPr>
            <w:tcW w:w="3027" w:type="pct"/>
          </w:tcPr>
          <w:p w14:paraId="4F21018B" w14:textId="77777777" w:rsidR="00326B75" w:rsidRPr="00DB3FE7" w:rsidRDefault="00326B75" w:rsidP="00035F43">
            <w:pPr>
              <w:pStyle w:val="TableText"/>
              <w:keepNext w:val="0"/>
              <w:rPr>
                <w:rFonts w:cs="Times New Roman"/>
              </w:rPr>
            </w:pPr>
            <w:r w:rsidRPr="00DB3FE7">
              <w:rPr>
                <w:rFonts w:cs="Segoe UI"/>
              </w:rPr>
              <w:t xml:space="preserve">Kereiakes DJ et al (2015). Efficacy and safety of the proprotein convertase subtilisin/kexin type 9 inhibitor alirocumab among high cardiovascular risk patients on maximally tolerated statin therapy: the ODYSSEY COMBO I study. </w:t>
            </w:r>
          </w:p>
        </w:tc>
        <w:tc>
          <w:tcPr>
            <w:tcW w:w="1177" w:type="pct"/>
            <w:tcBorders>
              <w:top w:val="single" w:sz="4" w:space="0" w:color="auto"/>
              <w:bottom w:val="single" w:sz="4" w:space="0" w:color="auto"/>
            </w:tcBorders>
            <w:vAlign w:val="center"/>
          </w:tcPr>
          <w:p w14:paraId="40450903" w14:textId="77777777" w:rsidR="00326B75" w:rsidRPr="00DB3FE7" w:rsidRDefault="00326B75" w:rsidP="00035F43">
            <w:pPr>
              <w:pStyle w:val="TableText"/>
              <w:keepNext w:val="0"/>
              <w:rPr>
                <w:szCs w:val="18"/>
              </w:rPr>
            </w:pPr>
            <w:r w:rsidRPr="00DB3FE7">
              <w:rPr>
                <w:rFonts w:cs="Segoe UI"/>
              </w:rPr>
              <w:t>American Heart Journal 169(6):906-15.</w:t>
            </w:r>
          </w:p>
        </w:tc>
      </w:tr>
      <w:tr w:rsidR="00326B75" w:rsidRPr="00DB3FE7" w14:paraId="57AC8186" w14:textId="77777777" w:rsidTr="00035F43">
        <w:tc>
          <w:tcPr>
            <w:tcW w:w="796" w:type="pct"/>
            <w:vAlign w:val="center"/>
          </w:tcPr>
          <w:p w14:paraId="0E0C1ECA" w14:textId="77777777" w:rsidR="00326B75" w:rsidRPr="00DB3FE7" w:rsidRDefault="00326B75" w:rsidP="00035F43">
            <w:pPr>
              <w:pStyle w:val="TableText"/>
              <w:keepNext w:val="0"/>
              <w:rPr>
                <w:rFonts w:cs="Times New Roman"/>
              </w:rPr>
            </w:pPr>
            <w:r w:rsidRPr="00DB3FE7">
              <w:rPr>
                <w:rFonts w:eastAsia="Times New Roman" w:cs="Times New Roman"/>
              </w:rPr>
              <w:t>ODYSSEY LONG TERM</w:t>
            </w:r>
          </w:p>
        </w:tc>
        <w:tc>
          <w:tcPr>
            <w:tcW w:w="3027" w:type="pct"/>
          </w:tcPr>
          <w:p w14:paraId="0205EE00" w14:textId="77777777" w:rsidR="00326B75" w:rsidRPr="00DB3FE7" w:rsidRDefault="00326B75" w:rsidP="00035F43">
            <w:pPr>
              <w:pStyle w:val="TableText"/>
              <w:keepNext w:val="0"/>
              <w:rPr>
                <w:rFonts w:cs="Times New Roman"/>
              </w:rPr>
            </w:pPr>
            <w:r w:rsidRPr="00DB3FE7">
              <w:rPr>
                <w:rFonts w:cs="Segoe UI"/>
              </w:rPr>
              <w:t xml:space="preserve">Robinson JG et al (2015). Efficacy and safety of alirocumab in reducing lipids and cardiovascular events. </w:t>
            </w:r>
          </w:p>
        </w:tc>
        <w:tc>
          <w:tcPr>
            <w:tcW w:w="1177" w:type="pct"/>
            <w:tcBorders>
              <w:top w:val="single" w:sz="4" w:space="0" w:color="auto"/>
              <w:bottom w:val="single" w:sz="4" w:space="0" w:color="auto"/>
            </w:tcBorders>
            <w:vAlign w:val="center"/>
          </w:tcPr>
          <w:p w14:paraId="38881578" w14:textId="77777777" w:rsidR="00326B75" w:rsidRPr="00DB3FE7" w:rsidRDefault="00326B75" w:rsidP="00035F43">
            <w:pPr>
              <w:pStyle w:val="TableText"/>
              <w:keepNext w:val="0"/>
              <w:rPr>
                <w:rFonts w:cs="Segoe UI"/>
                <w:i/>
                <w:iCs/>
              </w:rPr>
            </w:pPr>
            <w:r w:rsidRPr="00DB3FE7">
              <w:rPr>
                <w:rFonts w:cs="Times New Roman"/>
              </w:rPr>
              <w:t>New England Journal of Medicine</w:t>
            </w:r>
            <w:r w:rsidRPr="00DB3FE7">
              <w:rPr>
                <w:rFonts w:cs="Segoe UI"/>
              </w:rPr>
              <w:t xml:space="preserve"> 372(16):1489-99.</w:t>
            </w:r>
          </w:p>
        </w:tc>
      </w:tr>
      <w:tr w:rsidR="00326B75" w:rsidRPr="00DB3FE7" w14:paraId="4EA8592E" w14:textId="77777777" w:rsidTr="00035F43">
        <w:tc>
          <w:tcPr>
            <w:tcW w:w="796" w:type="pct"/>
            <w:vAlign w:val="center"/>
          </w:tcPr>
          <w:p w14:paraId="0FF1D5DD" w14:textId="77777777" w:rsidR="00326B75" w:rsidRPr="00DB3FE7" w:rsidRDefault="00326B75" w:rsidP="00035F43">
            <w:pPr>
              <w:pStyle w:val="TableText"/>
              <w:keepNext w:val="0"/>
              <w:rPr>
                <w:rFonts w:cs="Times New Roman"/>
              </w:rPr>
            </w:pPr>
            <w:r w:rsidRPr="00DB3FE7">
              <w:rPr>
                <w:rFonts w:eastAsia="Times New Roman" w:cs="Times New Roman"/>
              </w:rPr>
              <w:t>ODYSSEY KT</w:t>
            </w:r>
          </w:p>
        </w:tc>
        <w:tc>
          <w:tcPr>
            <w:tcW w:w="3027" w:type="pct"/>
          </w:tcPr>
          <w:p w14:paraId="4BA62D24" w14:textId="77777777" w:rsidR="00326B75" w:rsidRPr="00DB3FE7" w:rsidRDefault="00326B75" w:rsidP="00035F43">
            <w:pPr>
              <w:pStyle w:val="TableText"/>
              <w:keepNext w:val="0"/>
              <w:rPr>
                <w:rFonts w:cs="Times New Roman"/>
              </w:rPr>
            </w:pPr>
            <w:r w:rsidRPr="00DB3FE7">
              <w:rPr>
                <w:rFonts w:cs="Segoe UI"/>
              </w:rPr>
              <w:t xml:space="preserve">Koh KK et al (2018). A randomized trial evaluating the efficacy and safety of alirocumab in South Korea and Taiwan (ODYSSEY KT). </w:t>
            </w:r>
          </w:p>
        </w:tc>
        <w:tc>
          <w:tcPr>
            <w:tcW w:w="1177" w:type="pct"/>
            <w:tcBorders>
              <w:top w:val="single" w:sz="4" w:space="0" w:color="auto"/>
              <w:bottom w:val="single" w:sz="4" w:space="0" w:color="auto"/>
            </w:tcBorders>
            <w:vAlign w:val="center"/>
          </w:tcPr>
          <w:p w14:paraId="411E9E36" w14:textId="77777777" w:rsidR="00326B75" w:rsidRPr="00DB3FE7" w:rsidRDefault="00326B75" w:rsidP="00035F43">
            <w:pPr>
              <w:pStyle w:val="TableText"/>
              <w:keepNext w:val="0"/>
              <w:rPr>
                <w:szCs w:val="18"/>
              </w:rPr>
            </w:pPr>
            <w:r w:rsidRPr="00DB3FE7">
              <w:rPr>
                <w:rFonts w:cs="Segoe UI"/>
              </w:rPr>
              <w:t>Journal of Clinical Lipidology 12(1):162-72.</w:t>
            </w:r>
          </w:p>
        </w:tc>
      </w:tr>
      <w:tr w:rsidR="00326B75" w:rsidRPr="00DB3FE7" w14:paraId="4C8721B4" w14:textId="77777777" w:rsidTr="00035F43">
        <w:tc>
          <w:tcPr>
            <w:tcW w:w="796" w:type="pct"/>
            <w:vAlign w:val="center"/>
          </w:tcPr>
          <w:p w14:paraId="2B721234" w14:textId="77777777" w:rsidR="00326B75" w:rsidRPr="00DB3FE7" w:rsidRDefault="00326B75" w:rsidP="00035F43">
            <w:pPr>
              <w:pStyle w:val="TableText"/>
              <w:keepNext w:val="0"/>
              <w:rPr>
                <w:rFonts w:cs="Times New Roman"/>
              </w:rPr>
            </w:pPr>
            <w:r w:rsidRPr="00DB3FE7">
              <w:rPr>
                <w:rFonts w:eastAsia="Times New Roman" w:cs="Times New Roman"/>
              </w:rPr>
              <w:t>ODYSSEY DM-INSULIN</w:t>
            </w:r>
          </w:p>
        </w:tc>
        <w:tc>
          <w:tcPr>
            <w:tcW w:w="3027" w:type="pct"/>
          </w:tcPr>
          <w:p w14:paraId="52311C39" w14:textId="77777777" w:rsidR="00326B75" w:rsidRPr="00DB3FE7" w:rsidRDefault="00326B75" w:rsidP="00035F43">
            <w:pPr>
              <w:pStyle w:val="TableText"/>
              <w:keepNext w:val="0"/>
              <w:rPr>
                <w:rFonts w:cs="Times New Roman"/>
              </w:rPr>
            </w:pPr>
            <w:r w:rsidRPr="00DB3FE7">
              <w:rPr>
                <w:rFonts w:cs="Segoe UI"/>
              </w:rPr>
              <w:t>Leiter LA et al (2017). Efficacy and safety of alirocumab in insulin</w:t>
            </w:r>
            <w:r w:rsidRPr="00DB3FE7">
              <w:rPr>
                <w:rFonts w:ascii="Cambria Math" w:hAnsi="Cambria Math" w:cs="Cambria Math" w:hint="eastAsia"/>
              </w:rPr>
              <w:t>‐</w:t>
            </w:r>
            <w:r w:rsidRPr="00DB3FE7">
              <w:rPr>
                <w:rFonts w:cs="Segoe UI"/>
              </w:rPr>
              <w:t>treated individuals with type 1 or type 2 diabetes and high cardiovascular risk: the ODYSSEY DM</w:t>
            </w:r>
            <w:r w:rsidRPr="00DB3FE7">
              <w:rPr>
                <w:rFonts w:ascii="Cambria Math" w:hAnsi="Cambria Math" w:cs="Cambria Math" w:hint="eastAsia"/>
              </w:rPr>
              <w:t>‐</w:t>
            </w:r>
            <w:r w:rsidRPr="00DB3FE7">
              <w:rPr>
                <w:rFonts w:cs="Segoe UI"/>
              </w:rPr>
              <w:t xml:space="preserve">INSULIN randomized trial. </w:t>
            </w:r>
          </w:p>
        </w:tc>
        <w:tc>
          <w:tcPr>
            <w:tcW w:w="1177" w:type="pct"/>
            <w:tcBorders>
              <w:top w:val="single" w:sz="4" w:space="0" w:color="auto"/>
              <w:bottom w:val="single" w:sz="4" w:space="0" w:color="auto"/>
            </w:tcBorders>
            <w:vAlign w:val="center"/>
          </w:tcPr>
          <w:p w14:paraId="41148D8D" w14:textId="77777777" w:rsidR="00326B75" w:rsidRPr="00DB3FE7" w:rsidRDefault="00326B75" w:rsidP="00035F43">
            <w:pPr>
              <w:pStyle w:val="TableText"/>
              <w:keepNext w:val="0"/>
              <w:rPr>
                <w:szCs w:val="18"/>
              </w:rPr>
            </w:pPr>
            <w:r w:rsidRPr="00DB3FE7">
              <w:rPr>
                <w:rFonts w:cs="Segoe UI"/>
              </w:rPr>
              <w:t>Diabetes and Metabolism Journal 19(12):1781-92.</w:t>
            </w:r>
          </w:p>
        </w:tc>
      </w:tr>
      <w:tr w:rsidR="00326B75" w:rsidRPr="00DB3FE7" w14:paraId="32BA225C" w14:textId="77777777" w:rsidTr="00035F43">
        <w:tc>
          <w:tcPr>
            <w:tcW w:w="796" w:type="pct"/>
            <w:vAlign w:val="center"/>
          </w:tcPr>
          <w:p w14:paraId="7724DB2B" w14:textId="77777777" w:rsidR="00326B75" w:rsidRPr="00DB3FE7" w:rsidRDefault="00326B75" w:rsidP="00035F43">
            <w:pPr>
              <w:pStyle w:val="TableText"/>
              <w:keepNext w:val="0"/>
              <w:rPr>
                <w:rFonts w:cs="Times New Roman"/>
              </w:rPr>
            </w:pPr>
            <w:r w:rsidRPr="00DB3FE7">
              <w:rPr>
                <w:rFonts w:eastAsia="Times New Roman" w:cs="Times New Roman"/>
              </w:rPr>
              <w:t>ODYSSEY OUTCOMES</w:t>
            </w:r>
          </w:p>
        </w:tc>
        <w:tc>
          <w:tcPr>
            <w:tcW w:w="3027" w:type="pct"/>
          </w:tcPr>
          <w:p w14:paraId="5BF8E639" w14:textId="77777777" w:rsidR="00326B75" w:rsidRPr="00DB3FE7" w:rsidRDefault="00326B75" w:rsidP="00035F43">
            <w:pPr>
              <w:pStyle w:val="TableText"/>
              <w:keepNext w:val="0"/>
              <w:rPr>
                <w:rFonts w:cs="Times New Roman"/>
              </w:rPr>
            </w:pPr>
            <w:r w:rsidRPr="00DB3FE7">
              <w:rPr>
                <w:rFonts w:cs="Segoe UI"/>
              </w:rPr>
              <w:t xml:space="preserve">Schwartz GG et al (2018). Alirocumab and cardiovascular outcomes after acute coronary syndrome. </w:t>
            </w:r>
          </w:p>
        </w:tc>
        <w:tc>
          <w:tcPr>
            <w:tcW w:w="1177" w:type="pct"/>
            <w:tcBorders>
              <w:top w:val="single" w:sz="4" w:space="0" w:color="auto"/>
              <w:bottom w:val="single" w:sz="4" w:space="0" w:color="auto"/>
            </w:tcBorders>
            <w:vAlign w:val="center"/>
          </w:tcPr>
          <w:p w14:paraId="76A4FE3B" w14:textId="77777777" w:rsidR="00326B75" w:rsidRPr="00DB3FE7" w:rsidRDefault="00326B75" w:rsidP="00035F43">
            <w:pPr>
              <w:pStyle w:val="TableText"/>
              <w:keepNext w:val="0"/>
              <w:rPr>
                <w:rFonts w:cs="Segoe UI"/>
                <w:i/>
                <w:iCs/>
              </w:rPr>
            </w:pPr>
            <w:r w:rsidRPr="00DB3FE7">
              <w:rPr>
                <w:rFonts w:cs="Times New Roman"/>
              </w:rPr>
              <w:t>New England Journal of Medicine</w:t>
            </w:r>
            <w:r w:rsidRPr="00DB3FE7">
              <w:rPr>
                <w:rFonts w:cs="Segoe UI"/>
              </w:rPr>
              <w:t xml:space="preserve"> 379(22):2097-107.</w:t>
            </w:r>
          </w:p>
        </w:tc>
      </w:tr>
    </w:tbl>
    <w:p w14:paraId="29C4DFE4" w14:textId="69485214" w:rsidR="00326B75" w:rsidRPr="00DB3FE7" w:rsidRDefault="00326B75" w:rsidP="00326B75">
      <w:pPr>
        <w:pStyle w:val="TableFigureFooter"/>
        <w:rPr>
          <w:sz w:val="20"/>
        </w:rPr>
      </w:pPr>
      <w:r w:rsidRPr="00DB3FE7">
        <w:t>Source: Table 16</w:t>
      </w:r>
      <w:r w:rsidR="00A12701" w:rsidRPr="00DB3FE7">
        <w:t xml:space="preserve"> </w:t>
      </w:r>
      <w:r w:rsidRPr="00DB3FE7">
        <w:t>of the submission; Table 1</w:t>
      </w:r>
      <w:r w:rsidR="00A12701" w:rsidRPr="00DB3FE7">
        <w:t xml:space="preserve"> </w:t>
      </w:r>
      <w:r w:rsidRPr="00DB3FE7">
        <w:t>Attachment 4 of the submission.</w:t>
      </w:r>
    </w:p>
    <w:bookmarkEnd w:id="19"/>
    <w:p w14:paraId="08137BC7" w14:textId="111F3A99" w:rsidR="00915F03" w:rsidRPr="00D2286B" w:rsidRDefault="00915F03" w:rsidP="00980E94">
      <w:pPr>
        <w:pStyle w:val="COMexecsumnumberedpara"/>
      </w:pPr>
      <w:r w:rsidRPr="00DB3FE7">
        <w:t xml:space="preserve">The key features of the included inclisiran trials are summarised in </w:t>
      </w:r>
      <w:r w:rsidR="00334451" w:rsidRPr="00D2286B">
        <w:fldChar w:fldCharType="begin" w:fldLock="1"/>
      </w:r>
      <w:r w:rsidR="00334451" w:rsidRPr="00DB3FE7">
        <w:instrText xml:space="preserve"> REF _Ref104804098 \h </w:instrText>
      </w:r>
      <w:r w:rsidR="00334451" w:rsidRPr="00D2286B">
        <w:fldChar w:fldCharType="separate"/>
      </w:r>
      <w:r w:rsidR="00424520" w:rsidRPr="00D2286B">
        <w:t xml:space="preserve">Table </w:t>
      </w:r>
      <w:r w:rsidR="00424520" w:rsidRPr="00D2286B">
        <w:rPr>
          <w:noProof/>
        </w:rPr>
        <w:t>3</w:t>
      </w:r>
      <w:r w:rsidR="00334451" w:rsidRPr="00D2286B">
        <w:fldChar w:fldCharType="end"/>
      </w:r>
      <w:r w:rsidRPr="0042765C">
        <w:t xml:space="preserve">. </w:t>
      </w:r>
    </w:p>
    <w:p w14:paraId="355E2F15" w14:textId="24E8BD9A" w:rsidR="007F1017" w:rsidRPr="00D2286B" w:rsidRDefault="003D2173" w:rsidP="003D2173">
      <w:pPr>
        <w:pStyle w:val="COMtablefigcaption"/>
      </w:pPr>
      <w:bookmarkStart w:id="21" w:name="_Ref104804098"/>
      <w:r w:rsidRPr="00D2286B">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3</w:t>
      </w:r>
      <w:r w:rsidR="00E1209D" w:rsidRPr="00D2286B">
        <w:rPr>
          <w:noProof/>
        </w:rPr>
        <w:fldChar w:fldCharType="end"/>
      </w:r>
      <w:bookmarkEnd w:id="21"/>
      <w:r w:rsidR="00D6076E" w:rsidRPr="0042765C">
        <w:t xml:space="preserve">: </w:t>
      </w:r>
      <w:r w:rsidR="007F1017" w:rsidRPr="00D2286B">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3"/>
        <w:gridCol w:w="777"/>
        <w:gridCol w:w="1351"/>
        <w:gridCol w:w="636"/>
        <w:gridCol w:w="1734"/>
        <w:gridCol w:w="1389"/>
        <w:gridCol w:w="1907"/>
      </w:tblGrid>
      <w:tr w:rsidR="00B41614" w:rsidRPr="00DB3FE7" w14:paraId="53DD7CC6" w14:textId="77777777" w:rsidTr="00641D92">
        <w:trPr>
          <w:cantSplit/>
          <w:tblHeader/>
        </w:trPr>
        <w:tc>
          <w:tcPr>
            <w:tcW w:w="694" w:type="pct"/>
            <w:shd w:val="clear" w:color="auto" w:fill="auto"/>
            <w:vAlign w:val="center"/>
          </w:tcPr>
          <w:p w14:paraId="794116BC" w14:textId="77777777" w:rsidR="007F1017" w:rsidRPr="00352E1C" w:rsidRDefault="007F1017" w:rsidP="001E34DF">
            <w:pPr>
              <w:pStyle w:val="COMTableheadingrow"/>
              <w:rPr>
                <w:lang w:val="en-AU"/>
              </w:rPr>
            </w:pPr>
            <w:r w:rsidRPr="00352E1C">
              <w:rPr>
                <w:lang w:val="en-AU"/>
              </w:rPr>
              <w:t>Trial</w:t>
            </w:r>
          </w:p>
        </w:tc>
        <w:tc>
          <w:tcPr>
            <w:tcW w:w="447" w:type="pct"/>
            <w:shd w:val="clear" w:color="auto" w:fill="auto"/>
            <w:vAlign w:val="center"/>
          </w:tcPr>
          <w:p w14:paraId="51122FE5" w14:textId="77777777" w:rsidR="007F1017" w:rsidRPr="00DB3FE7" w:rsidRDefault="007F1017" w:rsidP="00EC5836">
            <w:pPr>
              <w:pStyle w:val="COMTableheadingrow"/>
              <w:jc w:val="center"/>
              <w:rPr>
                <w:lang w:val="en-AU"/>
              </w:rPr>
            </w:pPr>
            <w:r w:rsidRPr="00DB3FE7">
              <w:rPr>
                <w:lang w:val="en-AU"/>
              </w:rPr>
              <w:t>N</w:t>
            </w:r>
          </w:p>
        </w:tc>
        <w:tc>
          <w:tcPr>
            <w:tcW w:w="765" w:type="pct"/>
            <w:shd w:val="clear" w:color="auto" w:fill="auto"/>
            <w:vAlign w:val="center"/>
          </w:tcPr>
          <w:p w14:paraId="41C438EF" w14:textId="77777777" w:rsidR="007F1017" w:rsidRPr="00DB3FE7" w:rsidRDefault="007F1017" w:rsidP="00EC5836">
            <w:pPr>
              <w:pStyle w:val="COMTableheadingrow"/>
              <w:jc w:val="center"/>
              <w:rPr>
                <w:lang w:val="en-AU"/>
              </w:rPr>
            </w:pPr>
            <w:r w:rsidRPr="00DB3FE7">
              <w:rPr>
                <w:lang w:val="en-AU"/>
              </w:rPr>
              <w:t>Design/ duration</w:t>
            </w:r>
          </w:p>
        </w:tc>
        <w:tc>
          <w:tcPr>
            <w:tcW w:w="368" w:type="pct"/>
            <w:shd w:val="clear" w:color="auto" w:fill="auto"/>
            <w:vAlign w:val="center"/>
          </w:tcPr>
          <w:p w14:paraId="1FC91360" w14:textId="77777777" w:rsidR="007F1017" w:rsidRPr="00DB3FE7" w:rsidRDefault="007F1017" w:rsidP="00EC5836">
            <w:pPr>
              <w:pStyle w:val="COMTableheadingrow"/>
              <w:jc w:val="center"/>
              <w:rPr>
                <w:lang w:val="en-AU"/>
              </w:rPr>
            </w:pPr>
            <w:r w:rsidRPr="00DB3FE7">
              <w:rPr>
                <w:lang w:val="en-AU"/>
              </w:rPr>
              <w:t>Risk of bias</w:t>
            </w:r>
          </w:p>
        </w:tc>
        <w:tc>
          <w:tcPr>
            <w:tcW w:w="867" w:type="pct"/>
            <w:shd w:val="clear" w:color="auto" w:fill="auto"/>
            <w:vAlign w:val="center"/>
          </w:tcPr>
          <w:p w14:paraId="7FF90896" w14:textId="77777777" w:rsidR="007F1017" w:rsidRPr="00DB3FE7" w:rsidRDefault="007F1017" w:rsidP="00EC5836">
            <w:pPr>
              <w:pStyle w:val="COMTableheadingrow"/>
              <w:jc w:val="center"/>
              <w:rPr>
                <w:lang w:val="en-AU"/>
              </w:rPr>
            </w:pPr>
            <w:r w:rsidRPr="00DB3FE7">
              <w:rPr>
                <w:lang w:val="en-AU"/>
              </w:rPr>
              <w:t>Patient population</w:t>
            </w:r>
          </w:p>
        </w:tc>
        <w:tc>
          <w:tcPr>
            <w:tcW w:w="786" w:type="pct"/>
            <w:shd w:val="clear" w:color="auto" w:fill="auto"/>
            <w:vAlign w:val="center"/>
          </w:tcPr>
          <w:p w14:paraId="0FCB63F9" w14:textId="6CF11E39" w:rsidR="007F1017" w:rsidRPr="00DB3FE7" w:rsidRDefault="007F1017" w:rsidP="00EC5836">
            <w:pPr>
              <w:pStyle w:val="COMTableheadingrow"/>
              <w:jc w:val="center"/>
              <w:rPr>
                <w:lang w:val="en-AU"/>
              </w:rPr>
            </w:pPr>
            <w:r w:rsidRPr="00DB3FE7">
              <w:rPr>
                <w:lang w:val="en-AU"/>
              </w:rPr>
              <w:t>Outcome</w:t>
            </w:r>
            <w:r w:rsidR="00C8098E" w:rsidRPr="00DB3FE7">
              <w:rPr>
                <w:lang w:val="en-AU"/>
              </w:rPr>
              <w:t>s</w:t>
            </w:r>
          </w:p>
        </w:tc>
        <w:tc>
          <w:tcPr>
            <w:tcW w:w="1073" w:type="pct"/>
            <w:shd w:val="clear" w:color="auto" w:fill="auto"/>
            <w:vAlign w:val="center"/>
          </w:tcPr>
          <w:p w14:paraId="08C6F624" w14:textId="77777777" w:rsidR="007F1017" w:rsidRPr="00DB3FE7" w:rsidRDefault="007F1017" w:rsidP="00EC5836">
            <w:pPr>
              <w:pStyle w:val="COMTableheadingrow"/>
              <w:jc w:val="center"/>
              <w:rPr>
                <w:lang w:val="en-AU"/>
              </w:rPr>
            </w:pPr>
            <w:r w:rsidRPr="00DB3FE7">
              <w:rPr>
                <w:lang w:val="en-AU"/>
              </w:rPr>
              <w:t>Use in modelled evaluation</w:t>
            </w:r>
          </w:p>
        </w:tc>
      </w:tr>
      <w:tr w:rsidR="007F1017" w:rsidRPr="00DB3FE7" w14:paraId="2A03CD4B" w14:textId="77777777" w:rsidTr="00682BA6">
        <w:trPr>
          <w:cantSplit/>
        </w:trPr>
        <w:tc>
          <w:tcPr>
            <w:tcW w:w="5000" w:type="pct"/>
            <w:gridSpan w:val="7"/>
            <w:shd w:val="clear" w:color="auto" w:fill="auto"/>
            <w:vAlign w:val="center"/>
          </w:tcPr>
          <w:p w14:paraId="73088C85" w14:textId="4D406F26" w:rsidR="007F1017" w:rsidRPr="00DB3FE7" w:rsidRDefault="0071620F" w:rsidP="00EC5836">
            <w:pPr>
              <w:pStyle w:val="COMTableheadingrow"/>
              <w:rPr>
                <w:lang w:val="en-AU"/>
              </w:rPr>
            </w:pPr>
            <w:r w:rsidRPr="00DB3FE7">
              <w:rPr>
                <w:lang w:val="en-AU"/>
              </w:rPr>
              <w:t>Inclisiran versus placebo</w:t>
            </w:r>
          </w:p>
        </w:tc>
      </w:tr>
      <w:tr w:rsidR="00B41614" w:rsidRPr="00DB3FE7" w14:paraId="4EE88DCB" w14:textId="77777777" w:rsidTr="00641D92">
        <w:trPr>
          <w:cantSplit/>
        </w:trPr>
        <w:tc>
          <w:tcPr>
            <w:tcW w:w="694" w:type="pct"/>
            <w:shd w:val="clear" w:color="auto" w:fill="auto"/>
            <w:vAlign w:val="center"/>
          </w:tcPr>
          <w:p w14:paraId="6EE77D33" w14:textId="47403806" w:rsidR="007F1017" w:rsidRPr="00DB3FE7" w:rsidRDefault="00C8098E" w:rsidP="00EC5836">
            <w:pPr>
              <w:pStyle w:val="COMTabletext"/>
            </w:pPr>
            <w:r w:rsidRPr="00DB3FE7">
              <w:t>ORION-9</w:t>
            </w:r>
          </w:p>
        </w:tc>
        <w:tc>
          <w:tcPr>
            <w:tcW w:w="447" w:type="pct"/>
            <w:shd w:val="clear" w:color="auto" w:fill="auto"/>
            <w:vAlign w:val="center"/>
          </w:tcPr>
          <w:p w14:paraId="41BB0E41" w14:textId="27946F72" w:rsidR="007F1017" w:rsidRPr="00DB3FE7" w:rsidRDefault="00C8098E" w:rsidP="00EC5836">
            <w:pPr>
              <w:pStyle w:val="COMTabletext"/>
              <w:jc w:val="center"/>
            </w:pPr>
            <w:r w:rsidRPr="00DB3FE7">
              <w:t>482</w:t>
            </w:r>
          </w:p>
        </w:tc>
        <w:tc>
          <w:tcPr>
            <w:tcW w:w="765" w:type="pct"/>
            <w:shd w:val="clear" w:color="auto" w:fill="auto"/>
            <w:vAlign w:val="center"/>
          </w:tcPr>
          <w:p w14:paraId="6624CCF5" w14:textId="77777777" w:rsidR="00C8098E" w:rsidRPr="00DB3FE7" w:rsidRDefault="00C8098E" w:rsidP="00C8098E">
            <w:pPr>
              <w:pStyle w:val="COMTabletext"/>
              <w:jc w:val="center"/>
            </w:pPr>
            <w:r w:rsidRPr="00DB3FE7">
              <w:t>MC, R, DB, PC</w:t>
            </w:r>
          </w:p>
          <w:p w14:paraId="744D08AC" w14:textId="2CD7B1A4" w:rsidR="007F1017" w:rsidRPr="00DB3FE7" w:rsidRDefault="00C8098E" w:rsidP="00C8098E">
            <w:pPr>
              <w:pStyle w:val="COMTabletext"/>
              <w:jc w:val="center"/>
            </w:pPr>
            <w:r w:rsidRPr="00DB3FE7">
              <w:t>540 days</w:t>
            </w:r>
          </w:p>
        </w:tc>
        <w:tc>
          <w:tcPr>
            <w:tcW w:w="368" w:type="pct"/>
            <w:shd w:val="clear" w:color="auto" w:fill="auto"/>
            <w:vAlign w:val="center"/>
          </w:tcPr>
          <w:p w14:paraId="4A529D74" w14:textId="77777777" w:rsidR="007F1017" w:rsidRPr="00DB3FE7" w:rsidRDefault="007F1017" w:rsidP="00EC5836">
            <w:pPr>
              <w:pStyle w:val="COMTabletext"/>
              <w:jc w:val="center"/>
              <w:rPr>
                <w:iCs/>
              </w:rPr>
            </w:pPr>
            <w:r w:rsidRPr="00DB3FE7">
              <w:rPr>
                <w:iCs/>
              </w:rPr>
              <w:t>Low</w:t>
            </w:r>
          </w:p>
        </w:tc>
        <w:tc>
          <w:tcPr>
            <w:tcW w:w="867" w:type="pct"/>
            <w:shd w:val="clear" w:color="auto" w:fill="auto"/>
            <w:vAlign w:val="center"/>
          </w:tcPr>
          <w:p w14:paraId="5E6F456D" w14:textId="32F24709" w:rsidR="007F1017" w:rsidRPr="00DB3FE7" w:rsidRDefault="00C8098E" w:rsidP="00EC5836">
            <w:pPr>
              <w:pStyle w:val="COMTabletext"/>
              <w:jc w:val="center"/>
            </w:pPr>
            <w:r w:rsidRPr="00DB3FE7">
              <w:t>HeFH</w:t>
            </w:r>
          </w:p>
        </w:tc>
        <w:tc>
          <w:tcPr>
            <w:tcW w:w="786" w:type="pct"/>
            <w:shd w:val="clear" w:color="auto" w:fill="auto"/>
            <w:vAlign w:val="center"/>
          </w:tcPr>
          <w:p w14:paraId="6DC76214" w14:textId="77247F00" w:rsidR="007F1017" w:rsidRPr="00DB3FE7" w:rsidRDefault="00C8098E" w:rsidP="00EC5836">
            <w:pPr>
              <w:pStyle w:val="COMTabletext"/>
              <w:jc w:val="center"/>
            </w:pPr>
            <w:r w:rsidRPr="00DB3FE7">
              <w:t xml:space="preserve">Change in </w:t>
            </w:r>
            <w:r w:rsidR="00650285" w:rsidRPr="00DB3FE7">
              <w:t>LDL</w:t>
            </w:r>
            <w:r w:rsidR="00641D92" w:rsidRPr="00DB3FE7">
              <w:t>-C</w:t>
            </w:r>
            <w:r w:rsidR="00650285" w:rsidRPr="00DB3FE7">
              <w:t xml:space="preserve"> levels</w:t>
            </w:r>
          </w:p>
        </w:tc>
        <w:tc>
          <w:tcPr>
            <w:tcW w:w="1073" w:type="pct"/>
            <w:shd w:val="clear" w:color="auto" w:fill="auto"/>
            <w:vAlign w:val="center"/>
          </w:tcPr>
          <w:p w14:paraId="150A804C" w14:textId="019B4824" w:rsidR="007F1017" w:rsidRPr="00DB3FE7" w:rsidRDefault="00C8098E" w:rsidP="00EC5836">
            <w:pPr>
              <w:pStyle w:val="COMTabletext"/>
              <w:jc w:val="center"/>
            </w:pPr>
            <w:r w:rsidRPr="00DB3FE7">
              <w:t>Subgroup used to inform baseline risk</w:t>
            </w:r>
          </w:p>
        </w:tc>
      </w:tr>
      <w:tr w:rsidR="00B41614" w:rsidRPr="00DB3FE7" w14:paraId="13A6895C" w14:textId="77777777" w:rsidTr="00641D92">
        <w:trPr>
          <w:cantSplit/>
        </w:trPr>
        <w:tc>
          <w:tcPr>
            <w:tcW w:w="694" w:type="pct"/>
            <w:shd w:val="clear" w:color="auto" w:fill="auto"/>
            <w:vAlign w:val="center"/>
          </w:tcPr>
          <w:p w14:paraId="4A9488B3" w14:textId="0EAD2DD0" w:rsidR="007F1017" w:rsidRPr="00DB3FE7" w:rsidRDefault="00C8098E" w:rsidP="00EC5836">
            <w:pPr>
              <w:pStyle w:val="COMTabletext"/>
            </w:pPr>
            <w:r w:rsidRPr="00DB3FE7">
              <w:t>ORION-10</w:t>
            </w:r>
          </w:p>
        </w:tc>
        <w:tc>
          <w:tcPr>
            <w:tcW w:w="447" w:type="pct"/>
            <w:shd w:val="clear" w:color="auto" w:fill="auto"/>
            <w:vAlign w:val="center"/>
          </w:tcPr>
          <w:p w14:paraId="3F4D20B5" w14:textId="7E3906BF" w:rsidR="007F1017" w:rsidRPr="00DB3FE7" w:rsidRDefault="00C8098E" w:rsidP="00EC5836">
            <w:pPr>
              <w:pStyle w:val="COMTabletext"/>
              <w:jc w:val="center"/>
            </w:pPr>
            <w:r w:rsidRPr="00DB3FE7">
              <w:t>1,561</w:t>
            </w:r>
          </w:p>
        </w:tc>
        <w:tc>
          <w:tcPr>
            <w:tcW w:w="765" w:type="pct"/>
            <w:shd w:val="clear" w:color="auto" w:fill="auto"/>
            <w:vAlign w:val="center"/>
          </w:tcPr>
          <w:p w14:paraId="5008BBA2" w14:textId="77777777" w:rsidR="00C8098E" w:rsidRPr="00DB3FE7" w:rsidRDefault="00C8098E" w:rsidP="00C8098E">
            <w:pPr>
              <w:pStyle w:val="COMTabletext"/>
              <w:jc w:val="center"/>
            </w:pPr>
            <w:r w:rsidRPr="00DB3FE7">
              <w:t>MC, R, DB, PC</w:t>
            </w:r>
          </w:p>
          <w:p w14:paraId="68D92FE7" w14:textId="7A1313BC" w:rsidR="007F1017" w:rsidRPr="00DB3FE7" w:rsidRDefault="00C8098E" w:rsidP="00C8098E">
            <w:pPr>
              <w:pStyle w:val="COMTabletext"/>
              <w:jc w:val="center"/>
            </w:pPr>
            <w:r w:rsidRPr="00DB3FE7">
              <w:t>540 days</w:t>
            </w:r>
          </w:p>
        </w:tc>
        <w:tc>
          <w:tcPr>
            <w:tcW w:w="368" w:type="pct"/>
            <w:shd w:val="clear" w:color="auto" w:fill="auto"/>
            <w:vAlign w:val="center"/>
          </w:tcPr>
          <w:p w14:paraId="6F0F93F8" w14:textId="416794D1" w:rsidR="007F1017" w:rsidRPr="00DB3FE7" w:rsidRDefault="00C8098E" w:rsidP="00EC5836">
            <w:pPr>
              <w:pStyle w:val="COMTabletext"/>
              <w:jc w:val="center"/>
              <w:rPr>
                <w:iCs/>
              </w:rPr>
            </w:pPr>
            <w:r w:rsidRPr="00DB3FE7">
              <w:rPr>
                <w:iCs/>
              </w:rPr>
              <w:t>Low</w:t>
            </w:r>
          </w:p>
        </w:tc>
        <w:tc>
          <w:tcPr>
            <w:tcW w:w="867" w:type="pct"/>
            <w:shd w:val="clear" w:color="auto" w:fill="auto"/>
            <w:vAlign w:val="center"/>
          </w:tcPr>
          <w:p w14:paraId="43AC963E" w14:textId="0E2E9EBC" w:rsidR="007F1017" w:rsidRPr="00DB3FE7" w:rsidRDefault="00C8098E" w:rsidP="00EC5836">
            <w:pPr>
              <w:pStyle w:val="COMTabletext"/>
              <w:jc w:val="center"/>
            </w:pPr>
            <w:r w:rsidRPr="00DB3FE7">
              <w:t>Hypercholesterolaemia with ASCVD</w:t>
            </w:r>
          </w:p>
        </w:tc>
        <w:tc>
          <w:tcPr>
            <w:tcW w:w="786" w:type="pct"/>
            <w:shd w:val="clear" w:color="auto" w:fill="auto"/>
            <w:vAlign w:val="center"/>
          </w:tcPr>
          <w:p w14:paraId="4F0C99D2" w14:textId="477E62C7" w:rsidR="007F1017" w:rsidRPr="00DB3FE7" w:rsidRDefault="00C8098E" w:rsidP="00EC5836">
            <w:pPr>
              <w:pStyle w:val="COMTabletext"/>
              <w:jc w:val="center"/>
            </w:pPr>
            <w:r w:rsidRPr="00DB3FE7">
              <w:t xml:space="preserve">Change in </w:t>
            </w:r>
            <w:r w:rsidR="00650285" w:rsidRPr="00DB3FE7">
              <w:t>LDL</w:t>
            </w:r>
            <w:r w:rsidR="00641D92" w:rsidRPr="00DB3FE7">
              <w:t>-C</w:t>
            </w:r>
            <w:r w:rsidR="00650285" w:rsidRPr="00DB3FE7">
              <w:t xml:space="preserve"> levels</w:t>
            </w:r>
          </w:p>
        </w:tc>
        <w:tc>
          <w:tcPr>
            <w:tcW w:w="1073" w:type="pct"/>
            <w:shd w:val="clear" w:color="auto" w:fill="auto"/>
            <w:vAlign w:val="center"/>
          </w:tcPr>
          <w:p w14:paraId="3175EA34" w14:textId="23820C5E" w:rsidR="007F1017" w:rsidRPr="00DB3FE7" w:rsidRDefault="00C8098E" w:rsidP="00EC5836">
            <w:pPr>
              <w:pStyle w:val="COMTabletext"/>
              <w:jc w:val="center"/>
            </w:pPr>
            <w:r w:rsidRPr="00DB3FE7">
              <w:t>Overall trial results inform treatment efficacy, subgroup used to inform baseline risk and discontinuations</w:t>
            </w:r>
          </w:p>
        </w:tc>
      </w:tr>
      <w:tr w:rsidR="00C8098E" w:rsidRPr="00DB3FE7" w14:paraId="6DAFAEAF" w14:textId="77777777" w:rsidTr="00641D92">
        <w:trPr>
          <w:cantSplit/>
        </w:trPr>
        <w:tc>
          <w:tcPr>
            <w:tcW w:w="694" w:type="pct"/>
            <w:shd w:val="clear" w:color="auto" w:fill="auto"/>
            <w:vAlign w:val="center"/>
          </w:tcPr>
          <w:p w14:paraId="76F0584C" w14:textId="37CD4D18" w:rsidR="00C8098E" w:rsidRPr="00DB3FE7" w:rsidRDefault="00C8098E" w:rsidP="00C8098E">
            <w:pPr>
              <w:pStyle w:val="COMTabletext"/>
            </w:pPr>
            <w:r w:rsidRPr="00DB3FE7">
              <w:t>ORION-11</w:t>
            </w:r>
          </w:p>
        </w:tc>
        <w:tc>
          <w:tcPr>
            <w:tcW w:w="447" w:type="pct"/>
            <w:shd w:val="clear" w:color="auto" w:fill="auto"/>
            <w:vAlign w:val="center"/>
          </w:tcPr>
          <w:p w14:paraId="7D785F8E" w14:textId="70CE7684" w:rsidR="00C8098E" w:rsidRPr="00DB3FE7" w:rsidRDefault="00C8098E" w:rsidP="00C8098E">
            <w:pPr>
              <w:pStyle w:val="COMTabletext"/>
              <w:jc w:val="center"/>
            </w:pPr>
            <w:r w:rsidRPr="00DB3FE7">
              <w:t>1,617</w:t>
            </w:r>
          </w:p>
        </w:tc>
        <w:tc>
          <w:tcPr>
            <w:tcW w:w="765" w:type="pct"/>
            <w:shd w:val="clear" w:color="auto" w:fill="auto"/>
            <w:vAlign w:val="center"/>
          </w:tcPr>
          <w:p w14:paraId="3E4024A7" w14:textId="77777777" w:rsidR="00C8098E" w:rsidRPr="00DB3FE7" w:rsidRDefault="00C8098E" w:rsidP="00C8098E">
            <w:pPr>
              <w:pStyle w:val="COMTabletext"/>
              <w:jc w:val="center"/>
            </w:pPr>
            <w:r w:rsidRPr="00DB3FE7">
              <w:t>MC, R, DB, PC</w:t>
            </w:r>
          </w:p>
          <w:p w14:paraId="4F10C1AA" w14:textId="3DCAE320" w:rsidR="00C8098E" w:rsidRPr="00DB3FE7" w:rsidRDefault="00C8098E" w:rsidP="00C8098E">
            <w:pPr>
              <w:pStyle w:val="COMTabletext"/>
              <w:jc w:val="center"/>
            </w:pPr>
            <w:r w:rsidRPr="00DB3FE7">
              <w:t>540 days</w:t>
            </w:r>
          </w:p>
        </w:tc>
        <w:tc>
          <w:tcPr>
            <w:tcW w:w="368" w:type="pct"/>
            <w:shd w:val="clear" w:color="auto" w:fill="auto"/>
            <w:vAlign w:val="center"/>
          </w:tcPr>
          <w:p w14:paraId="50E27A90" w14:textId="2B780EE7" w:rsidR="00C8098E" w:rsidRPr="00DB3FE7" w:rsidRDefault="00C8098E" w:rsidP="00C8098E">
            <w:pPr>
              <w:pStyle w:val="COMTabletext"/>
              <w:jc w:val="center"/>
              <w:rPr>
                <w:iCs/>
              </w:rPr>
            </w:pPr>
            <w:r w:rsidRPr="00DB3FE7">
              <w:rPr>
                <w:iCs/>
              </w:rPr>
              <w:t>Low</w:t>
            </w:r>
          </w:p>
        </w:tc>
        <w:tc>
          <w:tcPr>
            <w:tcW w:w="867" w:type="pct"/>
            <w:shd w:val="clear" w:color="auto" w:fill="auto"/>
            <w:vAlign w:val="center"/>
          </w:tcPr>
          <w:p w14:paraId="1B84BE0E" w14:textId="27EA2C5B" w:rsidR="00C8098E" w:rsidRPr="00DB3FE7" w:rsidRDefault="00C8098E" w:rsidP="00C8098E">
            <w:pPr>
              <w:pStyle w:val="COMTabletext"/>
              <w:jc w:val="center"/>
            </w:pPr>
            <w:r w:rsidRPr="00DB3FE7">
              <w:t>Hypercholesterolaemia with ASCVD or risk equivalent</w:t>
            </w:r>
          </w:p>
        </w:tc>
        <w:tc>
          <w:tcPr>
            <w:tcW w:w="786" w:type="pct"/>
            <w:shd w:val="clear" w:color="auto" w:fill="auto"/>
            <w:vAlign w:val="center"/>
          </w:tcPr>
          <w:p w14:paraId="4E7BED76" w14:textId="0EEC9F1C" w:rsidR="00C8098E" w:rsidRPr="00DB3FE7" w:rsidRDefault="00C8098E" w:rsidP="00C8098E">
            <w:pPr>
              <w:pStyle w:val="COMTabletext"/>
              <w:jc w:val="center"/>
            </w:pPr>
            <w:r w:rsidRPr="00DB3FE7">
              <w:t xml:space="preserve">Change in </w:t>
            </w:r>
            <w:r w:rsidR="00650285" w:rsidRPr="00DB3FE7">
              <w:t>LDL</w:t>
            </w:r>
            <w:r w:rsidR="00641D92" w:rsidRPr="00DB3FE7">
              <w:t>-C</w:t>
            </w:r>
            <w:r w:rsidRPr="00DB3FE7">
              <w:t xml:space="preserve"> </w:t>
            </w:r>
            <w:r w:rsidR="00650285" w:rsidRPr="00DB3FE7">
              <w:t>levels</w:t>
            </w:r>
          </w:p>
        </w:tc>
        <w:tc>
          <w:tcPr>
            <w:tcW w:w="1073" w:type="pct"/>
            <w:shd w:val="clear" w:color="auto" w:fill="auto"/>
            <w:vAlign w:val="center"/>
          </w:tcPr>
          <w:p w14:paraId="0351A18F" w14:textId="1874540F" w:rsidR="00C8098E" w:rsidRPr="00DB3FE7" w:rsidRDefault="00C8098E" w:rsidP="00C8098E">
            <w:pPr>
              <w:pStyle w:val="COMTabletext"/>
              <w:jc w:val="center"/>
            </w:pPr>
            <w:r w:rsidRPr="00DB3FE7">
              <w:t>Subgroup used to inform baseline risk and discontinuations</w:t>
            </w:r>
          </w:p>
        </w:tc>
      </w:tr>
    </w:tbl>
    <w:p w14:paraId="560080D2" w14:textId="1B91CC0D" w:rsidR="00045017" w:rsidRPr="00DB3FE7" w:rsidRDefault="00650285" w:rsidP="008D4598">
      <w:pPr>
        <w:pStyle w:val="COMTablefooter"/>
        <w:keepNext/>
      </w:pPr>
      <w:r w:rsidRPr="00DB3FE7">
        <w:t>Source: Section 2.4</w:t>
      </w:r>
      <w:r w:rsidR="00A12701" w:rsidRPr="00DB3FE7">
        <w:t xml:space="preserve"> </w:t>
      </w:r>
      <w:r w:rsidRPr="00DB3FE7">
        <w:t>of the submission</w:t>
      </w:r>
    </w:p>
    <w:p w14:paraId="1095487C" w14:textId="17C63A88" w:rsidR="00620C25" w:rsidRPr="00DB3FE7" w:rsidRDefault="00C8098E" w:rsidP="00C8098E">
      <w:pPr>
        <w:pStyle w:val="COMTablefooter"/>
      </w:pPr>
      <w:r w:rsidRPr="00DB3FE7">
        <w:t>Abbreviations: ASCVD, atherosclerotic cardiovascular disease; DB, double-blind; HeFH, heterozygous familial hypercholesterolaemia;</w:t>
      </w:r>
      <w:r w:rsidR="00650285" w:rsidRPr="00DB3FE7">
        <w:t xml:space="preserve"> LDL</w:t>
      </w:r>
      <w:r w:rsidR="00641D92" w:rsidRPr="00DB3FE7">
        <w:t>-C</w:t>
      </w:r>
      <w:r w:rsidR="00650285" w:rsidRPr="00DB3FE7">
        <w:t>, low-density lipoprotein cholesterol;</w:t>
      </w:r>
      <w:r w:rsidRPr="00DB3FE7">
        <w:t xml:space="preserve"> MC, multicentre; PC, placebo-controlled; R, randomised</w:t>
      </w:r>
      <w:r w:rsidR="00620C25" w:rsidRPr="00DB3FE7">
        <w:t>.</w:t>
      </w:r>
    </w:p>
    <w:p w14:paraId="03C03CD0" w14:textId="6814BD93" w:rsidR="005A0DC2" w:rsidRPr="0042765C" w:rsidRDefault="005A0DC2" w:rsidP="00980E94">
      <w:pPr>
        <w:pStyle w:val="COMexecsumnumberedpara"/>
      </w:pPr>
      <w:r w:rsidRPr="00DB3FE7">
        <w:t>The PBAC has previously considered changes in LDL</w:t>
      </w:r>
      <w:r w:rsidR="00641D92" w:rsidRPr="00DB3FE7">
        <w:t>-C</w:t>
      </w:r>
      <w:r w:rsidRPr="00DB3FE7">
        <w:t xml:space="preserve"> levels to be a reasonable surrogate for changes in cardiovascular outcomes in hypercholesterolaemia populations (PBAC Post Market Review of Ezetimibe, December 2</w:t>
      </w:r>
      <w:r w:rsidR="001F5D6B" w:rsidRPr="00DB3FE7">
        <w:t xml:space="preserve">017; alirocumab and evolocumab </w:t>
      </w:r>
      <w:r w:rsidR="00282EC9" w:rsidRPr="00DB3FE7">
        <w:t>PSDs</w:t>
      </w:r>
      <w:r w:rsidRPr="00DB3FE7">
        <w:t>, multiple meetings) but has also noted the importance of having results from confirmatory cardiovascular outcome tri</w:t>
      </w:r>
      <w:r w:rsidR="001F5D6B" w:rsidRPr="00DB3FE7">
        <w:t xml:space="preserve">als (alirocumab and evolocumab </w:t>
      </w:r>
      <w:r w:rsidR="00282EC9" w:rsidRPr="00DB3FE7">
        <w:t>PSDs</w:t>
      </w:r>
      <w:r w:rsidRPr="00DB3FE7">
        <w:t>, multiple meetings).</w:t>
      </w:r>
      <w:r w:rsidR="005F0A07" w:rsidRPr="00DB3FE7">
        <w:t xml:space="preserve"> The ESC considered that</w:t>
      </w:r>
      <w:r w:rsidR="004406A8" w:rsidRPr="00DB3FE7">
        <w:t>,</w:t>
      </w:r>
      <w:r w:rsidR="005F0A07" w:rsidRPr="00DB3FE7">
        <w:t xml:space="preserve"> in the absence of trials with cardiovascular outcomes, change in LDL</w:t>
      </w:r>
      <w:r w:rsidR="0035723A" w:rsidRPr="00DB3FE7">
        <w:t>-C</w:t>
      </w:r>
      <w:r w:rsidR="005F0A07" w:rsidRPr="00DB3FE7">
        <w:t xml:space="preserve"> level was a reasonable surrogate.</w:t>
      </w:r>
      <w:r w:rsidR="00A50230" w:rsidRPr="00DB3FE7">
        <w:t xml:space="preserve"> The PSCR noted since the lodging of the inclisiran submission, a patient-level, pooled analysis of ORION-9, −10 and −11 was published (Ray 2023) which reported that inclisiran significantly reduced composite MACE [OR = 0.74 (0.58–0.94)].</w:t>
      </w:r>
      <w:r w:rsidR="00A50230" w:rsidRPr="0042765C">
        <w:rPr>
          <w:rStyle w:val="FootnoteReference"/>
        </w:rPr>
        <w:footnoteReference w:id="1"/>
      </w:r>
    </w:p>
    <w:p w14:paraId="4A4FE085" w14:textId="43823699" w:rsidR="00B60939" w:rsidRPr="007118F5" w:rsidRDefault="00B60939" w:rsidP="00EC5836">
      <w:pPr>
        <w:pStyle w:val="COMH2-non-numbered"/>
      </w:pPr>
      <w:bookmarkStart w:id="22" w:name="_Toc22897641"/>
      <w:bookmarkStart w:id="23" w:name="_Toc124866145"/>
      <w:r w:rsidRPr="00352E1C">
        <w:t>Comparative effectiveness</w:t>
      </w:r>
      <w:bookmarkEnd w:id="22"/>
      <w:bookmarkEnd w:id="23"/>
    </w:p>
    <w:p w14:paraId="63B956DD" w14:textId="003BFC93" w:rsidR="00650285" w:rsidRPr="00D2286B" w:rsidRDefault="00650285" w:rsidP="00980E94">
      <w:pPr>
        <w:pStyle w:val="COMexecsumnumberedpara"/>
      </w:pPr>
      <w:r w:rsidRPr="00DB3FE7">
        <w:t>Meta-analyses of the co-primary LDL</w:t>
      </w:r>
      <w:r w:rsidR="0035723A" w:rsidRPr="00DB3FE7">
        <w:t>-C</w:t>
      </w:r>
      <w:r w:rsidRPr="00DB3FE7">
        <w:t xml:space="preserve"> outcomes (mean percentage change in LDL</w:t>
      </w:r>
      <w:r w:rsidR="0035723A" w:rsidRPr="00DB3FE7">
        <w:t>-C</w:t>
      </w:r>
      <w:r w:rsidRPr="00DB3FE7">
        <w:t xml:space="preserve"> from baseline to Day 510 and time-adjusted mean percentage change in LDL</w:t>
      </w:r>
      <w:r w:rsidR="0035723A" w:rsidRPr="00DB3FE7">
        <w:t>-C</w:t>
      </w:r>
      <w:r w:rsidRPr="00DB3FE7">
        <w:t xml:space="preserve"> from baseline after Day 90 and up to Day 540) with inclisiran and placebo from the ORION trials are summarised in </w:t>
      </w:r>
      <w:r w:rsidR="00334451" w:rsidRPr="00D2286B">
        <w:fldChar w:fldCharType="begin" w:fldLock="1"/>
      </w:r>
      <w:r w:rsidR="00334451" w:rsidRPr="00DB3FE7">
        <w:instrText xml:space="preserve"> REF _Ref124101583 \h </w:instrText>
      </w:r>
      <w:r w:rsidR="00334451" w:rsidRPr="00D2286B">
        <w:fldChar w:fldCharType="separate"/>
      </w:r>
      <w:r w:rsidR="00424520" w:rsidRPr="00D2286B">
        <w:t xml:space="preserve">Table </w:t>
      </w:r>
      <w:r w:rsidR="00424520" w:rsidRPr="00D2286B">
        <w:rPr>
          <w:noProof/>
        </w:rPr>
        <w:t>4</w:t>
      </w:r>
      <w:r w:rsidR="00334451" w:rsidRPr="00D2286B">
        <w:fldChar w:fldCharType="end"/>
      </w:r>
      <w:r w:rsidRPr="0042765C">
        <w:t>.</w:t>
      </w:r>
    </w:p>
    <w:p w14:paraId="51549B54" w14:textId="57D75EA0" w:rsidR="00650285" w:rsidRPr="00352E1C" w:rsidRDefault="00650285" w:rsidP="00650285">
      <w:pPr>
        <w:pStyle w:val="COMexecsumnumberedpara"/>
        <w:numPr>
          <w:ilvl w:val="0"/>
          <w:numId w:val="0"/>
        </w:numPr>
        <w:rPr>
          <w:color w:val="0066FF"/>
        </w:rPr>
      </w:pPr>
    </w:p>
    <w:p w14:paraId="0A3520F7" w14:textId="34FED88C" w:rsidR="00650285" w:rsidRPr="00DB3FE7" w:rsidRDefault="003D2173" w:rsidP="003D2173">
      <w:pPr>
        <w:pStyle w:val="COMtablefigcaption"/>
        <w:rPr>
          <w:color w:val="3366FF"/>
        </w:rPr>
      </w:pPr>
      <w:bookmarkStart w:id="24" w:name="_Ref124101583"/>
      <w:r w:rsidRPr="00352E1C">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4</w:t>
      </w:r>
      <w:r w:rsidR="00E1209D" w:rsidRPr="00D2286B">
        <w:rPr>
          <w:noProof/>
        </w:rPr>
        <w:fldChar w:fldCharType="end"/>
      </w:r>
      <w:bookmarkEnd w:id="24"/>
      <w:r w:rsidR="00650285" w:rsidRPr="0042765C">
        <w:rPr>
          <w:snapToGrid w:val="0"/>
        </w:rPr>
        <w:t>: Meta-analysis of co-primary LDL</w:t>
      </w:r>
      <w:r w:rsidR="0035723A" w:rsidRPr="00D2286B">
        <w:rPr>
          <w:snapToGrid w:val="0"/>
        </w:rPr>
        <w:t>-C</w:t>
      </w:r>
      <w:r w:rsidR="00650285" w:rsidRPr="00D2286B">
        <w:rPr>
          <w:snapToGrid w:val="0"/>
        </w:rPr>
        <w:t xml:space="preserve"> outcomes from the inclisiran trials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254"/>
        <w:gridCol w:w="2254"/>
        <w:gridCol w:w="2254"/>
      </w:tblGrid>
      <w:tr w:rsidR="00650285" w:rsidRPr="00DB3FE7" w14:paraId="350B2D7B" w14:textId="77777777" w:rsidTr="00035F43">
        <w:trPr>
          <w:cantSplit/>
          <w:tblHeader/>
        </w:trPr>
        <w:tc>
          <w:tcPr>
            <w:tcW w:w="1250" w:type="pct"/>
            <w:tcBorders>
              <w:right w:val="single" w:sz="4" w:space="0" w:color="auto"/>
            </w:tcBorders>
            <w:shd w:val="clear" w:color="auto" w:fill="auto"/>
            <w:vAlign w:val="center"/>
          </w:tcPr>
          <w:p w14:paraId="333E5CE7" w14:textId="77777777" w:rsidR="00650285" w:rsidRPr="00352E1C" w:rsidRDefault="00650285" w:rsidP="00035F43">
            <w:pPr>
              <w:keepNext/>
              <w:widowControl w:val="0"/>
              <w:jc w:val="center"/>
              <w:rPr>
                <w:rFonts w:ascii="Arial Narrow" w:hAnsi="Arial Narrow"/>
                <w:b/>
                <w:snapToGrid w:val="0"/>
                <w:sz w:val="20"/>
                <w:szCs w:val="20"/>
              </w:rPr>
            </w:pPr>
            <w:r w:rsidRPr="00352E1C">
              <w:rPr>
                <w:rFonts w:ascii="Arial Narrow" w:hAnsi="Arial Narrow"/>
                <w:b/>
                <w:snapToGrid w:val="0"/>
                <w:sz w:val="20"/>
                <w:szCs w:val="20"/>
              </w:rPr>
              <w:t>Trial</w:t>
            </w:r>
          </w:p>
        </w:tc>
        <w:tc>
          <w:tcPr>
            <w:tcW w:w="1250" w:type="pct"/>
            <w:tcBorders>
              <w:left w:val="single" w:sz="4" w:space="0" w:color="auto"/>
              <w:right w:val="single" w:sz="4" w:space="0" w:color="auto"/>
            </w:tcBorders>
            <w:shd w:val="clear" w:color="auto" w:fill="auto"/>
            <w:vAlign w:val="center"/>
          </w:tcPr>
          <w:p w14:paraId="7A7ED418"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Inclisiran,</w:t>
            </w:r>
          </w:p>
          <w:p w14:paraId="6E9B962D"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Mean, % (SD)</w:t>
            </w:r>
          </w:p>
        </w:tc>
        <w:tc>
          <w:tcPr>
            <w:tcW w:w="1250" w:type="pct"/>
            <w:tcBorders>
              <w:left w:val="single" w:sz="4" w:space="0" w:color="auto"/>
              <w:right w:val="single" w:sz="4" w:space="0" w:color="auto"/>
            </w:tcBorders>
            <w:shd w:val="clear" w:color="auto" w:fill="auto"/>
            <w:vAlign w:val="center"/>
          </w:tcPr>
          <w:p w14:paraId="61DD271E"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Placebo,</w:t>
            </w:r>
          </w:p>
          <w:p w14:paraId="7C32A3F4"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Mean, % (SD)</w:t>
            </w:r>
          </w:p>
        </w:tc>
        <w:tc>
          <w:tcPr>
            <w:tcW w:w="1250" w:type="pct"/>
            <w:tcBorders>
              <w:left w:val="single" w:sz="4" w:space="0" w:color="auto"/>
            </w:tcBorders>
            <w:shd w:val="clear" w:color="auto" w:fill="auto"/>
            <w:vAlign w:val="center"/>
          </w:tcPr>
          <w:p w14:paraId="3DC8C3B9"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 xml:space="preserve">Treatment difference, </w:t>
            </w:r>
          </w:p>
          <w:p w14:paraId="5A096241"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Mean, % (95% CI)</w:t>
            </w:r>
          </w:p>
        </w:tc>
      </w:tr>
      <w:tr w:rsidR="00650285" w:rsidRPr="00DB3FE7" w14:paraId="141918C0" w14:textId="77777777" w:rsidTr="00035F43">
        <w:trPr>
          <w:cantSplit/>
        </w:trPr>
        <w:tc>
          <w:tcPr>
            <w:tcW w:w="5000" w:type="pct"/>
            <w:gridSpan w:val="4"/>
            <w:tcBorders>
              <w:top w:val="single" w:sz="4" w:space="0" w:color="auto"/>
              <w:left w:val="single" w:sz="4" w:space="0" w:color="auto"/>
              <w:bottom w:val="single" w:sz="4" w:space="0" w:color="auto"/>
            </w:tcBorders>
            <w:shd w:val="clear" w:color="auto" w:fill="auto"/>
            <w:vAlign w:val="center"/>
          </w:tcPr>
          <w:p w14:paraId="08DCA7AC" w14:textId="6836074C" w:rsidR="00650285" w:rsidRPr="00DB3FE7" w:rsidRDefault="00650285" w:rsidP="00035F43">
            <w:pPr>
              <w:keepNext/>
              <w:widowControl w:val="0"/>
              <w:jc w:val="left"/>
              <w:rPr>
                <w:rFonts w:ascii="Arial Narrow" w:hAnsi="Arial Narrow"/>
                <w:b/>
                <w:snapToGrid w:val="0"/>
                <w:sz w:val="20"/>
                <w:szCs w:val="20"/>
              </w:rPr>
            </w:pPr>
            <w:r w:rsidRPr="00DB3FE7">
              <w:rPr>
                <w:rFonts w:ascii="Arial Narrow" w:hAnsi="Arial Narrow"/>
                <w:b/>
                <w:snapToGrid w:val="0"/>
                <w:sz w:val="20"/>
                <w:szCs w:val="20"/>
              </w:rPr>
              <w:t>Mean percentage change from baseline in LDL</w:t>
            </w:r>
            <w:r w:rsidR="0035723A" w:rsidRPr="00DB3FE7">
              <w:rPr>
                <w:rFonts w:ascii="Arial Narrow" w:hAnsi="Arial Narrow"/>
                <w:b/>
                <w:snapToGrid w:val="0"/>
                <w:sz w:val="20"/>
                <w:szCs w:val="20"/>
              </w:rPr>
              <w:t>-C</w:t>
            </w:r>
            <w:r w:rsidRPr="00DB3FE7">
              <w:rPr>
                <w:rFonts w:ascii="Arial Narrow" w:hAnsi="Arial Narrow"/>
                <w:b/>
                <w:snapToGrid w:val="0"/>
                <w:sz w:val="20"/>
                <w:szCs w:val="20"/>
              </w:rPr>
              <w:t xml:space="preserve"> at Day 510 (primary - multiple imputation washout model)</w:t>
            </w:r>
          </w:p>
        </w:tc>
      </w:tr>
      <w:tr w:rsidR="00650285" w:rsidRPr="00DB3FE7" w14:paraId="6BDF3AFF"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1D7381F" w14:textId="77777777" w:rsidR="00650285" w:rsidRPr="00DB3FE7" w:rsidRDefault="00650285" w:rsidP="00035F43">
            <w:pPr>
              <w:keepNext/>
              <w:widowControl w:val="0"/>
              <w:rPr>
                <w:rFonts w:ascii="Arial Narrow" w:hAnsi="Arial Narrow"/>
                <w:snapToGrid w:val="0"/>
                <w:sz w:val="20"/>
                <w:szCs w:val="20"/>
              </w:rPr>
            </w:pPr>
            <w:r w:rsidRPr="00DB3FE7">
              <w:rPr>
                <w:rFonts w:ascii="Arial Narrow" w:hAnsi="Arial Narrow"/>
                <w:snapToGrid w:val="0"/>
                <w:sz w:val="20"/>
                <w:szCs w:val="20"/>
              </w:rPr>
              <w:t>ORION 9, N = 482</w:t>
            </w:r>
          </w:p>
        </w:tc>
        <w:tc>
          <w:tcPr>
            <w:tcW w:w="1250" w:type="pct"/>
            <w:tcBorders>
              <w:top w:val="single" w:sz="4" w:space="0" w:color="auto"/>
              <w:left w:val="single" w:sz="4" w:space="0" w:color="auto"/>
              <w:bottom w:val="single" w:sz="4" w:space="0" w:color="auto"/>
              <w:right w:val="single" w:sz="4" w:space="0" w:color="auto"/>
            </w:tcBorders>
            <w:vAlign w:val="center"/>
          </w:tcPr>
          <w:p w14:paraId="5890C3D8"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-39.67 (31.47)</w:t>
            </w:r>
          </w:p>
        </w:tc>
        <w:tc>
          <w:tcPr>
            <w:tcW w:w="1250" w:type="pct"/>
            <w:tcBorders>
              <w:top w:val="single" w:sz="4" w:space="0" w:color="auto"/>
              <w:left w:val="single" w:sz="4" w:space="0" w:color="auto"/>
              <w:bottom w:val="single" w:sz="4" w:space="0" w:color="auto"/>
              <w:right w:val="single" w:sz="4" w:space="0" w:color="auto"/>
            </w:tcBorders>
            <w:vAlign w:val="center"/>
          </w:tcPr>
          <w:p w14:paraId="44B6135B"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8.22 (30.66)</w:t>
            </w:r>
          </w:p>
        </w:tc>
        <w:tc>
          <w:tcPr>
            <w:tcW w:w="1250" w:type="pct"/>
            <w:tcBorders>
              <w:top w:val="single" w:sz="4" w:space="0" w:color="auto"/>
              <w:left w:val="single" w:sz="4" w:space="0" w:color="auto"/>
              <w:bottom w:val="single" w:sz="4" w:space="0" w:color="auto"/>
              <w:right w:val="single" w:sz="4" w:space="0" w:color="auto"/>
            </w:tcBorders>
            <w:vAlign w:val="center"/>
          </w:tcPr>
          <w:p w14:paraId="18115464"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-47.89 (-53.52, -42.26)</w:t>
            </w:r>
          </w:p>
        </w:tc>
      </w:tr>
      <w:tr w:rsidR="00650285" w:rsidRPr="00DB3FE7" w14:paraId="44465408"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DE72B17" w14:textId="77777777" w:rsidR="00650285" w:rsidRPr="00DB3FE7" w:rsidRDefault="00650285" w:rsidP="00035F43">
            <w:pPr>
              <w:keepNext/>
              <w:widowControl w:val="0"/>
              <w:rPr>
                <w:rFonts w:ascii="Arial Narrow" w:hAnsi="Arial Narrow"/>
                <w:snapToGrid w:val="0"/>
                <w:sz w:val="20"/>
                <w:szCs w:val="20"/>
              </w:rPr>
            </w:pPr>
            <w:r w:rsidRPr="00DB3FE7">
              <w:rPr>
                <w:rFonts w:ascii="Arial Narrow" w:hAnsi="Arial Narrow"/>
                <w:snapToGrid w:val="0"/>
                <w:sz w:val="20"/>
                <w:szCs w:val="20"/>
              </w:rPr>
              <w:t>ORION 10, N = 1,561</w:t>
            </w:r>
          </w:p>
        </w:tc>
        <w:tc>
          <w:tcPr>
            <w:tcW w:w="1250" w:type="pct"/>
            <w:tcBorders>
              <w:top w:val="single" w:sz="4" w:space="0" w:color="auto"/>
              <w:left w:val="single" w:sz="4" w:space="0" w:color="auto"/>
              <w:bottom w:val="single" w:sz="4" w:space="0" w:color="auto"/>
              <w:right w:val="single" w:sz="4" w:space="0" w:color="auto"/>
            </w:tcBorders>
            <w:vAlign w:val="center"/>
          </w:tcPr>
          <w:p w14:paraId="586D0545"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-51.28 (33.19)</w:t>
            </w:r>
          </w:p>
        </w:tc>
        <w:tc>
          <w:tcPr>
            <w:tcW w:w="1250" w:type="pct"/>
            <w:tcBorders>
              <w:top w:val="single" w:sz="4" w:space="0" w:color="auto"/>
              <w:left w:val="single" w:sz="4" w:space="0" w:color="auto"/>
              <w:bottom w:val="single" w:sz="4" w:space="0" w:color="auto"/>
              <w:right w:val="single" w:sz="4" w:space="0" w:color="auto"/>
            </w:tcBorders>
            <w:vAlign w:val="center"/>
          </w:tcPr>
          <w:p w14:paraId="697001E7"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0.96 (32.13)</w:t>
            </w:r>
          </w:p>
        </w:tc>
        <w:tc>
          <w:tcPr>
            <w:tcW w:w="1250" w:type="pct"/>
            <w:tcBorders>
              <w:top w:val="single" w:sz="4" w:space="0" w:color="auto"/>
              <w:left w:val="single" w:sz="4" w:space="0" w:color="auto"/>
              <w:bottom w:val="single" w:sz="4" w:space="0" w:color="auto"/>
              <w:right w:val="single" w:sz="4" w:space="0" w:color="auto"/>
            </w:tcBorders>
            <w:vAlign w:val="center"/>
          </w:tcPr>
          <w:p w14:paraId="0905F2F5"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-52.24 (-55.65, -48.83)</w:t>
            </w:r>
          </w:p>
        </w:tc>
      </w:tr>
      <w:tr w:rsidR="00650285" w:rsidRPr="00DB3FE7" w14:paraId="2CB6ED83"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9128521" w14:textId="77777777" w:rsidR="00650285" w:rsidRPr="00DB3FE7" w:rsidRDefault="00650285" w:rsidP="00035F43">
            <w:pPr>
              <w:keepNext/>
              <w:widowControl w:val="0"/>
              <w:rPr>
                <w:rFonts w:ascii="Arial Narrow" w:hAnsi="Arial Narrow"/>
                <w:snapToGrid w:val="0"/>
                <w:sz w:val="20"/>
                <w:szCs w:val="20"/>
              </w:rPr>
            </w:pPr>
            <w:r w:rsidRPr="00DB3FE7">
              <w:rPr>
                <w:rFonts w:ascii="Arial Narrow" w:hAnsi="Arial Narrow"/>
                <w:snapToGrid w:val="0"/>
                <w:sz w:val="20"/>
                <w:szCs w:val="20"/>
              </w:rPr>
              <w:t>ORION 11, N = 1,617</w:t>
            </w:r>
          </w:p>
        </w:tc>
        <w:tc>
          <w:tcPr>
            <w:tcW w:w="1250" w:type="pct"/>
            <w:tcBorders>
              <w:top w:val="single" w:sz="4" w:space="0" w:color="auto"/>
              <w:left w:val="single" w:sz="4" w:space="0" w:color="auto"/>
              <w:bottom w:val="single" w:sz="4" w:space="0" w:color="auto"/>
              <w:right w:val="single" w:sz="4" w:space="0" w:color="auto"/>
            </w:tcBorders>
            <w:vAlign w:val="center"/>
          </w:tcPr>
          <w:p w14:paraId="368A351B"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-45.80 (33.02)</w:t>
            </w:r>
          </w:p>
        </w:tc>
        <w:tc>
          <w:tcPr>
            <w:tcW w:w="1250" w:type="pct"/>
            <w:tcBorders>
              <w:top w:val="single" w:sz="4" w:space="0" w:color="auto"/>
              <w:left w:val="single" w:sz="4" w:space="0" w:color="auto"/>
              <w:bottom w:val="single" w:sz="4" w:space="0" w:color="auto"/>
              <w:right w:val="single" w:sz="4" w:space="0" w:color="auto"/>
            </w:tcBorders>
            <w:vAlign w:val="center"/>
          </w:tcPr>
          <w:p w14:paraId="6F2418C9"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4.00 (31.55)</w:t>
            </w:r>
          </w:p>
        </w:tc>
        <w:tc>
          <w:tcPr>
            <w:tcW w:w="1250" w:type="pct"/>
            <w:tcBorders>
              <w:top w:val="single" w:sz="4" w:space="0" w:color="auto"/>
              <w:left w:val="single" w:sz="4" w:space="0" w:color="auto"/>
              <w:bottom w:val="single" w:sz="4" w:space="0" w:color="auto"/>
              <w:right w:val="single" w:sz="4" w:space="0" w:color="auto"/>
            </w:tcBorders>
            <w:vAlign w:val="center"/>
          </w:tcPr>
          <w:p w14:paraId="56D7B7E7"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-49.90 (-53.07, -46.64)</w:t>
            </w:r>
          </w:p>
        </w:tc>
      </w:tr>
      <w:tr w:rsidR="00650285" w:rsidRPr="00DB3FE7" w14:paraId="6A6F9B32"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C29735" w14:textId="77777777" w:rsidR="00650285" w:rsidRPr="00DB3FE7" w:rsidRDefault="00650285" w:rsidP="00035F43">
            <w:pPr>
              <w:keepNext/>
              <w:widowControl w:val="0"/>
              <w:jc w:val="right"/>
              <w:rPr>
                <w:rFonts w:ascii="Arial Narrow" w:hAnsi="Arial Narrow"/>
                <w:snapToGrid w:val="0"/>
                <w:sz w:val="20"/>
                <w:szCs w:val="20"/>
                <w:vertAlign w:val="superscript"/>
              </w:rPr>
            </w:pPr>
            <w:r w:rsidRPr="00DB3FE7">
              <w:rPr>
                <w:rFonts w:ascii="Arial Narrow" w:hAnsi="Arial Narrow"/>
                <w:snapToGrid w:val="0"/>
                <w:sz w:val="20"/>
                <w:szCs w:val="20"/>
              </w:rPr>
              <w:t>Meta-analysis of ORION 10,11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1%)</w:t>
            </w:r>
          </w:p>
        </w:tc>
        <w:tc>
          <w:tcPr>
            <w:tcW w:w="1250" w:type="pct"/>
            <w:tcBorders>
              <w:top w:val="single" w:sz="4" w:space="0" w:color="auto"/>
              <w:left w:val="single" w:sz="4" w:space="0" w:color="auto"/>
              <w:bottom w:val="single" w:sz="4" w:space="0" w:color="auto"/>
              <w:right w:val="single" w:sz="4" w:space="0" w:color="auto"/>
            </w:tcBorders>
            <w:vAlign w:val="center"/>
          </w:tcPr>
          <w:p w14:paraId="442F6CD9"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-50.94 (-53.33, -48.56)</w:t>
            </w:r>
          </w:p>
        </w:tc>
      </w:tr>
      <w:tr w:rsidR="00650285" w:rsidRPr="00DB3FE7" w14:paraId="26211BA7"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6A1B4B7"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40%)</w:t>
            </w:r>
          </w:p>
        </w:tc>
        <w:tc>
          <w:tcPr>
            <w:tcW w:w="1250" w:type="pct"/>
            <w:tcBorders>
              <w:top w:val="single" w:sz="4" w:space="0" w:color="auto"/>
              <w:left w:val="single" w:sz="4" w:space="0" w:color="auto"/>
              <w:bottom w:val="single" w:sz="4" w:space="0" w:color="auto"/>
              <w:right w:val="single" w:sz="4" w:space="0" w:color="auto"/>
            </w:tcBorders>
            <w:vAlign w:val="center"/>
          </w:tcPr>
          <w:p w14:paraId="149EAB5F"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-50.65 (-54.76, -46.55)</w:t>
            </w:r>
          </w:p>
        </w:tc>
      </w:tr>
      <w:tr w:rsidR="00650285" w:rsidRPr="00DB3FE7" w14:paraId="4C7020CF"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2E9BB9"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0%)</w:t>
            </w:r>
          </w:p>
        </w:tc>
        <w:tc>
          <w:tcPr>
            <w:tcW w:w="1250" w:type="pct"/>
            <w:tcBorders>
              <w:top w:val="single" w:sz="4" w:space="0" w:color="auto"/>
              <w:left w:val="single" w:sz="4" w:space="0" w:color="auto"/>
              <w:bottom w:val="single" w:sz="4" w:space="0" w:color="auto"/>
              <w:right w:val="single" w:sz="4" w:space="0" w:color="auto"/>
            </w:tcBorders>
            <w:vAlign w:val="center"/>
          </w:tcPr>
          <w:p w14:paraId="1A19020B"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-49.32 (-52.14, -46.50)</w:t>
            </w:r>
          </w:p>
        </w:tc>
      </w:tr>
      <w:tr w:rsidR="00650285" w:rsidRPr="00DB3FE7" w14:paraId="675EE90E"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A7839D"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9,10,11 (I² = 0%)</w:t>
            </w:r>
          </w:p>
        </w:tc>
        <w:tc>
          <w:tcPr>
            <w:tcW w:w="1250" w:type="pct"/>
            <w:tcBorders>
              <w:top w:val="single" w:sz="4" w:space="0" w:color="auto"/>
              <w:left w:val="single" w:sz="4" w:space="0" w:color="auto"/>
              <w:bottom w:val="single" w:sz="4" w:space="0" w:color="auto"/>
              <w:right w:val="single" w:sz="4" w:space="0" w:color="auto"/>
            </w:tcBorders>
            <w:vAlign w:val="center"/>
          </w:tcPr>
          <w:p w14:paraId="2970CC6B"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-50.48 (-52.67, -48.29)</w:t>
            </w:r>
          </w:p>
        </w:tc>
      </w:tr>
      <w:tr w:rsidR="00650285" w:rsidRPr="00DB3FE7" w14:paraId="50E1DA8E"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1FA32A"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Pooled IPD analysis of ORION 9,10,11 (Wright 2021)</w:t>
            </w:r>
          </w:p>
        </w:tc>
        <w:tc>
          <w:tcPr>
            <w:tcW w:w="1250" w:type="pct"/>
            <w:tcBorders>
              <w:top w:val="single" w:sz="4" w:space="0" w:color="auto"/>
              <w:left w:val="single" w:sz="4" w:space="0" w:color="auto"/>
              <w:bottom w:val="single" w:sz="4" w:space="0" w:color="auto"/>
              <w:right w:val="single" w:sz="4" w:space="0" w:color="auto"/>
            </w:tcBorders>
            <w:vAlign w:val="center"/>
          </w:tcPr>
          <w:p w14:paraId="3BC35D5F"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-50.7 (-52.9, -48.4)</w:t>
            </w:r>
          </w:p>
        </w:tc>
      </w:tr>
      <w:tr w:rsidR="00650285" w:rsidRPr="00DB3FE7" w14:paraId="6D9DE388" w14:textId="77777777" w:rsidTr="00035F43">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8A59A6" w14:textId="4985336F" w:rsidR="00650285" w:rsidRPr="00DB3FE7" w:rsidRDefault="00650285" w:rsidP="00035F43">
            <w:pPr>
              <w:keepNext/>
              <w:widowControl w:val="0"/>
              <w:jc w:val="left"/>
              <w:rPr>
                <w:rFonts w:ascii="Arial Narrow" w:hAnsi="Arial Narrow"/>
                <w:b/>
                <w:snapToGrid w:val="0"/>
                <w:sz w:val="20"/>
                <w:szCs w:val="20"/>
              </w:rPr>
            </w:pPr>
            <w:r w:rsidRPr="00DB3FE7">
              <w:rPr>
                <w:rFonts w:ascii="Arial Narrow" w:hAnsi="Arial Narrow"/>
                <w:b/>
                <w:snapToGrid w:val="0"/>
                <w:sz w:val="20"/>
                <w:szCs w:val="20"/>
              </w:rPr>
              <w:t>Mean percentage change from baseline in LDL</w:t>
            </w:r>
            <w:r w:rsidR="0035723A" w:rsidRPr="00DB3FE7">
              <w:rPr>
                <w:rFonts w:ascii="Arial Narrow" w:hAnsi="Arial Narrow"/>
                <w:b/>
                <w:snapToGrid w:val="0"/>
                <w:sz w:val="20"/>
                <w:szCs w:val="20"/>
              </w:rPr>
              <w:t>-C</w:t>
            </w:r>
            <w:r w:rsidRPr="00DB3FE7">
              <w:rPr>
                <w:rFonts w:ascii="Arial Narrow" w:hAnsi="Arial Narrow"/>
                <w:b/>
                <w:snapToGrid w:val="0"/>
                <w:sz w:val="20"/>
                <w:szCs w:val="20"/>
              </w:rPr>
              <w:t xml:space="preserve"> at Day 510 (observed data)</w:t>
            </w:r>
          </w:p>
        </w:tc>
      </w:tr>
      <w:tr w:rsidR="00650285" w:rsidRPr="00DB3FE7" w14:paraId="03790AB7"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D2EDB61" w14:textId="77777777" w:rsidR="00650285" w:rsidRPr="00DB3FE7" w:rsidRDefault="00650285" w:rsidP="00035F43">
            <w:pPr>
              <w:keepNext/>
              <w:widowControl w:val="0"/>
              <w:jc w:val="left"/>
              <w:rPr>
                <w:rFonts w:ascii="Arial Narrow" w:hAnsi="Arial Narrow"/>
                <w:snapToGrid w:val="0"/>
                <w:sz w:val="20"/>
                <w:szCs w:val="20"/>
              </w:rPr>
            </w:pPr>
            <w:r w:rsidRPr="00DB3FE7">
              <w:rPr>
                <w:rFonts w:ascii="Arial Narrow" w:hAnsi="Arial Narrow"/>
                <w:snapToGrid w:val="0"/>
                <w:sz w:val="20"/>
                <w:szCs w:val="20"/>
              </w:rPr>
              <w:t>ORION 9, N = 482</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9A3058E"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-41.15 (-44.52, -37.77)</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E191950"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8.37 (3.96, 12.77)</w:t>
            </w:r>
          </w:p>
        </w:tc>
        <w:tc>
          <w:tcPr>
            <w:tcW w:w="1250" w:type="pct"/>
            <w:tcBorders>
              <w:top w:val="single" w:sz="4" w:space="0" w:color="auto"/>
              <w:left w:val="single" w:sz="4" w:space="0" w:color="auto"/>
              <w:bottom w:val="single" w:sz="4" w:space="0" w:color="auto"/>
              <w:right w:val="single" w:sz="4" w:space="0" w:color="auto"/>
            </w:tcBorders>
            <w:vAlign w:val="center"/>
          </w:tcPr>
          <w:p w14:paraId="13ECEE27"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-49.52 (-55.04, -43.99)</w:t>
            </w:r>
          </w:p>
        </w:tc>
      </w:tr>
      <w:tr w:rsidR="00650285" w:rsidRPr="00DB3FE7" w14:paraId="2D16264F"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559CB8F7" w14:textId="77777777" w:rsidR="00650285" w:rsidRPr="00DB3FE7" w:rsidRDefault="00650285" w:rsidP="00035F43">
            <w:pPr>
              <w:keepNext/>
              <w:widowControl w:val="0"/>
              <w:jc w:val="left"/>
              <w:rPr>
                <w:rFonts w:ascii="Arial Narrow" w:hAnsi="Arial Narrow"/>
                <w:snapToGrid w:val="0"/>
                <w:sz w:val="20"/>
                <w:szCs w:val="20"/>
              </w:rPr>
            </w:pPr>
            <w:r w:rsidRPr="00DB3FE7">
              <w:rPr>
                <w:rFonts w:ascii="Arial Narrow" w:hAnsi="Arial Narrow"/>
                <w:snapToGrid w:val="0"/>
                <w:sz w:val="20"/>
                <w:szCs w:val="20"/>
              </w:rPr>
              <w:t>ORION 10, N = 1,561</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870B531"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-56.34 (-58.35, -54.34)</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6E4145C"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1.30 (-1.24, 3.83)</w:t>
            </w:r>
          </w:p>
        </w:tc>
        <w:tc>
          <w:tcPr>
            <w:tcW w:w="1250" w:type="pct"/>
            <w:tcBorders>
              <w:top w:val="single" w:sz="4" w:space="0" w:color="auto"/>
              <w:left w:val="single" w:sz="4" w:space="0" w:color="auto"/>
              <w:bottom w:val="single" w:sz="4" w:space="0" w:color="auto"/>
              <w:right w:val="single" w:sz="4" w:space="0" w:color="auto"/>
            </w:tcBorders>
            <w:vAlign w:val="center"/>
          </w:tcPr>
          <w:p w14:paraId="46EDD521"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-57.64 (-60.86, -54.43)</w:t>
            </w:r>
          </w:p>
        </w:tc>
      </w:tr>
      <w:tr w:rsidR="00650285" w:rsidRPr="00DB3FE7" w14:paraId="1526686A"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5C87DF0" w14:textId="77777777" w:rsidR="00650285" w:rsidRPr="00DB3FE7" w:rsidRDefault="00650285" w:rsidP="00035F43">
            <w:pPr>
              <w:keepNext/>
              <w:widowControl w:val="0"/>
              <w:jc w:val="left"/>
              <w:rPr>
                <w:rFonts w:ascii="Arial Narrow" w:hAnsi="Arial Narrow"/>
                <w:snapToGrid w:val="0"/>
                <w:sz w:val="20"/>
                <w:szCs w:val="20"/>
              </w:rPr>
            </w:pPr>
            <w:r w:rsidRPr="00DB3FE7">
              <w:rPr>
                <w:rFonts w:ascii="Arial Narrow" w:hAnsi="Arial Narrow"/>
                <w:snapToGrid w:val="0"/>
                <w:sz w:val="20"/>
                <w:szCs w:val="20"/>
              </w:rPr>
              <w:t>ORION 11, N = 1,617</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79446D7"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-49.30 (-51.22, -47.48)</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4E6E7A19"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4.20 (1.62, 6.69)</w:t>
            </w:r>
          </w:p>
        </w:tc>
        <w:tc>
          <w:tcPr>
            <w:tcW w:w="1250" w:type="pct"/>
            <w:tcBorders>
              <w:top w:val="single" w:sz="4" w:space="0" w:color="auto"/>
              <w:left w:val="single" w:sz="4" w:space="0" w:color="auto"/>
              <w:bottom w:val="single" w:sz="4" w:space="0" w:color="auto"/>
              <w:right w:val="single" w:sz="4" w:space="0" w:color="auto"/>
            </w:tcBorders>
            <w:vAlign w:val="center"/>
          </w:tcPr>
          <w:p w14:paraId="7F4F02AB"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-53.50 (-56.66, -50.35)</w:t>
            </w:r>
          </w:p>
        </w:tc>
      </w:tr>
      <w:tr w:rsidR="00650285" w:rsidRPr="00DB3FE7" w14:paraId="67382761"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805B95"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10,11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69%)</w:t>
            </w:r>
          </w:p>
        </w:tc>
        <w:tc>
          <w:tcPr>
            <w:tcW w:w="1250" w:type="pct"/>
            <w:tcBorders>
              <w:top w:val="single" w:sz="4" w:space="0" w:color="auto"/>
              <w:left w:val="single" w:sz="4" w:space="0" w:color="auto"/>
              <w:bottom w:val="single" w:sz="4" w:space="0" w:color="auto"/>
              <w:right w:val="single" w:sz="4" w:space="0" w:color="auto"/>
            </w:tcBorders>
            <w:vAlign w:val="center"/>
          </w:tcPr>
          <w:p w14:paraId="4046625C"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-55.55 (-59.61, -51.50)</w:t>
            </w:r>
          </w:p>
        </w:tc>
      </w:tr>
      <w:tr w:rsidR="00650285" w:rsidRPr="00DB3FE7" w14:paraId="29504AC7"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4BAAC6"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84%)</w:t>
            </w:r>
          </w:p>
        </w:tc>
        <w:tc>
          <w:tcPr>
            <w:tcW w:w="1250" w:type="pct"/>
            <w:tcBorders>
              <w:top w:val="single" w:sz="4" w:space="0" w:color="auto"/>
              <w:left w:val="single" w:sz="4" w:space="0" w:color="auto"/>
              <w:bottom w:val="single" w:sz="4" w:space="0" w:color="auto"/>
              <w:right w:val="single" w:sz="4" w:space="0" w:color="auto"/>
            </w:tcBorders>
            <w:vAlign w:val="center"/>
          </w:tcPr>
          <w:p w14:paraId="21E35568"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-53.91 (-61.84, -45.97)</w:t>
            </w:r>
          </w:p>
        </w:tc>
      </w:tr>
      <w:tr w:rsidR="00650285" w:rsidRPr="00DB3FE7" w14:paraId="498796E4"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517F86"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33%)</w:t>
            </w:r>
          </w:p>
        </w:tc>
        <w:tc>
          <w:tcPr>
            <w:tcW w:w="1250" w:type="pct"/>
            <w:tcBorders>
              <w:top w:val="single" w:sz="4" w:space="0" w:color="auto"/>
              <w:left w:val="single" w:sz="4" w:space="0" w:color="auto"/>
              <w:bottom w:val="single" w:sz="4" w:space="0" w:color="auto"/>
              <w:right w:val="single" w:sz="4" w:space="0" w:color="auto"/>
            </w:tcBorders>
            <w:vAlign w:val="center"/>
          </w:tcPr>
          <w:p w14:paraId="3995F93E"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-52.19 (-55.86, -48.53)</w:t>
            </w:r>
          </w:p>
        </w:tc>
      </w:tr>
      <w:tr w:rsidR="00650285" w:rsidRPr="00DB3FE7" w14:paraId="0C748BBB"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B47AB9"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9,10,11 (I² = 72%)</w:t>
            </w:r>
          </w:p>
        </w:tc>
        <w:tc>
          <w:tcPr>
            <w:tcW w:w="1250" w:type="pct"/>
            <w:tcBorders>
              <w:top w:val="single" w:sz="4" w:space="0" w:color="auto"/>
              <w:left w:val="single" w:sz="4" w:space="0" w:color="auto"/>
              <w:bottom w:val="single" w:sz="4" w:space="0" w:color="auto"/>
              <w:right w:val="single" w:sz="4" w:space="0" w:color="auto"/>
            </w:tcBorders>
            <w:vAlign w:val="center"/>
          </w:tcPr>
          <w:p w14:paraId="33D4F981"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-54.01 (-58.16, -49.85)</w:t>
            </w:r>
          </w:p>
        </w:tc>
      </w:tr>
      <w:tr w:rsidR="00650285" w:rsidRPr="00DB3FE7" w14:paraId="098C9C32" w14:textId="77777777" w:rsidTr="00035F43">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212B72" w14:textId="1DB9C2D5" w:rsidR="00650285" w:rsidRPr="00DB3FE7" w:rsidRDefault="00650285" w:rsidP="00035F43">
            <w:pPr>
              <w:keepNext/>
              <w:widowControl w:val="0"/>
              <w:jc w:val="left"/>
              <w:rPr>
                <w:rFonts w:ascii="Arial Narrow" w:hAnsi="Arial Narrow"/>
                <w:b/>
                <w:snapToGrid w:val="0"/>
                <w:sz w:val="20"/>
                <w:szCs w:val="20"/>
              </w:rPr>
            </w:pPr>
            <w:r w:rsidRPr="00DB3FE7">
              <w:rPr>
                <w:rFonts w:ascii="Arial Narrow" w:hAnsi="Arial Narrow"/>
                <w:b/>
                <w:snapToGrid w:val="0"/>
                <w:sz w:val="20"/>
                <w:szCs w:val="20"/>
              </w:rPr>
              <w:t>Mean percentage change from baseline in LDL</w:t>
            </w:r>
            <w:r w:rsidR="0035723A" w:rsidRPr="00DB3FE7">
              <w:rPr>
                <w:rFonts w:ascii="Arial Narrow" w:hAnsi="Arial Narrow"/>
                <w:b/>
                <w:snapToGrid w:val="0"/>
                <w:sz w:val="20"/>
                <w:szCs w:val="20"/>
              </w:rPr>
              <w:t>-C</w:t>
            </w:r>
            <w:r w:rsidRPr="00DB3FE7">
              <w:rPr>
                <w:rFonts w:ascii="Arial Narrow" w:hAnsi="Arial Narrow"/>
                <w:b/>
                <w:snapToGrid w:val="0"/>
                <w:sz w:val="20"/>
                <w:szCs w:val="20"/>
              </w:rPr>
              <w:t xml:space="preserve"> at Day 510 (mixed effects model for repeated measures)</w:t>
            </w:r>
          </w:p>
        </w:tc>
      </w:tr>
      <w:tr w:rsidR="00650285" w:rsidRPr="00DB3FE7" w14:paraId="3F0ED74C"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250CD4D" w14:textId="77777777" w:rsidR="00650285" w:rsidRPr="00DB3FE7" w:rsidRDefault="00650285" w:rsidP="00035F43">
            <w:pPr>
              <w:keepNext/>
              <w:widowControl w:val="0"/>
              <w:jc w:val="left"/>
              <w:rPr>
                <w:rFonts w:ascii="Arial Narrow" w:hAnsi="Arial Narrow"/>
                <w:snapToGrid w:val="0"/>
                <w:sz w:val="20"/>
                <w:szCs w:val="20"/>
              </w:rPr>
            </w:pPr>
            <w:r w:rsidRPr="00DB3FE7">
              <w:rPr>
                <w:rFonts w:ascii="Arial Narrow" w:hAnsi="Arial Narrow"/>
                <w:snapToGrid w:val="0"/>
                <w:sz w:val="20"/>
                <w:szCs w:val="20"/>
              </w:rPr>
              <w:t>ORION 9, N = 482</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0E10A72"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-40.76 (-44.63, -36.88)</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745A7A79"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8.06 (4.16, 11.96)</w:t>
            </w:r>
          </w:p>
        </w:tc>
        <w:tc>
          <w:tcPr>
            <w:tcW w:w="1250" w:type="pct"/>
            <w:tcBorders>
              <w:top w:val="single" w:sz="4" w:space="0" w:color="auto"/>
              <w:left w:val="single" w:sz="4" w:space="0" w:color="auto"/>
              <w:bottom w:val="single" w:sz="4" w:space="0" w:color="auto"/>
              <w:right w:val="single" w:sz="4" w:space="0" w:color="auto"/>
            </w:tcBorders>
            <w:vAlign w:val="center"/>
          </w:tcPr>
          <w:p w14:paraId="4E19639A"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-48.82 (-54.32, -43.32)</w:t>
            </w:r>
          </w:p>
        </w:tc>
      </w:tr>
      <w:tr w:rsidR="00650285" w:rsidRPr="00DB3FE7" w14:paraId="4FE053ED"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37665BF9" w14:textId="77777777" w:rsidR="00650285" w:rsidRPr="00DB3FE7" w:rsidRDefault="00650285" w:rsidP="00035F43">
            <w:pPr>
              <w:keepNext/>
              <w:widowControl w:val="0"/>
              <w:jc w:val="left"/>
              <w:rPr>
                <w:rFonts w:ascii="Arial Narrow" w:hAnsi="Arial Narrow"/>
                <w:snapToGrid w:val="0"/>
                <w:sz w:val="20"/>
                <w:szCs w:val="20"/>
              </w:rPr>
            </w:pPr>
            <w:r w:rsidRPr="00DB3FE7">
              <w:rPr>
                <w:rFonts w:ascii="Arial Narrow" w:hAnsi="Arial Narrow"/>
                <w:snapToGrid w:val="0"/>
                <w:sz w:val="20"/>
                <w:szCs w:val="20"/>
              </w:rPr>
              <w:t>ORION 10, N = 1,561</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CE31F5E"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-56.17 (-58.36, -53.98)</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0375707"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1.07 (-1.15, 3.29)</w:t>
            </w:r>
          </w:p>
        </w:tc>
        <w:tc>
          <w:tcPr>
            <w:tcW w:w="1250" w:type="pct"/>
            <w:tcBorders>
              <w:top w:val="single" w:sz="4" w:space="0" w:color="auto"/>
              <w:left w:val="single" w:sz="4" w:space="0" w:color="auto"/>
              <w:bottom w:val="single" w:sz="4" w:space="0" w:color="auto"/>
              <w:right w:val="single" w:sz="4" w:space="0" w:color="auto"/>
            </w:tcBorders>
            <w:vAlign w:val="center"/>
          </w:tcPr>
          <w:p w14:paraId="46128760"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-57.24 (-60.36, -54.13)</w:t>
            </w:r>
          </w:p>
        </w:tc>
      </w:tr>
      <w:tr w:rsidR="00650285" w:rsidRPr="00DB3FE7" w14:paraId="532A370B"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C009412" w14:textId="77777777" w:rsidR="00650285" w:rsidRPr="00DB3FE7" w:rsidRDefault="00650285" w:rsidP="00035F43">
            <w:pPr>
              <w:keepNext/>
              <w:widowControl w:val="0"/>
              <w:jc w:val="left"/>
              <w:rPr>
                <w:rFonts w:ascii="Arial Narrow" w:hAnsi="Arial Narrow"/>
                <w:snapToGrid w:val="0"/>
                <w:sz w:val="20"/>
                <w:szCs w:val="20"/>
              </w:rPr>
            </w:pPr>
            <w:r w:rsidRPr="00DB3FE7">
              <w:rPr>
                <w:rFonts w:ascii="Arial Narrow" w:hAnsi="Arial Narrow"/>
                <w:snapToGrid w:val="0"/>
                <w:sz w:val="20"/>
                <w:szCs w:val="20"/>
              </w:rPr>
              <w:t>ORION 11, N = 1,617</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D3D62BC"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-48.81 (-50.98, -46.64)</w:t>
            </w:r>
          </w:p>
        </w:tc>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6701AB39"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3.87 (1.71, 6.03)</w:t>
            </w:r>
          </w:p>
        </w:tc>
        <w:tc>
          <w:tcPr>
            <w:tcW w:w="1250" w:type="pct"/>
            <w:tcBorders>
              <w:top w:val="single" w:sz="4" w:space="0" w:color="auto"/>
              <w:left w:val="single" w:sz="4" w:space="0" w:color="auto"/>
              <w:bottom w:val="single" w:sz="4" w:space="0" w:color="auto"/>
              <w:right w:val="single" w:sz="4" w:space="0" w:color="auto"/>
            </w:tcBorders>
            <w:vAlign w:val="center"/>
          </w:tcPr>
          <w:p w14:paraId="46129D52"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-52.68 (-55.74, -49.62)</w:t>
            </w:r>
          </w:p>
        </w:tc>
      </w:tr>
      <w:tr w:rsidR="00650285" w:rsidRPr="00DB3FE7" w14:paraId="08006EEF"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8E7C30"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10,11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76%)</w:t>
            </w:r>
          </w:p>
        </w:tc>
        <w:tc>
          <w:tcPr>
            <w:tcW w:w="1250" w:type="pct"/>
            <w:tcBorders>
              <w:top w:val="single" w:sz="4" w:space="0" w:color="auto"/>
              <w:left w:val="single" w:sz="4" w:space="0" w:color="auto"/>
              <w:bottom w:val="single" w:sz="4" w:space="0" w:color="auto"/>
              <w:right w:val="single" w:sz="4" w:space="0" w:color="auto"/>
            </w:tcBorders>
            <w:vAlign w:val="center"/>
          </w:tcPr>
          <w:p w14:paraId="163EF317"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-54.95 (-59.42, -50.48)</w:t>
            </w:r>
          </w:p>
        </w:tc>
      </w:tr>
      <w:tr w:rsidR="00650285" w:rsidRPr="00DB3FE7" w14:paraId="5F1D8970"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C756F"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85%)</w:t>
            </w:r>
          </w:p>
        </w:tc>
        <w:tc>
          <w:tcPr>
            <w:tcW w:w="1250" w:type="pct"/>
            <w:tcBorders>
              <w:top w:val="single" w:sz="4" w:space="0" w:color="auto"/>
              <w:left w:val="single" w:sz="4" w:space="0" w:color="auto"/>
              <w:bottom w:val="single" w:sz="4" w:space="0" w:color="auto"/>
              <w:right w:val="single" w:sz="4" w:space="0" w:color="auto"/>
            </w:tcBorders>
            <w:vAlign w:val="center"/>
          </w:tcPr>
          <w:p w14:paraId="5A21D60D"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-53.35 (-61.58, -45.12)</w:t>
            </w:r>
          </w:p>
        </w:tc>
      </w:tr>
      <w:tr w:rsidR="00650285" w:rsidRPr="00DB3FE7" w14:paraId="0938BD60"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E69EE"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31%)</w:t>
            </w:r>
          </w:p>
        </w:tc>
        <w:tc>
          <w:tcPr>
            <w:tcW w:w="1250" w:type="pct"/>
            <w:tcBorders>
              <w:top w:val="single" w:sz="4" w:space="0" w:color="auto"/>
              <w:left w:val="single" w:sz="4" w:space="0" w:color="auto"/>
              <w:bottom w:val="single" w:sz="4" w:space="0" w:color="auto"/>
              <w:right w:val="single" w:sz="4" w:space="0" w:color="auto"/>
            </w:tcBorders>
            <w:vAlign w:val="center"/>
          </w:tcPr>
          <w:p w14:paraId="0EA27394"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-51.45 (-54.98, -47.93)</w:t>
            </w:r>
          </w:p>
        </w:tc>
      </w:tr>
      <w:tr w:rsidR="00650285" w:rsidRPr="00DB3FE7" w14:paraId="7CE34DFD"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C5BFB9"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9,10,11 (I² = 76%)</w:t>
            </w:r>
          </w:p>
        </w:tc>
        <w:tc>
          <w:tcPr>
            <w:tcW w:w="1250" w:type="pct"/>
            <w:tcBorders>
              <w:top w:val="single" w:sz="4" w:space="0" w:color="auto"/>
              <w:left w:val="single" w:sz="4" w:space="0" w:color="auto"/>
              <w:bottom w:val="single" w:sz="4" w:space="0" w:color="auto"/>
              <w:right w:val="single" w:sz="4" w:space="0" w:color="auto"/>
            </w:tcBorders>
            <w:vAlign w:val="center"/>
          </w:tcPr>
          <w:p w14:paraId="1D5910B9"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-53.34 (-57.71, -48.96)</w:t>
            </w:r>
          </w:p>
        </w:tc>
      </w:tr>
      <w:tr w:rsidR="00650285" w:rsidRPr="00DB3FE7" w14:paraId="5B26F218" w14:textId="77777777" w:rsidTr="00035F43">
        <w:trPr>
          <w:cantSplit/>
        </w:trPr>
        <w:tc>
          <w:tcPr>
            <w:tcW w:w="5000" w:type="pct"/>
            <w:gridSpan w:val="4"/>
            <w:tcBorders>
              <w:top w:val="single" w:sz="4" w:space="0" w:color="auto"/>
              <w:left w:val="single" w:sz="4" w:space="0" w:color="auto"/>
              <w:bottom w:val="single" w:sz="4" w:space="0" w:color="auto"/>
            </w:tcBorders>
            <w:shd w:val="clear" w:color="auto" w:fill="auto"/>
            <w:vAlign w:val="center"/>
          </w:tcPr>
          <w:p w14:paraId="3733D95F" w14:textId="75BDEF0C" w:rsidR="00650285" w:rsidRPr="00DB3FE7" w:rsidRDefault="00650285" w:rsidP="00035F43">
            <w:pPr>
              <w:keepNext/>
              <w:widowControl w:val="0"/>
              <w:rPr>
                <w:rFonts w:ascii="Arial Narrow" w:hAnsi="Arial Narrow"/>
                <w:snapToGrid w:val="0"/>
                <w:sz w:val="20"/>
                <w:szCs w:val="20"/>
              </w:rPr>
            </w:pPr>
            <w:r w:rsidRPr="00DB3FE7">
              <w:rPr>
                <w:rFonts w:ascii="Arial Narrow" w:hAnsi="Arial Narrow"/>
                <w:b/>
                <w:snapToGrid w:val="0"/>
                <w:sz w:val="20"/>
                <w:szCs w:val="20"/>
              </w:rPr>
              <w:t>Time-adjusted mean percentage change in LDL</w:t>
            </w:r>
            <w:r w:rsidR="0035723A" w:rsidRPr="00DB3FE7">
              <w:rPr>
                <w:rFonts w:ascii="Arial Narrow" w:hAnsi="Arial Narrow"/>
                <w:b/>
                <w:snapToGrid w:val="0"/>
                <w:sz w:val="20"/>
                <w:szCs w:val="20"/>
              </w:rPr>
              <w:t>-C</w:t>
            </w:r>
            <w:r w:rsidRPr="00DB3FE7">
              <w:rPr>
                <w:rFonts w:ascii="Arial Narrow" w:hAnsi="Arial Narrow"/>
                <w:b/>
                <w:snapToGrid w:val="0"/>
                <w:sz w:val="20"/>
                <w:szCs w:val="20"/>
              </w:rPr>
              <w:t xml:space="preserve"> from baseline after Day 90 and up to Day 540 (primary – pattern mixture model)</w:t>
            </w:r>
          </w:p>
        </w:tc>
      </w:tr>
      <w:tr w:rsidR="00650285" w:rsidRPr="00DB3FE7" w14:paraId="1C815C14"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002261BB" w14:textId="77777777" w:rsidR="00650285" w:rsidRPr="00DB3FE7" w:rsidRDefault="00650285" w:rsidP="00035F43">
            <w:pPr>
              <w:keepNext/>
              <w:widowControl w:val="0"/>
              <w:rPr>
                <w:rFonts w:ascii="Arial Narrow" w:hAnsi="Arial Narrow"/>
                <w:b/>
                <w:snapToGrid w:val="0"/>
                <w:sz w:val="20"/>
                <w:szCs w:val="20"/>
              </w:rPr>
            </w:pPr>
            <w:r w:rsidRPr="00DB3FE7">
              <w:rPr>
                <w:rFonts w:ascii="Arial Narrow" w:hAnsi="Arial Narrow"/>
                <w:snapToGrid w:val="0"/>
                <w:sz w:val="20"/>
                <w:szCs w:val="20"/>
              </w:rPr>
              <w:t>ORION 9, N = 482</w:t>
            </w:r>
          </w:p>
        </w:tc>
        <w:tc>
          <w:tcPr>
            <w:tcW w:w="1250" w:type="pct"/>
            <w:tcBorders>
              <w:top w:val="single" w:sz="4" w:space="0" w:color="auto"/>
              <w:left w:val="single" w:sz="4" w:space="0" w:color="auto"/>
              <w:bottom w:val="single" w:sz="4" w:space="0" w:color="auto"/>
              <w:right w:val="single" w:sz="4" w:space="0" w:color="auto"/>
            </w:tcBorders>
            <w:vAlign w:val="center"/>
          </w:tcPr>
          <w:p w14:paraId="420C02B3"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-38.08 (-41.03, -35.14)</w:t>
            </w:r>
          </w:p>
        </w:tc>
        <w:tc>
          <w:tcPr>
            <w:tcW w:w="1250" w:type="pct"/>
            <w:tcBorders>
              <w:top w:val="single" w:sz="4" w:space="0" w:color="auto"/>
              <w:left w:val="single" w:sz="4" w:space="0" w:color="auto"/>
              <w:bottom w:val="single" w:sz="4" w:space="0" w:color="auto"/>
              <w:right w:val="single" w:sz="4" w:space="0" w:color="auto"/>
            </w:tcBorders>
            <w:vAlign w:val="center"/>
          </w:tcPr>
          <w:p w14:paraId="61D0569B"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6.22 (3.26, 9.17)</w:t>
            </w:r>
          </w:p>
        </w:tc>
        <w:tc>
          <w:tcPr>
            <w:tcW w:w="1250" w:type="pct"/>
            <w:tcBorders>
              <w:top w:val="single" w:sz="4" w:space="0" w:color="auto"/>
              <w:left w:val="single" w:sz="4" w:space="0" w:color="auto"/>
              <w:bottom w:val="single" w:sz="4" w:space="0" w:color="auto"/>
              <w:right w:val="single" w:sz="4" w:space="0" w:color="auto"/>
            </w:tcBorders>
            <w:vAlign w:val="center"/>
          </w:tcPr>
          <w:p w14:paraId="10976EC6"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-44.30 (-48.48, -40.12)</w:t>
            </w:r>
          </w:p>
        </w:tc>
      </w:tr>
      <w:tr w:rsidR="00650285" w:rsidRPr="00DB3FE7" w14:paraId="5C0DA8F5"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29B61CF2" w14:textId="77777777" w:rsidR="00650285" w:rsidRPr="00DB3FE7" w:rsidRDefault="00650285" w:rsidP="00035F43">
            <w:pPr>
              <w:keepNext/>
              <w:widowControl w:val="0"/>
              <w:rPr>
                <w:rFonts w:ascii="Arial Narrow" w:hAnsi="Arial Narrow"/>
                <w:snapToGrid w:val="0"/>
                <w:sz w:val="20"/>
                <w:szCs w:val="20"/>
              </w:rPr>
            </w:pPr>
            <w:r w:rsidRPr="00DB3FE7">
              <w:rPr>
                <w:rFonts w:ascii="Arial Narrow" w:hAnsi="Arial Narrow"/>
                <w:snapToGrid w:val="0"/>
                <w:sz w:val="20"/>
                <w:szCs w:val="20"/>
              </w:rPr>
              <w:t>ORION 10, N = 1,561</w:t>
            </w:r>
          </w:p>
        </w:tc>
        <w:tc>
          <w:tcPr>
            <w:tcW w:w="1250" w:type="pct"/>
            <w:tcBorders>
              <w:top w:val="single" w:sz="4" w:space="0" w:color="auto"/>
              <w:left w:val="single" w:sz="4" w:space="0" w:color="auto"/>
              <w:bottom w:val="single" w:sz="4" w:space="0" w:color="auto"/>
              <w:right w:val="single" w:sz="4" w:space="0" w:color="auto"/>
            </w:tcBorders>
            <w:vAlign w:val="center"/>
          </w:tcPr>
          <w:p w14:paraId="4A8133CC"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-51.27 (-53.00, -49.54)</w:t>
            </w:r>
          </w:p>
        </w:tc>
        <w:tc>
          <w:tcPr>
            <w:tcW w:w="1250" w:type="pct"/>
            <w:tcBorders>
              <w:top w:val="single" w:sz="4" w:space="0" w:color="auto"/>
              <w:left w:val="single" w:sz="4" w:space="0" w:color="auto"/>
              <w:bottom w:val="single" w:sz="4" w:space="0" w:color="auto"/>
              <w:right w:val="single" w:sz="4" w:space="0" w:color="auto"/>
            </w:tcBorders>
            <w:vAlign w:val="center"/>
          </w:tcPr>
          <w:p w14:paraId="59AD08AD"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2.51 (0.77, 4.25)</w:t>
            </w:r>
          </w:p>
        </w:tc>
        <w:tc>
          <w:tcPr>
            <w:tcW w:w="1250" w:type="pct"/>
            <w:tcBorders>
              <w:top w:val="single" w:sz="4" w:space="0" w:color="auto"/>
              <w:left w:val="single" w:sz="4" w:space="0" w:color="auto"/>
              <w:bottom w:val="single" w:sz="4" w:space="0" w:color="auto"/>
              <w:right w:val="single" w:sz="4" w:space="0" w:color="auto"/>
            </w:tcBorders>
            <w:vAlign w:val="center"/>
          </w:tcPr>
          <w:p w14:paraId="5E32C071"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-53.78 (-56.23, -51.33)</w:t>
            </w:r>
          </w:p>
        </w:tc>
      </w:tr>
      <w:tr w:rsidR="00650285" w:rsidRPr="00DB3FE7" w14:paraId="005AFC0B" w14:textId="77777777" w:rsidTr="00035F43">
        <w:trPr>
          <w:cantSplit/>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tcPr>
          <w:p w14:paraId="1317AD27" w14:textId="77777777" w:rsidR="00650285" w:rsidRPr="00DB3FE7" w:rsidRDefault="00650285" w:rsidP="00035F43">
            <w:pPr>
              <w:keepNext/>
              <w:widowControl w:val="0"/>
              <w:rPr>
                <w:rFonts w:ascii="Arial Narrow" w:hAnsi="Arial Narrow"/>
                <w:snapToGrid w:val="0"/>
                <w:sz w:val="20"/>
                <w:szCs w:val="20"/>
              </w:rPr>
            </w:pPr>
            <w:r w:rsidRPr="00DB3FE7">
              <w:rPr>
                <w:rFonts w:ascii="Arial Narrow" w:hAnsi="Arial Narrow"/>
                <w:snapToGrid w:val="0"/>
                <w:sz w:val="20"/>
                <w:szCs w:val="20"/>
              </w:rPr>
              <w:t>ORION 11, N = 1,617</w:t>
            </w:r>
          </w:p>
        </w:tc>
        <w:tc>
          <w:tcPr>
            <w:tcW w:w="1250" w:type="pct"/>
            <w:tcBorders>
              <w:top w:val="single" w:sz="4" w:space="0" w:color="auto"/>
              <w:left w:val="single" w:sz="4" w:space="0" w:color="auto"/>
              <w:bottom w:val="single" w:sz="4" w:space="0" w:color="auto"/>
              <w:right w:val="single" w:sz="4" w:space="0" w:color="auto"/>
            </w:tcBorders>
            <w:vAlign w:val="center"/>
          </w:tcPr>
          <w:p w14:paraId="0E5A6519"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-45.82 (-47.52, -44.13)</w:t>
            </w:r>
          </w:p>
        </w:tc>
        <w:tc>
          <w:tcPr>
            <w:tcW w:w="1250" w:type="pct"/>
            <w:tcBorders>
              <w:top w:val="single" w:sz="4" w:space="0" w:color="auto"/>
              <w:left w:val="single" w:sz="4" w:space="0" w:color="auto"/>
              <w:bottom w:val="single" w:sz="4" w:space="0" w:color="auto"/>
              <w:right w:val="single" w:sz="4" w:space="0" w:color="auto"/>
            </w:tcBorders>
            <w:vAlign w:val="center"/>
          </w:tcPr>
          <w:p w14:paraId="3CE51ED6" w14:textId="77777777" w:rsidR="00650285" w:rsidRPr="00DB3FE7" w:rsidRDefault="00650285" w:rsidP="00035F43">
            <w:pPr>
              <w:keepNext/>
              <w:widowControl w:val="0"/>
              <w:jc w:val="center"/>
              <w:rPr>
                <w:rFonts w:ascii="Arial Narrow" w:hAnsi="Arial Narrow"/>
                <w:snapToGrid w:val="0"/>
                <w:sz w:val="20"/>
                <w:szCs w:val="20"/>
              </w:rPr>
            </w:pPr>
            <w:r w:rsidRPr="00DB3FE7">
              <w:rPr>
                <w:rFonts w:ascii="Arial Narrow" w:hAnsi="Arial Narrow"/>
                <w:snapToGrid w:val="0"/>
                <w:sz w:val="20"/>
                <w:szCs w:val="20"/>
              </w:rPr>
              <w:t>3.35 (1.65, 5.05)</w:t>
            </w:r>
          </w:p>
        </w:tc>
        <w:tc>
          <w:tcPr>
            <w:tcW w:w="1250" w:type="pct"/>
            <w:tcBorders>
              <w:top w:val="single" w:sz="4" w:space="0" w:color="auto"/>
              <w:left w:val="single" w:sz="4" w:space="0" w:color="auto"/>
              <w:bottom w:val="single" w:sz="4" w:space="0" w:color="auto"/>
              <w:right w:val="single" w:sz="4" w:space="0" w:color="auto"/>
            </w:tcBorders>
            <w:vAlign w:val="center"/>
          </w:tcPr>
          <w:p w14:paraId="3CDCDEC5"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-49.17 (-51.57, -46.77)</w:t>
            </w:r>
          </w:p>
        </w:tc>
      </w:tr>
      <w:tr w:rsidR="00650285" w:rsidRPr="00DB3FE7" w14:paraId="2CA27BAC"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83E89F" w14:textId="77777777" w:rsidR="00650285" w:rsidRPr="00DB3FE7" w:rsidRDefault="00650285" w:rsidP="00035F43">
            <w:pPr>
              <w:keepNext/>
              <w:widowControl w:val="0"/>
              <w:jc w:val="right"/>
              <w:rPr>
                <w:rFonts w:ascii="Arial Narrow" w:hAnsi="Arial Narrow"/>
                <w:snapToGrid w:val="0"/>
                <w:sz w:val="20"/>
                <w:szCs w:val="20"/>
                <w:vertAlign w:val="superscript"/>
              </w:rPr>
            </w:pPr>
            <w:r w:rsidRPr="00DB3FE7">
              <w:rPr>
                <w:rFonts w:ascii="Arial Narrow" w:hAnsi="Arial Narrow"/>
                <w:snapToGrid w:val="0"/>
                <w:sz w:val="20"/>
                <w:szCs w:val="20"/>
              </w:rPr>
              <w:t>Meta-analysis of ORION 10,11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86%)</w:t>
            </w:r>
          </w:p>
        </w:tc>
        <w:tc>
          <w:tcPr>
            <w:tcW w:w="1250" w:type="pct"/>
            <w:tcBorders>
              <w:top w:val="single" w:sz="4" w:space="0" w:color="auto"/>
              <w:left w:val="single" w:sz="4" w:space="0" w:color="auto"/>
              <w:bottom w:val="single" w:sz="4" w:space="0" w:color="auto"/>
              <w:right w:val="single" w:sz="4" w:space="0" w:color="auto"/>
            </w:tcBorders>
            <w:vAlign w:val="center"/>
          </w:tcPr>
          <w:p w14:paraId="087FDF34"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-51.47 (-55.99, -46.95)</w:t>
            </w:r>
          </w:p>
        </w:tc>
      </w:tr>
      <w:tr w:rsidR="00650285" w:rsidRPr="00DB3FE7" w14:paraId="383D631A"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6F4EA5"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93%)</w:t>
            </w:r>
          </w:p>
        </w:tc>
        <w:tc>
          <w:tcPr>
            <w:tcW w:w="1250" w:type="pct"/>
            <w:tcBorders>
              <w:top w:val="single" w:sz="4" w:space="0" w:color="auto"/>
              <w:left w:val="single" w:sz="4" w:space="0" w:color="auto"/>
              <w:bottom w:val="single" w:sz="4" w:space="0" w:color="auto"/>
              <w:right w:val="single" w:sz="4" w:space="0" w:color="auto"/>
            </w:tcBorders>
            <w:vAlign w:val="center"/>
          </w:tcPr>
          <w:p w14:paraId="792915FC"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-49.20 (-58.48, -39.91)</w:t>
            </w:r>
          </w:p>
        </w:tc>
      </w:tr>
      <w:tr w:rsidR="00650285" w:rsidRPr="00DB3FE7" w14:paraId="160DB8C8"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0FAE58"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75%)</w:t>
            </w:r>
          </w:p>
        </w:tc>
        <w:tc>
          <w:tcPr>
            <w:tcW w:w="1250" w:type="pct"/>
            <w:tcBorders>
              <w:top w:val="single" w:sz="4" w:space="0" w:color="auto"/>
              <w:left w:val="single" w:sz="4" w:space="0" w:color="auto"/>
              <w:bottom w:val="single" w:sz="4" w:space="0" w:color="auto"/>
              <w:right w:val="single" w:sz="4" w:space="0" w:color="auto"/>
            </w:tcBorders>
            <w:vAlign w:val="center"/>
          </w:tcPr>
          <w:p w14:paraId="42A02DE6"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-47.05 (-51.78, -42.31)</w:t>
            </w:r>
          </w:p>
        </w:tc>
      </w:tr>
      <w:tr w:rsidR="00650285" w:rsidRPr="00DB3FE7" w14:paraId="180B9E82"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769D89"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Meta-analysis of ORION 9,10,11 (I</w:t>
            </w:r>
            <w:r w:rsidRPr="00DB3FE7">
              <w:rPr>
                <w:rFonts w:ascii="Arial Narrow" w:hAnsi="Arial Narrow"/>
                <w:snapToGrid w:val="0"/>
                <w:sz w:val="20"/>
                <w:szCs w:val="20"/>
                <w:vertAlign w:val="superscript"/>
              </w:rPr>
              <w:t>2</w:t>
            </w:r>
            <w:r w:rsidRPr="00DB3FE7">
              <w:rPr>
                <w:rFonts w:ascii="Arial Narrow" w:hAnsi="Arial Narrow"/>
                <w:snapToGrid w:val="0"/>
                <w:sz w:val="20"/>
                <w:szCs w:val="20"/>
              </w:rPr>
              <w:t xml:space="preserve"> = 88%)</w:t>
            </w:r>
          </w:p>
        </w:tc>
        <w:tc>
          <w:tcPr>
            <w:tcW w:w="1250" w:type="pct"/>
            <w:tcBorders>
              <w:top w:val="single" w:sz="4" w:space="0" w:color="auto"/>
              <w:left w:val="single" w:sz="4" w:space="0" w:color="auto"/>
              <w:bottom w:val="single" w:sz="4" w:space="0" w:color="auto"/>
              <w:right w:val="single" w:sz="4" w:space="0" w:color="auto"/>
            </w:tcBorders>
            <w:vAlign w:val="center"/>
          </w:tcPr>
          <w:p w14:paraId="0C86522F"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-49.33 (-54.12, -44.54)</w:t>
            </w:r>
          </w:p>
        </w:tc>
      </w:tr>
      <w:tr w:rsidR="00650285" w:rsidRPr="00DB3FE7" w14:paraId="3FA3D9C4" w14:textId="77777777" w:rsidTr="00035F43">
        <w:trPr>
          <w:cantSplit/>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C9501" w14:textId="77777777" w:rsidR="00650285" w:rsidRPr="00DB3FE7" w:rsidRDefault="00650285" w:rsidP="00035F43">
            <w:pPr>
              <w:keepNext/>
              <w:widowControl w:val="0"/>
              <w:jc w:val="right"/>
              <w:rPr>
                <w:rFonts w:ascii="Arial Narrow" w:hAnsi="Arial Narrow"/>
                <w:snapToGrid w:val="0"/>
                <w:sz w:val="20"/>
                <w:szCs w:val="20"/>
              </w:rPr>
            </w:pPr>
            <w:r w:rsidRPr="00DB3FE7">
              <w:rPr>
                <w:rFonts w:ascii="Arial Narrow" w:hAnsi="Arial Narrow"/>
                <w:snapToGrid w:val="0"/>
                <w:sz w:val="20"/>
                <w:szCs w:val="20"/>
              </w:rPr>
              <w:t>Pooled IPD analysis of ORION 9,10,11 (Wright 2021)</w:t>
            </w:r>
          </w:p>
        </w:tc>
        <w:tc>
          <w:tcPr>
            <w:tcW w:w="1250" w:type="pct"/>
            <w:tcBorders>
              <w:top w:val="single" w:sz="4" w:space="0" w:color="auto"/>
              <w:left w:val="single" w:sz="4" w:space="0" w:color="auto"/>
              <w:bottom w:val="single" w:sz="4" w:space="0" w:color="auto"/>
              <w:right w:val="single" w:sz="4" w:space="0" w:color="auto"/>
            </w:tcBorders>
            <w:vAlign w:val="center"/>
          </w:tcPr>
          <w:p w14:paraId="137D0E8C" w14:textId="77777777" w:rsidR="00650285" w:rsidRPr="00DB3FE7" w:rsidRDefault="00650285" w:rsidP="00035F43">
            <w:pPr>
              <w:keepNext/>
              <w:widowControl w:val="0"/>
              <w:jc w:val="center"/>
              <w:rPr>
                <w:rFonts w:ascii="Arial Narrow" w:hAnsi="Arial Narrow"/>
                <w:b/>
                <w:snapToGrid w:val="0"/>
                <w:sz w:val="20"/>
                <w:szCs w:val="20"/>
              </w:rPr>
            </w:pPr>
            <w:r w:rsidRPr="00DB3FE7">
              <w:rPr>
                <w:rFonts w:ascii="Arial Narrow" w:hAnsi="Arial Narrow"/>
                <w:b/>
                <w:snapToGrid w:val="0"/>
                <w:sz w:val="20"/>
                <w:szCs w:val="20"/>
              </w:rPr>
              <w:t>-50.5 (-52.1, -48.9)</w:t>
            </w:r>
          </w:p>
        </w:tc>
      </w:tr>
    </w:tbl>
    <w:p w14:paraId="0BE603EE" w14:textId="6D134B11" w:rsidR="00650285" w:rsidRPr="00DB3FE7" w:rsidRDefault="00650285" w:rsidP="00650285">
      <w:pPr>
        <w:pStyle w:val="COMTablefooter"/>
        <w:keepNext/>
      </w:pPr>
      <w:r w:rsidRPr="00DB3FE7">
        <w:t>Source: Figure 15; Figure 17 of the submission; Figure 2 of the Wright 2021 publication</w:t>
      </w:r>
    </w:p>
    <w:p w14:paraId="12317F21" w14:textId="62E84797" w:rsidR="00650285" w:rsidRPr="00DB3FE7" w:rsidRDefault="00650285" w:rsidP="00650285">
      <w:pPr>
        <w:pStyle w:val="COMTablefooter"/>
        <w:keepNext/>
        <w:rPr>
          <w:b/>
        </w:rPr>
      </w:pPr>
      <w:r w:rsidRPr="00DB3FE7">
        <w:t>Abbreviations: IPD, individual patient data; LDL</w:t>
      </w:r>
      <w:r w:rsidR="0035723A" w:rsidRPr="00DB3FE7">
        <w:t>-C</w:t>
      </w:r>
      <w:r w:rsidRPr="00DB3FE7">
        <w:t>, low density lipoprotein cholesterol</w:t>
      </w:r>
    </w:p>
    <w:p w14:paraId="7C55FF6E" w14:textId="50542C7E" w:rsidR="00650285" w:rsidRPr="00DB3FE7" w:rsidRDefault="00650285" w:rsidP="008D4598">
      <w:pPr>
        <w:pStyle w:val="COMTablefooter"/>
        <w:rPr>
          <w:bCs/>
        </w:rPr>
      </w:pPr>
      <w:r w:rsidRPr="00DB3FE7">
        <w:rPr>
          <w:bCs/>
        </w:rPr>
        <w:t>Note: Bold type indicates statistically significant difference</w:t>
      </w:r>
    </w:p>
    <w:p w14:paraId="42A5E3D3" w14:textId="4974E72D" w:rsidR="00650285" w:rsidRPr="00DB3FE7" w:rsidRDefault="00650285" w:rsidP="00980E94">
      <w:pPr>
        <w:pStyle w:val="COMexecsumnumberedpara"/>
      </w:pPr>
      <w:r w:rsidRPr="00DB3FE7">
        <w:t>The meta-analys</w:t>
      </w:r>
      <w:r w:rsidR="00A50230" w:rsidRPr="00DB3FE7">
        <w:t>e</w:t>
      </w:r>
      <w:r w:rsidRPr="00DB3FE7">
        <w:t>s of mean percentage change from baseline indicated that treatment with inclisiran was associated with an approximately 50% reduction in LDL</w:t>
      </w:r>
      <w:r w:rsidR="00331284" w:rsidRPr="00DB3FE7">
        <w:noBreakHyphen/>
      </w:r>
      <w:r w:rsidR="00CD0449" w:rsidRPr="00DB3FE7">
        <w:t xml:space="preserve">C </w:t>
      </w:r>
      <w:r w:rsidRPr="00DB3FE7">
        <w:t>compared to placebo. These results were consistent across all trials (ORION 9, 10, 11). The results of the primary analysis were relatively robust</w:t>
      </w:r>
      <w:r w:rsidR="00220C1D" w:rsidRPr="00DB3FE7">
        <w:t>, whereas</w:t>
      </w:r>
      <w:r w:rsidRPr="00DB3FE7">
        <w:t xml:space="preserve"> sensitivity analyses using different imputation methods introduced a substantial degree of heterogeneity between trials. Similar results were also estimated for the steady state dosing period (between 90 and 540 days) although there was a substantial degree of heterogeneity between trials.</w:t>
      </w:r>
    </w:p>
    <w:p w14:paraId="68B97345" w14:textId="29236F13" w:rsidR="00125BAD" w:rsidRPr="00DB3FE7" w:rsidRDefault="005A0DC2" w:rsidP="00125BAD">
      <w:pPr>
        <w:pStyle w:val="COMexecsumnumberedpara"/>
      </w:pPr>
      <w:r w:rsidRPr="00DB3FE7">
        <w:t xml:space="preserve">Additional </w:t>
      </w:r>
      <w:r w:rsidR="000726D1" w:rsidRPr="00DB3FE7">
        <w:t xml:space="preserve">post </w:t>
      </w:r>
      <w:r w:rsidRPr="00DB3FE7">
        <w:t>hoc subgroup analyses of the co-primary LDL</w:t>
      </w:r>
      <w:r w:rsidR="00CD0449" w:rsidRPr="00DB3FE7">
        <w:t>-C</w:t>
      </w:r>
      <w:r w:rsidRPr="00DB3FE7">
        <w:t xml:space="preserve"> outcomes indicated a highly statistically significant treatment interaction (p &lt; 0.00001) between subgroups defined by baseline LDL</w:t>
      </w:r>
      <w:r w:rsidR="00CD0449" w:rsidRPr="00DB3FE7">
        <w:t>-C</w:t>
      </w:r>
      <w:r w:rsidRPr="00DB3FE7">
        <w:t xml:space="preserve"> levels, with smaller reductions observed in patients with higher baseline levels. The differences in treatment effects between subgroups appeared to be largely driven by changes in the comparator arm. Expert advice provided in the inclisiran submission to NICE suggested that these differences could have been due to varying compliance to background lipid lowering medication (pp99</w:t>
      </w:r>
      <w:r w:rsidR="00D72BDD" w:rsidRPr="00DB3FE7">
        <w:noBreakHyphen/>
      </w:r>
      <w:r w:rsidRPr="00DB3FE7">
        <w:t>100, NICE committee papers for ID1647). Additionally, patients with higher LDL</w:t>
      </w:r>
      <w:r w:rsidR="00D72BDD" w:rsidRPr="00DB3FE7">
        <w:noBreakHyphen/>
      </w:r>
      <w:r w:rsidR="00CD0449" w:rsidRPr="00DB3FE7">
        <w:t>C</w:t>
      </w:r>
      <w:r w:rsidRPr="00DB3FE7">
        <w:t xml:space="preserve"> levels may have been more likely to initiate a new lipid lowering therapy over the course of the trial. The submission noted that similar patterns have also been observed with other </w:t>
      </w:r>
      <w:r w:rsidR="008F392E" w:rsidRPr="00DB3FE7">
        <w:t>PCSK9 inhibitor therapies</w:t>
      </w:r>
      <w:r w:rsidRPr="00DB3FE7">
        <w:t>.</w:t>
      </w:r>
      <w:r w:rsidR="00125BAD" w:rsidRPr="00DB3FE7">
        <w:t xml:space="preserve"> </w:t>
      </w:r>
    </w:p>
    <w:p w14:paraId="1DAAFF42" w14:textId="1A75FF5C" w:rsidR="00125BAD" w:rsidRPr="00DB3FE7" w:rsidRDefault="00261EBC" w:rsidP="00125BAD">
      <w:pPr>
        <w:pStyle w:val="COMexecsumnumberedpara"/>
      </w:pPr>
      <w:r w:rsidRPr="00DB3FE7">
        <w:t>During the evaluation, it was noted that the</w:t>
      </w:r>
      <w:r w:rsidR="00922726" w:rsidRPr="00DB3FE7">
        <w:t xml:space="preserve"> submission excluded a substantial number of potentially relevant trials from the indirect comparisons against ezetimibe, evolocumab and alirocumab. </w:t>
      </w:r>
      <w:r w:rsidR="00525985" w:rsidRPr="00DB3FE7">
        <w:t>Additionally</w:t>
      </w:r>
      <w:r w:rsidR="00922726" w:rsidRPr="00DB3FE7">
        <w:t>, the submission inconsistently pooled results from comparator trials (particularly LDL</w:t>
      </w:r>
      <w:r w:rsidR="00CD0449" w:rsidRPr="00DB3FE7">
        <w:t>-C</w:t>
      </w:r>
      <w:r w:rsidR="00922726" w:rsidRPr="00DB3FE7">
        <w:t xml:space="preserve"> outcomes from the large cardiovascular outcome studies) and excluded comparator treatment arms using moderate-intensity background statins </w:t>
      </w:r>
      <w:r w:rsidR="00525985" w:rsidRPr="00DB3FE7">
        <w:t xml:space="preserve">which </w:t>
      </w:r>
      <w:r w:rsidR="00922726" w:rsidRPr="00DB3FE7">
        <w:t>was poorly justified given that patients in the ORION trials were allowed to use moderate</w:t>
      </w:r>
      <w:r w:rsidR="00525985" w:rsidRPr="00DB3FE7">
        <w:t>-</w:t>
      </w:r>
      <w:r w:rsidR="00922726" w:rsidRPr="00DB3FE7">
        <w:t>intensity statins (if that was the maximally tolerated dose)</w:t>
      </w:r>
      <w:r w:rsidR="00525985" w:rsidRPr="00DB3FE7">
        <w:t>. To address these limitations, the results of the indirect analyses were considered alongside the results of published network meta-analyses that compared inclisiran, ezetimibe, evolocumab and alirocumab (Burnett</w:t>
      </w:r>
      <w:r w:rsidR="008D4598" w:rsidRPr="00DB3FE7">
        <w:t> </w:t>
      </w:r>
      <w:r w:rsidR="00525985" w:rsidRPr="00DB3FE7">
        <w:t>2022, Huang 2022, Toth 2022).</w:t>
      </w:r>
      <w:r w:rsidR="00125BAD" w:rsidRPr="00DB3FE7">
        <w:t xml:space="preserve"> The PSCR reiterated that the submission excluded studies found not be applicable to the proposed listing and/or not exchangeable with the included inclisiran studies.</w:t>
      </w:r>
      <w:r w:rsidR="005F62C0" w:rsidRPr="00DB3FE7">
        <w:t xml:space="preserve"> The PSCR noted that Burnett 2022, Huang 2022 and Toth</w:t>
      </w:r>
      <w:r w:rsidR="008D4598" w:rsidRPr="00DB3FE7">
        <w:t> </w:t>
      </w:r>
      <w:r w:rsidR="005F62C0" w:rsidRPr="00DB3FE7">
        <w:t>2022 were excluded from the submission due to inappropriate measurement of change in LDL-C and lack of applicability in terms of background statin therapies.</w:t>
      </w:r>
      <w:r w:rsidR="00AA7C2C" w:rsidRPr="00DB3FE7">
        <w:t xml:space="preserve"> The ESC considered that</w:t>
      </w:r>
      <w:r w:rsidR="00DF355A" w:rsidRPr="00DB3FE7">
        <w:t>,</w:t>
      </w:r>
      <w:r w:rsidR="00AA7C2C" w:rsidRPr="00DB3FE7">
        <w:t xml:space="preserve"> although the data provided in the submission was appropriate, it should have also been reflective of the broader pool of data available and of the meta-analyses.</w:t>
      </w:r>
    </w:p>
    <w:p w14:paraId="70BFF0A2" w14:textId="53ADF399" w:rsidR="005C47F3" w:rsidRPr="00DB3FE7" w:rsidRDefault="002D7C8A" w:rsidP="00457A64">
      <w:pPr>
        <w:pStyle w:val="COMexecsumnumberedpara"/>
      </w:pPr>
      <w:r w:rsidRPr="00DB3FE7">
        <w:t>It should be noted that the submission did not provide a comparison between inclisiran and low dose alirocumab</w:t>
      </w:r>
      <w:r w:rsidR="00C62A5D" w:rsidRPr="00DB3FE7">
        <w:t xml:space="preserve">. The PBAC has previously </w:t>
      </w:r>
      <w:r w:rsidR="006A2AD4" w:rsidRPr="00DB3FE7">
        <w:t xml:space="preserve">considered </w:t>
      </w:r>
      <w:r w:rsidR="00C62A5D" w:rsidRPr="00DB3FE7">
        <w:t xml:space="preserve">that </w:t>
      </w:r>
      <w:r w:rsidR="00D4265F" w:rsidRPr="00DB3FE7">
        <w:t>alirocumab was less efficacious at the lower strength</w:t>
      </w:r>
      <w:r w:rsidR="006A2AD4" w:rsidRPr="00DB3FE7">
        <w:t xml:space="preserve"> (75 mg fortnightly) and that non</w:t>
      </w:r>
      <w:r w:rsidR="00D72BDD" w:rsidRPr="00DB3FE7">
        <w:noBreakHyphen/>
      </w:r>
      <w:r w:rsidR="006A2AD4" w:rsidRPr="00DB3FE7">
        <w:t xml:space="preserve">inferiority </w:t>
      </w:r>
      <w:r w:rsidR="00DF355A" w:rsidRPr="00DB3FE7">
        <w:t xml:space="preserve">of this lower dose </w:t>
      </w:r>
      <w:r w:rsidR="006A2AD4" w:rsidRPr="00DB3FE7">
        <w:t xml:space="preserve">had not been established with the higher strength </w:t>
      </w:r>
      <w:r w:rsidR="00F52F23" w:rsidRPr="00DB3FE7">
        <w:t xml:space="preserve">of alirocumab </w:t>
      </w:r>
      <w:r w:rsidR="006A2AD4" w:rsidRPr="00DB3FE7">
        <w:t>(</w:t>
      </w:r>
      <w:r w:rsidR="008F392E" w:rsidRPr="00DB3FE7">
        <w:t>150</w:t>
      </w:r>
      <w:r w:rsidR="006A2AD4" w:rsidRPr="00DB3FE7">
        <w:t xml:space="preserve"> mg </w:t>
      </w:r>
      <w:r w:rsidR="008F392E" w:rsidRPr="00DB3FE7">
        <w:t>fortnightly</w:t>
      </w:r>
      <w:r w:rsidR="006A2AD4" w:rsidRPr="00DB3FE7">
        <w:t xml:space="preserve">) nor with evolocumab </w:t>
      </w:r>
      <w:r w:rsidR="00C62A5D" w:rsidRPr="00DB3FE7">
        <w:t>(para</w:t>
      </w:r>
      <w:r w:rsidR="00A7359B" w:rsidRPr="00DB3FE7">
        <w:t>graph</w:t>
      </w:r>
      <w:r w:rsidR="00C62A5D" w:rsidRPr="00DB3FE7">
        <w:t xml:space="preserve"> 6.8, alirocumab </w:t>
      </w:r>
      <w:r w:rsidR="00A7359B" w:rsidRPr="00DB3FE7">
        <w:t>PSD</w:t>
      </w:r>
      <w:r w:rsidR="00C62A5D" w:rsidRPr="00DB3FE7">
        <w:t>, March 2020 PBAC meeting).</w:t>
      </w:r>
    </w:p>
    <w:p w14:paraId="44836CD1" w14:textId="127E9BEE" w:rsidR="005F62C0" w:rsidRPr="00DB3FE7" w:rsidRDefault="00A4152B" w:rsidP="005F62C0">
      <w:pPr>
        <w:pStyle w:val="COMexecsumnumberedpara"/>
      </w:pPr>
      <w:bookmarkStart w:id="25" w:name="_Ref126922164"/>
      <w:r w:rsidRPr="00DB3FE7">
        <w:t>The submission did not provide any comparative data in statin-intolerant patients which is a significant limitation given the extensive body of evidence supporting the use of both evolocumab and alirocumab in this population.</w:t>
      </w:r>
      <w:r w:rsidR="005F62C0" w:rsidRPr="00DB3FE7">
        <w:t xml:space="preserve"> The PSCR stated that 5 to 10% of patients in the ORION trials did not receive a statin as a background therapy due to documented statin intolerance and that the complementary subgroup analyses demonstrated that background statin therapy was not a significant inclisiran treatment effect modifier. Therefore, the efficacy of inclisiran in these patients is not expected to differ to those receiving background statin therapy. </w:t>
      </w:r>
      <w:r w:rsidR="005C47F3" w:rsidRPr="00DB3FE7">
        <w:t xml:space="preserve">The PSCR also stated that the pooled efficacy and safety of inclisiran in patients with statin intolerance from ORION-10/11 has been published (Wright et al, 2020), which confirmed these results. </w:t>
      </w:r>
      <w:r w:rsidR="00765345" w:rsidRPr="00DB3FE7">
        <w:t>The ESC noted that this claim was inconsistent with the submission which noted that statin-intolerance was a potential treatment effect modifier, w</w:t>
      </w:r>
      <w:r w:rsidR="005C47F3" w:rsidRPr="00DB3FE7">
        <w:t>ith</w:t>
      </w:r>
      <w:r w:rsidR="00765345" w:rsidRPr="00DB3FE7">
        <w:t xml:space="preserve"> smaller LDL</w:t>
      </w:r>
      <w:r w:rsidR="00CD0449" w:rsidRPr="00DB3FE7">
        <w:t>-C</w:t>
      </w:r>
      <w:r w:rsidR="00765345" w:rsidRPr="00DB3FE7">
        <w:t xml:space="preserve"> reductions in statin-intolerant patients. The ESC </w:t>
      </w:r>
      <w:r w:rsidR="005C47F3" w:rsidRPr="00DB3FE7">
        <w:t xml:space="preserve">also </w:t>
      </w:r>
      <w:r w:rsidR="00765345" w:rsidRPr="00DB3FE7">
        <w:t>noted that the body of evidence supporting the use of PCSK9 inhibitor therapies in statin-intolerant populations was far more extensive (GAUSS-2, GAUSS-3, GAUSS-4, ODYSSEY-ALTERNATIVE) than the evidence provided for inclisiran.</w:t>
      </w:r>
      <w:bookmarkEnd w:id="25"/>
    </w:p>
    <w:p w14:paraId="0CBA1EBE" w14:textId="128E2EAE" w:rsidR="00922726" w:rsidRPr="00DB3FE7" w:rsidRDefault="00334451" w:rsidP="00980E94">
      <w:pPr>
        <w:pStyle w:val="COMexecsumnumberedpara"/>
      </w:pPr>
      <w:r w:rsidRPr="00D2286B">
        <w:fldChar w:fldCharType="begin" w:fldLock="1"/>
      </w:r>
      <w:r w:rsidRPr="00DB3FE7">
        <w:instrText xml:space="preserve"> REF _Ref124101598 \h </w:instrText>
      </w:r>
      <w:r w:rsidR="000726D1" w:rsidRPr="00DB3FE7">
        <w:instrText xml:space="preserve"> \* MERGEFORMAT </w:instrText>
      </w:r>
      <w:r w:rsidRPr="00D2286B">
        <w:fldChar w:fldCharType="separate"/>
      </w:r>
      <w:r w:rsidR="00424520" w:rsidRPr="00D2286B">
        <w:t xml:space="preserve">Table </w:t>
      </w:r>
      <w:r w:rsidR="00424520" w:rsidRPr="00D2286B">
        <w:rPr>
          <w:noProof/>
        </w:rPr>
        <w:t>5</w:t>
      </w:r>
      <w:r w:rsidRPr="00D2286B">
        <w:fldChar w:fldCharType="end"/>
      </w:r>
      <w:r w:rsidR="005C2EA0" w:rsidRPr="0042765C">
        <w:t xml:space="preserve"> summarises the studies included in the indirect analysis and the base case analysis for each of the published network meta-analyses.</w:t>
      </w:r>
    </w:p>
    <w:p w14:paraId="74369D47" w14:textId="7367E839" w:rsidR="002542B0" w:rsidRPr="00352E1C" w:rsidRDefault="00773BF1" w:rsidP="008D4598">
      <w:pPr>
        <w:pStyle w:val="COMtablefigcaption"/>
        <w:jc w:val="both"/>
        <w:rPr>
          <w:color w:val="3366FF"/>
        </w:rPr>
      </w:pPr>
      <w:bookmarkStart w:id="26" w:name="_Ref124101598"/>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5</w:t>
      </w:r>
      <w:r w:rsidR="00E1209D" w:rsidRPr="00D2286B">
        <w:rPr>
          <w:noProof/>
        </w:rPr>
        <w:fldChar w:fldCharType="end"/>
      </w:r>
      <w:bookmarkEnd w:id="26"/>
      <w:r w:rsidR="002D7C8A" w:rsidRPr="0042765C">
        <w:rPr>
          <w:snapToGrid w:val="0"/>
        </w:rPr>
        <w:t xml:space="preserve">: </w:t>
      </w:r>
      <w:r w:rsidR="002542B0" w:rsidRPr="00D2286B">
        <w:rPr>
          <w:snapToGrid w:val="0"/>
        </w:rPr>
        <w:t>Summary of placebo-controlled studies included in the submission and the base case analysis for each of the published network meta-analyses</w:t>
      </w:r>
    </w:p>
    <w:tbl>
      <w:tblPr>
        <w:tblW w:w="5000" w:type="pct"/>
        <w:tblLook w:val="04A0" w:firstRow="1" w:lastRow="0" w:firstColumn="1" w:lastColumn="0" w:noHBand="0" w:noVBand="1"/>
      </w:tblPr>
      <w:tblGrid>
        <w:gridCol w:w="1565"/>
        <w:gridCol w:w="2115"/>
        <w:gridCol w:w="1746"/>
        <w:gridCol w:w="1656"/>
        <w:gridCol w:w="1935"/>
      </w:tblGrid>
      <w:tr w:rsidR="002D7C8A" w:rsidRPr="00DB3FE7" w14:paraId="67FCEF6E" w14:textId="77777777" w:rsidTr="00035F43">
        <w:trPr>
          <w:trHeight w:val="161"/>
          <w:tblHeader/>
        </w:trPr>
        <w:tc>
          <w:tcPr>
            <w:tcW w:w="86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A6F2E7" w14:textId="77777777" w:rsidR="002D7C8A" w:rsidRPr="00DB3FE7" w:rsidRDefault="002D7C8A" w:rsidP="008D4598">
            <w:pPr>
              <w:pStyle w:val="PBACTableText"/>
              <w:keepNext/>
              <w:spacing w:before="0" w:after="0"/>
              <w:jc w:val="center"/>
              <w:rPr>
                <w:b/>
                <w:bCs/>
                <w:lang w:eastAsia="en-AU"/>
              </w:rPr>
            </w:pPr>
            <w:r w:rsidRPr="00DB3FE7">
              <w:rPr>
                <w:b/>
                <w:bCs/>
                <w:lang w:eastAsia="en-AU"/>
              </w:rPr>
              <w:t>Trials</w:t>
            </w:r>
          </w:p>
        </w:tc>
        <w:tc>
          <w:tcPr>
            <w:tcW w:w="1173" w:type="pct"/>
            <w:tcBorders>
              <w:top w:val="single" w:sz="4" w:space="0" w:color="auto"/>
              <w:left w:val="nil"/>
              <w:bottom w:val="single" w:sz="4" w:space="0" w:color="auto"/>
              <w:right w:val="nil"/>
            </w:tcBorders>
            <w:shd w:val="clear" w:color="auto" w:fill="auto"/>
            <w:vAlign w:val="center"/>
          </w:tcPr>
          <w:p w14:paraId="4FC17BFB" w14:textId="77777777" w:rsidR="002D7C8A" w:rsidRPr="00DB3FE7" w:rsidRDefault="002D7C8A" w:rsidP="008D4598">
            <w:pPr>
              <w:pStyle w:val="PBACTableText"/>
              <w:keepNext/>
              <w:spacing w:before="0" w:after="0"/>
              <w:jc w:val="center"/>
              <w:rPr>
                <w:b/>
                <w:bCs/>
                <w:lang w:eastAsia="en-AU"/>
              </w:rPr>
            </w:pPr>
            <w:r w:rsidRPr="00DB3FE7">
              <w:rPr>
                <w:b/>
                <w:bCs/>
                <w:lang w:eastAsia="en-AU"/>
              </w:rPr>
              <w:t>Submission</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14:paraId="4CBE33F5" w14:textId="77777777" w:rsidR="002D7C8A" w:rsidRPr="00DB3FE7" w:rsidRDefault="002D7C8A" w:rsidP="008D4598">
            <w:pPr>
              <w:pStyle w:val="PBACTableText"/>
              <w:keepNext/>
              <w:spacing w:before="0" w:after="0"/>
              <w:jc w:val="center"/>
              <w:rPr>
                <w:b/>
                <w:bCs/>
                <w:vertAlign w:val="superscript"/>
                <w:lang w:eastAsia="en-AU"/>
              </w:rPr>
            </w:pPr>
            <w:r w:rsidRPr="00DB3FE7">
              <w:rPr>
                <w:b/>
                <w:bCs/>
                <w:lang w:eastAsia="en-AU"/>
              </w:rPr>
              <w:t>Burnett</w:t>
            </w:r>
            <w:r w:rsidRPr="00DB3FE7">
              <w:rPr>
                <w:b/>
                <w:bCs/>
                <w:vertAlign w:val="superscript"/>
                <w:lang w:eastAsia="en-AU"/>
              </w:rPr>
              <w:t xml:space="preserve"> </w:t>
            </w:r>
            <w:r w:rsidRPr="00DB3FE7">
              <w:rPr>
                <w:b/>
                <w:bCs/>
                <w:lang w:eastAsia="en-AU"/>
              </w:rPr>
              <w:t>2022</w:t>
            </w:r>
          </w:p>
        </w:tc>
        <w:tc>
          <w:tcPr>
            <w:tcW w:w="918" w:type="pct"/>
            <w:tcBorders>
              <w:top w:val="single" w:sz="4" w:space="0" w:color="auto"/>
              <w:left w:val="single" w:sz="4" w:space="0" w:color="auto"/>
              <w:bottom w:val="single" w:sz="4" w:space="0" w:color="auto"/>
              <w:right w:val="single" w:sz="4" w:space="0" w:color="auto"/>
            </w:tcBorders>
            <w:vAlign w:val="center"/>
          </w:tcPr>
          <w:p w14:paraId="37DC2DCC" w14:textId="77777777" w:rsidR="002D7C8A" w:rsidRPr="00DB3FE7" w:rsidRDefault="002D7C8A" w:rsidP="008D4598">
            <w:pPr>
              <w:pStyle w:val="PBACTableText"/>
              <w:keepNext/>
              <w:spacing w:before="0" w:after="0"/>
              <w:jc w:val="center"/>
              <w:rPr>
                <w:b/>
                <w:bCs/>
                <w:lang w:eastAsia="en-AU"/>
              </w:rPr>
            </w:pPr>
            <w:r w:rsidRPr="00DB3FE7">
              <w:rPr>
                <w:b/>
                <w:bCs/>
                <w:lang w:eastAsia="en-AU"/>
              </w:rPr>
              <w:t>Huang 2022</w:t>
            </w:r>
          </w:p>
        </w:tc>
        <w:tc>
          <w:tcPr>
            <w:tcW w:w="1072" w:type="pct"/>
            <w:tcBorders>
              <w:top w:val="single" w:sz="4" w:space="0" w:color="auto"/>
              <w:left w:val="single" w:sz="4" w:space="0" w:color="auto"/>
              <w:bottom w:val="single" w:sz="4" w:space="0" w:color="auto"/>
              <w:right w:val="single" w:sz="4" w:space="0" w:color="auto"/>
            </w:tcBorders>
            <w:vAlign w:val="center"/>
          </w:tcPr>
          <w:p w14:paraId="14D5C540" w14:textId="77777777" w:rsidR="002D7C8A" w:rsidRPr="00DB3FE7" w:rsidRDefault="002D7C8A" w:rsidP="008D4598">
            <w:pPr>
              <w:pStyle w:val="PBACTableText"/>
              <w:keepNext/>
              <w:spacing w:before="0" w:after="0"/>
              <w:jc w:val="center"/>
              <w:rPr>
                <w:b/>
                <w:bCs/>
                <w:lang w:eastAsia="en-AU"/>
              </w:rPr>
            </w:pPr>
            <w:r w:rsidRPr="00DB3FE7">
              <w:rPr>
                <w:b/>
                <w:bCs/>
                <w:lang w:eastAsia="en-AU"/>
              </w:rPr>
              <w:t>Toth 2022</w:t>
            </w:r>
          </w:p>
        </w:tc>
      </w:tr>
      <w:tr w:rsidR="002D7C8A" w:rsidRPr="00DB3FE7" w14:paraId="05B22D29" w14:textId="77777777" w:rsidTr="00035F43">
        <w:trPr>
          <w:trHeight w:val="161"/>
        </w:trPr>
        <w:tc>
          <w:tcPr>
            <w:tcW w:w="5000" w:type="pct"/>
            <w:gridSpan w:val="5"/>
            <w:tcBorders>
              <w:top w:val="single" w:sz="4" w:space="0" w:color="auto"/>
              <w:left w:val="single" w:sz="4" w:space="0" w:color="auto"/>
              <w:bottom w:val="single" w:sz="4" w:space="0" w:color="000000"/>
              <w:right w:val="single" w:sz="4" w:space="0" w:color="auto"/>
            </w:tcBorders>
            <w:shd w:val="clear" w:color="auto" w:fill="auto"/>
            <w:vAlign w:val="center"/>
          </w:tcPr>
          <w:p w14:paraId="6D7A3E3A" w14:textId="77777777" w:rsidR="002D7C8A" w:rsidRPr="00DB3FE7" w:rsidRDefault="002D7C8A" w:rsidP="008D4598">
            <w:pPr>
              <w:pStyle w:val="PBACTableText"/>
              <w:keepNext/>
              <w:spacing w:before="0" w:after="0"/>
              <w:rPr>
                <w:b/>
                <w:bCs/>
                <w:lang w:eastAsia="en-AU"/>
              </w:rPr>
            </w:pPr>
            <w:r w:rsidRPr="00DB3FE7">
              <w:rPr>
                <w:b/>
                <w:bCs/>
                <w:lang w:eastAsia="en-AU"/>
              </w:rPr>
              <w:t>Inclisiran versus placebo trials</w:t>
            </w:r>
          </w:p>
        </w:tc>
      </w:tr>
      <w:tr w:rsidR="002D7C8A" w:rsidRPr="00DB3FE7" w14:paraId="1E8FF93B"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F7B3B90" w14:textId="77777777" w:rsidR="002D7C8A" w:rsidRPr="00DB3FE7" w:rsidRDefault="002D7C8A" w:rsidP="008D4598">
            <w:pPr>
              <w:pStyle w:val="PBACTableText"/>
              <w:keepNext/>
              <w:spacing w:before="0" w:after="0"/>
              <w:rPr>
                <w:lang w:eastAsia="en-AU"/>
              </w:rPr>
            </w:pPr>
            <w:r w:rsidRPr="00DB3FE7">
              <w:rPr>
                <w:lang w:eastAsia="en-AU"/>
              </w:rPr>
              <w:t>ORION 1</w:t>
            </w:r>
          </w:p>
        </w:tc>
        <w:tc>
          <w:tcPr>
            <w:tcW w:w="1173" w:type="pct"/>
            <w:tcBorders>
              <w:top w:val="single" w:sz="4" w:space="0" w:color="auto"/>
              <w:left w:val="nil"/>
              <w:bottom w:val="single" w:sz="4" w:space="0" w:color="auto"/>
              <w:right w:val="single" w:sz="4" w:space="0" w:color="auto"/>
            </w:tcBorders>
            <w:shd w:val="clear" w:color="auto" w:fill="auto"/>
            <w:vAlign w:val="center"/>
          </w:tcPr>
          <w:p w14:paraId="55A8C998"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474AB498"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17FF0609"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2D974071"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01A0463C"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4591F88" w14:textId="77777777" w:rsidR="002D7C8A" w:rsidRPr="00DB3FE7" w:rsidRDefault="002D7C8A" w:rsidP="008D4598">
            <w:pPr>
              <w:pStyle w:val="PBACTableText"/>
              <w:keepNext/>
              <w:spacing w:before="0" w:after="0"/>
              <w:rPr>
                <w:lang w:eastAsia="en-AU"/>
              </w:rPr>
            </w:pPr>
            <w:r w:rsidRPr="00DB3FE7">
              <w:rPr>
                <w:lang w:eastAsia="en-AU"/>
              </w:rPr>
              <w:t>ORION 9</w:t>
            </w:r>
          </w:p>
        </w:tc>
        <w:tc>
          <w:tcPr>
            <w:tcW w:w="1173" w:type="pct"/>
            <w:tcBorders>
              <w:top w:val="single" w:sz="4" w:space="0" w:color="auto"/>
              <w:left w:val="nil"/>
              <w:bottom w:val="single" w:sz="4" w:space="0" w:color="auto"/>
              <w:right w:val="single" w:sz="4" w:space="0" w:color="auto"/>
            </w:tcBorders>
            <w:shd w:val="clear" w:color="auto" w:fill="auto"/>
            <w:vAlign w:val="center"/>
          </w:tcPr>
          <w:p w14:paraId="3A1B68BE"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488E0DAD"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0CAF78B9"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42B700A3"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40C5C008"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CB3172D" w14:textId="77777777" w:rsidR="002D7C8A" w:rsidRPr="00DB3FE7" w:rsidRDefault="002D7C8A" w:rsidP="008D4598">
            <w:pPr>
              <w:pStyle w:val="PBACTableText"/>
              <w:keepNext/>
              <w:spacing w:before="0" w:after="0"/>
              <w:rPr>
                <w:lang w:eastAsia="en-AU"/>
              </w:rPr>
            </w:pPr>
            <w:r w:rsidRPr="00DB3FE7">
              <w:rPr>
                <w:lang w:eastAsia="en-AU"/>
              </w:rPr>
              <w:t>ORION 10</w:t>
            </w:r>
          </w:p>
        </w:tc>
        <w:tc>
          <w:tcPr>
            <w:tcW w:w="1173" w:type="pct"/>
            <w:tcBorders>
              <w:top w:val="single" w:sz="4" w:space="0" w:color="auto"/>
              <w:left w:val="nil"/>
              <w:bottom w:val="single" w:sz="4" w:space="0" w:color="auto"/>
              <w:right w:val="single" w:sz="4" w:space="0" w:color="auto"/>
            </w:tcBorders>
            <w:shd w:val="clear" w:color="auto" w:fill="auto"/>
            <w:vAlign w:val="center"/>
          </w:tcPr>
          <w:p w14:paraId="7D8D2011"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2A14282F"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62565E3A"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2669B808"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41D1136B"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D64C46D" w14:textId="77777777" w:rsidR="002D7C8A" w:rsidRPr="00DB3FE7" w:rsidRDefault="002D7C8A" w:rsidP="008D4598">
            <w:pPr>
              <w:pStyle w:val="PBACTableText"/>
              <w:keepNext/>
              <w:spacing w:before="0" w:after="0"/>
              <w:rPr>
                <w:lang w:eastAsia="en-AU"/>
              </w:rPr>
            </w:pPr>
            <w:r w:rsidRPr="00DB3FE7">
              <w:rPr>
                <w:lang w:eastAsia="en-AU"/>
              </w:rPr>
              <w:t>ORION 11</w:t>
            </w:r>
          </w:p>
        </w:tc>
        <w:tc>
          <w:tcPr>
            <w:tcW w:w="1173" w:type="pct"/>
            <w:tcBorders>
              <w:top w:val="single" w:sz="4" w:space="0" w:color="auto"/>
              <w:left w:val="nil"/>
              <w:bottom w:val="single" w:sz="4" w:space="0" w:color="auto"/>
              <w:right w:val="single" w:sz="4" w:space="0" w:color="auto"/>
            </w:tcBorders>
            <w:shd w:val="clear" w:color="auto" w:fill="auto"/>
            <w:vAlign w:val="center"/>
          </w:tcPr>
          <w:p w14:paraId="1DD07B6B"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621B680C"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50738CB2"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7BE9578F"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717E3283" w14:textId="77777777" w:rsidTr="00035F43">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E2BD20" w14:textId="77777777" w:rsidR="002D7C8A" w:rsidRPr="00DB3FE7" w:rsidRDefault="002D7C8A" w:rsidP="008D4598">
            <w:pPr>
              <w:pStyle w:val="PBACTableText"/>
              <w:keepNext/>
              <w:spacing w:before="0" w:after="0"/>
              <w:rPr>
                <w:b/>
                <w:lang w:eastAsia="en-AU"/>
              </w:rPr>
            </w:pPr>
            <w:r w:rsidRPr="00DB3FE7">
              <w:rPr>
                <w:b/>
                <w:lang w:eastAsia="en-AU"/>
              </w:rPr>
              <w:t>Ezetimibe versus placebo trials</w:t>
            </w:r>
          </w:p>
        </w:tc>
      </w:tr>
      <w:tr w:rsidR="002D7C8A" w:rsidRPr="00DB3FE7" w14:paraId="2A213FA0"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164CD25" w14:textId="77777777" w:rsidR="002D7C8A" w:rsidRPr="00DB3FE7" w:rsidRDefault="002D7C8A" w:rsidP="008D4598">
            <w:pPr>
              <w:pStyle w:val="PBACTableText"/>
              <w:keepNext/>
              <w:spacing w:before="0" w:after="0"/>
              <w:rPr>
                <w:lang w:eastAsia="en-AU"/>
              </w:rPr>
            </w:pPr>
            <w:r w:rsidRPr="00DB3FE7">
              <w:rPr>
                <w:lang w:eastAsia="en-AU"/>
              </w:rPr>
              <w:t>ACCENTUATE</w:t>
            </w:r>
          </w:p>
        </w:tc>
        <w:tc>
          <w:tcPr>
            <w:tcW w:w="1173" w:type="pct"/>
            <w:tcBorders>
              <w:top w:val="single" w:sz="4" w:space="0" w:color="auto"/>
              <w:left w:val="nil"/>
              <w:bottom w:val="single" w:sz="4" w:space="0" w:color="auto"/>
              <w:right w:val="single" w:sz="4" w:space="0" w:color="auto"/>
            </w:tcBorders>
            <w:shd w:val="clear" w:color="auto" w:fill="auto"/>
            <w:vAlign w:val="center"/>
          </w:tcPr>
          <w:p w14:paraId="631EBA2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2CD8C02A"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1250DC1C"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4318D146" w14:textId="77777777" w:rsidR="002D7C8A" w:rsidRPr="00DB3FE7" w:rsidRDefault="002D7C8A" w:rsidP="008D4598">
            <w:pPr>
              <w:pStyle w:val="PBACTableText"/>
              <w:keepNext/>
              <w:spacing w:before="0" w:after="0"/>
              <w:jc w:val="center"/>
              <w:rPr>
                <w:lang w:eastAsia="en-AU"/>
              </w:rPr>
            </w:pPr>
            <w:r w:rsidRPr="00DB3FE7">
              <w:rPr>
                <w:lang w:eastAsia="en-AU"/>
              </w:rPr>
              <w:t>×</w:t>
            </w:r>
          </w:p>
        </w:tc>
      </w:tr>
      <w:tr w:rsidR="002D7C8A" w:rsidRPr="00DB3FE7" w14:paraId="755D3968"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5892A4C1" w14:textId="77777777" w:rsidR="002D7C8A" w:rsidRPr="00DB3FE7" w:rsidRDefault="002D7C8A" w:rsidP="008D4598">
            <w:pPr>
              <w:pStyle w:val="PBACTableText"/>
              <w:keepNext/>
              <w:spacing w:before="0" w:after="0"/>
              <w:rPr>
                <w:lang w:eastAsia="en-AU"/>
              </w:rPr>
            </w:pPr>
            <w:r w:rsidRPr="00DB3FE7">
              <w:rPr>
                <w:lang w:eastAsia="en-AU"/>
              </w:rPr>
              <w:t>EASE</w:t>
            </w:r>
          </w:p>
        </w:tc>
        <w:tc>
          <w:tcPr>
            <w:tcW w:w="1173" w:type="pct"/>
            <w:tcBorders>
              <w:top w:val="single" w:sz="4" w:space="0" w:color="auto"/>
              <w:left w:val="nil"/>
              <w:bottom w:val="single" w:sz="4" w:space="0" w:color="auto"/>
              <w:right w:val="single" w:sz="4" w:space="0" w:color="auto"/>
            </w:tcBorders>
            <w:shd w:val="clear" w:color="auto" w:fill="auto"/>
            <w:vAlign w:val="center"/>
          </w:tcPr>
          <w:p w14:paraId="0CC772D5"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5A8D0C60"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7020A526"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2F6CA0B0" w14:textId="77777777" w:rsidR="002D7C8A" w:rsidRPr="00DB3FE7" w:rsidRDefault="002D7C8A" w:rsidP="008D4598">
            <w:pPr>
              <w:pStyle w:val="PBACTableText"/>
              <w:keepNext/>
              <w:spacing w:before="0" w:after="0"/>
              <w:jc w:val="center"/>
              <w:rPr>
                <w:lang w:eastAsia="en-AU"/>
              </w:rPr>
            </w:pPr>
            <w:r w:rsidRPr="00DB3FE7">
              <w:rPr>
                <w:lang w:eastAsia="en-AU"/>
              </w:rPr>
              <w:t>×</w:t>
            </w:r>
          </w:p>
        </w:tc>
      </w:tr>
      <w:tr w:rsidR="002D7C8A" w:rsidRPr="00DB3FE7" w14:paraId="0D82E8B2"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47030D6" w14:textId="77777777" w:rsidR="002D7C8A" w:rsidRPr="00DB3FE7" w:rsidRDefault="002D7C8A" w:rsidP="008D4598">
            <w:pPr>
              <w:pStyle w:val="PBACTableText"/>
              <w:keepNext/>
              <w:spacing w:before="0" w:after="0"/>
              <w:rPr>
                <w:lang w:eastAsia="en-AU"/>
              </w:rPr>
            </w:pPr>
            <w:r w:rsidRPr="00DB3FE7">
              <w:rPr>
                <w:lang w:eastAsia="en-AU"/>
              </w:rPr>
              <w:t>LAPLACE-2</w:t>
            </w:r>
          </w:p>
        </w:tc>
        <w:tc>
          <w:tcPr>
            <w:tcW w:w="1173" w:type="pct"/>
            <w:tcBorders>
              <w:top w:val="single" w:sz="4" w:space="0" w:color="auto"/>
              <w:left w:val="nil"/>
              <w:bottom w:val="single" w:sz="4" w:space="0" w:color="auto"/>
              <w:right w:val="single" w:sz="4" w:space="0" w:color="auto"/>
            </w:tcBorders>
            <w:shd w:val="clear" w:color="auto" w:fill="auto"/>
            <w:vAlign w:val="center"/>
          </w:tcPr>
          <w:p w14:paraId="2F0E4481"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5166DCA2"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722B0F89"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78FFEF0E"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532AD71C"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225AAD6" w14:textId="77777777" w:rsidR="002D7C8A" w:rsidRPr="00DB3FE7" w:rsidRDefault="002D7C8A" w:rsidP="008D4598">
            <w:pPr>
              <w:pStyle w:val="PBACTableText"/>
              <w:keepNext/>
              <w:spacing w:before="0" w:after="0"/>
              <w:rPr>
                <w:lang w:eastAsia="en-AU"/>
              </w:rPr>
            </w:pPr>
            <w:r w:rsidRPr="00DB3FE7">
              <w:rPr>
                <w:lang w:eastAsia="en-AU"/>
              </w:rPr>
              <w:t>ENHANCE</w:t>
            </w:r>
          </w:p>
        </w:tc>
        <w:tc>
          <w:tcPr>
            <w:tcW w:w="1173" w:type="pct"/>
            <w:tcBorders>
              <w:top w:val="single" w:sz="4" w:space="0" w:color="auto"/>
              <w:left w:val="nil"/>
              <w:bottom w:val="single" w:sz="4" w:space="0" w:color="auto"/>
              <w:right w:val="single" w:sz="4" w:space="0" w:color="auto"/>
            </w:tcBorders>
            <w:shd w:val="clear" w:color="auto" w:fill="auto"/>
            <w:vAlign w:val="center"/>
          </w:tcPr>
          <w:p w14:paraId="2A17BA19"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6B4B095A"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38B2AB58"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39642D4E"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1DEBEEC6"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2D8B3BD8" w14:textId="77777777" w:rsidR="002D7C8A" w:rsidRPr="00DB3FE7" w:rsidRDefault="002D7C8A" w:rsidP="008D4598">
            <w:pPr>
              <w:pStyle w:val="PBACTableText"/>
              <w:keepNext/>
              <w:spacing w:before="0" w:after="0"/>
              <w:rPr>
                <w:lang w:eastAsia="en-AU"/>
              </w:rPr>
            </w:pPr>
            <w:r w:rsidRPr="00DB3FE7">
              <w:rPr>
                <w:lang w:eastAsia="en-AU"/>
              </w:rPr>
              <w:t>IMPROVE-IT</w:t>
            </w:r>
          </w:p>
        </w:tc>
        <w:tc>
          <w:tcPr>
            <w:tcW w:w="1173" w:type="pct"/>
            <w:tcBorders>
              <w:top w:val="single" w:sz="4" w:space="0" w:color="auto"/>
              <w:left w:val="nil"/>
              <w:bottom w:val="single" w:sz="4" w:space="0" w:color="auto"/>
              <w:right w:val="single" w:sz="4" w:space="0" w:color="auto"/>
            </w:tcBorders>
            <w:shd w:val="clear" w:color="auto" w:fill="auto"/>
            <w:vAlign w:val="center"/>
          </w:tcPr>
          <w:p w14:paraId="51838BCF"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3E9762D6"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50B76F07"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282B3DBB"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6756EE63"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F33F279" w14:textId="77777777" w:rsidR="002D7C8A" w:rsidRPr="00DB3FE7" w:rsidRDefault="002D7C8A" w:rsidP="008D4598">
            <w:pPr>
              <w:pStyle w:val="PBACTableText"/>
              <w:keepNext/>
              <w:spacing w:before="0" w:after="0"/>
              <w:rPr>
                <w:lang w:eastAsia="en-AU"/>
              </w:rPr>
            </w:pPr>
            <w:r w:rsidRPr="00DB3FE7">
              <w:rPr>
                <w:lang w:eastAsia="en-AU"/>
              </w:rPr>
              <w:t>Ballantyne (2020)</w:t>
            </w:r>
          </w:p>
        </w:tc>
        <w:tc>
          <w:tcPr>
            <w:tcW w:w="1173" w:type="pct"/>
            <w:tcBorders>
              <w:top w:val="single" w:sz="4" w:space="0" w:color="auto"/>
              <w:left w:val="nil"/>
              <w:bottom w:val="single" w:sz="4" w:space="0" w:color="auto"/>
              <w:right w:val="single" w:sz="4" w:space="0" w:color="auto"/>
            </w:tcBorders>
            <w:shd w:val="clear" w:color="auto" w:fill="auto"/>
            <w:vAlign w:val="center"/>
          </w:tcPr>
          <w:p w14:paraId="06EA1647"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5D656141"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1550F50D"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5DD59F8E"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45972553"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0D044A13" w14:textId="77777777" w:rsidR="002D7C8A" w:rsidRPr="00DB3FE7" w:rsidRDefault="002D7C8A" w:rsidP="008D4598">
            <w:pPr>
              <w:pStyle w:val="PBACTableText"/>
              <w:keepNext/>
              <w:spacing w:before="0" w:after="0"/>
              <w:rPr>
                <w:lang w:eastAsia="en-AU"/>
              </w:rPr>
            </w:pPr>
            <w:r w:rsidRPr="00DB3FE7">
              <w:rPr>
                <w:lang w:eastAsia="en-AU"/>
              </w:rPr>
              <w:t>Masana (2005)</w:t>
            </w:r>
          </w:p>
        </w:tc>
        <w:tc>
          <w:tcPr>
            <w:tcW w:w="1173" w:type="pct"/>
            <w:tcBorders>
              <w:top w:val="single" w:sz="4" w:space="0" w:color="auto"/>
              <w:left w:val="nil"/>
              <w:bottom w:val="single" w:sz="4" w:space="0" w:color="auto"/>
              <w:right w:val="single" w:sz="4" w:space="0" w:color="auto"/>
            </w:tcBorders>
            <w:shd w:val="clear" w:color="auto" w:fill="auto"/>
            <w:vAlign w:val="center"/>
          </w:tcPr>
          <w:p w14:paraId="789A62E9"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55D184B2"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61DC8AD6"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64C71C57"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08359F76" w14:textId="77777777" w:rsidTr="00035F43">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7FB452" w14:textId="77777777" w:rsidR="002D7C8A" w:rsidRPr="00DB3FE7" w:rsidRDefault="002D7C8A" w:rsidP="008D4598">
            <w:pPr>
              <w:pStyle w:val="PBACTableText"/>
              <w:keepNext/>
              <w:spacing w:before="0" w:after="0"/>
              <w:rPr>
                <w:b/>
                <w:lang w:eastAsia="en-AU"/>
              </w:rPr>
            </w:pPr>
            <w:r w:rsidRPr="00DB3FE7">
              <w:rPr>
                <w:b/>
                <w:lang w:eastAsia="en-AU"/>
              </w:rPr>
              <w:t>Evolocumab versus placebo trials</w:t>
            </w:r>
          </w:p>
        </w:tc>
      </w:tr>
      <w:tr w:rsidR="002D7C8A" w:rsidRPr="00DB3FE7" w14:paraId="1DABC817"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0C33140A" w14:textId="77777777" w:rsidR="002D7C8A" w:rsidRPr="00DB3FE7" w:rsidRDefault="002D7C8A" w:rsidP="008D4598">
            <w:pPr>
              <w:pStyle w:val="PBACTableText"/>
              <w:keepNext/>
              <w:spacing w:before="0" w:after="0"/>
              <w:rPr>
                <w:lang w:eastAsia="en-AU"/>
              </w:rPr>
            </w:pPr>
            <w:r w:rsidRPr="00DB3FE7">
              <w:rPr>
                <w:lang w:eastAsia="en-AU"/>
              </w:rPr>
              <w:t>LAPLACE</w:t>
            </w:r>
          </w:p>
        </w:tc>
        <w:tc>
          <w:tcPr>
            <w:tcW w:w="1173" w:type="pct"/>
            <w:tcBorders>
              <w:top w:val="single" w:sz="4" w:space="0" w:color="auto"/>
              <w:left w:val="nil"/>
              <w:bottom w:val="single" w:sz="4" w:space="0" w:color="auto"/>
              <w:right w:val="single" w:sz="4" w:space="0" w:color="auto"/>
            </w:tcBorders>
            <w:shd w:val="clear" w:color="auto" w:fill="auto"/>
            <w:vAlign w:val="center"/>
          </w:tcPr>
          <w:p w14:paraId="1E947084"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3FAD4A3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7605577A"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45F9DD4E"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179120C9"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227CA28" w14:textId="77777777" w:rsidR="002D7C8A" w:rsidRPr="00DB3FE7" w:rsidRDefault="002D7C8A" w:rsidP="008D4598">
            <w:pPr>
              <w:pStyle w:val="PBACTableText"/>
              <w:keepNext/>
              <w:spacing w:before="0" w:after="0"/>
              <w:rPr>
                <w:lang w:eastAsia="en-AU"/>
              </w:rPr>
            </w:pPr>
            <w:r w:rsidRPr="00DB3FE7">
              <w:rPr>
                <w:lang w:eastAsia="en-AU"/>
              </w:rPr>
              <w:t>LAPLACE-2</w:t>
            </w:r>
          </w:p>
        </w:tc>
        <w:tc>
          <w:tcPr>
            <w:tcW w:w="1173" w:type="pct"/>
            <w:tcBorders>
              <w:top w:val="single" w:sz="4" w:space="0" w:color="auto"/>
              <w:left w:val="nil"/>
              <w:bottom w:val="single" w:sz="4" w:space="0" w:color="auto"/>
              <w:right w:val="single" w:sz="4" w:space="0" w:color="auto"/>
            </w:tcBorders>
            <w:shd w:val="clear" w:color="auto" w:fill="auto"/>
            <w:vAlign w:val="center"/>
          </w:tcPr>
          <w:p w14:paraId="2B835C64"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697C2578"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5AB64ED3"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1EFAD384"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5C592175"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35A36A7B" w14:textId="77777777" w:rsidR="002D7C8A" w:rsidRPr="00DB3FE7" w:rsidRDefault="002D7C8A" w:rsidP="008D4598">
            <w:pPr>
              <w:pStyle w:val="PBACTableText"/>
              <w:keepNext/>
              <w:spacing w:before="0" w:after="0"/>
              <w:rPr>
                <w:lang w:eastAsia="en-AU"/>
              </w:rPr>
            </w:pPr>
            <w:r w:rsidRPr="00DB3FE7">
              <w:rPr>
                <w:lang w:eastAsia="en-AU"/>
              </w:rPr>
              <w:t>BANTING</w:t>
            </w:r>
          </w:p>
        </w:tc>
        <w:tc>
          <w:tcPr>
            <w:tcW w:w="1173" w:type="pct"/>
            <w:tcBorders>
              <w:top w:val="single" w:sz="4" w:space="0" w:color="auto"/>
              <w:left w:val="nil"/>
              <w:bottom w:val="single" w:sz="4" w:space="0" w:color="auto"/>
              <w:right w:val="single" w:sz="4" w:space="0" w:color="auto"/>
            </w:tcBorders>
            <w:shd w:val="clear" w:color="auto" w:fill="auto"/>
            <w:vAlign w:val="center"/>
          </w:tcPr>
          <w:p w14:paraId="5938B1A5"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6F03F349"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05992A63" w14:textId="77777777" w:rsidR="002D7C8A" w:rsidRPr="0042765C" w:rsidRDefault="002D7C8A" w:rsidP="008D4598">
            <w:pPr>
              <w:pStyle w:val="PBACTableText"/>
              <w:keepNext/>
              <w:spacing w:before="0" w:after="0"/>
              <w:jc w:val="cente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5FFBDCF9"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497A3692"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2658003" w14:textId="77777777" w:rsidR="002D7C8A" w:rsidRPr="00DB3FE7" w:rsidRDefault="002D7C8A" w:rsidP="008D4598">
            <w:pPr>
              <w:pStyle w:val="PBACTableText"/>
              <w:keepNext/>
              <w:spacing w:before="0" w:after="0"/>
              <w:rPr>
                <w:lang w:eastAsia="en-AU"/>
              </w:rPr>
            </w:pPr>
            <w:r w:rsidRPr="00DB3FE7">
              <w:rPr>
                <w:lang w:eastAsia="en-AU"/>
              </w:rPr>
              <w:t>DESCARTES</w:t>
            </w:r>
          </w:p>
        </w:tc>
        <w:tc>
          <w:tcPr>
            <w:tcW w:w="1173" w:type="pct"/>
            <w:tcBorders>
              <w:top w:val="single" w:sz="4" w:space="0" w:color="auto"/>
              <w:left w:val="nil"/>
              <w:bottom w:val="single" w:sz="4" w:space="0" w:color="auto"/>
              <w:right w:val="single" w:sz="4" w:space="0" w:color="auto"/>
            </w:tcBorders>
            <w:shd w:val="clear" w:color="auto" w:fill="auto"/>
            <w:vAlign w:val="center"/>
          </w:tcPr>
          <w:p w14:paraId="6AECCC41"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1964B94D"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482570CD"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5F653A4B"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08745767"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08C6B62" w14:textId="77777777" w:rsidR="002D7C8A" w:rsidRPr="00DB3FE7" w:rsidRDefault="002D7C8A" w:rsidP="008D4598">
            <w:pPr>
              <w:pStyle w:val="PBACTableText"/>
              <w:keepNext/>
              <w:spacing w:before="0" w:after="0"/>
              <w:rPr>
                <w:lang w:eastAsia="en-AU"/>
              </w:rPr>
            </w:pPr>
            <w:r w:rsidRPr="00DB3FE7">
              <w:rPr>
                <w:lang w:eastAsia="en-AU"/>
              </w:rPr>
              <w:t>FOURIER</w:t>
            </w:r>
          </w:p>
        </w:tc>
        <w:tc>
          <w:tcPr>
            <w:tcW w:w="1173" w:type="pct"/>
            <w:tcBorders>
              <w:top w:val="single" w:sz="4" w:space="0" w:color="auto"/>
              <w:left w:val="nil"/>
              <w:bottom w:val="single" w:sz="4" w:space="0" w:color="auto"/>
              <w:right w:val="single" w:sz="4" w:space="0" w:color="auto"/>
            </w:tcBorders>
            <w:shd w:val="clear" w:color="auto" w:fill="auto"/>
            <w:vAlign w:val="center"/>
          </w:tcPr>
          <w:p w14:paraId="56008177"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6C739D9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2A7201F3"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72C19B6B"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30487701"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249C3E3" w14:textId="77777777" w:rsidR="002D7C8A" w:rsidRPr="00DB3FE7" w:rsidRDefault="002D7C8A" w:rsidP="008D4598">
            <w:pPr>
              <w:pStyle w:val="PBACTableText"/>
              <w:keepNext/>
              <w:spacing w:before="0" w:after="0"/>
              <w:rPr>
                <w:lang w:eastAsia="en-AU"/>
              </w:rPr>
            </w:pPr>
            <w:r w:rsidRPr="00DB3FE7">
              <w:rPr>
                <w:lang w:eastAsia="en-AU"/>
              </w:rPr>
              <w:t>RUTHERFORD-1</w:t>
            </w:r>
          </w:p>
        </w:tc>
        <w:tc>
          <w:tcPr>
            <w:tcW w:w="1173" w:type="pct"/>
            <w:tcBorders>
              <w:top w:val="single" w:sz="4" w:space="0" w:color="auto"/>
              <w:left w:val="nil"/>
              <w:bottom w:val="single" w:sz="4" w:space="0" w:color="auto"/>
              <w:right w:val="single" w:sz="4" w:space="0" w:color="auto"/>
            </w:tcBorders>
            <w:shd w:val="clear" w:color="auto" w:fill="auto"/>
            <w:vAlign w:val="center"/>
          </w:tcPr>
          <w:p w14:paraId="12ECC185"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1FC8CE14"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7596A908"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2FDF9AF5"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70A0B6EF"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70A3E92" w14:textId="77777777" w:rsidR="002D7C8A" w:rsidRPr="00DB3FE7" w:rsidRDefault="002D7C8A" w:rsidP="008D4598">
            <w:pPr>
              <w:pStyle w:val="PBACTableText"/>
              <w:keepNext/>
              <w:spacing w:before="0" w:after="0"/>
              <w:rPr>
                <w:lang w:eastAsia="en-AU"/>
              </w:rPr>
            </w:pPr>
            <w:r w:rsidRPr="00DB3FE7">
              <w:rPr>
                <w:lang w:eastAsia="en-AU"/>
              </w:rPr>
              <w:t>RUTHERFORD-2</w:t>
            </w:r>
          </w:p>
        </w:tc>
        <w:tc>
          <w:tcPr>
            <w:tcW w:w="1173" w:type="pct"/>
            <w:tcBorders>
              <w:top w:val="single" w:sz="4" w:space="0" w:color="auto"/>
              <w:left w:val="nil"/>
              <w:bottom w:val="single" w:sz="4" w:space="0" w:color="auto"/>
              <w:right w:val="single" w:sz="4" w:space="0" w:color="auto"/>
            </w:tcBorders>
            <w:shd w:val="clear" w:color="auto" w:fill="auto"/>
            <w:vAlign w:val="center"/>
          </w:tcPr>
          <w:p w14:paraId="0F0F65BF"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5CBF09C8"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27E71CBE"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68466BC1"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450337E2"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096D746" w14:textId="77777777" w:rsidR="002D7C8A" w:rsidRPr="00DB3FE7" w:rsidRDefault="002D7C8A" w:rsidP="008D4598">
            <w:pPr>
              <w:pStyle w:val="PBACTableText"/>
              <w:keepNext/>
              <w:spacing w:before="0" w:after="0"/>
              <w:rPr>
                <w:lang w:eastAsia="en-AU"/>
              </w:rPr>
            </w:pPr>
            <w:r w:rsidRPr="00DB3FE7">
              <w:rPr>
                <w:lang w:eastAsia="en-AU"/>
              </w:rPr>
              <w:t>TESLA</w:t>
            </w:r>
          </w:p>
        </w:tc>
        <w:tc>
          <w:tcPr>
            <w:tcW w:w="1173" w:type="pct"/>
            <w:tcBorders>
              <w:top w:val="single" w:sz="4" w:space="0" w:color="auto"/>
              <w:left w:val="nil"/>
              <w:bottom w:val="single" w:sz="4" w:space="0" w:color="auto"/>
              <w:right w:val="single" w:sz="4" w:space="0" w:color="auto"/>
            </w:tcBorders>
            <w:shd w:val="clear" w:color="auto" w:fill="auto"/>
            <w:vAlign w:val="center"/>
          </w:tcPr>
          <w:p w14:paraId="15CD7A5D"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06DC04C6"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41AFE23E"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138734D9" w14:textId="77777777" w:rsidR="002D7C8A" w:rsidRPr="00352E1C" w:rsidRDefault="002D7C8A" w:rsidP="008D4598">
            <w:pPr>
              <w:pStyle w:val="PBACTableText"/>
              <w:keepNext/>
              <w:spacing w:before="0" w:after="0"/>
              <w:jc w:val="center"/>
            </w:pPr>
            <w:r w:rsidRPr="00352E1C">
              <w:rPr>
                <w:lang w:eastAsia="en-AU"/>
              </w:rPr>
              <w:t>×</w:t>
            </w:r>
          </w:p>
        </w:tc>
      </w:tr>
      <w:tr w:rsidR="002D7C8A" w:rsidRPr="00DB3FE7" w14:paraId="09281BF9"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2783A4C8" w14:textId="77777777" w:rsidR="002D7C8A" w:rsidRPr="00DB3FE7" w:rsidRDefault="002D7C8A" w:rsidP="008D4598">
            <w:pPr>
              <w:pStyle w:val="PBACTableText"/>
              <w:keepNext/>
              <w:spacing w:before="0" w:after="0"/>
              <w:rPr>
                <w:lang w:eastAsia="en-AU"/>
              </w:rPr>
            </w:pPr>
            <w:r w:rsidRPr="00DB3FE7">
              <w:rPr>
                <w:lang w:eastAsia="en-AU"/>
              </w:rPr>
              <w:t>YUKAWA</w:t>
            </w:r>
          </w:p>
        </w:tc>
        <w:tc>
          <w:tcPr>
            <w:tcW w:w="1173" w:type="pct"/>
            <w:tcBorders>
              <w:top w:val="single" w:sz="4" w:space="0" w:color="auto"/>
              <w:left w:val="nil"/>
              <w:bottom w:val="single" w:sz="4" w:space="0" w:color="auto"/>
              <w:right w:val="single" w:sz="4" w:space="0" w:color="auto"/>
            </w:tcBorders>
            <w:shd w:val="clear" w:color="auto" w:fill="auto"/>
            <w:vAlign w:val="center"/>
          </w:tcPr>
          <w:p w14:paraId="005551AB"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642ACBC2"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58D7CBFC"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69B96A18"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6E5BEB74"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2C5DF98" w14:textId="77777777" w:rsidR="002D7C8A" w:rsidRPr="00DB3FE7" w:rsidRDefault="002D7C8A" w:rsidP="008D4598">
            <w:pPr>
              <w:pStyle w:val="PBACTableText"/>
              <w:keepNext/>
              <w:spacing w:before="0" w:after="0"/>
              <w:rPr>
                <w:lang w:eastAsia="en-AU"/>
              </w:rPr>
            </w:pPr>
            <w:r w:rsidRPr="00DB3FE7">
              <w:rPr>
                <w:lang w:eastAsia="en-AU"/>
              </w:rPr>
              <w:t>YUKAWA-2</w:t>
            </w:r>
          </w:p>
        </w:tc>
        <w:tc>
          <w:tcPr>
            <w:tcW w:w="1173" w:type="pct"/>
            <w:tcBorders>
              <w:top w:val="single" w:sz="4" w:space="0" w:color="auto"/>
              <w:left w:val="nil"/>
              <w:bottom w:val="single" w:sz="4" w:space="0" w:color="auto"/>
              <w:right w:val="single" w:sz="4" w:space="0" w:color="auto"/>
            </w:tcBorders>
            <w:shd w:val="clear" w:color="auto" w:fill="auto"/>
            <w:vAlign w:val="center"/>
          </w:tcPr>
          <w:p w14:paraId="5C1FB6A3"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47AE850C"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0D33048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7941DA2D"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190525CA"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5764ABC3" w14:textId="77777777" w:rsidR="002D7C8A" w:rsidRPr="00DB3FE7" w:rsidRDefault="002D7C8A" w:rsidP="008D4598">
            <w:pPr>
              <w:pStyle w:val="PBACTableText"/>
              <w:keepNext/>
              <w:spacing w:before="0" w:after="0"/>
              <w:rPr>
                <w:lang w:eastAsia="en-AU"/>
              </w:rPr>
            </w:pPr>
            <w:r w:rsidRPr="00DB3FE7">
              <w:rPr>
                <w:lang w:eastAsia="en-AU"/>
              </w:rPr>
              <w:t>BERSON</w:t>
            </w:r>
          </w:p>
        </w:tc>
        <w:tc>
          <w:tcPr>
            <w:tcW w:w="1173" w:type="pct"/>
            <w:tcBorders>
              <w:top w:val="single" w:sz="4" w:space="0" w:color="auto"/>
              <w:left w:val="nil"/>
              <w:bottom w:val="single" w:sz="4" w:space="0" w:color="auto"/>
              <w:right w:val="single" w:sz="4" w:space="0" w:color="auto"/>
            </w:tcBorders>
            <w:shd w:val="clear" w:color="auto" w:fill="auto"/>
            <w:vAlign w:val="center"/>
          </w:tcPr>
          <w:p w14:paraId="4C1E43F6"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40221254"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7625F1CF"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28BA957A"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7FBAFAE7"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5878042" w14:textId="77777777" w:rsidR="002D7C8A" w:rsidRPr="00DB3FE7" w:rsidRDefault="002D7C8A" w:rsidP="008D4598">
            <w:pPr>
              <w:pStyle w:val="PBACTableText"/>
              <w:keepNext/>
              <w:spacing w:before="0" w:after="0"/>
              <w:rPr>
                <w:lang w:eastAsia="en-AU"/>
              </w:rPr>
            </w:pPr>
            <w:r w:rsidRPr="00DB3FE7">
              <w:rPr>
                <w:lang w:eastAsia="en-AU"/>
              </w:rPr>
              <w:t>GLAGOV</w:t>
            </w:r>
          </w:p>
        </w:tc>
        <w:tc>
          <w:tcPr>
            <w:tcW w:w="1173" w:type="pct"/>
            <w:tcBorders>
              <w:top w:val="single" w:sz="4" w:space="0" w:color="auto"/>
              <w:left w:val="nil"/>
              <w:bottom w:val="single" w:sz="4" w:space="0" w:color="auto"/>
              <w:right w:val="single" w:sz="4" w:space="0" w:color="auto"/>
            </w:tcBorders>
            <w:shd w:val="clear" w:color="auto" w:fill="auto"/>
            <w:vAlign w:val="center"/>
          </w:tcPr>
          <w:p w14:paraId="6A5067EC"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29AFC3FE"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56FEB965"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051B3488"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656BFB71" w14:textId="77777777" w:rsidTr="00035F43">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386448" w14:textId="77777777" w:rsidR="002D7C8A" w:rsidRPr="00DB3FE7" w:rsidRDefault="002D7C8A" w:rsidP="008D4598">
            <w:pPr>
              <w:pStyle w:val="PBACTableText"/>
              <w:keepNext/>
              <w:keepLines/>
              <w:spacing w:before="0" w:after="0"/>
              <w:rPr>
                <w:b/>
              </w:rPr>
            </w:pPr>
            <w:r w:rsidRPr="00DB3FE7">
              <w:rPr>
                <w:b/>
              </w:rPr>
              <w:t>Alirocumab versus placebo trials</w:t>
            </w:r>
          </w:p>
        </w:tc>
      </w:tr>
      <w:tr w:rsidR="002D7C8A" w:rsidRPr="00DB3FE7" w14:paraId="7B1883B7"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A99FD5B" w14:textId="77777777" w:rsidR="002D7C8A" w:rsidRPr="00DB3FE7" w:rsidRDefault="002D7C8A" w:rsidP="008D4598">
            <w:pPr>
              <w:pStyle w:val="PBACTableText"/>
              <w:keepNext/>
              <w:keepLines/>
              <w:spacing w:before="0" w:after="0"/>
              <w:rPr>
                <w:lang w:eastAsia="en-AU"/>
              </w:rPr>
            </w:pPr>
            <w:r w:rsidRPr="00DB3FE7">
              <w:rPr>
                <w:lang w:eastAsia="en-AU"/>
              </w:rPr>
              <w:t>COMBO-I</w:t>
            </w:r>
          </w:p>
        </w:tc>
        <w:tc>
          <w:tcPr>
            <w:tcW w:w="1173" w:type="pct"/>
            <w:tcBorders>
              <w:top w:val="single" w:sz="4" w:space="0" w:color="auto"/>
              <w:left w:val="nil"/>
              <w:bottom w:val="single" w:sz="4" w:space="0" w:color="auto"/>
              <w:right w:val="single" w:sz="4" w:space="0" w:color="auto"/>
            </w:tcBorders>
            <w:shd w:val="clear" w:color="auto" w:fill="auto"/>
            <w:vAlign w:val="center"/>
          </w:tcPr>
          <w:p w14:paraId="00998E10" w14:textId="77777777" w:rsidR="002D7C8A" w:rsidRPr="0042765C" w:rsidRDefault="002D7C8A" w:rsidP="008D4598">
            <w:pPr>
              <w:pStyle w:val="PBACTableText"/>
              <w:keepNext/>
              <w:keepLines/>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1DEBB4FC" w14:textId="77777777" w:rsidR="002D7C8A" w:rsidRPr="0042765C" w:rsidRDefault="002D7C8A" w:rsidP="008D4598">
            <w:pPr>
              <w:pStyle w:val="PBACTableText"/>
              <w:keepNext/>
              <w:keepLines/>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768AF1B9" w14:textId="77777777" w:rsidR="002D7C8A" w:rsidRPr="0042765C" w:rsidRDefault="002D7C8A" w:rsidP="008D4598">
            <w:pPr>
              <w:pStyle w:val="PBACTableText"/>
              <w:keepNext/>
              <w:keepLines/>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4B684B2B" w14:textId="77777777" w:rsidR="002D7C8A" w:rsidRPr="0042765C" w:rsidRDefault="002D7C8A" w:rsidP="008D4598">
            <w:pPr>
              <w:pStyle w:val="PBACTableText"/>
              <w:keepNext/>
              <w:keepLines/>
              <w:spacing w:before="0" w:after="0"/>
              <w:jc w:val="center"/>
            </w:pPr>
            <w:r w:rsidRPr="0042765C">
              <w:rPr>
                <w:lang w:eastAsia="en-AU"/>
              </w:rPr>
              <w:sym w:font="Wingdings" w:char="F0FC"/>
            </w:r>
          </w:p>
        </w:tc>
      </w:tr>
      <w:tr w:rsidR="002D7C8A" w:rsidRPr="00DB3FE7" w14:paraId="454D99F6"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7681EE2D" w14:textId="77777777" w:rsidR="002D7C8A" w:rsidRPr="00DB3FE7" w:rsidRDefault="002D7C8A" w:rsidP="008D4598">
            <w:pPr>
              <w:pStyle w:val="PBACTableText"/>
              <w:keepNext/>
              <w:keepLines/>
              <w:spacing w:before="0" w:after="0"/>
              <w:rPr>
                <w:lang w:eastAsia="en-AU"/>
              </w:rPr>
            </w:pPr>
            <w:r w:rsidRPr="00DB3FE7">
              <w:rPr>
                <w:lang w:eastAsia="en-AU"/>
              </w:rPr>
              <w:t>CHOICE-I</w:t>
            </w:r>
          </w:p>
        </w:tc>
        <w:tc>
          <w:tcPr>
            <w:tcW w:w="1173" w:type="pct"/>
            <w:tcBorders>
              <w:top w:val="single" w:sz="4" w:space="0" w:color="auto"/>
              <w:left w:val="nil"/>
              <w:bottom w:val="single" w:sz="4" w:space="0" w:color="auto"/>
              <w:right w:val="single" w:sz="4" w:space="0" w:color="auto"/>
            </w:tcBorders>
            <w:shd w:val="clear" w:color="auto" w:fill="auto"/>
            <w:vAlign w:val="center"/>
          </w:tcPr>
          <w:p w14:paraId="719B275C" w14:textId="77777777" w:rsidR="002D7C8A" w:rsidRPr="0042765C" w:rsidRDefault="002D7C8A" w:rsidP="008D4598">
            <w:pPr>
              <w:pStyle w:val="PBACTableText"/>
              <w:keepNext/>
              <w:keepLines/>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6841EDBB" w14:textId="77777777" w:rsidR="002D7C8A" w:rsidRPr="0042765C" w:rsidRDefault="002D7C8A" w:rsidP="008D4598">
            <w:pPr>
              <w:pStyle w:val="PBACTableText"/>
              <w:keepNext/>
              <w:keepLines/>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4449FBC5" w14:textId="77777777" w:rsidR="002D7C8A" w:rsidRPr="0042765C" w:rsidRDefault="002D7C8A" w:rsidP="008D4598">
            <w:pPr>
              <w:pStyle w:val="PBACTableText"/>
              <w:keepNext/>
              <w:keepLines/>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654C906D" w14:textId="77777777" w:rsidR="002D7C8A" w:rsidRPr="0042765C" w:rsidRDefault="002D7C8A" w:rsidP="008D4598">
            <w:pPr>
              <w:pStyle w:val="PBACTableText"/>
              <w:keepNext/>
              <w:keepLines/>
              <w:spacing w:before="0" w:after="0"/>
              <w:jc w:val="center"/>
            </w:pPr>
            <w:r w:rsidRPr="0042765C">
              <w:rPr>
                <w:lang w:eastAsia="en-AU"/>
              </w:rPr>
              <w:sym w:font="Wingdings" w:char="F0FC"/>
            </w:r>
          </w:p>
        </w:tc>
      </w:tr>
      <w:tr w:rsidR="002D7C8A" w:rsidRPr="00DB3FE7" w14:paraId="0FD130DD"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4D184F94" w14:textId="77777777" w:rsidR="002D7C8A" w:rsidRPr="00DB3FE7" w:rsidRDefault="002D7C8A" w:rsidP="008D4598">
            <w:pPr>
              <w:pStyle w:val="PBACTableText"/>
              <w:keepNext/>
              <w:spacing w:before="0" w:after="0"/>
              <w:rPr>
                <w:lang w:eastAsia="en-AU"/>
              </w:rPr>
            </w:pPr>
            <w:r w:rsidRPr="00DB3FE7">
              <w:rPr>
                <w:lang w:eastAsia="en-AU"/>
              </w:rPr>
              <w:t>CHOICE-II</w:t>
            </w:r>
          </w:p>
        </w:tc>
        <w:tc>
          <w:tcPr>
            <w:tcW w:w="1173" w:type="pct"/>
            <w:tcBorders>
              <w:top w:val="single" w:sz="4" w:space="0" w:color="auto"/>
              <w:left w:val="nil"/>
              <w:bottom w:val="single" w:sz="4" w:space="0" w:color="auto"/>
              <w:right w:val="single" w:sz="4" w:space="0" w:color="auto"/>
            </w:tcBorders>
            <w:shd w:val="clear" w:color="auto" w:fill="auto"/>
            <w:vAlign w:val="center"/>
          </w:tcPr>
          <w:p w14:paraId="38B1B91B"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15172092"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334939C3"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1B39B493"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5AAF0149"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74C505F" w14:textId="77777777" w:rsidR="002D7C8A" w:rsidRPr="00DB3FE7" w:rsidRDefault="002D7C8A" w:rsidP="008D4598">
            <w:pPr>
              <w:pStyle w:val="PBACTableText"/>
              <w:keepNext/>
              <w:spacing w:before="0" w:after="0"/>
              <w:rPr>
                <w:lang w:eastAsia="en-AU"/>
              </w:rPr>
            </w:pPr>
            <w:r w:rsidRPr="00DB3FE7">
              <w:rPr>
                <w:lang w:eastAsia="en-AU"/>
              </w:rPr>
              <w:t>KT</w:t>
            </w:r>
          </w:p>
        </w:tc>
        <w:tc>
          <w:tcPr>
            <w:tcW w:w="1173" w:type="pct"/>
            <w:tcBorders>
              <w:top w:val="single" w:sz="4" w:space="0" w:color="auto"/>
              <w:left w:val="nil"/>
              <w:bottom w:val="single" w:sz="4" w:space="0" w:color="auto"/>
              <w:right w:val="single" w:sz="4" w:space="0" w:color="auto"/>
            </w:tcBorders>
            <w:shd w:val="clear" w:color="auto" w:fill="auto"/>
            <w:vAlign w:val="center"/>
          </w:tcPr>
          <w:p w14:paraId="75B42E4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1C60CEA9"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48E4F3F3"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126F80DB"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7AA14E66"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06D14269" w14:textId="77777777" w:rsidR="002D7C8A" w:rsidRPr="00DB3FE7" w:rsidRDefault="002D7C8A" w:rsidP="008D4598">
            <w:pPr>
              <w:pStyle w:val="PBACTableText"/>
              <w:keepNext/>
              <w:spacing w:before="0" w:after="0"/>
              <w:rPr>
                <w:lang w:eastAsia="en-AU"/>
              </w:rPr>
            </w:pPr>
            <w:r w:rsidRPr="00DB3FE7">
              <w:rPr>
                <w:lang w:eastAsia="en-AU"/>
              </w:rPr>
              <w:t>INSULIN-DM</w:t>
            </w:r>
          </w:p>
        </w:tc>
        <w:tc>
          <w:tcPr>
            <w:tcW w:w="1173" w:type="pct"/>
            <w:tcBorders>
              <w:top w:val="single" w:sz="4" w:space="0" w:color="auto"/>
              <w:left w:val="nil"/>
              <w:bottom w:val="single" w:sz="4" w:space="0" w:color="auto"/>
              <w:right w:val="single" w:sz="4" w:space="0" w:color="auto"/>
            </w:tcBorders>
            <w:shd w:val="clear" w:color="auto" w:fill="auto"/>
            <w:vAlign w:val="center"/>
          </w:tcPr>
          <w:p w14:paraId="24ED7769"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450AB2A3"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4673F998"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6A3B2903"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76D731EB"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94997FE" w14:textId="77777777" w:rsidR="002D7C8A" w:rsidRPr="00DB3FE7" w:rsidRDefault="002D7C8A" w:rsidP="008D4598">
            <w:pPr>
              <w:pStyle w:val="PBACTableText"/>
              <w:keepNext/>
              <w:spacing w:before="0" w:after="0"/>
              <w:rPr>
                <w:lang w:eastAsia="en-AU"/>
              </w:rPr>
            </w:pPr>
            <w:r w:rsidRPr="00DB3FE7">
              <w:rPr>
                <w:lang w:eastAsia="en-AU"/>
              </w:rPr>
              <w:t>LONG-TERM</w:t>
            </w:r>
          </w:p>
        </w:tc>
        <w:tc>
          <w:tcPr>
            <w:tcW w:w="1173" w:type="pct"/>
            <w:tcBorders>
              <w:top w:val="single" w:sz="4" w:space="0" w:color="auto"/>
              <w:left w:val="nil"/>
              <w:bottom w:val="single" w:sz="4" w:space="0" w:color="auto"/>
              <w:right w:val="single" w:sz="4" w:space="0" w:color="auto"/>
            </w:tcBorders>
            <w:shd w:val="clear" w:color="auto" w:fill="auto"/>
            <w:vAlign w:val="center"/>
          </w:tcPr>
          <w:p w14:paraId="3758A558"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5ECBF20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51115800"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2169E732"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3794EEDE"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38A2EC86" w14:textId="77777777" w:rsidR="002D7C8A" w:rsidRPr="00DB3FE7" w:rsidRDefault="002D7C8A" w:rsidP="008D4598">
            <w:pPr>
              <w:pStyle w:val="PBACTableText"/>
              <w:keepNext/>
              <w:spacing w:before="0" w:after="0"/>
              <w:rPr>
                <w:lang w:eastAsia="en-AU"/>
              </w:rPr>
            </w:pPr>
            <w:r w:rsidRPr="00DB3FE7">
              <w:rPr>
                <w:lang w:eastAsia="en-AU"/>
              </w:rPr>
              <w:t>OUTCOMES</w:t>
            </w:r>
          </w:p>
        </w:tc>
        <w:tc>
          <w:tcPr>
            <w:tcW w:w="1173" w:type="pct"/>
            <w:tcBorders>
              <w:top w:val="single" w:sz="4" w:space="0" w:color="auto"/>
              <w:left w:val="nil"/>
              <w:bottom w:val="single" w:sz="4" w:space="0" w:color="auto"/>
              <w:right w:val="single" w:sz="4" w:space="0" w:color="auto"/>
            </w:tcBorders>
            <w:shd w:val="clear" w:color="auto" w:fill="auto"/>
            <w:vAlign w:val="center"/>
          </w:tcPr>
          <w:p w14:paraId="5D5896BC"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2A9BA422"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2FF46D2A"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4F0CC2AB" w14:textId="77777777" w:rsidR="002D7C8A" w:rsidRPr="00DB3FE7" w:rsidRDefault="002D7C8A" w:rsidP="008D4598">
            <w:pPr>
              <w:pStyle w:val="PBACTableText"/>
              <w:keepNext/>
              <w:spacing w:before="0" w:after="0"/>
              <w:jc w:val="center"/>
            </w:pPr>
            <w:r w:rsidRPr="00DB3FE7">
              <w:rPr>
                <w:lang w:eastAsia="en-AU"/>
              </w:rPr>
              <w:t>×</w:t>
            </w:r>
          </w:p>
        </w:tc>
      </w:tr>
      <w:tr w:rsidR="002D7C8A" w:rsidRPr="00DB3FE7" w14:paraId="34E1B0C4"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679C7ED5" w14:textId="77777777" w:rsidR="002D7C8A" w:rsidRPr="00DB3FE7" w:rsidRDefault="002D7C8A" w:rsidP="008D4598">
            <w:pPr>
              <w:pStyle w:val="PBACTableText"/>
              <w:keepNext/>
              <w:spacing w:before="0" w:after="0"/>
              <w:rPr>
                <w:lang w:eastAsia="en-AU"/>
              </w:rPr>
            </w:pPr>
            <w:r w:rsidRPr="00DB3FE7">
              <w:rPr>
                <w:lang w:eastAsia="en-AU"/>
              </w:rPr>
              <w:t>FH-I</w:t>
            </w:r>
          </w:p>
        </w:tc>
        <w:tc>
          <w:tcPr>
            <w:tcW w:w="1173" w:type="pct"/>
            <w:tcBorders>
              <w:top w:val="single" w:sz="4" w:space="0" w:color="auto"/>
              <w:left w:val="nil"/>
              <w:bottom w:val="single" w:sz="4" w:space="0" w:color="auto"/>
              <w:right w:val="single" w:sz="4" w:space="0" w:color="auto"/>
            </w:tcBorders>
            <w:shd w:val="clear" w:color="auto" w:fill="auto"/>
            <w:vAlign w:val="center"/>
          </w:tcPr>
          <w:p w14:paraId="79BA9674"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062AE19F"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361E3F71"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4174B21C"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05A5939A"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51472BD0" w14:textId="77777777" w:rsidR="002D7C8A" w:rsidRPr="00DB3FE7" w:rsidRDefault="002D7C8A" w:rsidP="008D4598">
            <w:pPr>
              <w:pStyle w:val="PBACTableText"/>
              <w:keepNext/>
              <w:spacing w:before="0" w:after="0"/>
              <w:rPr>
                <w:lang w:eastAsia="en-AU"/>
              </w:rPr>
            </w:pPr>
            <w:r w:rsidRPr="00DB3FE7">
              <w:rPr>
                <w:lang w:eastAsia="en-AU"/>
              </w:rPr>
              <w:t>FH-II</w:t>
            </w:r>
          </w:p>
        </w:tc>
        <w:tc>
          <w:tcPr>
            <w:tcW w:w="1173" w:type="pct"/>
            <w:tcBorders>
              <w:top w:val="single" w:sz="4" w:space="0" w:color="auto"/>
              <w:left w:val="nil"/>
              <w:bottom w:val="single" w:sz="4" w:space="0" w:color="auto"/>
              <w:right w:val="single" w:sz="4" w:space="0" w:color="auto"/>
            </w:tcBorders>
            <w:shd w:val="clear" w:color="auto" w:fill="auto"/>
            <w:vAlign w:val="center"/>
          </w:tcPr>
          <w:p w14:paraId="3268B7E2"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76633376"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56BA3851"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410F5E68"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36FA909A"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3C1C29ED" w14:textId="77777777" w:rsidR="002D7C8A" w:rsidRPr="00DB3FE7" w:rsidRDefault="002D7C8A" w:rsidP="008D4598">
            <w:pPr>
              <w:pStyle w:val="PBACTableText"/>
              <w:keepNext/>
              <w:spacing w:before="0" w:after="0"/>
              <w:rPr>
                <w:lang w:eastAsia="en-AU"/>
              </w:rPr>
            </w:pPr>
            <w:r w:rsidRPr="00DB3FE7">
              <w:rPr>
                <w:lang w:eastAsia="en-AU"/>
              </w:rPr>
              <w:t>HIGH-FH</w:t>
            </w:r>
          </w:p>
        </w:tc>
        <w:tc>
          <w:tcPr>
            <w:tcW w:w="1173" w:type="pct"/>
            <w:tcBorders>
              <w:top w:val="single" w:sz="4" w:space="0" w:color="auto"/>
              <w:left w:val="nil"/>
              <w:bottom w:val="single" w:sz="4" w:space="0" w:color="auto"/>
              <w:right w:val="single" w:sz="4" w:space="0" w:color="auto"/>
            </w:tcBorders>
            <w:shd w:val="clear" w:color="auto" w:fill="auto"/>
            <w:vAlign w:val="center"/>
          </w:tcPr>
          <w:p w14:paraId="1F813EAB"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68" w:type="pct"/>
            <w:tcBorders>
              <w:top w:val="single" w:sz="4" w:space="0" w:color="auto"/>
              <w:left w:val="nil"/>
              <w:bottom w:val="single" w:sz="4" w:space="0" w:color="auto"/>
              <w:right w:val="single" w:sz="4" w:space="0" w:color="auto"/>
            </w:tcBorders>
            <w:shd w:val="clear" w:color="auto" w:fill="auto"/>
            <w:vAlign w:val="center"/>
          </w:tcPr>
          <w:p w14:paraId="3C4DEA3B"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918" w:type="pct"/>
            <w:tcBorders>
              <w:top w:val="single" w:sz="4" w:space="0" w:color="auto"/>
              <w:left w:val="nil"/>
              <w:bottom w:val="single" w:sz="4" w:space="0" w:color="auto"/>
              <w:right w:val="single" w:sz="4" w:space="0" w:color="auto"/>
            </w:tcBorders>
            <w:vAlign w:val="center"/>
          </w:tcPr>
          <w:p w14:paraId="141FB78C"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1FD12EBB"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0F42BDED"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458A4786" w14:textId="77777777" w:rsidR="002D7C8A" w:rsidRPr="00DB3FE7" w:rsidRDefault="002D7C8A" w:rsidP="008D4598">
            <w:pPr>
              <w:pStyle w:val="PBACTableText"/>
              <w:keepNext/>
              <w:spacing w:before="0" w:after="0"/>
              <w:rPr>
                <w:lang w:eastAsia="en-AU"/>
              </w:rPr>
            </w:pPr>
            <w:r w:rsidRPr="00DB3FE7">
              <w:rPr>
                <w:lang w:eastAsia="en-AU"/>
              </w:rPr>
              <w:t>JAPAN</w:t>
            </w:r>
          </w:p>
        </w:tc>
        <w:tc>
          <w:tcPr>
            <w:tcW w:w="1173" w:type="pct"/>
            <w:tcBorders>
              <w:top w:val="single" w:sz="4" w:space="0" w:color="auto"/>
              <w:left w:val="nil"/>
              <w:bottom w:val="single" w:sz="4" w:space="0" w:color="auto"/>
              <w:right w:val="single" w:sz="4" w:space="0" w:color="auto"/>
            </w:tcBorders>
            <w:shd w:val="clear" w:color="auto" w:fill="auto"/>
            <w:vAlign w:val="center"/>
          </w:tcPr>
          <w:p w14:paraId="64E6C8E1"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04B53A7B"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379132E3"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1072" w:type="pct"/>
            <w:tcBorders>
              <w:top w:val="single" w:sz="4" w:space="0" w:color="auto"/>
              <w:left w:val="single" w:sz="4" w:space="0" w:color="auto"/>
              <w:bottom w:val="single" w:sz="4" w:space="0" w:color="auto"/>
              <w:right w:val="single" w:sz="4" w:space="0" w:color="auto"/>
            </w:tcBorders>
            <w:vAlign w:val="center"/>
          </w:tcPr>
          <w:p w14:paraId="5859FCC4"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4DBE3168"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0E7CF4F5" w14:textId="77777777" w:rsidR="002D7C8A" w:rsidRPr="00DB3FE7" w:rsidRDefault="002D7C8A" w:rsidP="008D4598">
            <w:pPr>
              <w:pStyle w:val="PBACTableText"/>
              <w:keepNext/>
              <w:spacing w:before="0" w:after="0"/>
              <w:rPr>
                <w:lang w:eastAsia="en-AU"/>
              </w:rPr>
            </w:pPr>
            <w:r w:rsidRPr="00DB3FE7">
              <w:rPr>
                <w:lang w:eastAsia="en-AU"/>
              </w:rPr>
              <w:t>NIPPON</w:t>
            </w:r>
          </w:p>
        </w:tc>
        <w:tc>
          <w:tcPr>
            <w:tcW w:w="1173" w:type="pct"/>
            <w:tcBorders>
              <w:top w:val="single" w:sz="4" w:space="0" w:color="auto"/>
              <w:left w:val="nil"/>
              <w:bottom w:val="single" w:sz="4" w:space="0" w:color="auto"/>
              <w:right w:val="single" w:sz="4" w:space="0" w:color="auto"/>
            </w:tcBorders>
            <w:shd w:val="clear" w:color="auto" w:fill="auto"/>
            <w:vAlign w:val="center"/>
          </w:tcPr>
          <w:p w14:paraId="6ACE15E5"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7F2AE98C"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2C4EADB3"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616A8005"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5535FA9D"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47A4AB6" w14:textId="77777777" w:rsidR="002D7C8A" w:rsidRPr="00DB3FE7" w:rsidRDefault="002D7C8A" w:rsidP="008D4598">
            <w:pPr>
              <w:pStyle w:val="PBACTableText"/>
              <w:keepNext/>
              <w:spacing w:before="0" w:after="0"/>
              <w:rPr>
                <w:lang w:eastAsia="en-AU"/>
              </w:rPr>
            </w:pPr>
            <w:r w:rsidRPr="00DB3FE7">
              <w:rPr>
                <w:lang w:eastAsia="en-AU"/>
              </w:rPr>
              <w:t>McKenny (2012)</w:t>
            </w:r>
          </w:p>
        </w:tc>
        <w:tc>
          <w:tcPr>
            <w:tcW w:w="1173" w:type="pct"/>
            <w:tcBorders>
              <w:top w:val="single" w:sz="4" w:space="0" w:color="auto"/>
              <w:left w:val="nil"/>
              <w:bottom w:val="single" w:sz="4" w:space="0" w:color="auto"/>
              <w:right w:val="single" w:sz="4" w:space="0" w:color="auto"/>
            </w:tcBorders>
            <w:shd w:val="clear" w:color="auto" w:fill="auto"/>
            <w:vAlign w:val="center"/>
          </w:tcPr>
          <w:p w14:paraId="3290D91F"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79E64C28"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c>
          <w:tcPr>
            <w:tcW w:w="918" w:type="pct"/>
            <w:tcBorders>
              <w:top w:val="single" w:sz="4" w:space="0" w:color="auto"/>
              <w:left w:val="nil"/>
              <w:bottom w:val="single" w:sz="4" w:space="0" w:color="auto"/>
              <w:right w:val="single" w:sz="4" w:space="0" w:color="auto"/>
            </w:tcBorders>
            <w:vAlign w:val="center"/>
          </w:tcPr>
          <w:p w14:paraId="130488D4" w14:textId="77777777" w:rsidR="002D7C8A" w:rsidRPr="00352E1C" w:rsidRDefault="002D7C8A" w:rsidP="008D4598">
            <w:pPr>
              <w:pStyle w:val="PBACTableText"/>
              <w:keepNext/>
              <w:spacing w:before="0" w:after="0"/>
              <w:jc w:val="center"/>
              <w:rPr>
                <w:lang w:eastAsia="en-AU"/>
              </w:rPr>
            </w:pPr>
            <w:r w:rsidRPr="00352E1C">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3001EEE1" w14:textId="77777777" w:rsidR="002D7C8A" w:rsidRPr="0042765C" w:rsidRDefault="002D7C8A" w:rsidP="008D4598">
            <w:pPr>
              <w:pStyle w:val="PBACTableText"/>
              <w:keepNext/>
              <w:spacing w:before="0" w:after="0"/>
              <w:jc w:val="center"/>
            </w:pPr>
            <w:r w:rsidRPr="0042765C">
              <w:rPr>
                <w:lang w:eastAsia="en-AU"/>
              </w:rPr>
              <w:sym w:font="Wingdings" w:char="F0FC"/>
            </w:r>
          </w:p>
        </w:tc>
      </w:tr>
      <w:tr w:rsidR="002D7C8A" w:rsidRPr="00DB3FE7" w14:paraId="17202AFB"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12DC40D0" w14:textId="77777777" w:rsidR="002D7C8A" w:rsidRPr="00DB3FE7" w:rsidRDefault="002D7C8A" w:rsidP="008D4598">
            <w:pPr>
              <w:pStyle w:val="PBACTableText"/>
              <w:keepNext/>
              <w:spacing w:before="0" w:after="0"/>
              <w:rPr>
                <w:lang w:eastAsia="en-AU"/>
              </w:rPr>
            </w:pPr>
            <w:r w:rsidRPr="00DB3FE7">
              <w:rPr>
                <w:lang w:eastAsia="en-AU"/>
              </w:rPr>
              <w:t>Stein (2012)</w:t>
            </w:r>
          </w:p>
        </w:tc>
        <w:tc>
          <w:tcPr>
            <w:tcW w:w="1173" w:type="pct"/>
            <w:tcBorders>
              <w:top w:val="single" w:sz="4" w:space="0" w:color="auto"/>
              <w:left w:val="nil"/>
              <w:bottom w:val="single" w:sz="4" w:space="0" w:color="auto"/>
              <w:right w:val="single" w:sz="4" w:space="0" w:color="auto"/>
            </w:tcBorders>
            <w:shd w:val="clear" w:color="auto" w:fill="auto"/>
            <w:vAlign w:val="center"/>
          </w:tcPr>
          <w:p w14:paraId="26AF34FE"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2A90CE6A"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104B7FB1"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3B6E7235"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r w:rsidR="002D7C8A" w:rsidRPr="00DB3FE7" w14:paraId="66A262BC" w14:textId="77777777" w:rsidTr="00035F43">
        <w:trPr>
          <w:trHeight w:val="259"/>
        </w:trPr>
        <w:tc>
          <w:tcPr>
            <w:tcW w:w="868" w:type="pct"/>
            <w:tcBorders>
              <w:top w:val="single" w:sz="4" w:space="0" w:color="auto"/>
              <w:left w:val="single" w:sz="4" w:space="0" w:color="auto"/>
              <w:bottom w:val="single" w:sz="4" w:space="0" w:color="auto"/>
              <w:right w:val="single" w:sz="4" w:space="0" w:color="auto"/>
            </w:tcBorders>
            <w:shd w:val="clear" w:color="auto" w:fill="auto"/>
            <w:vAlign w:val="center"/>
          </w:tcPr>
          <w:p w14:paraId="481D9CD9" w14:textId="77777777" w:rsidR="002D7C8A" w:rsidRPr="00DB3FE7" w:rsidRDefault="002D7C8A" w:rsidP="008D4598">
            <w:pPr>
              <w:pStyle w:val="PBACTableText"/>
              <w:keepNext/>
              <w:spacing w:before="0" w:after="0"/>
              <w:rPr>
                <w:lang w:eastAsia="en-AU"/>
              </w:rPr>
            </w:pPr>
            <w:r w:rsidRPr="00DB3FE7">
              <w:rPr>
                <w:lang w:eastAsia="en-AU"/>
              </w:rPr>
              <w:t>Teramoto (2016)</w:t>
            </w:r>
          </w:p>
        </w:tc>
        <w:tc>
          <w:tcPr>
            <w:tcW w:w="1173" w:type="pct"/>
            <w:tcBorders>
              <w:top w:val="single" w:sz="4" w:space="0" w:color="auto"/>
              <w:left w:val="nil"/>
              <w:bottom w:val="single" w:sz="4" w:space="0" w:color="auto"/>
              <w:right w:val="single" w:sz="4" w:space="0" w:color="auto"/>
            </w:tcBorders>
            <w:shd w:val="clear" w:color="auto" w:fill="auto"/>
            <w:vAlign w:val="center"/>
          </w:tcPr>
          <w:p w14:paraId="33171D7B"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68" w:type="pct"/>
            <w:tcBorders>
              <w:top w:val="single" w:sz="4" w:space="0" w:color="auto"/>
              <w:left w:val="nil"/>
              <w:bottom w:val="single" w:sz="4" w:space="0" w:color="auto"/>
              <w:right w:val="single" w:sz="4" w:space="0" w:color="auto"/>
            </w:tcBorders>
            <w:shd w:val="clear" w:color="auto" w:fill="auto"/>
            <w:vAlign w:val="center"/>
          </w:tcPr>
          <w:p w14:paraId="18D2B9B3"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918" w:type="pct"/>
            <w:tcBorders>
              <w:top w:val="single" w:sz="4" w:space="0" w:color="auto"/>
              <w:left w:val="nil"/>
              <w:bottom w:val="single" w:sz="4" w:space="0" w:color="auto"/>
              <w:right w:val="single" w:sz="4" w:space="0" w:color="auto"/>
            </w:tcBorders>
            <w:vAlign w:val="center"/>
          </w:tcPr>
          <w:p w14:paraId="672ABC7A" w14:textId="77777777" w:rsidR="002D7C8A" w:rsidRPr="00DB3FE7" w:rsidRDefault="002D7C8A" w:rsidP="008D4598">
            <w:pPr>
              <w:pStyle w:val="PBACTableText"/>
              <w:keepNext/>
              <w:spacing w:before="0" w:after="0"/>
              <w:jc w:val="center"/>
              <w:rPr>
                <w:lang w:eastAsia="en-AU"/>
              </w:rPr>
            </w:pPr>
            <w:r w:rsidRPr="00DB3FE7">
              <w:rPr>
                <w:lang w:eastAsia="en-AU"/>
              </w:rPr>
              <w:t>×</w:t>
            </w:r>
          </w:p>
        </w:tc>
        <w:tc>
          <w:tcPr>
            <w:tcW w:w="1072" w:type="pct"/>
            <w:tcBorders>
              <w:top w:val="single" w:sz="4" w:space="0" w:color="auto"/>
              <w:left w:val="single" w:sz="4" w:space="0" w:color="auto"/>
              <w:bottom w:val="single" w:sz="4" w:space="0" w:color="auto"/>
              <w:right w:val="single" w:sz="4" w:space="0" w:color="auto"/>
            </w:tcBorders>
            <w:vAlign w:val="center"/>
          </w:tcPr>
          <w:p w14:paraId="6D8D73DA" w14:textId="77777777" w:rsidR="002D7C8A" w:rsidRPr="0042765C" w:rsidRDefault="002D7C8A" w:rsidP="008D4598">
            <w:pPr>
              <w:pStyle w:val="PBACTableText"/>
              <w:keepNext/>
              <w:spacing w:before="0" w:after="0"/>
              <w:jc w:val="center"/>
              <w:rPr>
                <w:lang w:eastAsia="en-AU"/>
              </w:rPr>
            </w:pPr>
            <w:r w:rsidRPr="0042765C">
              <w:rPr>
                <w:lang w:eastAsia="en-AU"/>
              </w:rPr>
              <w:sym w:font="Wingdings" w:char="F0FC"/>
            </w:r>
          </w:p>
        </w:tc>
      </w:tr>
    </w:tbl>
    <w:p w14:paraId="3629BE5E" w14:textId="41BF7424" w:rsidR="002D7C8A" w:rsidRPr="00DB3FE7" w:rsidRDefault="002D7C8A" w:rsidP="002D7C8A">
      <w:pPr>
        <w:pStyle w:val="COMTablefooter"/>
      </w:pPr>
      <w:r w:rsidRPr="00DB3FE7">
        <w:t>Source: Table 2.36 of the submission; Burnett (2022) publication, Huang (2022) publication; Toth (2022) publication</w:t>
      </w:r>
    </w:p>
    <w:p w14:paraId="326FE4B4" w14:textId="43A608F5" w:rsidR="005F5F3B" w:rsidRPr="00DB3FE7" w:rsidRDefault="005F5F3B" w:rsidP="00980E94">
      <w:pPr>
        <w:pStyle w:val="COMexecsumnumberedpara"/>
      </w:pPr>
      <w:r w:rsidRPr="00DB3FE7">
        <w:t xml:space="preserve">The submission acknowledged that there were potential differences between the inclisiran and </w:t>
      </w:r>
      <w:r w:rsidR="0035166C" w:rsidRPr="00DB3FE7">
        <w:t>comparator</w:t>
      </w:r>
      <w:r w:rsidRPr="00DB3FE7">
        <w:t xml:space="preserve"> trials that may limit the exchangeability of outcomes. </w:t>
      </w:r>
      <w:r w:rsidR="00C24FA6" w:rsidRPr="00DB3FE7">
        <w:t>These </w:t>
      </w:r>
      <w:r w:rsidRPr="00DB3FE7">
        <w:t>differences include patient characteristics (age, gender, background lipid lowering therapy, baseline LDL</w:t>
      </w:r>
      <w:r w:rsidR="00CD0449" w:rsidRPr="00DB3FE7">
        <w:t>-C</w:t>
      </w:r>
      <w:r w:rsidRPr="00DB3FE7">
        <w:t xml:space="preserve"> levels) and study characteristics (duration, statistical analyses</w:t>
      </w:r>
      <w:r w:rsidR="000A24C3" w:rsidRPr="00DB3FE7">
        <w:t>,</w:t>
      </w:r>
      <w:r w:rsidRPr="00DB3FE7">
        <w:t xml:space="preserve"> and data imputation).</w:t>
      </w:r>
    </w:p>
    <w:p w14:paraId="6D9F0F46" w14:textId="2C9A3A60" w:rsidR="00E26A9E" w:rsidRPr="00DB3FE7" w:rsidRDefault="00334451" w:rsidP="00980E94">
      <w:pPr>
        <w:pStyle w:val="COMexecsumnumberedpara"/>
      </w:pPr>
      <w:r w:rsidRPr="00D2286B">
        <w:fldChar w:fldCharType="begin" w:fldLock="1"/>
      </w:r>
      <w:r w:rsidRPr="00DB3FE7">
        <w:instrText xml:space="preserve"> REF _Ref124101612 \h </w:instrText>
      </w:r>
      <w:r w:rsidRPr="00D2286B">
        <w:fldChar w:fldCharType="separate"/>
      </w:r>
      <w:r w:rsidR="00424520" w:rsidRPr="00D2286B">
        <w:t xml:space="preserve">Table </w:t>
      </w:r>
      <w:r w:rsidR="00424520" w:rsidRPr="00D2286B">
        <w:rPr>
          <w:noProof/>
        </w:rPr>
        <w:t>6</w:t>
      </w:r>
      <w:r w:rsidRPr="00D2286B">
        <w:fldChar w:fldCharType="end"/>
      </w:r>
      <w:r w:rsidR="00C62A5D" w:rsidRPr="0042765C">
        <w:t xml:space="preserve"> summarises the mean percentage change in LDL</w:t>
      </w:r>
      <w:r w:rsidR="00CD0449" w:rsidRPr="00D2286B">
        <w:t>-C</w:t>
      </w:r>
      <w:r w:rsidR="00C62A5D" w:rsidRPr="00D2286B">
        <w:t xml:space="preserve"> from baseline for each of the treatment</w:t>
      </w:r>
      <w:r w:rsidR="002542B0" w:rsidRPr="00352E1C">
        <w:t>s</w:t>
      </w:r>
      <w:r w:rsidR="00C62A5D" w:rsidRPr="00352E1C">
        <w:t xml:space="preserve"> relative to placebo or inclisiran.</w:t>
      </w:r>
      <w:r w:rsidR="00261EBC" w:rsidRPr="008B0207">
        <w:t xml:space="preserve"> </w:t>
      </w:r>
    </w:p>
    <w:p w14:paraId="31BE2598" w14:textId="013864A0" w:rsidR="00974C34" w:rsidRPr="00352E1C" w:rsidRDefault="00773BF1" w:rsidP="00A86B1A">
      <w:pPr>
        <w:pStyle w:val="COMtablefigcaption"/>
        <w:keepLines/>
        <w:jc w:val="both"/>
        <w:rPr>
          <w:color w:val="3366FF"/>
        </w:rPr>
      </w:pPr>
      <w:bookmarkStart w:id="27" w:name="_Ref124101612"/>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6</w:t>
      </w:r>
      <w:r w:rsidR="00E1209D" w:rsidRPr="00D2286B">
        <w:rPr>
          <w:noProof/>
        </w:rPr>
        <w:fldChar w:fldCharType="end"/>
      </w:r>
      <w:bookmarkEnd w:id="27"/>
      <w:r w:rsidR="00974C34" w:rsidRPr="0042765C">
        <w:rPr>
          <w:snapToGrid w:val="0"/>
        </w:rPr>
        <w:t>: Summary of results from</w:t>
      </w:r>
      <w:r w:rsidR="002542B0" w:rsidRPr="00D2286B">
        <w:rPr>
          <w:snapToGrid w:val="0"/>
        </w:rPr>
        <w:t xml:space="preserve"> indirect analyses presented in the submission and the base case analysis for each of the published network meta-analyses</w:t>
      </w:r>
    </w:p>
    <w:tbl>
      <w:tblPr>
        <w:tblW w:w="5000" w:type="pct"/>
        <w:tblLook w:val="04A0" w:firstRow="1" w:lastRow="0" w:firstColumn="1" w:lastColumn="0" w:noHBand="0" w:noVBand="1"/>
      </w:tblPr>
      <w:tblGrid>
        <w:gridCol w:w="1118"/>
        <w:gridCol w:w="3196"/>
        <w:gridCol w:w="1562"/>
        <w:gridCol w:w="1437"/>
        <w:gridCol w:w="1704"/>
      </w:tblGrid>
      <w:tr w:rsidR="00185424" w:rsidRPr="00DB3FE7" w14:paraId="2D2F3160" w14:textId="77777777" w:rsidTr="003F3D53">
        <w:trPr>
          <w:trHeight w:val="161"/>
          <w:tblHeader/>
        </w:trPr>
        <w:tc>
          <w:tcPr>
            <w:tcW w:w="620" w:type="pct"/>
            <w:tcBorders>
              <w:top w:val="single" w:sz="4" w:space="0" w:color="auto"/>
              <w:left w:val="single" w:sz="4" w:space="0" w:color="auto"/>
              <w:bottom w:val="single" w:sz="4" w:space="0" w:color="000000"/>
              <w:right w:val="single" w:sz="4" w:space="0" w:color="auto"/>
            </w:tcBorders>
            <w:shd w:val="clear" w:color="auto" w:fill="auto"/>
            <w:tcMar>
              <w:left w:w="20" w:type="dxa"/>
              <w:right w:w="20" w:type="dxa"/>
            </w:tcMar>
            <w:vAlign w:val="center"/>
            <w:hideMark/>
          </w:tcPr>
          <w:p w14:paraId="66B500BF" w14:textId="77777777" w:rsidR="00185424" w:rsidRPr="00DB3FE7" w:rsidRDefault="00185424" w:rsidP="00A86B1A">
            <w:pPr>
              <w:pStyle w:val="PBACTableText"/>
              <w:keepNext/>
              <w:keepLines/>
              <w:spacing w:before="0" w:after="0"/>
              <w:jc w:val="center"/>
              <w:rPr>
                <w:b/>
                <w:bCs/>
                <w:lang w:eastAsia="en-AU"/>
              </w:rPr>
            </w:pPr>
            <w:r w:rsidRPr="00DB3FE7">
              <w:rPr>
                <w:b/>
                <w:bCs/>
                <w:lang w:eastAsia="en-AU"/>
              </w:rPr>
              <w:t>Treatments</w:t>
            </w:r>
          </w:p>
        </w:tc>
        <w:tc>
          <w:tcPr>
            <w:tcW w:w="1772" w:type="pct"/>
            <w:tcBorders>
              <w:top w:val="single" w:sz="4" w:space="0" w:color="auto"/>
              <w:left w:val="single" w:sz="4" w:space="0" w:color="auto"/>
              <w:bottom w:val="single" w:sz="4" w:space="0" w:color="auto"/>
              <w:right w:val="nil"/>
            </w:tcBorders>
            <w:shd w:val="clear" w:color="auto" w:fill="auto"/>
            <w:tcMar>
              <w:left w:w="20" w:type="dxa"/>
              <w:right w:w="20" w:type="dxa"/>
            </w:tcMar>
            <w:vAlign w:val="center"/>
          </w:tcPr>
          <w:p w14:paraId="48EA98FF" w14:textId="02086EC2" w:rsidR="00185424" w:rsidRPr="00DB3FE7" w:rsidRDefault="00185424" w:rsidP="00A86B1A">
            <w:pPr>
              <w:pStyle w:val="PBACTableText"/>
              <w:keepNext/>
              <w:keepLines/>
              <w:spacing w:before="0" w:after="0"/>
              <w:jc w:val="center"/>
              <w:rPr>
                <w:b/>
                <w:bCs/>
                <w:lang w:eastAsia="en-AU"/>
              </w:rPr>
            </w:pPr>
            <w:r w:rsidRPr="00DB3FE7">
              <w:rPr>
                <w:b/>
                <w:bCs/>
                <w:lang w:eastAsia="en-AU"/>
              </w:rPr>
              <w:t>Submission</w:t>
            </w:r>
          </w:p>
        </w:tc>
        <w:tc>
          <w:tcPr>
            <w:tcW w:w="866"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AFC40E8" w14:textId="77777777" w:rsidR="00185424" w:rsidRPr="00DB3FE7" w:rsidRDefault="00185424" w:rsidP="00A86B1A">
            <w:pPr>
              <w:pStyle w:val="PBACTableText"/>
              <w:keepNext/>
              <w:keepLines/>
              <w:spacing w:before="0" w:after="0"/>
              <w:jc w:val="center"/>
              <w:rPr>
                <w:b/>
                <w:bCs/>
                <w:vertAlign w:val="superscript"/>
                <w:lang w:eastAsia="en-AU"/>
              </w:rPr>
            </w:pPr>
            <w:r w:rsidRPr="00DB3FE7">
              <w:rPr>
                <w:b/>
                <w:bCs/>
                <w:lang w:eastAsia="en-AU"/>
              </w:rPr>
              <w:t>Burnett</w:t>
            </w:r>
            <w:r w:rsidRPr="00DB3FE7">
              <w:rPr>
                <w:b/>
                <w:bCs/>
                <w:vertAlign w:val="superscript"/>
                <w:lang w:eastAsia="en-AU"/>
              </w:rPr>
              <w:t xml:space="preserve"> </w:t>
            </w:r>
            <w:r w:rsidRPr="00DB3FE7">
              <w:rPr>
                <w:b/>
                <w:bCs/>
                <w:lang w:eastAsia="en-AU"/>
              </w:rPr>
              <w:t>2022</w:t>
            </w:r>
          </w:p>
        </w:tc>
        <w:tc>
          <w:tcPr>
            <w:tcW w:w="797"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A52EF0D" w14:textId="77777777" w:rsidR="00185424" w:rsidRPr="00DB3FE7" w:rsidRDefault="00185424" w:rsidP="00A86B1A">
            <w:pPr>
              <w:pStyle w:val="PBACTableText"/>
              <w:keepNext/>
              <w:keepLines/>
              <w:spacing w:before="0" w:after="0"/>
              <w:jc w:val="center"/>
              <w:rPr>
                <w:b/>
                <w:bCs/>
                <w:lang w:eastAsia="en-AU"/>
              </w:rPr>
            </w:pPr>
            <w:r w:rsidRPr="00DB3FE7">
              <w:rPr>
                <w:b/>
                <w:bCs/>
                <w:lang w:eastAsia="en-AU"/>
              </w:rPr>
              <w:t>Huang 2022</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AA9BFC9" w14:textId="77777777" w:rsidR="00185424" w:rsidRPr="00DB3FE7" w:rsidRDefault="00185424" w:rsidP="00A86B1A">
            <w:pPr>
              <w:pStyle w:val="PBACTableText"/>
              <w:keepNext/>
              <w:keepLines/>
              <w:spacing w:before="0" w:after="0"/>
              <w:jc w:val="center"/>
              <w:rPr>
                <w:b/>
                <w:bCs/>
                <w:lang w:eastAsia="en-AU"/>
              </w:rPr>
            </w:pPr>
            <w:r w:rsidRPr="00DB3FE7">
              <w:rPr>
                <w:b/>
                <w:bCs/>
                <w:lang w:eastAsia="en-AU"/>
              </w:rPr>
              <w:t>Toth 2022</w:t>
            </w:r>
          </w:p>
        </w:tc>
      </w:tr>
      <w:tr w:rsidR="00185424" w:rsidRPr="00DB3FE7" w14:paraId="5E04909A" w14:textId="77777777" w:rsidTr="007F2E83">
        <w:trPr>
          <w:trHeight w:val="161"/>
        </w:trPr>
        <w:tc>
          <w:tcPr>
            <w:tcW w:w="5000" w:type="pct"/>
            <w:gridSpan w:val="5"/>
            <w:tcBorders>
              <w:top w:val="single" w:sz="4" w:space="0" w:color="auto"/>
              <w:left w:val="single" w:sz="4" w:space="0" w:color="auto"/>
              <w:bottom w:val="single" w:sz="4" w:space="0" w:color="auto"/>
              <w:right w:val="single" w:sz="4" w:space="0" w:color="auto"/>
            </w:tcBorders>
            <w:tcMar>
              <w:left w:w="20" w:type="dxa"/>
              <w:right w:w="20" w:type="dxa"/>
            </w:tcMar>
          </w:tcPr>
          <w:p w14:paraId="068601ED" w14:textId="4AC27663" w:rsidR="00185424" w:rsidRPr="00DB3FE7" w:rsidRDefault="00185424" w:rsidP="00A86B1A">
            <w:pPr>
              <w:pStyle w:val="PBACTableText"/>
              <w:keepNext/>
              <w:keepLines/>
              <w:spacing w:before="0" w:after="0"/>
              <w:rPr>
                <w:b/>
                <w:bCs/>
                <w:lang w:eastAsia="en-AU"/>
              </w:rPr>
            </w:pPr>
            <w:r w:rsidRPr="00DB3FE7">
              <w:rPr>
                <w:b/>
                <w:bCs/>
                <w:lang w:eastAsia="en-AU"/>
              </w:rPr>
              <w:t>Mean (95% CI) percentage change from baseline in LDL-C compared to placebo</w:t>
            </w:r>
          </w:p>
        </w:tc>
      </w:tr>
      <w:tr w:rsidR="00185424" w:rsidRPr="00DB3FE7" w14:paraId="13DA0EAD"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702C43ED" w14:textId="77777777" w:rsidR="00185424" w:rsidRPr="00DB3FE7" w:rsidRDefault="00185424" w:rsidP="00A86B1A">
            <w:pPr>
              <w:pStyle w:val="PBACTableText"/>
              <w:keepNext/>
              <w:keepLines/>
              <w:spacing w:before="0" w:after="0"/>
              <w:rPr>
                <w:lang w:eastAsia="en-AU"/>
              </w:rPr>
            </w:pPr>
            <w:r w:rsidRPr="00DB3FE7">
              <w:rPr>
                <w:lang w:eastAsia="en-AU"/>
              </w:rPr>
              <w:t>Inclisiran</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D36CF16" w14:textId="6E10D7FB" w:rsidR="00185424" w:rsidRPr="00DB3FE7" w:rsidRDefault="00185424" w:rsidP="00A86B1A">
            <w:pPr>
              <w:pStyle w:val="PBACTableText"/>
              <w:keepNext/>
              <w:keepLines/>
              <w:jc w:val="center"/>
              <w:rPr>
                <w:lang w:eastAsia="en-AU"/>
              </w:rPr>
            </w:pPr>
            <w:r w:rsidRPr="00DB3FE7">
              <w:rPr>
                <w:lang w:eastAsia="en-AU"/>
              </w:rPr>
              <w:t>ASCVD MIWM: -50.94 (-53.33, -48.56)</w:t>
            </w:r>
          </w:p>
          <w:p w14:paraId="6AB35FB9" w14:textId="2986B873" w:rsidR="00185424" w:rsidRPr="00DB3FE7" w:rsidRDefault="00185424" w:rsidP="00A86B1A">
            <w:pPr>
              <w:pStyle w:val="PBACTableText"/>
              <w:keepNext/>
              <w:keepLines/>
              <w:spacing w:before="0" w:after="0"/>
              <w:jc w:val="center"/>
              <w:rPr>
                <w:lang w:eastAsia="en-AU"/>
              </w:rPr>
            </w:pPr>
            <w:r w:rsidRPr="00DB3FE7">
              <w:rPr>
                <w:lang w:eastAsia="en-AU"/>
              </w:rPr>
              <w:t>ASCVD MMRM: -54.95 (-59.42, -50.48)</w:t>
            </w:r>
          </w:p>
          <w:p w14:paraId="7E6C2939" w14:textId="6BEFD250" w:rsidR="00185424" w:rsidRPr="00DB3FE7" w:rsidRDefault="00185424" w:rsidP="00A86B1A">
            <w:pPr>
              <w:pStyle w:val="PBACTableText"/>
              <w:keepNext/>
              <w:keepLines/>
              <w:spacing w:before="0" w:after="0"/>
              <w:jc w:val="center"/>
              <w:rPr>
                <w:lang w:eastAsia="en-AU"/>
              </w:rPr>
            </w:pPr>
            <w:r w:rsidRPr="00DB3FE7">
              <w:rPr>
                <w:lang w:eastAsia="en-AU"/>
              </w:rPr>
              <w:t>HeFH MMRM: -48.82 (-54.32, -43.32)</w:t>
            </w:r>
          </w:p>
          <w:p w14:paraId="16767AED" w14:textId="5270ECD5" w:rsidR="00185424" w:rsidRPr="00DB3FE7" w:rsidRDefault="00185424" w:rsidP="00A86B1A">
            <w:pPr>
              <w:pStyle w:val="PBACTableText"/>
              <w:keepNext/>
              <w:keepLines/>
              <w:spacing w:before="0" w:after="0"/>
              <w:jc w:val="center"/>
              <w:rPr>
                <w:lang w:eastAsia="en-AU"/>
              </w:rPr>
            </w:pPr>
            <w:r w:rsidRPr="00DB3FE7">
              <w:rPr>
                <w:lang w:eastAsia="en-AU"/>
              </w:rPr>
              <w:t>Economics</w:t>
            </w:r>
            <w:r w:rsidRPr="00DB3FE7">
              <w:rPr>
                <w:i/>
                <w:iCs/>
                <w:vertAlign w:val="superscript"/>
              </w:rPr>
              <w:t>a</w:t>
            </w:r>
            <w:r w:rsidRPr="00DB3FE7">
              <w:rPr>
                <w:lang w:eastAsia="en-AU"/>
              </w:rPr>
              <w:t>: -57.24 (-60.36, -54.13)</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5A569C74"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-57.49 </w:t>
            </w:r>
          </w:p>
          <w:p w14:paraId="47BCFD7C" w14:textId="77777777" w:rsidR="00185424" w:rsidRPr="00DB3FE7" w:rsidRDefault="00185424" w:rsidP="00A86B1A">
            <w:pPr>
              <w:pStyle w:val="PBACTableText"/>
              <w:keepNext/>
              <w:keepLines/>
              <w:spacing w:before="0" w:after="0"/>
              <w:jc w:val="center"/>
              <w:rPr>
                <w:lang w:eastAsia="en-AU"/>
              </w:rPr>
            </w:pPr>
            <w:r w:rsidRPr="00DB3FE7">
              <w:rPr>
                <w:lang w:eastAsia="en-AU"/>
              </w:rPr>
              <w:t>(-65.34, -49.48)</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385554BD"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-50.08 </w:t>
            </w:r>
          </w:p>
          <w:p w14:paraId="3CA0B692" w14:textId="77777777" w:rsidR="00185424" w:rsidRPr="00DB3FE7" w:rsidRDefault="00185424" w:rsidP="00A86B1A">
            <w:pPr>
              <w:pStyle w:val="PBACTableText"/>
              <w:keepNext/>
              <w:keepLines/>
              <w:spacing w:before="0" w:after="0"/>
              <w:jc w:val="center"/>
              <w:rPr>
                <w:lang w:eastAsia="en-AU"/>
              </w:rPr>
            </w:pPr>
            <w:r w:rsidRPr="00DB3FE7">
              <w:rPr>
                <w:lang w:eastAsia="en-AU"/>
              </w:rPr>
              <w:t>(-54.82, -45.34)</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C88C5B1"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-50.17 </w:t>
            </w:r>
          </w:p>
          <w:p w14:paraId="26152285" w14:textId="77777777" w:rsidR="00185424" w:rsidRPr="00DB3FE7" w:rsidRDefault="00185424" w:rsidP="00A86B1A">
            <w:pPr>
              <w:pStyle w:val="PBACTableText"/>
              <w:keepNext/>
              <w:keepLines/>
              <w:spacing w:before="0" w:after="0"/>
              <w:jc w:val="center"/>
              <w:rPr>
                <w:lang w:eastAsia="en-AU"/>
              </w:rPr>
            </w:pPr>
            <w:r w:rsidRPr="00DB3FE7">
              <w:rPr>
                <w:lang w:eastAsia="en-AU"/>
              </w:rPr>
              <w:t>(-54.99, -45.35)</w:t>
            </w:r>
          </w:p>
        </w:tc>
      </w:tr>
      <w:tr w:rsidR="00185424" w:rsidRPr="00DB3FE7" w14:paraId="08EF622B"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2F71CBD4" w14:textId="77777777" w:rsidR="00185424" w:rsidRPr="00DB3FE7" w:rsidRDefault="00185424" w:rsidP="00A86B1A">
            <w:pPr>
              <w:pStyle w:val="PBACTableText"/>
              <w:keepNext/>
              <w:keepLines/>
              <w:spacing w:before="0" w:after="0"/>
              <w:rPr>
                <w:lang w:eastAsia="en-AU"/>
              </w:rPr>
            </w:pPr>
            <w:r w:rsidRPr="00DB3FE7">
              <w:rPr>
                <w:lang w:eastAsia="en-AU"/>
              </w:rPr>
              <w:t>Ezetimibe</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3BA55AB5" w14:textId="267CA824" w:rsidR="00185424" w:rsidRPr="00DB3FE7" w:rsidRDefault="00185424" w:rsidP="00A86B1A">
            <w:pPr>
              <w:pStyle w:val="PBACTableText"/>
              <w:keepNext/>
              <w:keepLines/>
              <w:spacing w:before="0" w:after="0"/>
              <w:jc w:val="center"/>
              <w:rPr>
                <w:lang w:eastAsia="en-AU"/>
              </w:rPr>
            </w:pPr>
            <w:r w:rsidRPr="00DB3FE7">
              <w:rPr>
                <w:lang w:eastAsia="en-AU"/>
              </w:rPr>
              <w:t>Clinical: -25.46 (-27.67, -23.26)</w:t>
            </w:r>
          </w:p>
          <w:p w14:paraId="5195B1A9" w14:textId="4FACF108" w:rsidR="00185424" w:rsidRPr="00DB3FE7" w:rsidRDefault="00185424" w:rsidP="00A86B1A">
            <w:pPr>
              <w:pStyle w:val="PBACTableText"/>
              <w:keepNext/>
              <w:keepLines/>
              <w:spacing w:before="0" w:after="0"/>
              <w:jc w:val="center"/>
              <w:rPr>
                <w:lang w:eastAsia="en-AU"/>
              </w:rPr>
            </w:pPr>
            <w:r w:rsidRPr="00DB3FE7">
              <w:rPr>
                <w:lang w:eastAsia="en-AU"/>
              </w:rPr>
              <w:t>Economics</w:t>
            </w:r>
            <w:r w:rsidRPr="00DB3FE7">
              <w:rPr>
                <w:vertAlign w:val="superscript"/>
                <w:lang w:eastAsia="en-AU"/>
              </w:rPr>
              <w:t>b</w:t>
            </w:r>
            <w:r w:rsidRPr="00DB3FE7">
              <w:rPr>
                <w:lang w:eastAsia="en-AU"/>
              </w:rPr>
              <w:t>: -23.71 (-26.73, -20.70)</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76CD8D6A"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-24.97 </w:t>
            </w:r>
          </w:p>
          <w:p w14:paraId="46B7005C" w14:textId="77777777" w:rsidR="00185424" w:rsidRPr="00DB3FE7" w:rsidRDefault="00185424" w:rsidP="00A86B1A">
            <w:pPr>
              <w:pStyle w:val="PBACTableText"/>
              <w:keepNext/>
              <w:keepLines/>
              <w:spacing w:before="0" w:after="0"/>
              <w:jc w:val="center"/>
              <w:rPr>
                <w:lang w:eastAsia="en-AU"/>
              </w:rPr>
            </w:pPr>
            <w:r w:rsidRPr="00DB3FE7">
              <w:rPr>
                <w:lang w:eastAsia="en-AU"/>
              </w:rPr>
              <w:t>(-31.17, -18.60)</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7595B624" w14:textId="77777777" w:rsidR="00185424" w:rsidRPr="00DB3FE7" w:rsidRDefault="00185424" w:rsidP="00A86B1A">
            <w:pPr>
              <w:pStyle w:val="PBACTableText"/>
              <w:keepNext/>
              <w:keepLines/>
              <w:spacing w:before="0" w:after="0"/>
              <w:jc w:val="center"/>
            </w:pPr>
            <w:r w:rsidRPr="00DB3FE7">
              <w:t xml:space="preserve">-25.34 </w:t>
            </w:r>
          </w:p>
          <w:p w14:paraId="0B79726D" w14:textId="77777777" w:rsidR="00185424" w:rsidRPr="00DB3FE7" w:rsidRDefault="00185424" w:rsidP="00A86B1A">
            <w:pPr>
              <w:pStyle w:val="PBACTableText"/>
              <w:keepNext/>
              <w:keepLines/>
              <w:spacing w:before="0" w:after="0"/>
              <w:jc w:val="center"/>
            </w:pPr>
            <w:r w:rsidRPr="00DB3FE7">
              <w:t>(-29.25, -21.43)</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D277013" w14:textId="77777777" w:rsidR="00185424" w:rsidRPr="00DB3FE7" w:rsidRDefault="00185424" w:rsidP="00A86B1A">
            <w:pPr>
              <w:pStyle w:val="PBACTableText"/>
              <w:keepNext/>
              <w:keepLines/>
              <w:spacing w:before="0" w:after="0"/>
              <w:jc w:val="center"/>
            </w:pPr>
            <w:r w:rsidRPr="00DB3FE7">
              <w:t xml:space="preserve">-24.49 </w:t>
            </w:r>
          </w:p>
          <w:p w14:paraId="7D0376BE" w14:textId="77777777" w:rsidR="00185424" w:rsidRPr="00DB3FE7" w:rsidRDefault="00185424" w:rsidP="00A86B1A">
            <w:pPr>
              <w:pStyle w:val="PBACTableText"/>
              <w:keepNext/>
              <w:keepLines/>
              <w:spacing w:before="0" w:after="0"/>
              <w:jc w:val="center"/>
            </w:pPr>
            <w:r w:rsidRPr="00DB3FE7">
              <w:t>(-27.48, -21.49)</w:t>
            </w:r>
          </w:p>
        </w:tc>
      </w:tr>
      <w:tr w:rsidR="00185424" w:rsidRPr="00DB3FE7" w14:paraId="24D5630A"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295CAEF" w14:textId="77777777" w:rsidR="00185424" w:rsidRPr="00DB3FE7" w:rsidRDefault="00185424" w:rsidP="00A86B1A">
            <w:pPr>
              <w:pStyle w:val="PBACTableText"/>
              <w:keepNext/>
              <w:keepLines/>
              <w:spacing w:before="0" w:after="0"/>
              <w:rPr>
                <w:lang w:eastAsia="en-AU"/>
              </w:rPr>
            </w:pPr>
            <w:r w:rsidRPr="00DB3FE7">
              <w:rPr>
                <w:lang w:eastAsia="en-AU"/>
              </w:rPr>
              <w:t>Evolocumab</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27971F52" w14:textId="3CB60503" w:rsidR="00185424" w:rsidRPr="00DB3FE7" w:rsidRDefault="00185424" w:rsidP="00A86B1A">
            <w:pPr>
              <w:pStyle w:val="PBACTableText"/>
              <w:keepNext/>
              <w:keepLines/>
              <w:spacing w:before="0" w:after="0"/>
              <w:jc w:val="center"/>
            </w:pPr>
            <w:r w:rsidRPr="00DB3FE7">
              <w:t>ASCVD: -61.05 (-68.48, -53.63)</w:t>
            </w:r>
          </w:p>
          <w:p w14:paraId="6B99673A" w14:textId="38A34852" w:rsidR="00185424" w:rsidRPr="00DB3FE7" w:rsidRDefault="00185424" w:rsidP="00A86B1A">
            <w:pPr>
              <w:pStyle w:val="PBACTableText"/>
              <w:keepNext/>
              <w:keepLines/>
              <w:spacing w:before="0" w:after="0"/>
              <w:jc w:val="center"/>
            </w:pPr>
            <w:r w:rsidRPr="00DB3FE7">
              <w:t>HeFH: -59.05 (-63.12, -54.98)</w:t>
            </w:r>
          </w:p>
          <w:p w14:paraId="7719FF1F" w14:textId="146DD01B" w:rsidR="00185424" w:rsidRPr="00DB3FE7" w:rsidRDefault="00185424" w:rsidP="00A86B1A">
            <w:pPr>
              <w:pStyle w:val="PBACTableText"/>
              <w:keepNext/>
              <w:keepLines/>
              <w:spacing w:before="0" w:after="0"/>
              <w:jc w:val="center"/>
            </w:pPr>
            <w:r w:rsidRPr="00DB3FE7">
              <w:t>Economics</w:t>
            </w:r>
            <w:r w:rsidRPr="00DB3FE7">
              <w:rPr>
                <w:vertAlign w:val="superscript"/>
              </w:rPr>
              <w:t>c</w:t>
            </w:r>
            <w:r w:rsidRPr="00DB3FE7">
              <w:t xml:space="preserve">: </w:t>
            </w:r>
            <w:r w:rsidRPr="00DB3FE7">
              <w:rPr>
                <w:lang w:eastAsia="en-AU"/>
              </w:rPr>
              <w:t>-57.24 (-60.36, -54.13)</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3B5D4D8F" w14:textId="77777777" w:rsidR="00185424" w:rsidRPr="00DB3FE7" w:rsidRDefault="00185424" w:rsidP="00A86B1A">
            <w:pPr>
              <w:pStyle w:val="PBACTableText"/>
              <w:keepNext/>
              <w:keepLines/>
              <w:spacing w:before="0" w:after="0"/>
              <w:jc w:val="center"/>
            </w:pPr>
            <w:r w:rsidRPr="00DB3FE7">
              <w:t xml:space="preserve">-65.65 </w:t>
            </w:r>
          </w:p>
          <w:p w14:paraId="05754630" w14:textId="77777777" w:rsidR="00185424" w:rsidRPr="00DB3FE7" w:rsidRDefault="00185424" w:rsidP="00A86B1A">
            <w:pPr>
              <w:pStyle w:val="PBACTableText"/>
              <w:keepNext/>
              <w:keepLines/>
              <w:spacing w:before="0" w:after="0"/>
              <w:jc w:val="center"/>
            </w:pPr>
            <w:r w:rsidRPr="00DB3FE7">
              <w:t>(-72.08, -59.37)</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7F124DBD" w14:textId="77777777" w:rsidR="00185424" w:rsidRPr="00DB3FE7" w:rsidRDefault="00185424" w:rsidP="00A86B1A">
            <w:pPr>
              <w:pStyle w:val="PBACTableText"/>
              <w:keepNext/>
              <w:keepLines/>
              <w:spacing w:before="0" w:after="0"/>
              <w:jc w:val="center"/>
            </w:pPr>
            <w:r w:rsidRPr="00DB3FE7">
              <w:t xml:space="preserve">-63.41 </w:t>
            </w:r>
          </w:p>
          <w:p w14:paraId="7C3D559A" w14:textId="77777777" w:rsidR="00185424" w:rsidRPr="00DB3FE7" w:rsidRDefault="00185424" w:rsidP="00A86B1A">
            <w:pPr>
              <w:pStyle w:val="PBACTableText"/>
              <w:keepNext/>
              <w:keepLines/>
              <w:spacing w:before="0" w:after="0"/>
              <w:jc w:val="center"/>
            </w:pPr>
            <w:r w:rsidRPr="00DB3FE7">
              <w:t>(-65.59, -61.23)</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809DE38" w14:textId="77777777" w:rsidR="00185424" w:rsidRPr="00DB3FE7" w:rsidRDefault="00185424" w:rsidP="00A86B1A">
            <w:pPr>
              <w:pStyle w:val="PBACTableText"/>
              <w:keepNext/>
              <w:keepLines/>
              <w:spacing w:before="0" w:after="0"/>
              <w:jc w:val="center"/>
            </w:pPr>
            <w:r w:rsidRPr="00DB3FE7">
              <w:t xml:space="preserve">-64.68 </w:t>
            </w:r>
          </w:p>
          <w:p w14:paraId="0D9EEC21" w14:textId="77777777" w:rsidR="00185424" w:rsidRPr="00DB3FE7" w:rsidRDefault="00185424" w:rsidP="00A86B1A">
            <w:pPr>
              <w:pStyle w:val="PBACTableText"/>
              <w:keepNext/>
              <w:keepLines/>
              <w:spacing w:before="0" w:after="0"/>
              <w:jc w:val="center"/>
            </w:pPr>
            <w:r w:rsidRPr="00DB3FE7">
              <w:t>(-67.37, -62.00)</w:t>
            </w:r>
          </w:p>
        </w:tc>
      </w:tr>
      <w:tr w:rsidR="00185424" w:rsidRPr="00DB3FE7" w14:paraId="3012722C"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29454130" w14:textId="77777777" w:rsidR="00185424" w:rsidRPr="00DB3FE7" w:rsidRDefault="00185424" w:rsidP="00A86B1A">
            <w:pPr>
              <w:pStyle w:val="PBACTableText"/>
              <w:keepNext/>
              <w:keepLines/>
              <w:spacing w:before="0" w:after="0"/>
              <w:rPr>
                <w:lang w:eastAsia="en-AU"/>
              </w:rPr>
            </w:pPr>
            <w:r w:rsidRPr="00DB3FE7">
              <w:rPr>
                <w:lang w:eastAsia="en-AU"/>
              </w:rPr>
              <w:t>Alirocumab</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0E29E02" w14:textId="2D8C604B" w:rsidR="00185424" w:rsidRPr="00DB3FE7" w:rsidRDefault="00185424" w:rsidP="00A86B1A">
            <w:pPr>
              <w:pStyle w:val="PBACTableText"/>
              <w:keepNext/>
              <w:keepLines/>
              <w:spacing w:before="0" w:after="0"/>
              <w:jc w:val="center"/>
            </w:pPr>
            <w:r w:rsidRPr="00DB3FE7">
              <w:t>ASCVD short-term: -54.37 (-60.10, -48.64)</w:t>
            </w:r>
          </w:p>
          <w:p w14:paraId="70D4AF2E" w14:textId="77777777" w:rsidR="00185424" w:rsidRPr="00DB3FE7" w:rsidRDefault="00185424" w:rsidP="00A86B1A">
            <w:pPr>
              <w:pStyle w:val="PBACTableText"/>
              <w:keepNext/>
              <w:keepLines/>
              <w:spacing w:before="0" w:after="0"/>
              <w:jc w:val="center"/>
            </w:pPr>
            <w:r w:rsidRPr="00DB3FE7">
              <w:t>ASCVD long-term: -54.02 (-55.59, -52.46)</w:t>
            </w:r>
          </w:p>
          <w:p w14:paraId="2A516C9A" w14:textId="77777777" w:rsidR="00185424" w:rsidRPr="00DB3FE7" w:rsidRDefault="00185424" w:rsidP="00A86B1A">
            <w:pPr>
              <w:pStyle w:val="PBACTableText"/>
              <w:keepNext/>
              <w:keepLines/>
              <w:spacing w:before="0" w:after="0"/>
              <w:jc w:val="center"/>
            </w:pPr>
            <w:r w:rsidRPr="00DB3FE7">
              <w:t>HeFH: -50.85 (-59.81, -41.89)</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10C01136" w14:textId="77777777" w:rsidR="00185424" w:rsidRPr="00DB3FE7" w:rsidRDefault="00185424" w:rsidP="00A86B1A">
            <w:pPr>
              <w:pStyle w:val="PBACTableText"/>
              <w:keepNext/>
              <w:keepLines/>
              <w:spacing w:before="0" w:after="0"/>
              <w:jc w:val="center"/>
            </w:pPr>
            <w:r w:rsidRPr="00DB3FE7">
              <w:t xml:space="preserve">-58.25 </w:t>
            </w:r>
          </w:p>
          <w:p w14:paraId="3361001D" w14:textId="77777777" w:rsidR="00185424" w:rsidRPr="00DB3FE7" w:rsidRDefault="00185424" w:rsidP="00A86B1A">
            <w:pPr>
              <w:pStyle w:val="PBACTableText"/>
              <w:keepNext/>
              <w:keepLines/>
              <w:spacing w:before="0" w:after="0"/>
              <w:jc w:val="center"/>
            </w:pPr>
            <w:r w:rsidRPr="00DB3FE7">
              <w:t>(-62.71, -53.58)</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2B4E148E" w14:textId="77777777" w:rsidR="00185424" w:rsidRPr="00DB3FE7" w:rsidRDefault="00185424" w:rsidP="00A86B1A">
            <w:pPr>
              <w:pStyle w:val="PBACTableText"/>
              <w:keepNext/>
              <w:keepLines/>
              <w:spacing w:before="0" w:after="0"/>
              <w:jc w:val="center"/>
            </w:pPr>
            <w:r w:rsidRPr="00DB3FE7">
              <w:t xml:space="preserve">-54.64 </w:t>
            </w:r>
          </w:p>
          <w:p w14:paraId="6D775204" w14:textId="77777777" w:rsidR="00185424" w:rsidRPr="00DB3FE7" w:rsidRDefault="00185424" w:rsidP="00A86B1A">
            <w:pPr>
              <w:pStyle w:val="PBACTableText"/>
              <w:keepNext/>
              <w:keepLines/>
              <w:spacing w:before="0" w:after="0"/>
              <w:jc w:val="center"/>
            </w:pPr>
            <w:r w:rsidRPr="00DB3FE7">
              <w:t>(-57.73, -51.55)</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59259C5" w14:textId="77777777" w:rsidR="00185424" w:rsidRPr="00DB3FE7" w:rsidRDefault="00185424" w:rsidP="00A86B1A">
            <w:pPr>
              <w:pStyle w:val="PBACTableText"/>
              <w:keepNext/>
              <w:keepLines/>
              <w:spacing w:before="0" w:after="0"/>
              <w:jc w:val="center"/>
              <w:rPr>
                <w:lang w:eastAsia="en-AU"/>
              </w:rPr>
            </w:pPr>
            <w:r w:rsidRPr="00DB3FE7">
              <w:t>75 mg fortnightly:</w:t>
            </w:r>
            <w:r w:rsidRPr="00DB3FE7">
              <w:rPr>
                <w:lang w:eastAsia="en-AU"/>
              </w:rPr>
              <w:t xml:space="preserve"> </w:t>
            </w:r>
          </w:p>
          <w:p w14:paraId="2A8A86DA" w14:textId="77777777" w:rsidR="00185424" w:rsidRPr="00DB3FE7" w:rsidRDefault="00185424" w:rsidP="00A86B1A">
            <w:pPr>
              <w:pStyle w:val="PBACTableText"/>
              <w:keepNext/>
              <w:keepLines/>
              <w:spacing w:before="0" w:after="0"/>
              <w:jc w:val="center"/>
              <w:rPr>
                <w:lang w:eastAsia="en-AU"/>
              </w:rPr>
            </w:pPr>
            <w:r w:rsidRPr="00DB3FE7">
              <w:rPr>
                <w:lang w:eastAsia="en-AU"/>
              </w:rPr>
              <w:t>-53.26 (-56.40, -50.13)</w:t>
            </w:r>
          </w:p>
          <w:p w14:paraId="1F641A16" w14:textId="77777777" w:rsidR="00185424" w:rsidRPr="00DB3FE7" w:rsidRDefault="00185424" w:rsidP="00A86B1A">
            <w:pPr>
              <w:pStyle w:val="PBACTableText"/>
              <w:keepNext/>
              <w:keepLines/>
              <w:spacing w:before="0" w:after="0"/>
              <w:jc w:val="center"/>
            </w:pPr>
            <w:r w:rsidRPr="00DB3FE7">
              <w:t xml:space="preserve">150 mg fortnightly: </w:t>
            </w:r>
          </w:p>
          <w:p w14:paraId="5E497D01" w14:textId="77777777" w:rsidR="00185424" w:rsidRPr="00DB3FE7" w:rsidRDefault="00185424" w:rsidP="00A86B1A">
            <w:pPr>
              <w:pStyle w:val="PBACTableText"/>
              <w:keepNext/>
              <w:keepLines/>
              <w:spacing w:before="0" w:after="0"/>
              <w:jc w:val="center"/>
            </w:pPr>
            <w:r w:rsidRPr="00DB3FE7">
              <w:rPr>
                <w:lang w:eastAsia="en-AU"/>
              </w:rPr>
              <w:t>-62.71 (-67.56, 57.87)</w:t>
            </w:r>
          </w:p>
          <w:p w14:paraId="444D8659" w14:textId="77777777" w:rsidR="00185424" w:rsidRPr="00DB3FE7" w:rsidRDefault="00185424" w:rsidP="00A86B1A">
            <w:pPr>
              <w:pStyle w:val="PBACTableText"/>
              <w:keepNext/>
              <w:keepLines/>
              <w:spacing w:before="0" w:after="0"/>
              <w:jc w:val="center"/>
            </w:pPr>
            <w:r w:rsidRPr="00DB3FE7">
              <w:t xml:space="preserve">300 mg monthly: </w:t>
            </w:r>
          </w:p>
          <w:p w14:paraId="6D27EF41" w14:textId="77777777" w:rsidR="00185424" w:rsidRPr="00DB3FE7" w:rsidRDefault="00185424" w:rsidP="00A86B1A">
            <w:pPr>
              <w:pStyle w:val="PBACTableText"/>
              <w:keepNext/>
              <w:keepLines/>
              <w:spacing w:before="0" w:after="0"/>
              <w:jc w:val="center"/>
              <w:rPr>
                <w:lang w:eastAsia="en-AU"/>
              </w:rPr>
            </w:pPr>
            <w:r w:rsidRPr="00DB3FE7">
              <w:rPr>
                <w:lang w:eastAsia="en-AU"/>
              </w:rPr>
              <w:t>-51.62 (-59.26, -43.98)</w:t>
            </w:r>
          </w:p>
        </w:tc>
      </w:tr>
      <w:tr w:rsidR="00185424" w:rsidRPr="00DB3FE7" w14:paraId="50F8D604" w14:textId="77777777" w:rsidTr="007F2E83">
        <w:trPr>
          <w:trHeight w:val="259"/>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2B4A0043" w14:textId="6EA0BB2B" w:rsidR="00185424" w:rsidRPr="00DB3FE7" w:rsidRDefault="00185424" w:rsidP="00A86B1A">
            <w:pPr>
              <w:pStyle w:val="PBACTableText"/>
              <w:keepNext/>
              <w:keepLines/>
              <w:spacing w:before="0" w:after="0"/>
              <w:rPr>
                <w:lang w:eastAsia="en-AU"/>
              </w:rPr>
            </w:pPr>
            <w:r w:rsidRPr="00DB3FE7">
              <w:rPr>
                <w:b/>
                <w:bCs/>
                <w:lang w:eastAsia="en-AU"/>
              </w:rPr>
              <w:t>Mean (95% CI) percentage change from baseline in LDL-C compared to inclisiran</w:t>
            </w:r>
          </w:p>
        </w:tc>
      </w:tr>
      <w:tr w:rsidR="00185424" w:rsidRPr="00DB3FE7" w14:paraId="0512805F"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07910889" w14:textId="77777777" w:rsidR="00185424" w:rsidRPr="00DB3FE7" w:rsidRDefault="00185424" w:rsidP="00A86B1A">
            <w:pPr>
              <w:pStyle w:val="PBACTableText"/>
              <w:keepNext/>
              <w:keepLines/>
              <w:spacing w:before="0" w:after="0"/>
              <w:rPr>
                <w:lang w:eastAsia="en-AU"/>
              </w:rPr>
            </w:pPr>
            <w:r w:rsidRPr="00DB3FE7">
              <w:rPr>
                <w:lang w:eastAsia="en-AU"/>
              </w:rPr>
              <w:t>Ezetimibe</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2012AD0" w14:textId="6BE84FBA" w:rsidR="00185424" w:rsidRPr="00DB3FE7" w:rsidRDefault="00185424" w:rsidP="00A86B1A">
            <w:pPr>
              <w:pStyle w:val="PBACTableText"/>
              <w:keepNext/>
              <w:keepLines/>
              <w:spacing w:before="0" w:after="0"/>
              <w:jc w:val="center"/>
              <w:rPr>
                <w:lang w:eastAsia="en-AU"/>
              </w:rPr>
            </w:pPr>
            <w:r w:rsidRPr="00DB3FE7">
              <w:rPr>
                <w:lang w:eastAsia="en-AU"/>
              </w:rPr>
              <w:t>Clinical: 25.48 (28.73, 22.23)</w:t>
            </w:r>
          </w:p>
          <w:p w14:paraId="61D44C7F" w14:textId="77777777" w:rsidR="00185424" w:rsidRPr="00DB3FE7" w:rsidRDefault="00185424" w:rsidP="00A86B1A">
            <w:pPr>
              <w:pStyle w:val="PBACTableText"/>
              <w:keepNext/>
              <w:keepLines/>
              <w:spacing w:before="0" w:after="0"/>
              <w:jc w:val="center"/>
              <w:rPr>
                <w:lang w:eastAsia="en-AU"/>
              </w:rPr>
            </w:pPr>
            <w:r w:rsidRPr="00DB3FE7">
              <w:rPr>
                <w:lang w:eastAsia="en-AU"/>
              </w:rPr>
              <w:t>Economics: 33.53 (37.87, 29.20)</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2887834C"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32.48 </w:t>
            </w:r>
          </w:p>
          <w:p w14:paraId="71C4C84F" w14:textId="77777777" w:rsidR="00185424" w:rsidRPr="00DB3FE7" w:rsidRDefault="00185424" w:rsidP="00A86B1A">
            <w:pPr>
              <w:pStyle w:val="PBACTableText"/>
              <w:keepNext/>
              <w:keepLines/>
              <w:spacing w:before="0" w:after="0"/>
              <w:jc w:val="center"/>
              <w:rPr>
                <w:lang w:eastAsia="en-AU"/>
              </w:rPr>
            </w:pPr>
            <w:r w:rsidRPr="00DB3FE7">
              <w:rPr>
                <w:lang w:eastAsia="en-AU"/>
              </w:rPr>
              <w:t>(42.62, 22.39)</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25456667"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24.75 </w:t>
            </w:r>
          </w:p>
          <w:p w14:paraId="72763FE0" w14:textId="77777777" w:rsidR="00185424" w:rsidRPr="00DB3FE7" w:rsidRDefault="00185424" w:rsidP="00A86B1A">
            <w:pPr>
              <w:pStyle w:val="PBACTableText"/>
              <w:keepNext/>
              <w:keepLines/>
              <w:spacing w:before="0" w:after="0"/>
              <w:jc w:val="center"/>
              <w:rPr>
                <w:lang w:eastAsia="en-AU"/>
              </w:rPr>
            </w:pPr>
            <w:r w:rsidRPr="00DB3FE7">
              <w:rPr>
                <w:lang w:eastAsia="en-AU"/>
              </w:rPr>
              <w:t>(18.60, 30.89)</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D7D7900"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25.69 </w:t>
            </w:r>
          </w:p>
          <w:p w14:paraId="1197BBF6" w14:textId="77777777" w:rsidR="00185424" w:rsidRPr="00DB3FE7" w:rsidRDefault="00185424" w:rsidP="00A86B1A">
            <w:pPr>
              <w:pStyle w:val="PBACTableText"/>
              <w:keepNext/>
              <w:keepLines/>
              <w:spacing w:before="0" w:after="0"/>
              <w:jc w:val="center"/>
              <w:rPr>
                <w:lang w:eastAsia="en-AU"/>
              </w:rPr>
            </w:pPr>
            <w:r w:rsidRPr="00DB3FE7">
              <w:rPr>
                <w:lang w:eastAsia="en-AU"/>
              </w:rPr>
              <w:t>(20.01, 31.36)</w:t>
            </w:r>
          </w:p>
        </w:tc>
      </w:tr>
      <w:tr w:rsidR="00185424" w:rsidRPr="00DB3FE7" w14:paraId="670F4F19"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31D3723D" w14:textId="77777777" w:rsidR="00185424" w:rsidRPr="00DB3FE7" w:rsidRDefault="00185424" w:rsidP="00A86B1A">
            <w:pPr>
              <w:pStyle w:val="PBACTableText"/>
              <w:keepNext/>
              <w:keepLines/>
              <w:spacing w:before="0" w:after="0"/>
              <w:rPr>
                <w:lang w:eastAsia="en-AU"/>
              </w:rPr>
            </w:pPr>
            <w:r w:rsidRPr="00DB3FE7">
              <w:rPr>
                <w:lang w:eastAsia="en-AU"/>
              </w:rPr>
              <w:t>Evolocumab</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17D24AB4" w14:textId="3532DA8F" w:rsidR="00185424" w:rsidRPr="00DB3FE7" w:rsidRDefault="00185424" w:rsidP="00A86B1A">
            <w:pPr>
              <w:pStyle w:val="PBACTableText"/>
              <w:keepNext/>
              <w:keepLines/>
              <w:spacing w:before="0" w:after="0"/>
              <w:jc w:val="center"/>
              <w:rPr>
                <w:lang w:eastAsia="en-AU"/>
              </w:rPr>
            </w:pPr>
            <w:r w:rsidRPr="00DB3FE7">
              <w:rPr>
                <w:lang w:eastAsia="en-AU"/>
              </w:rPr>
              <w:t>ASCVD: -6.10 (1.32, -13.52)</w:t>
            </w:r>
          </w:p>
          <w:p w14:paraId="7988AC3C" w14:textId="77777777" w:rsidR="00185424" w:rsidRPr="00DB3FE7" w:rsidRDefault="00185424" w:rsidP="00A86B1A">
            <w:pPr>
              <w:pStyle w:val="PBACTableText"/>
              <w:keepNext/>
              <w:keepLines/>
              <w:spacing w:before="0" w:after="0"/>
              <w:jc w:val="center"/>
              <w:rPr>
                <w:lang w:eastAsia="en-AU"/>
              </w:rPr>
            </w:pPr>
            <w:r w:rsidRPr="00DB3FE7">
              <w:rPr>
                <w:lang w:eastAsia="en-AU"/>
              </w:rPr>
              <w:t>HeFH: -10.23 (-3.39, -17.07)</w:t>
            </w:r>
          </w:p>
          <w:p w14:paraId="0B4479A1" w14:textId="77777777" w:rsidR="00185424" w:rsidRPr="00DB3FE7" w:rsidRDefault="00185424" w:rsidP="00A86B1A">
            <w:pPr>
              <w:pStyle w:val="PBACTableText"/>
              <w:keepNext/>
              <w:keepLines/>
              <w:spacing w:before="0" w:after="0"/>
              <w:jc w:val="center"/>
              <w:rPr>
                <w:lang w:eastAsia="en-AU"/>
              </w:rPr>
            </w:pPr>
            <w:r w:rsidRPr="00DB3FE7">
              <w:rPr>
                <w:lang w:eastAsia="en-AU"/>
              </w:rPr>
              <w:t>Economics</w:t>
            </w:r>
            <w:r w:rsidRPr="00DB3FE7">
              <w:rPr>
                <w:vertAlign w:val="superscript"/>
                <w:lang w:eastAsia="en-AU"/>
              </w:rPr>
              <w:t>a</w:t>
            </w:r>
            <w:r w:rsidRPr="00DB3FE7">
              <w:rPr>
                <w:lang w:eastAsia="en-AU"/>
              </w:rPr>
              <w:t>: 0.00</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5CFAC478"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-8.16 </w:t>
            </w:r>
          </w:p>
          <w:p w14:paraId="1B50052A" w14:textId="77777777" w:rsidR="00185424" w:rsidRPr="00DB3FE7" w:rsidRDefault="00185424" w:rsidP="00A86B1A">
            <w:pPr>
              <w:pStyle w:val="PBACTableText"/>
              <w:keepNext/>
              <w:keepLines/>
              <w:spacing w:before="0" w:after="0"/>
              <w:jc w:val="center"/>
              <w:rPr>
                <w:lang w:eastAsia="en-AU"/>
              </w:rPr>
            </w:pPr>
            <w:r w:rsidRPr="00DB3FE7">
              <w:rPr>
                <w:lang w:eastAsia="en-AU"/>
              </w:rPr>
              <w:t>(1.82, -18.49)</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67E2E05E"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-13.33 </w:t>
            </w:r>
          </w:p>
          <w:p w14:paraId="05C65443" w14:textId="77777777" w:rsidR="00185424" w:rsidRPr="00DB3FE7" w:rsidRDefault="00185424" w:rsidP="00A86B1A">
            <w:pPr>
              <w:pStyle w:val="PBACTableText"/>
              <w:keepNext/>
              <w:keepLines/>
              <w:spacing w:before="0" w:after="0"/>
              <w:jc w:val="center"/>
              <w:rPr>
                <w:lang w:eastAsia="en-AU"/>
              </w:rPr>
            </w:pPr>
            <w:r w:rsidRPr="00DB3FE7">
              <w:rPr>
                <w:lang w:eastAsia="en-AU"/>
              </w:rPr>
              <w:t>(-18.54, -8.11)</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249B4736"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-14.51 </w:t>
            </w:r>
          </w:p>
          <w:p w14:paraId="7407B749" w14:textId="77777777" w:rsidR="00185424" w:rsidRPr="00DB3FE7" w:rsidRDefault="00185424" w:rsidP="00A86B1A">
            <w:pPr>
              <w:pStyle w:val="PBACTableText"/>
              <w:keepNext/>
              <w:keepLines/>
              <w:spacing w:before="0" w:after="0"/>
              <w:jc w:val="center"/>
              <w:rPr>
                <w:lang w:eastAsia="en-AU"/>
              </w:rPr>
            </w:pPr>
            <w:r w:rsidRPr="00DB3FE7">
              <w:rPr>
                <w:lang w:eastAsia="en-AU"/>
              </w:rPr>
              <w:t>(-20.03, -8.99)</w:t>
            </w:r>
          </w:p>
        </w:tc>
      </w:tr>
      <w:tr w:rsidR="00185424" w:rsidRPr="00DB3FE7" w14:paraId="20DD8F6D" w14:textId="77777777" w:rsidTr="003F3D53">
        <w:trPr>
          <w:trHeight w:val="259"/>
        </w:trPr>
        <w:tc>
          <w:tcPr>
            <w:tcW w:w="620"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515A5B5B" w14:textId="77777777" w:rsidR="00185424" w:rsidRPr="00DB3FE7" w:rsidRDefault="00185424" w:rsidP="00A86B1A">
            <w:pPr>
              <w:pStyle w:val="PBACTableText"/>
              <w:keepNext/>
              <w:keepLines/>
              <w:spacing w:before="0" w:after="0"/>
              <w:rPr>
                <w:lang w:eastAsia="en-AU"/>
              </w:rPr>
            </w:pPr>
            <w:r w:rsidRPr="00DB3FE7">
              <w:rPr>
                <w:lang w:eastAsia="en-AU"/>
              </w:rPr>
              <w:t>Alirocumab</w:t>
            </w:r>
          </w:p>
        </w:tc>
        <w:tc>
          <w:tcPr>
            <w:tcW w:w="1772" w:type="pct"/>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126F93C5" w14:textId="023075C2" w:rsidR="00185424" w:rsidRPr="00DB3FE7" w:rsidRDefault="00185424" w:rsidP="00A86B1A">
            <w:pPr>
              <w:pStyle w:val="PBACTableText"/>
              <w:keepNext/>
              <w:keepLines/>
              <w:spacing w:before="0" w:after="0"/>
              <w:jc w:val="center"/>
            </w:pPr>
            <w:r w:rsidRPr="00DB3FE7">
              <w:t>ASCVD short-term: 0.58 (7.85, -6.69)</w:t>
            </w:r>
          </w:p>
          <w:p w14:paraId="5D849AA5" w14:textId="77777777" w:rsidR="00185424" w:rsidRPr="00DB3FE7" w:rsidRDefault="00185424" w:rsidP="00A86B1A">
            <w:pPr>
              <w:pStyle w:val="PBACTableText"/>
              <w:keepNext/>
              <w:keepLines/>
              <w:spacing w:before="0" w:after="0"/>
              <w:jc w:val="center"/>
            </w:pPr>
            <w:r w:rsidRPr="00DB3FE7">
              <w:t xml:space="preserve">ASCVD long-term: 0.93 (5.67, -3.81) </w:t>
            </w:r>
          </w:p>
          <w:p w14:paraId="432DA0FB" w14:textId="77777777" w:rsidR="00185424" w:rsidRPr="00DB3FE7" w:rsidRDefault="00185424" w:rsidP="00A86B1A">
            <w:pPr>
              <w:pStyle w:val="PBACTableText"/>
              <w:keepNext/>
              <w:keepLines/>
              <w:spacing w:before="0" w:after="0"/>
              <w:jc w:val="center"/>
            </w:pPr>
            <w:r w:rsidRPr="00DB3FE7">
              <w:t>HeFH: -2.03 (8.48, -12.54)</w:t>
            </w:r>
          </w:p>
        </w:tc>
        <w:tc>
          <w:tcPr>
            <w:tcW w:w="866" w:type="pct"/>
            <w:tcBorders>
              <w:top w:val="single" w:sz="4" w:space="0" w:color="auto"/>
              <w:left w:val="nil"/>
              <w:bottom w:val="single" w:sz="4" w:space="0" w:color="auto"/>
              <w:right w:val="single" w:sz="4" w:space="0" w:color="auto"/>
            </w:tcBorders>
            <w:shd w:val="clear" w:color="auto" w:fill="auto"/>
            <w:tcMar>
              <w:left w:w="20" w:type="dxa"/>
              <w:right w:w="20" w:type="dxa"/>
            </w:tcMar>
            <w:vAlign w:val="center"/>
          </w:tcPr>
          <w:p w14:paraId="48858C62"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-0.78 </w:t>
            </w:r>
          </w:p>
          <w:p w14:paraId="46676537" w14:textId="71817A0E" w:rsidR="00185424" w:rsidRPr="00DB3FE7" w:rsidRDefault="00185424" w:rsidP="00A86B1A">
            <w:pPr>
              <w:pStyle w:val="PBACTableText"/>
              <w:keepNext/>
              <w:keepLines/>
              <w:spacing w:before="0" w:after="0"/>
              <w:jc w:val="center"/>
              <w:rPr>
                <w:lang w:eastAsia="en-AU"/>
              </w:rPr>
            </w:pPr>
            <w:r w:rsidRPr="00DB3FE7">
              <w:rPr>
                <w:lang w:eastAsia="en-AU"/>
              </w:rPr>
              <w:t>(</w:t>
            </w:r>
            <w:r w:rsidR="00991497" w:rsidRPr="00DB3FE7">
              <w:rPr>
                <w:lang w:eastAsia="en-AU"/>
              </w:rPr>
              <w:t>-</w:t>
            </w:r>
            <w:r w:rsidRPr="00DB3FE7">
              <w:rPr>
                <w:lang w:eastAsia="en-AU"/>
              </w:rPr>
              <w:t>8.35, 9.88)</w:t>
            </w:r>
          </w:p>
        </w:tc>
        <w:tc>
          <w:tcPr>
            <w:tcW w:w="797" w:type="pct"/>
            <w:tcBorders>
              <w:top w:val="single" w:sz="4" w:space="0" w:color="auto"/>
              <w:left w:val="nil"/>
              <w:bottom w:val="single" w:sz="4" w:space="0" w:color="auto"/>
              <w:right w:val="single" w:sz="4" w:space="0" w:color="auto"/>
            </w:tcBorders>
            <w:tcMar>
              <w:left w:w="20" w:type="dxa"/>
              <w:right w:w="20" w:type="dxa"/>
            </w:tcMar>
            <w:vAlign w:val="center"/>
          </w:tcPr>
          <w:p w14:paraId="07A2D21D" w14:textId="77777777" w:rsidR="00185424" w:rsidRPr="00DB3FE7" w:rsidRDefault="00185424" w:rsidP="00A86B1A">
            <w:pPr>
              <w:pStyle w:val="PBACTableText"/>
              <w:keepNext/>
              <w:keepLines/>
              <w:spacing w:before="0" w:after="0"/>
              <w:jc w:val="center"/>
              <w:rPr>
                <w:lang w:eastAsia="en-AU"/>
              </w:rPr>
            </w:pPr>
            <w:r w:rsidRPr="00DB3FE7">
              <w:rPr>
                <w:lang w:eastAsia="en-AU"/>
              </w:rPr>
              <w:t xml:space="preserve">-4.55 </w:t>
            </w:r>
          </w:p>
          <w:p w14:paraId="0C6361EE" w14:textId="77777777" w:rsidR="00185424" w:rsidRPr="00DB3FE7" w:rsidRDefault="00185424" w:rsidP="00A86B1A">
            <w:pPr>
              <w:pStyle w:val="PBACTableText"/>
              <w:keepNext/>
              <w:keepLines/>
              <w:spacing w:before="0" w:after="0"/>
              <w:jc w:val="center"/>
              <w:rPr>
                <w:lang w:eastAsia="en-AU"/>
              </w:rPr>
            </w:pPr>
            <w:r w:rsidRPr="00DB3FE7">
              <w:rPr>
                <w:lang w:eastAsia="en-AU"/>
              </w:rPr>
              <w:t>(-10.21, 1.10)</w:t>
            </w:r>
          </w:p>
        </w:tc>
        <w:tc>
          <w:tcPr>
            <w:tcW w:w="945" w:type="pct"/>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BB08E33" w14:textId="77777777" w:rsidR="00185424" w:rsidRPr="00DB3FE7" w:rsidRDefault="00185424" w:rsidP="00A86B1A">
            <w:pPr>
              <w:pStyle w:val="PBACTableText"/>
              <w:keepNext/>
              <w:keepLines/>
              <w:spacing w:before="0" w:after="0"/>
              <w:jc w:val="center"/>
            </w:pPr>
            <w:r w:rsidRPr="00DB3FE7">
              <w:t xml:space="preserve">75 mg fortnightly: </w:t>
            </w:r>
          </w:p>
          <w:p w14:paraId="1F4C10D9" w14:textId="77777777" w:rsidR="00185424" w:rsidRPr="00DB3FE7" w:rsidRDefault="00185424" w:rsidP="00A86B1A">
            <w:pPr>
              <w:pStyle w:val="PBACTableText"/>
              <w:keepNext/>
              <w:keepLines/>
              <w:spacing w:before="0" w:after="0"/>
              <w:jc w:val="center"/>
              <w:rPr>
                <w:lang w:eastAsia="en-AU"/>
              </w:rPr>
            </w:pPr>
            <w:r w:rsidRPr="00DB3FE7">
              <w:rPr>
                <w:lang w:eastAsia="en-AU"/>
              </w:rPr>
              <w:t>-3.09 (-8.84, 2.66)</w:t>
            </w:r>
          </w:p>
          <w:p w14:paraId="442F11E6" w14:textId="77777777" w:rsidR="00185424" w:rsidRPr="00DB3FE7" w:rsidRDefault="00185424" w:rsidP="00A86B1A">
            <w:pPr>
              <w:pStyle w:val="PBACTableText"/>
              <w:keepNext/>
              <w:keepLines/>
              <w:spacing w:before="0" w:after="0"/>
              <w:jc w:val="center"/>
            </w:pPr>
            <w:r w:rsidRPr="00DB3FE7">
              <w:t xml:space="preserve">150 mg fortnightly: </w:t>
            </w:r>
          </w:p>
          <w:p w14:paraId="5CCE7FD1" w14:textId="77777777" w:rsidR="00185424" w:rsidRPr="00DB3FE7" w:rsidRDefault="00185424" w:rsidP="00A86B1A">
            <w:pPr>
              <w:pStyle w:val="PBACTableText"/>
              <w:keepNext/>
              <w:keepLines/>
              <w:spacing w:before="0" w:after="0"/>
              <w:jc w:val="center"/>
              <w:rPr>
                <w:lang w:eastAsia="en-AU"/>
              </w:rPr>
            </w:pPr>
            <w:r w:rsidRPr="00DB3FE7">
              <w:rPr>
                <w:lang w:eastAsia="en-AU"/>
              </w:rPr>
              <w:t>-12.54 (-19.37, -5.71)</w:t>
            </w:r>
          </w:p>
          <w:p w14:paraId="790A57E7" w14:textId="77777777" w:rsidR="00185424" w:rsidRPr="00DB3FE7" w:rsidRDefault="00185424" w:rsidP="00A86B1A">
            <w:pPr>
              <w:pStyle w:val="PBACTableText"/>
              <w:keepNext/>
              <w:keepLines/>
              <w:spacing w:before="0" w:after="0"/>
              <w:jc w:val="center"/>
            </w:pPr>
            <w:r w:rsidRPr="00DB3FE7">
              <w:t xml:space="preserve">300 mg monthly: </w:t>
            </w:r>
          </w:p>
          <w:p w14:paraId="1CDB371A" w14:textId="77777777" w:rsidR="00185424" w:rsidRPr="00DB3FE7" w:rsidRDefault="00185424" w:rsidP="00A86B1A">
            <w:pPr>
              <w:pStyle w:val="PBACTableText"/>
              <w:keepNext/>
              <w:keepLines/>
              <w:spacing w:before="0" w:after="0"/>
              <w:jc w:val="center"/>
              <w:rPr>
                <w:lang w:eastAsia="en-AU"/>
              </w:rPr>
            </w:pPr>
            <w:r w:rsidRPr="00DB3FE7">
              <w:rPr>
                <w:lang w:eastAsia="en-AU"/>
              </w:rPr>
              <w:t>-1.44 (-10.48, 7.59)</w:t>
            </w:r>
          </w:p>
        </w:tc>
      </w:tr>
    </w:tbl>
    <w:p w14:paraId="6ED41E2A" w14:textId="68A3B794" w:rsidR="00974C34" w:rsidRPr="00DB3FE7" w:rsidRDefault="00974C34" w:rsidP="00974C34">
      <w:pPr>
        <w:pStyle w:val="COMTablefooter"/>
      </w:pPr>
      <w:r w:rsidRPr="00DB3FE7">
        <w:t>Source: Figure 46; Table 47; Table 66 of the submission; Figure 1; Table 11; Figure 2; Table 10; Attachment 4 of the submission; Burnett (2022) publication, Huang (2022) publication; Toth (2022) publication</w:t>
      </w:r>
    </w:p>
    <w:p w14:paraId="5A961BBB" w14:textId="77777777" w:rsidR="00974C34" w:rsidRPr="00DB3FE7" w:rsidRDefault="00974C34" w:rsidP="00974C34">
      <w:pPr>
        <w:pStyle w:val="COMTablefooter"/>
      </w:pPr>
      <w:r w:rsidRPr="00DB3FE7">
        <w:t>Abbreviations: ASCVD, atherosclerotic cardiovascular disease; CI, confidence interval; HeFH, heterozygous familial hypercholesterolaemia; MIWM, multiple imputation washout model; MMRM, mixed effect model for repeated measures</w:t>
      </w:r>
    </w:p>
    <w:p w14:paraId="10E98530" w14:textId="239E48C5" w:rsidR="00B73EA9" w:rsidRPr="00DB3FE7" w:rsidRDefault="00974C34" w:rsidP="00974C34">
      <w:pPr>
        <w:pStyle w:val="COMTablefooter"/>
      </w:pPr>
      <w:r w:rsidRPr="00DB3FE7">
        <w:rPr>
          <w:vertAlign w:val="superscript"/>
        </w:rPr>
        <w:t>a</w:t>
      </w:r>
      <w:r w:rsidR="00B73EA9" w:rsidRPr="00DB3FE7">
        <w:t xml:space="preserve"> </w:t>
      </w:r>
      <w:r w:rsidR="00185424" w:rsidRPr="00DB3FE7">
        <w:t>ORION 10</w:t>
      </w:r>
      <w:r w:rsidR="00AE16D6" w:rsidRPr="00DB3FE7">
        <w:t xml:space="preserve"> trial</w:t>
      </w:r>
    </w:p>
    <w:p w14:paraId="68B06DA8" w14:textId="7560055C" w:rsidR="00B73EA9" w:rsidRPr="00DB3FE7" w:rsidRDefault="00B73EA9" w:rsidP="00974C34">
      <w:pPr>
        <w:pStyle w:val="COMTablefooter"/>
      </w:pPr>
      <w:r w:rsidRPr="00DB3FE7">
        <w:rPr>
          <w:vertAlign w:val="superscript"/>
        </w:rPr>
        <w:t>b</w:t>
      </w:r>
      <w:r w:rsidRPr="00DB3FE7">
        <w:t xml:space="preserve"> </w:t>
      </w:r>
      <w:r w:rsidR="00185424" w:rsidRPr="00DB3FE7">
        <w:t>EASE</w:t>
      </w:r>
      <w:r w:rsidR="00AE16D6" w:rsidRPr="00DB3FE7">
        <w:t xml:space="preserve"> trial</w:t>
      </w:r>
    </w:p>
    <w:p w14:paraId="2BB74AD2" w14:textId="65579397" w:rsidR="00974C34" w:rsidRPr="00DB3FE7" w:rsidRDefault="00B73EA9" w:rsidP="00974C34">
      <w:pPr>
        <w:pStyle w:val="COMTablefooter"/>
      </w:pPr>
      <w:r w:rsidRPr="00DB3FE7">
        <w:rPr>
          <w:vertAlign w:val="superscript"/>
        </w:rPr>
        <w:t xml:space="preserve">c </w:t>
      </w:r>
      <w:r w:rsidR="00185424" w:rsidRPr="00DB3FE7">
        <w:t xml:space="preserve">Assumed to be the same as inclisiran </w:t>
      </w:r>
    </w:p>
    <w:p w14:paraId="49803C2D" w14:textId="6B36BC28" w:rsidR="00297C11" w:rsidRPr="00DB3FE7" w:rsidRDefault="00297C11" w:rsidP="00297C11">
      <w:pPr>
        <w:pStyle w:val="COMexecsumnumberedpara"/>
      </w:pPr>
      <w:r w:rsidRPr="00DB3FE7">
        <w:t>The mean change in LDL</w:t>
      </w:r>
      <w:r w:rsidR="00CD0449" w:rsidRPr="00DB3FE7">
        <w:t>-C</w:t>
      </w:r>
      <w:r w:rsidRPr="00DB3FE7">
        <w:t xml:space="preserve"> from baseline associated with ezetimibe (approximately 25%), evolocumab (approximately 65%) and alirocumab (approximately 50-65% varying by dose) compared to placebo was consistent across all published network meta-analyses. However, the mean change in LDL</w:t>
      </w:r>
      <w:r w:rsidR="00CD0449" w:rsidRPr="00DB3FE7">
        <w:t>-C</w:t>
      </w:r>
      <w:r w:rsidRPr="00DB3FE7">
        <w:t xml:space="preserve"> associated with inclisiran compared to placebo was more variable between analyses which appeared to be primarily due to differences in outcome definition (Burnett used previously unpublished MMRM results at Day 150 while Huang and Toth used primary outcomes as reported from the ORION trials). </w:t>
      </w:r>
    </w:p>
    <w:p w14:paraId="5A281247" w14:textId="0E53F150" w:rsidR="00297C11" w:rsidRPr="00DB3FE7" w:rsidRDefault="00974C34" w:rsidP="00297C11">
      <w:pPr>
        <w:pStyle w:val="COMexecsumnumberedpara"/>
      </w:pPr>
      <w:r w:rsidRPr="00DB3FE7">
        <w:t>Based on the indirect analyses presented in the submission, treatment with inclisiran was associated with a statistically significant reduction in LDL</w:t>
      </w:r>
      <w:r w:rsidR="00CD0449" w:rsidRPr="00DB3FE7">
        <w:t>-C</w:t>
      </w:r>
      <w:r w:rsidRPr="00DB3FE7">
        <w:t xml:space="preserve"> levels compared to ezetimibe in patients with ASCVD or ASCVD-risk equivalents. </w:t>
      </w:r>
    </w:p>
    <w:p w14:paraId="2E34A1E3" w14:textId="70D3C11F" w:rsidR="008F392E" w:rsidRPr="00DB3FE7" w:rsidRDefault="00792480" w:rsidP="00126D1A">
      <w:pPr>
        <w:pStyle w:val="COMexecsumnumberedpara"/>
      </w:pPr>
      <w:r w:rsidRPr="00DB3FE7">
        <w:t>However, c</w:t>
      </w:r>
      <w:r w:rsidR="00974C34" w:rsidRPr="00DB3FE7">
        <w:t>omparisons between inclisiran and</w:t>
      </w:r>
      <w:r w:rsidR="00651AB4" w:rsidRPr="00DB3FE7">
        <w:t xml:space="preserve"> evolocumab</w:t>
      </w:r>
      <w:r w:rsidR="00974C34" w:rsidRPr="00DB3FE7">
        <w:t xml:space="preserve"> consistently favoured evolocumab</w:t>
      </w:r>
      <w:r w:rsidR="00651AB4" w:rsidRPr="00DB3FE7">
        <w:t>,</w:t>
      </w:r>
      <w:r w:rsidR="00974C34" w:rsidRPr="00DB3FE7">
        <w:t xml:space="preserve"> with the differences reaching statistical signi</w:t>
      </w:r>
      <w:r w:rsidRPr="00DB3FE7">
        <w:t>fi</w:t>
      </w:r>
      <w:r w:rsidR="00974C34" w:rsidRPr="00DB3FE7">
        <w:t>cance for patient</w:t>
      </w:r>
      <w:r w:rsidRPr="00DB3FE7">
        <w:t xml:space="preserve">s with </w:t>
      </w:r>
      <w:r w:rsidR="0054116D" w:rsidRPr="00DB3FE7">
        <w:t>HeFH</w:t>
      </w:r>
      <w:r w:rsidRPr="00DB3FE7">
        <w:t>. Comparisons between inclisiran and alirocumab appeared to show similar results with both treatments.</w:t>
      </w:r>
      <w:r w:rsidR="00297C11" w:rsidRPr="00DB3FE7">
        <w:t xml:space="preserve"> </w:t>
      </w:r>
    </w:p>
    <w:p w14:paraId="47035C5F" w14:textId="1B7001EF" w:rsidR="00792480" w:rsidRPr="00DB3FE7" w:rsidRDefault="00297C11" w:rsidP="00126D1A">
      <w:pPr>
        <w:pStyle w:val="COMexecsumnumberedpara"/>
      </w:pPr>
      <w:r w:rsidRPr="00DB3FE7">
        <w:t>Overall, t</w:t>
      </w:r>
      <w:r w:rsidR="00792480" w:rsidRPr="00DB3FE7">
        <w:t xml:space="preserve">he submission considered that the differences between </w:t>
      </w:r>
      <w:r w:rsidRPr="00DB3FE7">
        <w:t>inclisiran and evolocumab and alirocumab</w:t>
      </w:r>
      <w:r w:rsidR="00792480" w:rsidRPr="00DB3FE7">
        <w:t xml:space="preserve"> were small and most did not reach statistical significance. Therefore, the submission argued that the</w:t>
      </w:r>
      <w:r w:rsidR="00651AB4" w:rsidRPr="00DB3FE7">
        <w:t xml:space="preserve"> results of the indirect analyse</w:t>
      </w:r>
      <w:r w:rsidR="00792480" w:rsidRPr="00DB3FE7">
        <w:t>s support the claim that inclisiran is non-inferior to evolocumab and alirocumab in terms of lowering LDL</w:t>
      </w:r>
      <w:r w:rsidR="00CD0449" w:rsidRPr="00DB3FE7">
        <w:t>-C</w:t>
      </w:r>
      <w:r w:rsidR="00792480" w:rsidRPr="00DB3FE7">
        <w:t xml:space="preserve">. </w:t>
      </w:r>
      <w:r w:rsidR="00736C7D" w:rsidRPr="00DB3FE7">
        <w:t>However, t</w:t>
      </w:r>
      <w:r w:rsidR="00792480" w:rsidRPr="00DB3FE7">
        <w:t>he lack of a statistically significant difference between treatments may not be sufficient to establish non-inferiority, as the uncertainty associated with the indirect analysis may obscure clinically important differences.</w:t>
      </w:r>
    </w:p>
    <w:p w14:paraId="689EA19D" w14:textId="7F251766" w:rsidR="00BD0FED" w:rsidRPr="00DB3FE7" w:rsidRDefault="00BD0FED" w:rsidP="00980E94">
      <w:pPr>
        <w:pStyle w:val="COMexecsumnumberedpara"/>
      </w:pPr>
      <w:r w:rsidRPr="00DB3FE7">
        <w:t>Comparisons between treatments demonstrated that inclisiran was associated with consistently greater reductions in LDL</w:t>
      </w:r>
      <w:r w:rsidR="00CD0449" w:rsidRPr="00DB3FE7">
        <w:t>-C</w:t>
      </w:r>
      <w:r w:rsidRPr="00DB3FE7">
        <w:t xml:space="preserve"> compared to ezetimibe but was associated with consistently smaller reductions in LDL</w:t>
      </w:r>
      <w:r w:rsidR="00CD0449" w:rsidRPr="00DB3FE7">
        <w:t>-C</w:t>
      </w:r>
      <w:r w:rsidRPr="00DB3FE7">
        <w:t xml:space="preserve"> compared to evolocumab. </w:t>
      </w:r>
      <w:r w:rsidR="00C24FA6" w:rsidRPr="00DB3FE7">
        <w:t>Treatment </w:t>
      </w:r>
      <w:r w:rsidRPr="00DB3FE7">
        <w:t>with inclisiran appeared to be associated with similar LDL</w:t>
      </w:r>
      <w:r w:rsidR="00CD0449" w:rsidRPr="00DB3FE7">
        <w:t>-C</w:t>
      </w:r>
      <w:r w:rsidRPr="00DB3FE7">
        <w:t xml:space="preserve"> reductions </w:t>
      </w:r>
      <w:r w:rsidR="00601CCB" w:rsidRPr="00DB3FE7">
        <w:t xml:space="preserve">to </w:t>
      </w:r>
      <w:r w:rsidRPr="00DB3FE7">
        <w:t>the lower dose strengths of alirocumab (75 mg fortnightly or 300 mg monthly).</w:t>
      </w:r>
    </w:p>
    <w:p w14:paraId="2EBCFB49" w14:textId="3306F42F" w:rsidR="00915228" w:rsidRPr="00DB3FE7" w:rsidRDefault="00915228" w:rsidP="00980E94">
      <w:pPr>
        <w:pStyle w:val="COMexecsumnumberedpara"/>
      </w:pPr>
      <w:r w:rsidRPr="00DB3FE7">
        <w:t>The pre-PBAC response stat</w:t>
      </w:r>
      <w:r w:rsidR="00736C7D" w:rsidRPr="00DB3FE7">
        <w:t>ed</w:t>
      </w:r>
      <w:r w:rsidRPr="00DB3FE7">
        <w:t xml:space="preserve"> that the information presented in Table 6 was misleading for the following reasons:</w:t>
      </w:r>
    </w:p>
    <w:p w14:paraId="55D13E64" w14:textId="336CF438" w:rsidR="00915228" w:rsidRPr="00DB3FE7" w:rsidRDefault="006D4990" w:rsidP="00BA3310">
      <w:pPr>
        <w:pStyle w:val="COMexecsumnumberedpara"/>
        <w:numPr>
          <w:ilvl w:val="1"/>
          <w:numId w:val="16"/>
        </w:numPr>
        <w:ind w:left="1080" w:hanging="360"/>
      </w:pPr>
      <w:r w:rsidRPr="00DB3FE7">
        <w:t>The analyses do not consider any exchangeability or applicability issues across the included trials;</w:t>
      </w:r>
    </w:p>
    <w:p w14:paraId="6FBA9459" w14:textId="5ACCF60D" w:rsidR="006D4990" w:rsidRPr="00DB3FE7" w:rsidRDefault="006D4990" w:rsidP="00BA3310">
      <w:pPr>
        <w:pStyle w:val="COMexecsumnumberedpara"/>
        <w:numPr>
          <w:ilvl w:val="1"/>
          <w:numId w:val="16"/>
        </w:numPr>
        <w:ind w:left="1080" w:hanging="360"/>
      </w:pPr>
      <w:r w:rsidRPr="00DB3FE7">
        <w:t>The analyses did not ensure that the methods of imputation to handle missing da</w:t>
      </w:r>
      <w:r w:rsidR="001D582B" w:rsidRPr="00DB3FE7">
        <w:t>t</w:t>
      </w:r>
      <w:r w:rsidRPr="00DB3FE7">
        <w:t>a were similar across the included trials;</w:t>
      </w:r>
    </w:p>
    <w:p w14:paraId="1FC2A8DD" w14:textId="75E1DDFC" w:rsidR="006D4990" w:rsidRPr="00DB3FE7" w:rsidRDefault="006D4990" w:rsidP="00BA3310">
      <w:pPr>
        <w:pStyle w:val="COMexecsumnumberedpara"/>
        <w:numPr>
          <w:ilvl w:val="1"/>
          <w:numId w:val="16"/>
        </w:numPr>
        <w:ind w:left="1080" w:hanging="360"/>
      </w:pPr>
      <w:r w:rsidRPr="00DB3FE7">
        <w:t xml:space="preserve">The study durations differed; and </w:t>
      </w:r>
    </w:p>
    <w:p w14:paraId="750DFDFC" w14:textId="41DC84E4" w:rsidR="006D4990" w:rsidRPr="00DB3FE7" w:rsidRDefault="006D4990" w:rsidP="00BA3310">
      <w:pPr>
        <w:pStyle w:val="COMexecsumnumberedpara"/>
        <w:numPr>
          <w:ilvl w:val="1"/>
          <w:numId w:val="16"/>
        </w:numPr>
        <w:ind w:left="1080" w:hanging="360"/>
      </w:pPr>
      <w:r w:rsidRPr="00DB3FE7">
        <w:t>Toth</w:t>
      </w:r>
      <w:r w:rsidR="009A3554" w:rsidRPr="00DB3FE7">
        <w:t>, unlike Burnett and Huang,</w:t>
      </w:r>
      <w:r w:rsidRPr="00DB3FE7">
        <w:t xml:space="preserve"> analysed the 75 mg dose of alirocumab separately to the 150 mg dose; however, it would have been more appropriate to evaluate the efficacy of the alirocumab treatment algorithm, as patients who do not respond to the 75 mg dose will move to the higher doses. </w:t>
      </w:r>
    </w:p>
    <w:p w14:paraId="1452C351" w14:textId="04F85588" w:rsidR="00B60939" w:rsidRPr="00DB3FE7" w:rsidRDefault="00B60939" w:rsidP="00D86231">
      <w:pPr>
        <w:pStyle w:val="COMH2-non-numbered"/>
      </w:pPr>
      <w:bookmarkStart w:id="28" w:name="_Toc22897642"/>
      <w:bookmarkStart w:id="29" w:name="_Toc124866146"/>
      <w:r w:rsidRPr="00DB3FE7">
        <w:t>Comparative harms</w:t>
      </w:r>
      <w:bookmarkEnd w:id="28"/>
      <w:bookmarkEnd w:id="29"/>
    </w:p>
    <w:p w14:paraId="352C5535" w14:textId="677477E4" w:rsidR="006559DC" w:rsidRPr="00352E1C" w:rsidRDefault="00334451" w:rsidP="00980E94">
      <w:pPr>
        <w:pStyle w:val="COMexecsumnumberedpara"/>
      </w:pPr>
      <w:r w:rsidRPr="00D2286B">
        <w:fldChar w:fldCharType="begin" w:fldLock="1"/>
      </w:r>
      <w:r w:rsidRPr="00DB3FE7">
        <w:instrText xml:space="preserve"> REF _Ref124101626 \h </w:instrText>
      </w:r>
      <w:r w:rsidRPr="00D2286B">
        <w:fldChar w:fldCharType="separate"/>
      </w:r>
      <w:r w:rsidR="00424520" w:rsidRPr="00D2286B">
        <w:t xml:space="preserve">Table </w:t>
      </w:r>
      <w:r w:rsidR="00424520" w:rsidRPr="00D2286B">
        <w:rPr>
          <w:noProof/>
        </w:rPr>
        <w:t>7</w:t>
      </w:r>
      <w:r w:rsidRPr="00D2286B">
        <w:fldChar w:fldCharType="end"/>
      </w:r>
      <w:r w:rsidR="006559DC" w:rsidRPr="0042765C">
        <w:t xml:space="preserve"> presents an overall summary of the adverse events reported with inclisiran and placebo treatment in the ORION trials.</w:t>
      </w:r>
    </w:p>
    <w:p w14:paraId="38D8FD03" w14:textId="78DF400D" w:rsidR="006559DC" w:rsidRPr="00D2286B" w:rsidRDefault="00773BF1" w:rsidP="00773BF1">
      <w:pPr>
        <w:pStyle w:val="COMtablefigcaption"/>
        <w:rPr>
          <w:color w:val="3366FF"/>
        </w:rPr>
      </w:pPr>
      <w:bookmarkStart w:id="30" w:name="_Ref124101626"/>
      <w:r w:rsidRPr="00352E1C">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7</w:t>
      </w:r>
      <w:r w:rsidR="00E1209D" w:rsidRPr="00D2286B">
        <w:rPr>
          <w:noProof/>
        </w:rPr>
        <w:fldChar w:fldCharType="end"/>
      </w:r>
      <w:bookmarkEnd w:id="30"/>
      <w:r w:rsidR="006559DC" w:rsidRPr="0042765C">
        <w:rPr>
          <w:snapToGrid w:val="0"/>
        </w:rPr>
        <w:t>: Summary of adverse events in the inclisi</w:t>
      </w:r>
      <w:r w:rsidR="006559DC" w:rsidRPr="00D2286B">
        <w:rPr>
          <w:snapToGrid w:val="0"/>
        </w:rPr>
        <w:t>ran trials</w:t>
      </w:r>
    </w:p>
    <w:tbl>
      <w:tblPr>
        <w:tblW w:w="5000" w:type="pct"/>
        <w:tblLook w:val="04A0" w:firstRow="1" w:lastRow="0" w:firstColumn="1" w:lastColumn="0" w:noHBand="0" w:noVBand="1"/>
      </w:tblPr>
      <w:tblGrid>
        <w:gridCol w:w="1941"/>
        <w:gridCol w:w="1180"/>
        <w:gridCol w:w="1181"/>
        <w:gridCol w:w="1179"/>
        <w:gridCol w:w="1179"/>
        <w:gridCol w:w="1179"/>
        <w:gridCol w:w="1178"/>
      </w:tblGrid>
      <w:tr w:rsidR="006559DC" w:rsidRPr="00DB3FE7" w14:paraId="30BD4092" w14:textId="77777777" w:rsidTr="00035F43">
        <w:trPr>
          <w:tblHeader/>
        </w:trPr>
        <w:tc>
          <w:tcPr>
            <w:tcW w:w="1076" w:type="pct"/>
            <w:vMerge w:val="restart"/>
            <w:tcBorders>
              <w:top w:val="single" w:sz="4" w:space="0" w:color="auto"/>
              <w:left w:val="single" w:sz="4" w:space="0" w:color="auto"/>
              <w:right w:val="single" w:sz="4" w:space="0" w:color="auto"/>
            </w:tcBorders>
            <w:shd w:val="clear" w:color="auto" w:fill="auto"/>
            <w:vAlign w:val="center"/>
          </w:tcPr>
          <w:p w14:paraId="776F38A0" w14:textId="77777777" w:rsidR="006559DC" w:rsidRPr="00DB3FE7" w:rsidRDefault="006559DC" w:rsidP="00035F43">
            <w:pPr>
              <w:pStyle w:val="PBACTableText"/>
              <w:keepNext/>
              <w:spacing w:before="0" w:after="0"/>
              <w:rPr>
                <w:b/>
                <w:bCs/>
                <w:lang w:eastAsia="en-AU"/>
              </w:rPr>
            </w:pPr>
            <w:r w:rsidRPr="00352E1C">
              <w:rPr>
                <w:b/>
                <w:bCs/>
                <w:lang w:eastAsia="en-AU"/>
              </w:rPr>
              <w:t>Adverse event category</w:t>
            </w:r>
          </w:p>
        </w:tc>
        <w:tc>
          <w:tcPr>
            <w:tcW w:w="1309" w:type="pct"/>
            <w:gridSpan w:val="2"/>
            <w:tcBorders>
              <w:top w:val="single" w:sz="4" w:space="0" w:color="auto"/>
              <w:left w:val="nil"/>
              <w:right w:val="single" w:sz="4" w:space="0" w:color="auto"/>
            </w:tcBorders>
            <w:shd w:val="clear" w:color="auto" w:fill="auto"/>
            <w:vAlign w:val="center"/>
          </w:tcPr>
          <w:p w14:paraId="00DC387B" w14:textId="77777777" w:rsidR="006559DC" w:rsidRPr="00DB3FE7" w:rsidRDefault="006559DC" w:rsidP="00035F43">
            <w:pPr>
              <w:pStyle w:val="PBACTableText"/>
              <w:keepNext/>
              <w:spacing w:before="0" w:after="0"/>
              <w:jc w:val="center"/>
              <w:rPr>
                <w:b/>
                <w:bCs/>
                <w:lang w:eastAsia="en-AU"/>
              </w:rPr>
            </w:pPr>
            <w:r w:rsidRPr="00DB3FE7">
              <w:rPr>
                <w:b/>
                <w:bCs/>
                <w:lang w:eastAsia="en-AU"/>
              </w:rPr>
              <w:t>ORION 9</w:t>
            </w:r>
          </w:p>
        </w:tc>
        <w:tc>
          <w:tcPr>
            <w:tcW w:w="1308" w:type="pct"/>
            <w:gridSpan w:val="2"/>
            <w:tcBorders>
              <w:top w:val="single" w:sz="4" w:space="0" w:color="auto"/>
              <w:left w:val="single" w:sz="4" w:space="0" w:color="auto"/>
              <w:bottom w:val="single" w:sz="4" w:space="0" w:color="auto"/>
              <w:right w:val="single" w:sz="4" w:space="0" w:color="auto"/>
            </w:tcBorders>
            <w:vAlign w:val="center"/>
          </w:tcPr>
          <w:p w14:paraId="1B6F7EF5" w14:textId="77777777" w:rsidR="006559DC" w:rsidRPr="00DB3FE7" w:rsidRDefault="006559DC" w:rsidP="00035F43">
            <w:pPr>
              <w:pStyle w:val="PBACTableText"/>
              <w:keepNext/>
              <w:spacing w:before="0" w:after="0"/>
              <w:jc w:val="center"/>
              <w:rPr>
                <w:b/>
                <w:bCs/>
                <w:lang w:eastAsia="en-AU"/>
              </w:rPr>
            </w:pPr>
            <w:r w:rsidRPr="00DB3FE7">
              <w:rPr>
                <w:b/>
                <w:bCs/>
                <w:lang w:eastAsia="en-AU"/>
              </w:rPr>
              <w:t>ORION 10</w:t>
            </w:r>
          </w:p>
        </w:tc>
        <w:tc>
          <w:tcPr>
            <w:tcW w:w="1307" w:type="pct"/>
            <w:gridSpan w:val="2"/>
            <w:tcBorders>
              <w:top w:val="single" w:sz="4" w:space="0" w:color="auto"/>
              <w:left w:val="single" w:sz="4" w:space="0" w:color="auto"/>
              <w:bottom w:val="single" w:sz="4" w:space="0" w:color="auto"/>
              <w:right w:val="single" w:sz="4" w:space="0" w:color="auto"/>
            </w:tcBorders>
            <w:vAlign w:val="center"/>
          </w:tcPr>
          <w:p w14:paraId="1F66404B" w14:textId="77777777" w:rsidR="006559DC" w:rsidRPr="00DB3FE7" w:rsidRDefault="006559DC" w:rsidP="00035F43">
            <w:pPr>
              <w:pStyle w:val="PBACTableText"/>
              <w:keepNext/>
              <w:spacing w:before="0" w:after="0"/>
              <w:jc w:val="center"/>
              <w:rPr>
                <w:b/>
                <w:bCs/>
                <w:lang w:eastAsia="en-AU"/>
              </w:rPr>
            </w:pPr>
            <w:r w:rsidRPr="00DB3FE7">
              <w:rPr>
                <w:b/>
                <w:bCs/>
                <w:lang w:eastAsia="en-AU"/>
              </w:rPr>
              <w:t>ORION 11</w:t>
            </w:r>
          </w:p>
        </w:tc>
      </w:tr>
      <w:tr w:rsidR="006559DC" w:rsidRPr="00DB3FE7" w14:paraId="6ADF6C8A" w14:textId="77777777" w:rsidTr="00035F43">
        <w:trPr>
          <w:tblHeader/>
        </w:trPr>
        <w:tc>
          <w:tcPr>
            <w:tcW w:w="1076" w:type="pct"/>
            <w:vMerge/>
            <w:tcBorders>
              <w:left w:val="single" w:sz="4" w:space="0" w:color="auto"/>
              <w:bottom w:val="single" w:sz="4" w:space="0" w:color="000000"/>
              <w:right w:val="single" w:sz="4" w:space="0" w:color="auto"/>
            </w:tcBorders>
            <w:shd w:val="clear" w:color="auto" w:fill="auto"/>
            <w:vAlign w:val="center"/>
          </w:tcPr>
          <w:p w14:paraId="6762EF86" w14:textId="77777777" w:rsidR="006559DC" w:rsidRPr="00DB3FE7" w:rsidRDefault="006559DC" w:rsidP="00035F43">
            <w:pPr>
              <w:pStyle w:val="PBACTableText"/>
              <w:keepNext/>
              <w:spacing w:before="0" w:after="0"/>
              <w:rPr>
                <w:b/>
                <w:bCs/>
                <w:lang w:eastAsia="en-AU"/>
              </w:rPr>
            </w:pPr>
          </w:p>
        </w:tc>
        <w:tc>
          <w:tcPr>
            <w:tcW w:w="654" w:type="pct"/>
            <w:tcBorders>
              <w:top w:val="single" w:sz="4" w:space="0" w:color="auto"/>
              <w:left w:val="nil"/>
              <w:right w:val="nil"/>
            </w:tcBorders>
            <w:shd w:val="clear" w:color="auto" w:fill="auto"/>
            <w:vAlign w:val="center"/>
            <w:hideMark/>
          </w:tcPr>
          <w:p w14:paraId="598BDF00" w14:textId="77777777" w:rsidR="006559DC" w:rsidRPr="00DB3FE7" w:rsidRDefault="006559DC" w:rsidP="00035F43">
            <w:pPr>
              <w:pStyle w:val="PBACTableText"/>
              <w:keepNext/>
              <w:spacing w:before="0" w:after="0"/>
              <w:jc w:val="center"/>
              <w:rPr>
                <w:b/>
                <w:bCs/>
                <w:lang w:eastAsia="en-AU"/>
              </w:rPr>
            </w:pPr>
            <w:r w:rsidRPr="00DB3FE7">
              <w:rPr>
                <w:b/>
                <w:bCs/>
                <w:lang w:eastAsia="en-AU"/>
              </w:rPr>
              <w:t>Inclisiran</w:t>
            </w:r>
          </w:p>
          <w:p w14:paraId="65F6FA22" w14:textId="77777777" w:rsidR="006559DC" w:rsidRPr="00DB3FE7" w:rsidRDefault="006559DC" w:rsidP="00035F43">
            <w:pPr>
              <w:pStyle w:val="PBACTableText"/>
              <w:keepNext/>
              <w:spacing w:before="0" w:after="0"/>
              <w:jc w:val="center"/>
              <w:rPr>
                <w:b/>
                <w:bCs/>
                <w:lang w:eastAsia="en-AU"/>
              </w:rPr>
            </w:pPr>
            <w:r w:rsidRPr="00DB3FE7">
              <w:rPr>
                <w:b/>
                <w:bCs/>
                <w:lang w:eastAsia="en-AU"/>
              </w:rPr>
              <w:t xml:space="preserve">N = 241 </w:t>
            </w:r>
          </w:p>
          <w:p w14:paraId="4EE6E336" w14:textId="77777777" w:rsidR="006559DC" w:rsidRPr="00DB3FE7" w:rsidRDefault="006559DC" w:rsidP="00035F43">
            <w:pPr>
              <w:pStyle w:val="PBACTableText"/>
              <w:keepNext/>
              <w:spacing w:before="0" w:after="0"/>
              <w:jc w:val="center"/>
              <w:rPr>
                <w:b/>
                <w:bCs/>
                <w:lang w:eastAsia="en-AU"/>
              </w:rPr>
            </w:pPr>
            <w:r w:rsidRPr="00DB3FE7">
              <w:rPr>
                <w:b/>
                <w:bCs/>
                <w:lang w:eastAsia="en-AU"/>
              </w:rPr>
              <w:t>n (%)</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7EF" w14:textId="77777777" w:rsidR="006559DC" w:rsidRPr="00DB3FE7" w:rsidRDefault="006559DC" w:rsidP="00035F43">
            <w:pPr>
              <w:pStyle w:val="PBACTableText"/>
              <w:keepNext/>
              <w:spacing w:before="0" w:after="0"/>
              <w:jc w:val="center"/>
              <w:rPr>
                <w:b/>
                <w:bCs/>
                <w:lang w:eastAsia="en-AU"/>
              </w:rPr>
            </w:pPr>
            <w:r w:rsidRPr="00DB3FE7">
              <w:rPr>
                <w:b/>
                <w:bCs/>
                <w:lang w:eastAsia="en-AU"/>
              </w:rPr>
              <w:t>Placebo</w:t>
            </w:r>
          </w:p>
          <w:p w14:paraId="534B0315" w14:textId="77777777" w:rsidR="006559DC" w:rsidRPr="00DB3FE7" w:rsidRDefault="006559DC" w:rsidP="00035F43">
            <w:pPr>
              <w:pStyle w:val="PBACTableText"/>
              <w:keepNext/>
              <w:spacing w:before="0" w:after="0"/>
              <w:jc w:val="center"/>
              <w:rPr>
                <w:b/>
                <w:bCs/>
                <w:lang w:eastAsia="en-AU"/>
              </w:rPr>
            </w:pPr>
            <w:r w:rsidRPr="00DB3FE7">
              <w:rPr>
                <w:b/>
                <w:bCs/>
                <w:lang w:eastAsia="en-AU"/>
              </w:rPr>
              <w:t xml:space="preserve">N = 240 </w:t>
            </w:r>
          </w:p>
          <w:p w14:paraId="7FC20C80" w14:textId="77777777" w:rsidR="006559DC" w:rsidRPr="00DB3FE7" w:rsidRDefault="006559DC" w:rsidP="00035F43">
            <w:pPr>
              <w:pStyle w:val="PBACTableText"/>
              <w:keepNext/>
              <w:spacing w:before="0" w:after="0"/>
              <w:jc w:val="center"/>
              <w:rPr>
                <w:b/>
                <w:bCs/>
                <w:lang w:eastAsia="en-AU"/>
              </w:rPr>
            </w:pPr>
            <w:r w:rsidRPr="00DB3FE7">
              <w:rPr>
                <w:b/>
                <w:bCs/>
                <w:lang w:eastAsia="en-AU"/>
              </w:rPr>
              <w:t>n (%)</w:t>
            </w:r>
          </w:p>
        </w:tc>
        <w:tc>
          <w:tcPr>
            <w:tcW w:w="654" w:type="pct"/>
            <w:tcBorders>
              <w:top w:val="single" w:sz="4" w:space="0" w:color="auto"/>
              <w:left w:val="single" w:sz="4" w:space="0" w:color="auto"/>
              <w:bottom w:val="single" w:sz="4" w:space="0" w:color="auto"/>
              <w:right w:val="single" w:sz="4" w:space="0" w:color="auto"/>
            </w:tcBorders>
            <w:vAlign w:val="center"/>
          </w:tcPr>
          <w:p w14:paraId="52667C77" w14:textId="77777777" w:rsidR="006559DC" w:rsidRPr="00DB3FE7" w:rsidRDefault="006559DC" w:rsidP="00035F43">
            <w:pPr>
              <w:pStyle w:val="PBACTableText"/>
              <w:keepNext/>
              <w:spacing w:before="0" w:after="0"/>
              <w:jc w:val="center"/>
              <w:rPr>
                <w:b/>
                <w:bCs/>
                <w:lang w:eastAsia="en-AU"/>
              </w:rPr>
            </w:pPr>
            <w:r w:rsidRPr="00DB3FE7">
              <w:rPr>
                <w:b/>
                <w:bCs/>
                <w:lang w:eastAsia="en-AU"/>
              </w:rPr>
              <w:t>Inclisiran</w:t>
            </w:r>
          </w:p>
          <w:p w14:paraId="40C1C5B6" w14:textId="77777777" w:rsidR="006559DC" w:rsidRPr="00DB3FE7" w:rsidRDefault="006559DC" w:rsidP="00035F43">
            <w:pPr>
              <w:pStyle w:val="PBACTableText"/>
              <w:keepNext/>
              <w:spacing w:before="0" w:after="0"/>
              <w:jc w:val="center"/>
              <w:rPr>
                <w:b/>
                <w:bCs/>
                <w:lang w:eastAsia="en-AU"/>
              </w:rPr>
            </w:pPr>
            <w:r w:rsidRPr="00DB3FE7">
              <w:rPr>
                <w:b/>
                <w:bCs/>
                <w:lang w:eastAsia="en-AU"/>
              </w:rPr>
              <w:t xml:space="preserve">N = 781 </w:t>
            </w:r>
          </w:p>
          <w:p w14:paraId="64CAA0D8" w14:textId="77777777" w:rsidR="006559DC" w:rsidRPr="00DB3FE7" w:rsidRDefault="006559DC" w:rsidP="00035F43">
            <w:pPr>
              <w:pStyle w:val="PBACTableText"/>
              <w:keepNext/>
              <w:spacing w:before="0" w:after="0"/>
              <w:jc w:val="center"/>
              <w:rPr>
                <w:b/>
                <w:bCs/>
                <w:lang w:eastAsia="en-AU"/>
              </w:rPr>
            </w:pPr>
            <w:r w:rsidRPr="00DB3FE7">
              <w:rPr>
                <w:b/>
                <w:bCs/>
                <w:lang w:eastAsia="en-AU"/>
              </w:rPr>
              <w:t>n (%)</w:t>
            </w:r>
          </w:p>
        </w:tc>
        <w:tc>
          <w:tcPr>
            <w:tcW w:w="654" w:type="pct"/>
            <w:tcBorders>
              <w:top w:val="single" w:sz="4" w:space="0" w:color="auto"/>
              <w:left w:val="single" w:sz="4" w:space="0" w:color="auto"/>
              <w:bottom w:val="single" w:sz="4" w:space="0" w:color="auto"/>
              <w:right w:val="single" w:sz="4" w:space="0" w:color="auto"/>
            </w:tcBorders>
            <w:vAlign w:val="center"/>
          </w:tcPr>
          <w:p w14:paraId="4C89747B" w14:textId="77777777" w:rsidR="006559DC" w:rsidRPr="00DB3FE7" w:rsidRDefault="006559DC" w:rsidP="00035F43">
            <w:pPr>
              <w:pStyle w:val="PBACTableText"/>
              <w:keepNext/>
              <w:spacing w:before="0" w:after="0"/>
              <w:jc w:val="center"/>
              <w:rPr>
                <w:b/>
                <w:bCs/>
                <w:lang w:eastAsia="en-AU"/>
              </w:rPr>
            </w:pPr>
            <w:r w:rsidRPr="00DB3FE7">
              <w:rPr>
                <w:b/>
                <w:bCs/>
                <w:lang w:eastAsia="en-AU"/>
              </w:rPr>
              <w:t>Placebo</w:t>
            </w:r>
          </w:p>
          <w:p w14:paraId="50466FBE" w14:textId="77777777" w:rsidR="006559DC" w:rsidRPr="00DB3FE7" w:rsidRDefault="006559DC" w:rsidP="00035F43">
            <w:pPr>
              <w:pStyle w:val="PBACTableText"/>
              <w:keepNext/>
              <w:spacing w:before="0" w:after="0"/>
              <w:jc w:val="center"/>
              <w:rPr>
                <w:b/>
                <w:bCs/>
                <w:lang w:eastAsia="en-AU"/>
              </w:rPr>
            </w:pPr>
            <w:r w:rsidRPr="00DB3FE7">
              <w:rPr>
                <w:b/>
                <w:bCs/>
                <w:lang w:eastAsia="en-AU"/>
              </w:rPr>
              <w:t xml:space="preserve">N = 778 </w:t>
            </w:r>
          </w:p>
          <w:p w14:paraId="3939BCCB" w14:textId="77777777" w:rsidR="006559DC" w:rsidRPr="00DB3FE7" w:rsidRDefault="006559DC" w:rsidP="00035F43">
            <w:pPr>
              <w:pStyle w:val="PBACTableText"/>
              <w:keepNext/>
              <w:spacing w:before="0" w:after="0"/>
              <w:jc w:val="center"/>
              <w:rPr>
                <w:b/>
                <w:bCs/>
                <w:lang w:eastAsia="en-AU"/>
              </w:rPr>
            </w:pPr>
            <w:r w:rsidRPr="00DB3FE7">
              <w:rPr>
                <w:b/>
                <w:bCs/>
                <w:lang w:eastAsia="en-AU"/>
              </w:rPr>
              <w:t>n (%)</w:t>
            </w:r>
          </w:p>
        </w:tc>
        <w:tc>
          <w:tcPr>
            <w:tcW w:w="654" w:type="pct"/>
            <w:tcBorders>
              <w:top w:val="single" w:sz="4" w:space="0" w:color="auto"/>
              <w:left w:val="single" w:sz="4" w:space="0" w:color="auto"/>
              <w:bottom w:val="single" w:sz="4" w:space="0" w:color="auto"/>
              <w:right w:val="single" w:sz="4" w:space="0" w:color="auto"/>
            </w:tcBorders>
            <w:vAlign w:val="center"/>
          </w:tcPr>
          <w:p w14:paraId="770C7961" w14:textId="77777777" w:rsidR="006559DC" w:rsidRPr="00DB3FE7" w:rsidRDefault="006559DC" w:rsidP="00035F43">
            <w:pPr>
              <w:pStyle w:val="PBACTableText"/>
              <w:keepNext/>
              <w:spacing w:before="0" w:after="0"/>
              <w:jc w:val="center"/>
              <w:rPr>
                <w:b/>
                <w:bCs/>
                <w:lang w:eastAsia="en-AU"/>
              </w:rPr>
            </w:pPr>
            <w:r w:rsidRPr="00DB3FE7">
              <w:rPr>
                <w:b/>
                <w:bCs/>
                <w:lang w:eastAsia="en-AU"/>
              </w:rPr>
              <w:t>Inclisiran</w:t>
            </w:r>
          </w:p>
          <w:p w14:paraId="349982F0" w14:textId="77777777" w:rsidR="006559DC" w:rsidRPr="00DB3FE7" w:rsidRDefault="006559DC" w:rsidP="00035F43">
            <w:pPr>
              <w:pStyle w:val="PBACTableText"/>
              <w:keepNext/>
              <w:spacing w:before="0" w:after="0"/>
              <w:jc w:val="center"/>
              <w:rPr>
                <w:b/>
                <w:bCs/>
                <w:lang w:eastAsia="en-AU"/>
              </w:rPr>
            </w:pPr>
            <w:r w:rsidRPr="00DB3FE7">
              <w:rPr>
                <w:b/>
                <w:bCs/>
                <w:lang w:eastAsia="en-AU"/>
              </w:rPr>
              <w:t xml:space="preserve">N = 811 </w:t>
            </w:r>
          </w:p>
          <w:p w14:paraId="0040FF0B" w14:textId="77777777" w:rsidR="006559DC" w:rsidRPr="00DB3FE7" w:rsidRDefault="006559DC" w:rsidP="00035F43">
            <w:pPr>
              <w:pStyle w:val="PBACTableText"/>
              <w:keepNext/>
              <w:spacing w:before="0" w:after="0"/>
              <w:jc w:val="center"/>
              <w:rPr>
                <w:b/>
                <w:bCs/>
                <w:lang w:eastAsia="en-AU"/>
              </w:rPr>
            </w:pPr>
            <w:r w:rsidRPr="00DB3FE7">
              <w:rPr>
                <w:b/>
                <w:bCs/>
                <w:lang w:eastAsia="en-AU"/>
              </w:rPr>
              <w:t>n (%)</w:t>
            </w:r>
          </w:p>
        </w:tc>
        <w:tc>
          <w:tcPr>
            <w:tcW w:w="653" w:type="pct"/>
            <w:tcBorders>
              <w:top w:val="single" w:sz="4" w:space="0" w:color="auto"/>
              <w:left w:val="single" w:sz="4" w:space="0" w:color="auto"/>
              <w:bottom w:val="single" w:sz="4" w:space="0" w:color="auto"/>
              <w:right w:val="single" w:sz="4" w:space="0" w:color="auto"/>
            </w:tcBorders>
            <w:vAlign w:val="center"/>
          </w:tcPr>
          <w:p w14:paraId="5884F1E8" w14:textId="77777777" w:rsidR="006559DC" w:rsidRPr="00DB3FE7" w:rsidRDefault="006559DC" w:rsidP="00035F43">
            <w:pPr>
              <w:pStyle w:val="PBACTableText"/>
              <w:keepNext/>
              <w:spacing w:before="0" w:after="0"/>
              <w:jc w:val="center"/>
              <w:rPr>
                <w:b/>
                <w:bCs/>
                <w:lang w:eastAsia="en-AU"/>
              </w:rPr>
            </w:pPr>
            <w:r w:rsidRPr="00DB3FE7">
              <w:rPr>
                <w:b/>
                <w:bCs/>
                <w:lang w:eastAsia="en-AU"/>
              </w:rPr>
              <w:t>Placebo</w:t>
            </w:r>
          </w:p>
          <w:p w14:paraId="7F4131DD" w14:textId="77777777" w:rsidR="006559DC" w:rsidRPr="00DB3FE7" w:rsidRDefault="006559DC" w:rsidP="00035F43">
            <w:pPr>
              <w:pStyle w:val="PBACTableText"/>
              <w:keepNext/>
              <w:spacing w:before="0" w:after="0"/>
              <w:jc w:val="center"/>
              <w:rPr>
                <w:b/>
                <w:bCs/>
                <w:lang w:eastAsia="en-AU"/>
              </w:rPr>
            </w:pPr>
            <w:r w:rsidRPr="00DB3FE7">
              <w:rPr>
                <w:b/>
                <w:bCs/>
                <w:lang w:eastAsia="en-AU"/>
              </w:rPr>
              <w:t xml:space="preserve">N = 804 </w:t>
            </w:r>
          </w:p>
          <w:p w14:paraId="0322D8AF" w14:textId="77777777" w:rsidR="006559DC" w:rsidRPr="00DB3FE7" w:rsidRDefault="006559DC" w:rsidP="00035F43">
            <w:pPr>
              <w:pStyle w:val="PBACTableText"/>
              <w:keepNext/>
              <w:spacing w:before="0" w:after="0"/>
              <w:jc w:val="center"/>
              <w:rPr>
                <w:b/>
                <w:bCs/>
                <w:lang w:eastAsia="en-AU"/>
              </w:rPr>
            </w:pPr>
            <w:r w:rsidRPr="00DB3FE7">
              <w:rPr>
                <w:b/>
                <w:bCs/>
                <w:lang w:eastAsia="en-AU"/>
              </w:rPr>
              <w:t>n (%)</w:t>
            </w:r>
          </w:p>
        </w:tc>
      </w:tr>
      <w:tr w:rsidR="006559DC" w:rsidRPr="00DB3FE7" w14:paraId="6F923CF4"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1853E878" w14:textId="77777777" w:rsidR="006559DC" w:rsidRPr="00DB3FE7" w:rsidRDefault="006559DC" w:rsidP="00035F43">
            <w:pPr>
              <w:pStyle w:val="PBACTableText"/>
              <w:keepNext/>
              <w:spacing w:before="0" w:after="0"/>
              <w:rPr>
                <w:lang w:eastAsia="en-AU"/>
              </w:rPr>
            </w:pPr>
            <w:r w:rsidRPr="00DB3FE7">
              <w:rPr>
                <w:lang w:eastAsia="en-AU"/>
              </w:rPr>
              <w:t>Any adverse event</w:t>
            </w:r>
          </w:p>
        </w:tc>
        <w:tc>
          <w:tcPr>
            <w:tcW w:w="654"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609F139" w14:textId="77777777" w:rsidR="006559DC" w:rsidRPr="00DB3FE7" w:rsidRDefault="006559DC" w:rsidP="00035F43">
            <w:pPr>
              <w:pStyle w:val="PBACTableText"/>
              <w:keepNext/>
              <w:spacing w:before="0" w:after="0"/>
              <w:jc w:val="center"/>
            </w:pPr>
            <w:r w:rsidRPr="00DB3FE7">
              <w:t>185 (76.8%)</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678094D" w14:textId="77777777" w:rsidR="006559DC" w:rsidRPr="00DB3FE7" w:rsidRDefault="006559DC" w:rsidP="00035F43">
            <w:pPr>
              <w:pStyle w:val="PBACTableText"/>
              <w:keepNext/>
              <w:spacing w:before="0" w:after="0"/>
              <w:jc w:val="center"/>
            </w:pPr>
            <w:r w:rsidRPr="00DB3FE7">
              <w:t>172 (71.7%)</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6099088" w14:textId="77777777" w:rsidR="006559DC" w:rsidRPr="00DB3FE7" w:rsidRDefault="006559DC" w:rsidP="00035F43">
            <w:pPr>
              <w:pStyle w:val="PBACTableText"/>
              <w:keepNext/>
              <w:spacing w:before="0" w:after="0"/>
              <w:jc w:val="center"/>
            </w:pPr>
            <w:r w:rsidRPr="00DB3FE7">
              <w:t>574 (73.5%)</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17FAAF24" w14:textId="77777777" w:rsidR="006559DC" w:rsidRPr="00DB3FE7" w:rsidRDefault="006559DC" w:rsidP="00035F43">
            <w:pPr>
              <w:pStyle w:val="PBACTableText"/>
              <w:keepNext/>
              <w:spacing w:before="0" w:after="0"/>
              <w:jc w:val="center"/>
            </w:pPr>
            <w:r w:rsidRPr="00DB3FE7">
              <w:t>582 (74.8%)</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071DA39E" w14:textId="77777777" w:rsidR="006559DC" w:rsidRPr="00DB3FE7" w:rsidRDefault="006559DC" w:rsidP="00035F43">
            <w:pPr>
              <w:pStyle w:val="PBACTableText"/>
              <w:keepNext/>
              <w:spacing w:before="0" w:after="0"/>
              <w:jc w:val="center"/>
            </w:pPr>
            <w:r w:rsidRPr="00DB3FE7">
              <w:t>671 (82.7%)</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171A85F8" w14:textId="77777777" w:rsidR="006559DC" w:rsidRPr="00DB3FE7" w:rsidRDefault="006559DC" w:rsidP="00035F43">
            <w:pPr>
              <w:pStyle w:val="PBACTableText"/>
              <w:keepNext/>
              <w:spacing w:before="0" w:after="0"/>
              <w:jc w:val="center"/>
            </w:pPr>
            <w:r w:rsidRPr="00DB3FE7">
              <w:t>655 (81.5%)</w:t>
            </w:r>
          </w:p>
        </w:tc>
      </w:tr>
      <w:tr w:rsidR="006559DC" w:rsidRPr="00DB3FE7" w14:paraId="0E2967F1"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58394FE1" w14:textId="77777777" w:rsidR="006559DC" w:rsidRPr="00DB3FE7" w:rsidRDefault="006559DC" w:rsidP="00035F43">
            <w:pPr>
              <w:pStyle w:val="PBACTableText"/>
              <w:keepNext/>
              <w:spacing w:before="0" w:after="0"/>
              <w:rPr>
                <w:lang w:eastAsia="en-AU"/>
              </w:rPr>
            </w:pPr>
            <w:r w:rsidRPr="00DB3FE7">
              <w:rPr>
                <w:lang w:eastAsia="en-AU"/>
              </w:rPr>
              <w:t>Treatment-related adverse event</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9BA52AA" w14:textId="77777777" w:rsidR="006559DC" w:rsidRPr="00DB3FE7" w:rsidRDefault="006559DC" w:rsidP="00035F43">
            <w:pPr>
              <w:pStyle w:val="PBACTableText"/>
              <w:keepNext/>
              <w:spacing w:before="0" w:after="0"/>
              <w:jc w:val="center"/>
            </w:pPr>
            <w:r w:rsidRPr="00DB3FE7">
              <w:t>58 (24.1%)</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6C021B1F" w14:textId="77777777" w:rsidR="006559DC" w:rsidRPr="00DB3FE7" w:rsidRDefault="006559DC" w:rsidP="00035F43">
            <w:pPr>
              <w:pStyle w:val="PBACTableText"/>
              <w:keepNext/>
              <w:spacing w:before="0" w:after="0"/>
              <w:jc w:val="center"/>
            </w:pPr>
            <w:r w:rsidRPr="00DB3FE7">
              <w:t>10 (4.2%)</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27D76C86" w14:textId="77777777" w:rsidR="006559DC" w:rsidRPr="00DB3FE7" w:rsidRDefault="006559DC" w:rsidP="00035F43">
            <w:pPr>
              <w:pStyle w:val="PBACTableText"/>
              <w:keepNext/>
              <w:spacing w:before="0" w:after="0"/>
              <w:jc w:val="center"/>
            </w:pPr>
            <w:r w:rsidRPr="00DB3FE7">
              <w:t>105 (13.4%)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0E6B18B0" w14:textId="77777777" w:rsidR="006559DC" w:rsidRPr="00DB3FE7" w:rsidRDefault="006559DC" w:rsidP="00035F43">
            <w:pPr>
              <w:pStyle w:val="PBACTableText"/>
              <w:keepNext/>
              <w:spacing w:before="0" w:after="0"/>
              <w:jc w:val="center"/>
            </w:pPr>
            <w:r w:rsidRPr="00DB3FE7">
              <w:t>85 (10.9%)</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3D9EE0C5" w14:textId="77777777" w:rsidR="006559DC" w:rsidRPr="00DB3FE7" w:rsidRDefault="006559DC" w:rsidP="00035F43">
            <w:pPr>
              <w:pStyle w:val="PBACTableText"/>
              <w:keepNext/>
              <w:spacing w:before="0" w:after="0"/>
              <w:jc w:val="center"/>
            </w:pPr>
            <w:r w:rsidRPr="00DB3FE7">
              <w:t>123 (15.2%)</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1321AE53" w14:textId="77777777" w:rsidR="006559DC" w:rsidRPr="00DB3FE7" w:rsidRDefault="006559DC" w:rsidP="00035F43">
            <w:pPr>
              <w:pStyle w:val="PBACTableText"/>
              <w:keepNext/>
              <w:spacing w:before="0" w:after="0"/>
              <w:jc w:val="center"/>
            </w:pPr>
            <w:r w:rsidRPr="00DB3FE7">
              <w:t>82 (10.2%)</w:t>
            </w:r>
          </w:p>
        </w:tc>
      </w:tr>
      <w:tr w:rsidR="006559DC" w:rsidRPr="00DB3FE7" w14:paraId="0EF46E11"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65854E75" w14:textId="77777777" w:rsidR="006559DC" w:rsidRPr="00DB3FE7" w:rsidRDefault="006559DC" w:rsidP="00035F43">
            <w:pPr>
              <w:pStyle w:val="PBACTableText"/>
              <w:keepNext/>
              <w:spacing w:before="0" w:after="0"/>
              <w:rPr>
                <w:lang w:eastAsia="en-AU"/>
              </w:rPr>
            </w:pPr>
            <w:r w:rsidRPr="00DB3FE7">
              <w:rPr>
                <w:lang w:eastAsia="en-AU"/>
              </w:rPr>
              <w:t>Serious adverse event</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1FCA67" w14:textId="77777777" w:rsidR="006559DC" w:rsidRPr="00DB3FE7" w:rsidRDefault="006559DC" w:rsidP="00035F43">
            <w:pPr>
              <w:pStyle w:val="PBACTableText"/>
              <w:keepNext/>
              <w:spacing w:before="0" w:after="0"/>
              <w:jc w:val="center"/>
            </w:pPr>
            <w:r w:rsidRPr="00DB3FE7">
              <w:t>18 (7.5%)</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CA49A79" w14:textId="77777777" w:rsidR="006559DC" w:rsidRPr="00DB3FE7" w:rsidRDefault="006559DC" w:rsidP="00035F43">
            <w:pPr>
              <w:pStyle w:val="PBACTableText"/>
              <w:keepNext/>
              <w:spacing w:before="0" w:after="0"/>
              <w:jc w:val="center"/>
            </w:pPr>
            <w:r w:rsidRPr="00DB3FE7">
              <w:t>33 (13.8%)</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1C6F19E" w14:textId="77777777" w:rsidR="006559DC" w:rsidRPr="00DB3FE7" w:rsidRDefault="006559DC" w:rsidP="00035F43">
            <w:pPr>
              <w:pStyle w:val="PBACTableText"/>
              <w:keepNext/>
              <w:spacing w:before="0" w:after="0"/>
              <w:jc w:val="center"/>
            </w:pPr>
            <w:r w:rsidRPr="00DB3FE7">
              <w:t>175 (22.4%)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28301630" w14:textId="77777777" w:rsidR="006559DC" w:rsidRPr="00DB3FE7" w:rsidRDefault="006559DC" w:rsidP="00035F43">
            <w:pPr>
              <w:pStyle w:val="PBACTableText"/>
              <w:keepNext/>
              <w:spacing w:before="0" w:after="0"/>
              <w:jc w:val="center"/>
            </w:pPr>
            <w:r w:rsidRPr="00DB3FE7">
              <w:t>205 (26.3%)</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57CFF678" w14:textId="77777777" w:rsidR="006559DC" w:rsidRPr="00DB3FE7" w:rsidRDefault="006559DC" w:rsidP="00035F43">
            <w:pPr>
              <w:pStyle w:val="PBACTableText"/>
              <w:keepNext/>
              <w:spacing w:before="0" w:after="0"/>
              <w:jc w:val="center"/>
            </w:pPr>
            <w:r w:rsidRPr="00DB3FE7">
              <w:t>181 (22.3%)</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602F3AED" w14:textId="77777777" w:rsidR="006559DC" w:rsidRPr="00DB3FE7" w:rsidRDefault="006559DC" w:rsidP="00035F43">
            <w:pPr>
              <w:pStyle w:val="PBACTableText"/>
              <w:keepNext/>
              <w:spacing w:before="0" w:after="0"/>
              <w:jc w:val="center"/>
            </w:pPr>
            <w:r w:rsidRPr="00DB3FE7">
              <w:t>181 (22.5%)</w:t>
            </w:r>
          </w:p>
        </w:tc>
      </w:tr>
      <w:tr w:rsidR="006559DC" w:rsidRPr="00DB3FE7" w14:paraId="10C2E492"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522F3F17" w14:textId="77777777" w:rsidR="006559DC" w:rsidRPr="00DB3FE7" w:rsidRDefault="006559DC" w:rsidP="00035F43">
            <w:pPr>
              <w:pStyle w:val="PBACTableText"/>
              <w:keepNext/>
              <w:spacing w:before="0" w:after="0"/>
              <w:rPr>
                <w:lang w:eastAsia="en-AU"/>
              </w:rPr>
            </w:pPr>
            <w:r w:rsidRPr="00DB3FE7">
              <w:rPr>
                <w:lang w:eastAsia="en-AU"/>
              </w:rPr>
              <w:t>Adverse events leading to discontinuation</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994490B" w14:textId="77777777" w:rsidR="006559DC" w:rsidRPr="00DB3FE7" w:rsidRDefault="006559DC" w:rsidP="00035F43">
            <w:pPr>
              <w:pStyle w:val="PBACTableText"/>
              <w:keepNext/>
              <w:spacing w:before="0" w:after="0"/>
              <w:jc w:val="center"/>
            </w:pPr>
            <w:r w:rsidRPr="00DB3FE7">
              <w:t>3 (1.2%)</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8C31638" w14:textId="77777777" w:rsidR="006559DC" w:rsidRPr="00DB3FE7" w:rsidRDefault="006559DC" w:rsidP="00035F43">
            <w:pPr>
              <w:pStyle w:val="PBACTableText"/>
              <w:keepNext/>
              <w:spacing w:before="0" w:after="0"/>
              <w:jc w:val="center"/>
            </w:pPr>
            <w:r w:rsidRPr="00DB3FE7">
              <w:t>0 (0.0%)</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7F38397B" w14:textId="77777777" w:rsidR="006559DC" w:rsidRPr="00DB3FE7" w:rsidRDefault="006559DC" w:rsidP="00035F43">
            <w:pPr>
              <w:pStyle w:val="PBACTableText"/>
              <w:keepNext/>
              <w:spacing w:before="0" w:after="0"/>
              <w:jc w:val="center"/>
            </w:pPr>
            <w:r w:rsidRPr="00DB3FE7">
              <w:t>19 (2.4%)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2B022D67" w14:textId="77777777" w:rsidR="006559DC" w:rsidRPr="00DB3FE7" w:rsidRDefault="006559DC" w:rsidP="00035F43">
            <w:pPr>
              <w:pStyle w:val="PBACTableText"/>
              <w:keepNext/>
              <w:spacing w:before="0" w:after="0"/>
              <w:jc w:val="center"/>
            </w:pPr>
            <w:r w:rsidRPr="00DB3FE7">
              <w:t>17 (2.2%)</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0D949CDE" w14:textId="77777777" w:rsidR="006559DC" w:rsidRPr="00DB3FE7" w:rsidRDefault="006559DC" w:rsidP="00035F43">
            <w:pPr>
              <w:pStyle w:val="PBACTableText"/>
              <w:keepNext/>
              <w:spacing w:before="0" w:after="0"/>
              <w:jc w:val="center"/>
            </w:pPr>
            <w:r w:rsidRPr="00DB3FE7">
              <w:t>23 (2.8%)</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195298F6" w14:textId="77777777" w:rsidR="006559DC" w:rsidRPr="00DB3FE7" w:rsidRDefault="006559DC" w:rsidP="00035F43">
            <w:pPr>
              <w:pStyle w:val="PBACTableText"/>
              <w:keepNext/>
              <w:spacing w:before="0" w:after="0"/>
              <w:jc w:val="center"/>
            </w:pPr>
            <w:r w:rsidRPr="00DB3FE7">
              <w:t>18 (2.2%)</w:t>
            </w:r>
          </w:p>
        </w:tc>
      </w:tr>
      <w:tr w:rsidR="006559DC" w:rsidRPr="00DB3FE7" w14:paraId="0360556A"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1FC7684B" w14:textId="77777777" w:rsidR="006559DC" w:rsidRPr="00DB3FE7" w:rsidRDefault="006559DC" w:rsidP="00035F43">
            <w:pPr>
              <w:pStyle w:val="PBACTableText"/>
              <w:keepNext/>
              <w:spacing w:before="0" w:after="0"/>
              <w:rPr>
                <w:lang w:eastAsia="en-AU"/>
              </w:rPr>
            </w:pPr>
            <w:r w:rsidRPr="00DB3FE7">
              <w:rPr>
                <w:lang w:eastAsia="en-AU"/>
              </w:rPr>
              <w:t>Deaths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F8C203" w14:textId="77777777" w:rsidR="006559DC" w:rsidRPr="00DB3FE7" w:rsidRDefault="006559DC" w:rsidP="00035F43">
            <w:pPr>
              <w:pStyle w:val="PBACTableText"/>
              <w:keepNext/>
              <w:spacing w:before="0" w:after="0"/>
              <w:jc w:val="center"/>
            </w:pPr>
            <w:r w:rsidRPr="00DB3FE7">
              <w:t>1 (0.4%)</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4537D2D8" w14:textId="77777777" w:rsidR="006559DC" w:rsidRPr="00DB3FE7" w:rsidRDefault="006559DC" w:rsidP="00035F43">
            <w:pPr>
              <w:pStyle w:val="PBACTableText"/>
              <w:keepNext/>
              <w:spacing w:before="0" w:after="0"/>
              <w:jc w:val="center"/>
            </w:pPr>
            <w:r w:rsidRPr="00DB3FE7">
              <w:t>1 (0.4%)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09A07593" w14:textId="77777777" w:rsidR="006559DC" w:rsidRPr="00DB3FE7" w:rsidRDefault="006559DC" w:rsidP="00035F43">
            <w:pPr>
              <w:pStyle w:val="PBACTableText"/>
              <w:keepNext/>
              <w:spacing w:before="0" w:after="0"/>
              <w:jc w:val="center"/>
            </w:pPr>
            <w:r w:rsidRPr="00DB3FE7">
              <w:t>12 (1.5%)</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BCB385B" w14:textId="77777777" w:rsidR="006559DC" w:rsidRPr="00DB3FE7" w:rsidRDefault="006559DC" w:rsidP="00035F43">
            <w:pPr>
              <w:pStyle w:val="PBACTableText"/>
              <w:keepNext/>
              <w:spacing w:before="0" w:after="0"/>
              <w:jc w:val="center"/>
            </w:pPr>
            <w:r w:rsidRPr="00DB3FE7">
              <w:t>11 (1.4%)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E3DDE7C" w14:textId="77777777" w:rsidR="006559DC" w:rsidRPr="00DB3FE7" w:rsidRDefault="006559DC" w:rsidP="00035F43">
            <w:pPr>
              <w:pStyle w:val="PBACTableText"/>
              <w:keepNext/>
              <w:spacing w:before="0" w:after="0"/>
              <w:jc w:val="center"/>
            </w:pPr>
            <w:r w:rsidRPr="00DB3FE7">
              <w:t>14 (1.7%)</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568D3CBF" w14:textId="77777777" w:rsidR="006559DC" w:rsidRPr="00DB3FE7" w:rsidRDefault="006559DC" w:rsidP="00035F43">
            <w:pPr>
              <w:pStyle w:val="PBACTableText"/>
              <w:keepNext/>
              <w:spacing w:before="0" w:after="0"/>
              <w:jc w:val="center"/>
            </w:pPr>
            <w:r w:rsidRPr="00DB3FE7">
              <w:t>15 (1.9%)</w:t>
            </w:r>
          </w:p>
        </w:tc>
      </w:tr>
      <w:tr w:rsidR="006559DC" w:rsidRPr="00DB3FE7" w14:paraId="633611CB" w14:textId="77777777" w:rsidTr="00035F43">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B977CF" w14:textId="77777777" w:rsidR="006559DC" w:rsidRPr="00DB3FE7" w:rsidRDefault="006559DC" w:rsidP="00035F43">
            <w:pPr>
              <w:pStyle w:val="PBACTableText"/>
              <w:keepNext/>
              <w:spacing w:before="0" w:after="0"/>
              <w:rPr>
                <w:b/>
                <w:bCs/>
              </w:rPr>
            </w:pPr>
            <w:r w:rsidRPr="00DB3FE7">
              <w:rPr>
                <w:b/>
                <w:bCs/>
              </w:rPr>
              <w:t>Adverse events of special interest</w:t>
            </w:r>
          </w:p>
        </w:tc>
      </w:tr>
      <w:tr w:rsidR="006559DC" w:rsidRPr="00DB3FE7" w14:paraId="4498D71A"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2C559188" w14:textId="77777777" w:rsidR="006559DC" w:rsidRPr="00DB3FE7" w:rsidRDefault="006559DC" w:rsidP="00035F43">
            <w:pPr>
              <w:pStyle w:val="PBACTableText"/>
              <w:keepNext/>
              <w:spacing w:before="0" w:after="0"/>
              <w:rPr>
                <w:lang w:eastAsia="en-AU"/>
              </w:rPr>
            </w:pPr>
            <w:r w:rsidRPr="00DB3FE7">
              <w:rPr>
                <w:lang w:eastAsia="en-AU"/>
              </w:rPr>
              <w:t xml:space="preserve">Injection site reaction </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BCE0C0" w14:textId="77777777" w:rsidR="006559DC" w:rsidRPr="00DB3FE7" w:rsidRDefault="006559DC" w:rsidP="00035F43">
            <w:pPr>
              <w:pStyle w:val="PBACTableText"/>
              <w:keepNext/>
              <w:spacing w:before="0" w:after="0"/>
              <w:jc w:val="center"/>
            </w:pPr>
            <w:r w:rsidRPr="00DB3FE7">
              <w:t>41 (17.0%)</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E07177F" w14:textId="77777777" w:rsidR="006559DC" w:rsidRPr="00DB3FE7" w:rsidRDefault="006559DC" w:rsidP="00035F43">
            <w:pPr>
              <w:pStyle w:val="PBACTableText"/>
              <w:keepNext/>
              <w:spacing w:before="0" w:after="0"/>
              <w:jc w:val="center"/>
            </w:pPr>
            <w:r w:rsidRPr="00DB3FE7">
              <w:t>4 (1.7%)</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411D0C46" w14:textId="77777777" w:rsidR="006559DC" w:rsidRPr="00DB3FE7" w:rsidRDefault="006559DC" w:rsidP="00035F43">
            <w:pPr>
              <w:pStyle w:val="PBACTableText"/>
              <w:keepNext/>
              <w:spacing w:before="0" w:after="0"/>
              <w:jc w:val="center"/>
            </w:pPr>
            <w:r w:rsidRPr="00DB3FE7">
              <w:t>47 (6.0%)</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126CA88F" w14:textId="77777777" w:rsidR="006559DC" w:rsidRPr="00DB3FE7" w:rsidRDefault="006559DC" w:rsidP="00035F43">
            <w:pPr>
              <w:pStyle w:val="PBACTableText"/>
              <w:keepNext/>
              <w:spacing w:before="0" w:after="0"/>
              <w:jc w:val="center"/>
            </w:pPr>
            <w:r w:rsidRPr="00DB3FE7">
              <w:t>15 (1.9%)</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D8B223B" w14:textId="77777777" w:rsidR="006559DC" w:rsidRPr="00DB3FE7" w:rsidRDefault="006559DC" w:rsidP="00035F43">
            <w:pPr>
              <w:pStyle w:val="PBACTableText"/>
              <w:keepNext/>
              <w:spacing w:before="0" w:after="0"/>
              <w:jc w:val="center"/>
            </w:pPr>
            <w:r w:rsidRPr="00DB3FE7">
              <w:t>62 (7.6%)</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0DAD18B0" w14:textId="77777777" w:rsidR="006559DC" w:rsidRPr="00DB3FE7" w:rsidRDefault="006559DC" w:rsidP="00035F43">
            <w:pPr>
              <w:pStyle w:val="PBACTableText"/>
              <w:keepNext/>
              <w:spacing w:before="0" w:after="0"/>
              <w:jc w:val="center"/>
            </w:pPr>
            <w:r w:rsidRPr="00DB3FE7">
              <w:t>14 (1.7%)</w:t>
            </w:r>
          </w:p>
        </w:tc>
      </w:tr>
      <w:tr w:rsidR="006559DC" w:rsidRPr="00DB3FE7" w14:paraId="643A2A8C"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3680DF01" w14:textId="77777777" w:rsidR="006559DC" w:rsidRPr="00DB3FE7" w:rsidRDefault="006559DC" w:rsidP="00035F43">
            <w:pPr>
              <w:pStyle w:val="PBACTableText"/>
              <w:keepNext/>
              <w:spacing w:before="0" w:after="0"/>
              <w:rPr>
                <w:lang w:eastAsia="en-AU"/>
              </w:rPr>
            </w:pPr>
            <w:r w:rsidRPr="00DB3FE7">
              <w:rPr>
                <w:lang w:eastAsia="en-AU"/>
              </w:rPr>
              <w:t>Hepatic events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F80C0C" w14:textId="77777777" w:rsidR="006559DC" w:rsidRPr="00DB3FE7" w:rsidRDefault="006559DC" w:rsidP="00035F43">
            <w:pPr>
              <w:pStyle w:val="PBACTableText"/>
              <w:keepNext/>
              <w:spacing w:before="0" w:after="0"/>
              <w:jc w:val="center"/>
            </w:pPr>
            <w:r w:rsidRPr="00DB3FE7">
              <w:t>5 (2.1%)</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EF2E44E" w14:textId="77777777" w:rsidR="006559DC" w:rsidRPr="00DB3FE7" w:rsidRDefault="006559DC" w:rsidP="00035F43">
            <w:pPr>
              <w:pStyle w:val="PBACTableText"/>
              <w:keepNext/>
              <w:spacing w:before="0" w:after="0"/>
              <w:jc w:val="center"/>
            </w:pPr>
            <w:r w:rsidRPr="00DB3FE7">
              <w:t>2 (0.8%)</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372D43CD" w14:textId="77777777" w:rsidR="006559DC" w:rsidRPr="00DB3FE7" w:rsidRDefault="006559DC" w:rsidP="00035F43">
            <w:pPr>
              <w:pStyle w:val="PBACTableText"/>
              <w:keepNext/>
              <w:spacing w:before="0" w:after="0"/>
              <w:jc w:val="center"/>
            </w:pPr>
            <w:r w:rsidRPr="00DB3FE7">
              <w:t>23 (2.9%)</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5E8EE38A" w14:textId="77777777" w:rsidR="006559DC" w:rsidRPr="00DB3FE7" w:rsidRDefault="006559DC" w:rsidP="00035F43">
            <w:pPr>
              <w:pStyle w:val="PBACTableText"/>
              <w:keepNext/>
              <w:spacing w:before="0" w:after="0"/>
              <w:jc w:val="center"/>
            </w:pPr>
            <w:r w:rsidRPr="00DB3FE7">
              <w:t>31 (4.0%)</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2ABC1DB2" w14:textId="77777777" w:rsidR="006559DC" w:rsidRPr="00DB3FE7" w:rsidRDefault="006559DC" w:rsidP="00035F43">
            <w:pPr>
              <w:pStyle w:val="PBACTableText"/>
              <w:keepNext/>
              <w:spacing w:before="0" w:after="0"/>
              <w:jc w:val="center"/>
            </w:pPr>
            <w:r w:rsidRPr="00DB3FE7">
              <w:t>42 (5.2%)</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0DCBF31C" w14:textId="77777777" w:rsidR="006559DC" w:rsidRPr="00DB3FE7" w:rsidRDefault="006559DC" w:rsidP="00035F43">
            <w:pPr>
              <w:pStyle w:val="PBACTableText"/>
              <w:keepNext/>
              <w:spacing w:before="0" w:after="0"/>
              <w:jc w:val="center"/>
            </w:pPr>
            <w:r w:rsidRPr="00DB3FE7">
              <w:t>43 (5.3%)</w:t>
            </w:r>
          </w:p>
        </w:tc>
      </w:tr>
      <w:tr w:rsidR="006559DC" w:rsidRPr="00DB3FE7" w14:paraId="052BD66E"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267F3199" w14:textId="77777777" w:rsidR="006559DC" w:rsidRPr="00DB3FE7" w:rsidRDefault="006559DC" w:rsidP="00035F43">
            <w:pPr>
              <w:pStyle w:val="PBACTableText"/>
              <w:keepNext/>
              <w:spacing w:before="0" w:after="0"/>
              <w:rPr>
                <w:lang w:eastAsia="en-AU"/>
              </w:rPr>
            </w:pPr>
            <w:r w:rsidRPr="00DB3FE7">
              <w:rPr>
                <w:lang w:eastAsia="en-AU"/>
              </w:rPr>
              <w:t>Renal events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89E9445" w14:textId="77777777" w:rsidR="006559DC" w:rsidRPr="00DB3FE7" w:rsidRDefault="006559DC" w:rsidP="00035F43">
            <w:pPr>
              <w:pStyle w:val="PBACTableText"/>
              <w:keepNext/>
              <w:spacing w:before="0" w:after="0"/>
              <w:jc w:val="center"/>
            </w:pPr>
            <w:r w:rsidRPr="00DB3FE7">
              <w:t>3 (0.4%)</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76AB0529" w14:textId="77777777" w:rsidR="006559DC" w:rsidRPr="00DB3FE7" w:rsidRDefault="006559DC" w:rsidP="00035F43">
            <w:pPr>
              <w:pStyle w:val="PBACTableText"/>
              <w:keepNext/>
              <w:spacing w:before="0" w:after="0"/>
              <w:jc w:val="center"/>
            </w:pPr>
            <w:r w:rsidRPr="00DB3FE7">
              <w:t>3 (0.4%)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19F1FDE4" w14:textId="77777777" w:rsidR="006559DC" w:rsidRPr="00DB3FE7" w:rsidRDefault="006559DC" w:rsidP="00035F43">
            <w:pPr>
              <w:pStyle w:val="PBACTableText"/>
              <w:keepNext/>
              <w:spacing w:before="0" w:after="0"/>
              <w:jc w:val="center"/>
            </w:pPr>
            <w:r w:rsidRPr="00DB3FE7">
              <w:t>32 (4.1%)</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73A5E160" w14:textId="77777777" w:rsidR="006559DC" w:rsidRPr="00DB3FE7" w:rsidRDefault="006559DC" w:rsidP="00035F43">
            <w:pPr>
              <w:pStyle w:val="PBACTableText"/>
              <w:keepNext/>
              <w:spacing w:before="0" w:after="0"/>
              <w:jc w:val="center"/>
            </w:pPr>
            <w:r w:rsidRPr="00DB3FE7">
              <w:t>35 (4.5%)</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3DC42001" w14:textId="77777777" w:rsidR="006559DC" w:rsidRPr="00DB3FE7" w:rsidRDefault="006559DC" w:rsidP="00035F43">
            <w:pPr>
              <w:pStyle w:val="PBACTableText"/>
              <w:keepNext/>
              <w:spacing w:before="0" w:after="0"/>
              <w:jc w:val="center"/>
            </w:pPr>
            <w:r w:rsidRPr="00DB3FE7">
              <w:t>27 (3.3%)</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280C9138" w14:textId="77777777" w:rsidR="006559DC" w:rsidRPr="00DB3FE7" w:rsidRDefault="006559DC" w:rsidP="00035F43">
            <w:pPr>
              <w:pStyle w:val="PBACTableText"/>
              <w:keepNext/>
              <w:spacing w:before="0" w:after="0"/>
              <w:jc w:val="center"/>
            </w:pPr>
            <w:r w:rsidRPr="00DB3FE7">
              <w:t>22 (2.7%)</w:t>
            </w:r>
          </w:p>
        </w:tc>
      </w:tr>
      <w:tr w:rsidR="006559DC" w:rsidRPr="00DB3FE7" w14:paraId="54EBAEFC"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7DCDFF91" w14:textId="77777777" w:rsidR="006559DC" w:rsidRPr="00DB3FE7" w:rsidRDefault="006559DC" w:rsidP="00035F43">
            <w:pPr>
              <w:pStyle w:val="PBACTableText"/>
              <w:keepNext/>
              <w:spacing w:before="0" w:after="0"/>
              <w:rPr>
                <w:lang w:eastAsia="en-AU"/>
              </w:rPr>
            </w:pPr>
            <w:r w:rsidRPr="00DB3FE7">
              <w:rPr>
                <w:lang w:eastAsia="en-AU"/>
              </w:rPr>
              <w:t>Cardiac events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D25410" w14:textId="77777777" w:rsidR="006559DC" w:rsidRPr="00DB3FE7" w:rsidRDefault="006559DC" w:rsidP="00035F43">
            <w:pPr>
              <w:pStyle w:val="PBACTableText"/>
              <w:keepNext/>
              <w:spacing w:before="0" w:after="0"/>
              <w:jc w:val="center"/>
            </w:pPr>
            <w:r w:rsidRPr="00DB3FE7">
              <w:t>14 (5.8%)</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39EFC35A" w14:textId="77777777" w:rsidR="006559DC" w:rsidRPr="00DB3FE7" w:rsidRDefault="006559DC" w:rsidP="00035F43">
            <w:pPr>
              <w:pStyle w:val="PBACTableText"/>
              <w:keepNext/>
              <w:spacing w:before="0" w:after="0"/>
              <w:jc w:val="center"/>
            </w:pPr>
            <w:r w:rsidRPr="00DB3FE7">
              <w:t>20 (8.3%)</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3E262FDC" w14:textId="77777777" w:rsidR="006559DC" w:rsidRPr="00DB3FE7" w:rsidRDefault="006559DC" w:rsidP="00035F43">
            <w:pPr>
              <w:pStyle w:val="PBACTableText"/>
              <w:keepNext/>
              <w:spacing w:before="0" w:after="0"/>
              <w:jc w:val="center"/>
            </w:pPr>
            <w:r w:rsidRPr="00DB3FE7">
              <w:t>109 (14.0%)</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5A06CE6E" w14:textId="77777777" w:rsidR="006559DC" w:rsidRPr="00DB3FE7" w:rsidRDefault="006559DC" w:rsidP="00035F43">
            <w:pPr>
              <w:pStyle w:val="PBACTableText"/>
              <w:keepNext/>
              <w:spacing w:before="0" w:after="0"/>
              <w:jc w:val="center"/>
            </w:pPr>
            <w:r w:rsidRPr="00DB3FE7">
              <w:t>135 (17.4%)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522A450D" w14:textId="77777777" w:rsidR="006559DC" w:rsidRPr="00DB3FE7" w:rsidRDefault="006559DC" w:rsidP="00035F43">
            <w:pPr>
              <w:pStyle w:val="PBACTableText"/>
              <w:keepNext/>
              <w:spacing w:before="0" w:after="0"/>
              <w:jc w:val="center"/>
            </w:pPr>
            <w:r w:rsidRPr="00DB3FE7">
              <w:t>138 (17.0%)</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3AA7DD90" w14:textId="77777777" w:rsidR="006559DC" w:rsidRPr="00DB3FE7" w:rsidRDefault="006559DC" w:rsidP="00035F43">
            <w:pPr>
              <w:pStyle w:val="PBACTableText"/>
              <w:keepNext/>
              <w:spacing w:before="0" w:after="0"/>
              <w:jc w:val="center"/>
            </w:pPr>
            <w:r w:rsidRPr="00DB3FE7">
              <w:t>145 (18.0%)</w:t>
            </w:r>
          </w:p>
        </w:tc>
      </w:tr>
      <w:tr w:rsidR="006559DC" w:rsidRPr="00DB3FE7" w14:paraId="4573DB5B"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70A4D2EF" w14:textId="77777777" w:rsidR="006559DC" w:rsidRPr="00DB3FE7" w:rsidRDefault="006559DC" w:rsidP="00035F43">
            <w:pPr>
              <w:pStyle w:val="PBACTableText"/>
              <w:keepNext/>
              <w:spacing w:before="0" w:after="0"/>
              <w:rPr>
                <w:lang w:eastAsia="en-AU"/>
              </w:rPr>
            </w:pPr>
            <w:r w:rsidRPr="00DB3FE7">
              <w:rPr>
                <w:lang w:eastAsia="en-AU"/>
              </w:rPr>
              <w:t>New/worsening diabetes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E3D0F69" w14:textId="77777777" w:rsidR="006559DC" w:rsidRPr="00DB3FE7" w:rsidRDefault="006559DC" w:rsidP="00035F43">
            <w:pPr>
              <w:pStyle w:val="PBACTableText"/>
              <w:keepNext/>
              <w:spacing w:before="0" w:after="0"/>
              <w:jc w:val="center"/>
            </w:pPr>
            <w:r w:rsidRPr="00DB3FE7">
              <w:t>18 (7.5%)</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07852144" w14:textId="77777777" w:rsidR="006559DC" w:rsidRPr="00DB3FE7" w:rsidRDefault="006559DC" w:rsidP="00035F43">
            <w:pPr>
              <w:pStyle w:val="PBACTableText"/>
              <w:keepNext/>
              <w:spacing w:before="0" w:after="0"/>
              <w:jc w:val="center"/>
            </w:pPr>
            <w:r w:rsidRPr="00DB3FE7">
              <w:t>13 (5.4%)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1959D365" w14:textId="77777777" w:rsidR="006559DC" w:rsidRPr="00DB3FE7" w:rsidRDefault="006559DC" w:rsidP="00035F43">
            <w:pPr>
              <w:pStyle w:val="PBACTableText"/>
              <w:keepNext/>
              <w:spacing w:before="0" w:after="0"/>
              <w:jc w:val="center"/>
            </w:pPr>
            <w:r w:rsidRPr="00DB3FE7">
              <w:t>148 (19.0%)</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260F8B2E" w14:textId="77777777" w:rsidR="006559DC" w:rsidRPr="00DB3FE7" w:rsidRDefault="006559DC" w:rsidP="00035F43">
            <w:pPr>
              <w:pStyle w:val="PBACTableText"/>
              <w:keepNext/>
              <w:spacing w:before="0" w:after="0"/>
              <w:jc w:val="center"/>
            </w:pPr>
            <w:r w:rsidRPr="00DB3FE7">
              <w:t>137 (17.6%)</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3D5B341C" w14:textId="77777777" w:rsidR="006559DC" w:rsidRPr="00DB3FE7" w:rsidRDefault="006559DC" w:rsidP="00035F43">
            <w:pPr>
              <w:pStyle w:val="PBACTableText"/>
              <w:keepNext/>
              <w:spacing w:before="0" w:after="0"/>
              <w:jc w:val="center"/>
            </w:pPr>
            <w:r w:rsidRPr="00DB3FE7">
              <w:t>124 (15.3%)</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6EEAEC30" w14:textId="77777777" w:rsidR="006559DC" w:rsidRPr="00DB3FE7" w:rsidRDefault="006559DC" w:rsidP="00035F43">
            <w:pPr>
              <w:pStyle w:val="PBACTableText"/>
              <w:keepNext/>
              <w:spacing w:before="0" w:after="0"/>
              <w:jc w:val="center"/>
            </w:pPr>
            <w:r w:rsidRPr="00DB3FE7">
              <w:t>130 (16.2%)</w:t>
            </w:r>
          </w:p>
        </w:tc>
      </w:tr>
      <w:tr w:rsidR="006559DC" w:rsidRPr="00DB3FE7" w14:paraId="7903FE8E"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08B31DE2" w14:textId="77777777" w:rsidR="006559DC" w:rsidRPr="00DB3FE7" w:rsidRDefault="006559DC" w:rsidP="00035F43">
            <w:pPr>
              <w:pStyle w:val="PBACTableText"/>
              <w:keepNext/>
              <w:spacing w:before="0" w:after="0"/>
              <w:rPr>
                <w:lang w:eastAsia="en-AU"/>
              </w:rPr>
            </w:pPr>
            <w:r w:rsidRPr="00DB3FE7">
              <w:rPr>
                <w:lang w:eastAsia="en-AU"/>
              </w:rPr>
              <w:t>Hypersensitivity</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8E2930" w14:textId="77777777" w:rsidR="006559DC" w:rsidRPr="00DB3FE7" w:rsidRDefault="006559DC" w:rsidP="00035F43">
            <w:pPr>
              <w:pStyle w:val="PBACTableText"/>
              <w:keepNext/>
              <w:spacing w:before="0" w:after="0"/>
              <w:jc w:val="center"/>
            </w:pPr>
            <w:r w:rsidRPr="00DB3FE7">
              <w:t>22 (9.1%)</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CEF839" w14:textId="77777777" w:rsidR="006559DC" w:rsidRPr="00DB3FE7" w:rsidRDefault="006559DC" w:rsidP="00035F43">
            <w:pPr>
              <w:pStyle w:val="PBACTableText"/>
              <w:keepNext/>
              <w:spacing w:before="0" w:after="0"/>
              <w:jc w:val="center"/>
            </w:pPr>
            <w:r w:rsidRPr="00DB3FE7">
              <w:t>16 (6.7%)</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111557C2" w14:textId="77777777" w:rsidR="006559DC" w:rsidRPr="00DB3FE7" w:rsidRDefault="006559DC" w:rsidP="00035F43">
            <w:pPr>
              <w:pStyle w:val="PBACTableText"/>
              <w:keepNext/>
              <w:spacing w:before="0" w:after="0"/>
              <w:jc w:val="center"/>
            </w:pPr>
            <w:r w:rsidRPr="00DB3FE7">
              <w:t>61 (7.8%)</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7AD47807" w14:textId="77777777" w:rsidR="006559DC" w:rsidRPr="00DB3FE7" w:rsidRDefault="006559DC" w:rsidP="00035F43">
            <w:pPr>
              <w:pStyle w:val="PBACTableText"/>
              <w:keepNext/>
              <w:spacing w:before="0" w:after="0"/>
              <w:jc w:val="center"/>
            </w:pPr>
            <w:r w:rsidRPr="00DB3FE7">
              <w:t>72 (9.3%)</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440D9A7B" w14:textId="77777777" w:rsidR="006559DC" w:rsidRPr="00DB3FE7" w:rsidRDefault="006559DC" w:rsidP="00035F43">
            <w:pPr>
              <w:pStyle w:val="PBACTableText"/>
              <w:keepNext/>
              <w:spacing w:before="0" w:after="0"/>
              <w:jc w:val="center"/>
            </w:pPr>
            <w:r w:rsidRPr="00DB3FE7">
              <w:t>53 (6.5%)</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58EC36ED" w14:textId="77777777" w:rsidR="006559DC" w:rsidRPr="00DB3FE7" w:rsidRDefault="006559DC" w:rsidP="00035F43">
            <w:pPr>
              <w:pStyle w:val="PBACTableText"/>
              <w:keepNext/>
              <w:spacing w:before="0" w:after="0"/>
              <w:jc w:val="center"/>
            </w:pPr>
            <w:r w:rsidRPr="00DB3FE7">
              <w:t>49 (6.1%)</w:t>
            </w:r>
          </w:p>
        </w:tc>
      </w:tr>
      <w:tr w:rsidR="006559DC" w:rsidRPr="00DB3FE7" w14:paraId="5C56E170"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29499356" w14:textId="77777777" w:rsidR="006559DC" w:rsidRPr="00DB3FE7" w:rsidRDefault="006559DC" w:rsidP="00035F43">
            <w:pPr>
              <w:pStyle w:val="PBACTableText"/>
              <w:keepNext/>
              <w:spacing w:before="0" w:after="0"/>
              <w:rPr>
                <w:lang w:eastAsia="en-AU"/>
              </w:rPr>
            </w:pPr>
            <w:r w:rsidRPr="00DB3FE7">
              <w:rPr>
                <w:lang w:eastAsia="en-AU"/>
              </w:rPr>
              <w:t>Neurologic or neurocognitive events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A60690" w14:textId="77777777" w:rsidR="006559DC" w:rsidRPr="00DB3FE7" w:rsidRDefault="006559DC" w:rsidP="00035F43">
            <w:pPr>
              <w:pStyle w:val="PBACTableText"/>
              <w:keepNext/>
              <w:spacing w:before="0" w:after="0"/>
              <w:jc w:val="center"/>
            </w:pPr>
            <w:r w:rsidRPr="00DB3FE7">
              <w:t>2 (0.8%)</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2A567E42" w14:textId="77777777" w:rsidR="006559DC" w:rsidRPr="00DB3FE7" w:rsidRDefault="006559DC" w:rsidP="00035F43">
            <w:pPr>
              <w:pStyle w:val="PBACTableText"/>
              <w:keepNext/>
              <w:spacing w:before="0" w:after="0"/>
              <w:jc w:val="center"/>
            </w:pPr>
            <w:r w:rsidRPr="00DB3FE7">
              <w:t>6 (2.5%)</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53366971" w14:textId="77777777" w:rsidR="006559DC" w:rsidRPr="00DB3FE7" w:rsidRDefault="006559DC" w:rsidP="00035F43">
            <w:pPr>
              <w:pStyle w:val="PBACTableText"/>
              <w:keepNext/>
              <w:spacing w:before="0" w:after="0"/>
              <w:jc w:val="center"/>
            </w:pPr>
            <w:r w:rsidRPr="00DB3FE7">
              <w:t>28 (3.6%)</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977E81E" w14:textId="77777777" w:rsidR="006559DC" w:rsidRPr="00DB3FE7" w:rsidRDefault="006559DC" w:rsidP="00035F43">
            <w:pPr>
              <w:pStyle w:val="PBACTableText"/>
              <w:keepNext/>
              <w:spacing w:before="0" w:after="0"/>
              <w:jc w:val="center"/>
            </w:pPr>
            <w:r w:rsidRPr="00DB3FE7">
              <w:t>30 (3.9%)</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3810BF75" w14:textId="77777777" w:rsidR="006559DC" w:rsidRPr="00DB3FE7" w:rsidRDefault="006559DC" w:rsidP="00035F43">
            <w:pPr>
              <w:pStyle w:val="PBACTableText"/>
              <w:keepNext/>
              <w:spacing w:before="0" w:after="0"/>
              <w:jc w:val="center"/>
            </w:pPr>
            <w:r w:rsidRPr="00DB3FE7">
              <w:t>23 (2.8%)</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758DCF4E" w14:textId="77777777" w:rsidR="006559DC" w:rsidRPr="00DB3FE7" w:rsidRDefault="006559DC" w:rsidP="00035F43">
            <w:pPr>
              <w:pStyle w:val="PBACTableText"/>
              <w:keepNext/>
              <w:spacing w:before="0" w:after="0"/>
              <w:jc w:val="center"/>
            </w:pPr>
            <w:r w:rsidRPr="00DB3FE7">
              <w:t>33 (4.1%)</w:t>
            </w:r>
          </w:p>
        </w:tc>
      </w:tr>
      <w:tr w:rsidR="006559DC" w:rsidRPr="00DB3FE7" w14:paraId="4292988A" w14:textId="77777777" w:rsidTr="00035F43">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14:paraId="0C137A81" w14:textId="77777777" w:rsidR="006559DC" w:rsidRPr="00DB3FE7" w:rsidRDefault="006559DC" w:rsidP="00035F43">
            <w:pPr>
              <w:pStyle w:val="PBACTableText"/>
              <w:keepNext/>
              <w:spacing w:before="0" w:after="0"/>
              <w:rPr>
                <w:lang w:eastAsia="en-AU"/>
              </w:rPr>
            </w:pPr>
            <w:r w:rsidRPr="00DB3FE7">
              <w:rPr>
                <w:lang w:eastAsia="en-AU"/>
              </w:rPr>
              <w:t>Ophthalmological events</w:t>
            </w:r>
          </w:p>
        </w:tc>
        <w:tc>
          <w:tcPr>
            <w:tcW w:w="654"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24F6128" w14:textId="77777777" w:rsidR="006559DC" w:rsidRPr="00DB3FE7" w:rsidRDefault="006559DC" w:rsidP="00035F43">
            <w:pPr>
              <w:pStyle w:val="PBACTableText"/>
              <w:keepNext/>
              <w:spacing w:before="0" w:after="0"/>
              <w:jc w:val="center"/>
            </w:pPr>
            <w:r w:rsidRPr="00DB3FE7">
              <w:t>3 (1.2%)</w:t>
            </w:r>
          </w:p>
        </w:tc>
        <w:tc>
          <w:tcPr>
            <w:tcW w:w="655" w:type="pct"/>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14:paraId="1A4F2183" w14:textId="77777777" w:rsidR="006559DC" w:rsidRPr="00DB3FE7" w:rsidRDefault="006559DC" w:rsidP="00035F43">
            <w:pPr>
              <w:pStyle w:val="PBACTableText"/>
              <w:keepNext/>
              <w:spacing w:before="0" w:after="0"/>
              <w:jc w:val="center"/>
            </w:pPr>
            <w:r w:rsidRPr="00DB3FE7">
              <w:t>2 (0.8%)</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68C55A3B" w14:textId="77777777" w:rsidR="006559DC" w:rsidRPr="00DB3FE7" w:rsidRDefault="006559DC" w:rsidP="00035F43">
            <w:pPr>
              <w:pStyle w:val="PBACTableText"/>
              <w:keepNext/>
              <w:spacing w:before="0" w:after="0"/>
              <w:jc w:val="center"/>
            </w:pPr>
            <w:r w:rsidRPr="00DB3FE7">
              <w:t>11 (1.4%)</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762379C0" w14:textId="77777777" w:rsidR="006559DC" w:rsidRPr="00DB3FE7" w:rsidRDefault="006559DC" w:rsidP="00035F43">
            <w:pPr>
              <w:pStyle w:val="PBACTableText"/>
              <w:keepNext/>
              <w:spacing w:before="0" w:after="0"/>
              <w:jc w:val="center"/>
            </w:pPr>
            <w:r w:rsidRPr="00DB3FE7">
              <w:t>8 (1.0%)</w:t>
            </w:r>
          </w:p>
        </w:tc>
        <w:tc>
          <w:tcPr>
            <w:tcW w:w="654" w:type="pct"/>
            <w:tcBorders>
              <w:top w:val="single" w:sz="4" w:space="0" w:color="auto"/>
              <w:left w:val="nil"/>
              <w:bottom w:val="single" w:sz="4" w:space="0" w:color="auto"/>
              <w:right w:val="single" w:sz="4" w:space="0" w:color="auto"/>
            </w:tcBorders>
            <w:tcMar>
              <w:left w:w="57" w:type="dxa"/>
              <w:right w:w="57" w:type="dxa"/>
            </w:tcMar>
            <w:vAlign w:val="center"/>
          </w:tcPr>
          <w:p w14:paraId="4A029F4E" w14:textId="77777777" w:rsidR="006559DC" w:rsidRPr="00DB3FE7" w:rsidRDefault="006559DC" w:rsidP="00035F43">
            <w:pPr>
              <w:pStyle w:val="PBACTableText"/>
              <w:keepNext/>
              <w:spacing w:before="0" w:after="0"/>
              <w:jc w:val="center"/>
            </w:pPr>
            <w:r w:rsidRPr="00DB3FE7">
              <w:t>13 (1.6%)</w:t>
            </w:r>
          </w:p>
        </w:tc>
        <w:tc>
          <w:tcPr>
            <w:tcW w:w="653" w:type="pct"/>
            <w:tcBorders>
              <w:top w:val="single" w:sz="4" w:space="0" w:color="auto"/>
              <w:left w:val="nil"/>
              <w:bottom w:val="single" w:sz="4" w:space="0" w:color="auto"/>
              <w:right w:val="single" w:sz="4" w:space="0" w:color="auto"/>
            </w:tcBorders>
            <w:tcMar>
              <w:left w:w="57" w:type="dxa"/>
              <w:right w:w="57" w:type="dxa"/>
            </w:tcMar>
            <w:vAlign w:val="center"/>
          </w:tcPr>
          <w:p w14:paraId="61A6442F" w14:textId="77777777" w:rsidR="006559DC" w:rsidRPr="00DB3FE7" w:rsidRDefault="006559DC" w:rsidP="00035F43">
            <w:pPr>
              <w:pStyle w:val="PBACTableText"/>
              <w:keepNext/>
              <w:spacing w:before="0" w:after="0"/>
              <w:jc w:val="center"/>
            </w:pPr>
            <w:r w:rsidRPr="00DB3FE7">
              <w:t>11 (1.4%)</w:t>
            </w:r>
          </w:p>
        </w:tc>
      </w:tr>
    </w:tbl>
    <w:p w14:paraId="57281C78" w14:textId="409C1FE1" w:rsidR="006559DC" w:rsidRPr="00DB3FE7" w:rsidRDefault="006559DC" w:rsidP="006559DC">
      <w:pPr>
        <w:pStyle w:val="COMTablefooter"/>
        <w:keepNext/>
      </w:pPr>
      <w:r w:rsidRPr="00DB3FE7">
        <w:t>Source: Table 33</w:t>
      </w:r>
      <w:r w:rsidR="00F86CCE" w:rsidRPr="00DB3FE7">
        <w:t xml:space="preserve"> </w:t>
      </w:r>
      <w:r w:rsidRPr="00DB3FE7">
        <w:t>of the submission; Section 12.5</w:t>
      </w:r>
      <w:r w:rsidR="00F86CCE" w:rsidRPr="00DB3FE7">
        <w:t xml:space="preserve"> </w:t>
      </w:r>
      <w:r w:rsidRPr="00DB3FE7">
        <w:t>of the ORION-9 trial report; Section 12.5</w:t>
      </w:r>
      <w:r w:rsidR="00F86CCE" w:rsidRPr="00DB3FE7">
        <w:t xml:space="preserve"> </w:t>
      </w:r>
      <w:r w:rsidRPr="00DB3FE7">
        <w:t>of the ORION-10 trial report; Section 12.5</w:t>
      </w:r>
      <w:r w:rsidR="00F86CCE" w:rsidRPr="00DB3FE7">
        <w:t xml:space="preserve"> </w:t>
      </w:r>
      <w:r w:rsidRPr="00DB3FE7">
        <w:t>of the ORION-11 trial report</w:t>
      </w:r>
    </w:p>
    <w:p w14:paraId="31E28FD5" w14:textId="4EEA756D" w:rsidR="006559DC" w:rsidRPr="00DB3FE7" w:rsidRDefault="006559DC" w:rsidP="00980E94">
      <w:pPr>
        <w:pStyle w:val="COMexecsumnumberedpara"/>
      </w:pPr>
      <w:r w:rsidRPr="00DB3FE7">
        <w:t xml:space="preserve">The most frequently occurring adverse events (≥ 5% of subjects in any arm) in the inclisiran trials were nasopharyngitis, influenza, upper respiratory tract infection, back pain, injection site reactions, hypertension, bronchitis, diabetes, dyspnoea, </w:t>
      </w:r>
      <w:r w:rsidR="000A24C3" w:rsidRPr="00DB3FE7">
        <w:t>arthralgia,</w:t>
      </w:r>
      <w:r w:rsidRPr="00DB3FE7">
        <w:t xml:space="preserve"> and osteoarthritis.</w:t>
      </w:r>
    </w:p>
    <w:p w14:paraId="7336AD23" w14:textId="0211BDDC" w:rsidR="006559DC" w:rsidRPr="00DB3FE7" w:rsidRDefault="006559DC" w:rsidP="00980E94">
      <w:pPr>
        <w:pStyle w:val="COMexecsumnumberedpara"/>
      </w:pPr>
      <w:r w:rsidRPr="00DB3FE7">
        <w:t>Treatment with inclisiran was associated with an increased incidence of treatment</w:t>
      </w:r>
      <w:r w:rsidR="00C24FA6" w:rsidRPr="00DB3FE7">
        <w:noBreakHyphen/>
      </w:r>
      <w:r w:rsidRPr="00DB3FE7">
        <w:t>related adverse events (primarily mild-to-moderate injection site reactions) compared to placebo. Consistent with the exploratory cardiovascular outcomes, treatment with inclisiran also appeared to be associated with a reduction in the incidence of cardiac events compared to placebo. The incidence of other adverse events was generally similar between treatment arms.</w:t>
      </w:r>
    </w:p>
    <w:p w14:paraId="21D82292" w14:textId="0A721A25" w:rsidR="000A545F" w:rsidRPr="00DB3FE7" w:rsidRDefault="000A545F" w:rsidP="00980E94">
      <w:pPr>
        <w:pStyle w:val="COMexecsumnumberedpara"/>
      </w:pPr>
      <w:r w:rsidRPr="00DB3FE7">
        <w:t>The submission provided additional data on potential safety concerns with inclisiran based on a Periodic Safety Update Report (January 2022 to June 2022). No new safety concerns were identified in the report. There were no important identified risks or important potential risks associated with inclisiran treatment. The report noted that there was missing information on long term safety, use in pregnancy and breastfeeding and use in severe hepatic impairment.</w:t>
      </w:r>
      <w:r w:rsidR="005F62C0" w:rsidRPr="00DB3FE7">
        <w:t xml:space="preserve"> The PSCR stated that long-term safety data from the 5-year ORION 3 open label study which indicated the incidence of treatment emergent adverse events possible related to inclisiran was 1% (3/284) in the inclisiran-only arm and 1% (1/87) in the switching arm.</w:t>
      </w:r>
    </w:p>
    <w:p w14:paraId="4D2E2BD0" w14:textId="4600522B" w:rsidR="006559DC" w:rsidRPr="00DB3FE7" w:rsidRDefault="006559DC" w:rsidP="00980E94">
      <w:pPr>
        <w:pStyle w:val="COMexecsumnumberedpara"/>
      </w:pPr>
      <w:r w:rsidRPr="00DB3FE7">
        <w:t>The</w:t>
      </w:r>
      <w:r w:rsidRPr="00DB3FE7">
        <w:rPr>
          <w:i/>
          <w:iCs/>
        </w:rPr>
        <w:t xml:space="preserve"> </w:t>
      </w:r>
      <w:r w:rsidRPr="00DB3FE7">
        <w:t>submission did not present any comparisons of safety between inclisiran and nominated comparators but claimed that all of the therapies are considered safe and well-tolerated.</w:t>
      </w:r>
    </w:p>
    <w:p w14:paraId="04908C7F" w14:textId="381F8EE6" w:rsidR="007F1017" w:rsidRPr="00DB3FE7" w:rsidRDefault="007F1017" w:rsidP="00D86231">
      <w:pPr>
        <w:pStyle w:val="COMH2-non-numbered"/>
      </w:pPr>
      <w:bookmarkStart w:id="31" w:name="_Toc22897643"/>
      <w:bookmarkStart w:id="32" w:name="_Toc124866147"/>
      <w:r w:rsidRPr="00DB3FE7">
        <w:t>Benefits/harms</w:t>
      </w:r>
      <w:bookmarkEnd w:id="31"/>
      <w:bookmarkEnd w:id="32"/>
    </w:p>
    <w:p w14:paraId="1E597D89" w14:textId="1FC613C4" w:rsidR="00F40949" w:rsidRPr="00DB3FE7" w:rsidRDefault="00F40949" w:rsidP="00980E94">
      <w:pPr>
        <w:pStyle w:val="COMexecsumnumberedpara"/>
      </w:pPr>
      <w:r w:rsidRPr="00DB3FE7">
        <w:t xml:space="preserve">On the basis of </w:t>
      </w:r>
      <w:r w:rsidR="0058282D" w:rsidRPr="00DB3FE7">
        <w:t>the indirect evidence presented in</w:t>
      </w:r>
      <w:r w:rsidRPr="00DB3FE7">
        <w:t xml:space="preserve"> the submission, the comparison of inclisiran and ezetimibe resulted in:</w:t>
      </w:r>
    </w:p>
    <w:p w14:paraId="27276F09" w14:textId="78382623" w:rsidR="00FD0408" w:rsidRPr="00DB3FE7" w:rsidRDefault="00F40949" w:rsidP="009B541B">
      <w:pPr>
        <w:pStyle w:val="COMexecsumnumberedpara"/>
        <w:numPr>
          <w:ilvl w:val="0"/>
          <w:numId w:val="10"/>
        </w:numPr>
        <w:ind w:left="1077" w:hanging="357"/>
      </w:pPr>
      <w:r w:rsidRPr="00DB3FE7">
        <w:t xml:space="preserve">Approximately </w:t>
      </w:r>
      <w:r w:rsidR="00DD7627" w:rsidRPr="00DB3FE7">
        <w:t xml:space="preserve">an additional </w:t>
      </w:r>
      <w:r w:rsidRPr="00DB3FE7">
        <w:t>25% reduction in LDL</w:t>
      </w:r>
      <w:r w:rsidR="00CD0449" w:rsidRPr="00DB3FE7">
        <w:t>-C</w:t>
      </w:r>
      <w:r w:rsidRPr="00DB3FE7">
        <w:t xml:space="preserve"> levels compared to baseline over</w:t>
      </w:r>
      <w:r w:rsidR="00FD0408" w:rsidRPr="00DB3FE7">
        <w:t xml:space="preserve"> the trial durations (between 6 weeks and 18 months)</w:t>
      </w:r>
      <w:r w:rsidRPr="00DB3FE7">
        <w:t>. The submiss</w:t>
      </w:r>
      <w:r w:rsidR="0058282D" w:rsidRPr="00DB3FE7">
        <w:t>ion did not nominate a minimal</w:t>
      </w:r>
      <w:r w:rsidRPr="00DB3FE7">
        <w:t xml:space="preserve"> clinical</w:t>
      </w:r>
      <w:r w:rsidR="0058282D" w:rsidRPr="00DB3FE7">
        <w:t>ly</w:t>
      </w:r>
      <w:r w:rsidRPr="00DB3FE7">
        <w:t xml:space="preserve"> important difference</w:t>
      </w:r>
      <w:r w:rsidR="00FD0408" w:rsidRPr="00DB3FE7">
        <w:t xml:space="preserve"> in LDL</w:t>
      </w:r>
      <w:r w:rsidR="00CD0449" w:rsidRPr="00DB3FE7">
        <w:t>-C</w:t>
      </w:r>
      <w:r w:rsidR="00FD0408" w:rsidRPr="00DB3FE7">
        <w:t xml:space="preserve"> levels.</w:t>
      </w:r>
    </w:p>
    <w:p w14:paraId="7C1FF1F2" w14:textId="7F095960" w:rsidR="00F40949" w:rsidRPr="00DB3FE7" w:rsidRDefault="0058282D" w:rsidP="009B541B">
      <w:pPr>
        <w:pStyle w:val="COMexecsumnumberedpara"/>
        <w:numPr>
          <w:ilvl w:val="0"/>
          <w:numId w:val="10"/>
        </w:numPr>
        <w:ind w:left="1077" w:hanging="357"/>
      </w:pPr>
      <w:r w:rsidRPr="00DB3FE7">
        <w:t>No safety data were</w:t>
      </w:r>
      <w:r w:rsidR="00FD0408" w:rsidRPr="00DB3FE7">
        <w:t xml:space="preserve"> presented to allow a comparative assessment of harms</w:t>
      </w:r>
      <w:r w:rsidRPr="00DB3FE7">
        <w:t>.</w:t>
      </w:r>
    </w:p>
    <w:p w14:paraId="6DF27DCB" w14:textId="6C661CBA" w:rsidR="00FD0408" w:rsidRPr="00DB3FE7" w:rsidRDefault="00FD0408" w:rsidP="00980E94">
      <w:pPr>
        <w:pStyle w:val="COMexecsumnumberedpara"/>
      </w:pPr>
      <w:r w:rsidRPr="00DB3FE7">
        <w:t xml:space="preserve">An assessment of benefits and harms was not conducted for comparisons against </w:t>
      </w:r>
      <w:r w:rsidR="008F392E" w:rsidRPr="00DB3FE7">
        <w:t xml:space="preserve">PCSK9 inhibitor therapies </w:t>
      </w:r>
      <w:r w:rsidRPr="00DB3FE7">
        <w:t>(evolocumab, alirocumab) given the claim of non-inferiority.</w:t>
      </w:r>
    </w:p>
    <w:p w14:paraId="7A1772B6" w14:textId="21023AE6" w:rsidR="00B60939" w:rsidRPr="00DB3FE7" w:rsidRDefault="00B60939" w:rsidP="00E9094A">
      <w:pPr>
        <w:pStyle w:val="COMH2-non-numbered"/>
      </w:pPr>
      <w:bookmarkStart w:id="33" w:name="_Toc22897644"/>
      <w:bookmarkStart w:id="34" w:name="_Toc124866148"/>
      <w:r w:rsidRPr="00DB3FE7">
        <w:t>Clinical claim</w:t>
      </w:r>
      <w:bookmarkEnd w:id="33"/>
      <w:bookmarkEnd w:id="34"/>
    </w:p>
    <w:p w14:paraId="2F859F0D" w14:textId="2CD2780E" w:rsidR="000A545F" w:rsidRPr="00DB3FE7" w:rsidRDefault="000A545F" w:rsidP="00980E94">
      <w:pPr>
        <w:pStyle w:val="COMexecsumnumberedpara"/>
      </w:pPr>
      <w:r w:rsidRPr="00DB3FE7">
        <w:t xml:space="preserve">The submission described inclisiran as superior </w:t>
      </w:r>
      <w:r w:rsidR="00A178A2" w:rsidRPr="00DB3FE7">
        <w:t xml:space="preserve">to ezetimibe </w:t>
      </w:r>
      <w:r w:rsidRPr="00DB3FE7">
        <w:t xml:space="preserve">in terms of </w:t>
      </w:r>
      <w:r w:rsidR="00A178A2" w:rsidRPr="00DB3FE7">
        <w:t xml:space="preserve">comparative effectiveness </w:t>
      </w:r>
      <w:r w:rsidRPr="00DB3FE7">
        <w:t>and non-inferior in terms of safety. T</w:t>
      </w:r>
      <w:r w:rsidR="00A7359B" w:rsidRPr="00DB3FE7">
        <w:t>he ESC considered that t</w:t>
      </w:r>
      <w:r w:rsidRPr="00DB3FE7">
        <w:t xml:space="preserve">his claim was reasonable in terms of </w:t>
      </w:r>
      <w:r w:rsidR="00A178A2" w:rsidRPr="00DB3FE7">
        <w:t xml:space="preserve">comparative effectiveness </w:t>
      </w:r>
      <w:r w:rsidRPr="00DB3FE7">
        <w:t>but uncertain in terms of safety</w:t>
      </w:r>
      <w:r w:rsidR="00A7359B" w:rsidRPr="00DB3FE7">
        <w:t xml:space="preserve"> given the lack of comparative and long-term safety data</w:t>
      </w:r>
      <w:r w:rsidRPr="00DB3FE7">
        <w:t>.</w:t>
      </w:r>
    </w:p>
    <w:p w14:paraId="22EDC668" w14:textId="62166689" w:rsidR="000A545F" w:rsidRPr="00DB3FE7" w:rsidRDefault="000A545F" w:rsidP="00980E94">
      <w:pPr>
        <w:pStyle w:val="COMexecsumnumberedpara"/>
      </w:pPr>
      <w:r w:rsidRPr="00DB3FE7">
        <w:t xml:space="preserve">The submission described inclisiran as non-inferior </w:t>
      </w:r>
      <w:r w:rsidR="00A178A2" w:rsidRPr="00DB3FE7">
        <w:t xml:space="preserve">compared to PCSK9 inhibitors (evolocumab and alirocumab) </w:t>
      </w:r>
      <w:r w:rsidRPr="00DB3FE7">
        <w:t xml:space="preserve">in terms of </w:t>
      </w:r>
      <w:r w:rsidR="00A178A2" w:rsidRPr="00DB3FE7">
        <w:t xml:space="preserve">comparative effectiveness </w:t>
      </w:r>
      <w:r w:rsidRPr="00DB3FE7">
        <w:t xml:space="preserve">and safety. </w:t>
      </w:r>
      <w:r w:rsidR="00C24FA6" w:rsidRPr="00DB3FE7">
        <w:t>In </w:t>
      </w:r>
      <w:r w:rsidR="00A7359B" w:rsidRPr="00DB3FE7">
        <w:t xml:space="preserve">terms of </w:t>
      </w:r>
      <w:r w:rsidR="00A178A2" w:rsidRPr="00DB3FE7">
        <w:t>comparative effectiveness</w:t>
      </w:r>
      <w:r w:rsidR="00A7359B" w:rsidRPr="00DB3FE7">
        <w:t xml:space="preserve">, the ESC considered that </w:t>
      </w:r>
      <w:r w:rsidR="006C1024" w:rsidRPr="00DB3FE7">
        <w:t xml:space="preserve">although inclisiran was broadly comparable to the PCSK9 inhibitor therapies, the claim of non-inferiority was </w:t>
      </w:r>
      <w:r w:rsidR="004D4B75" w:rsidRPr="00DB3FE7">
        <w:t>un</w:t>
      </w:r>
      <w:r w:rsidR="00A178A2" w:rsidRPr="00DB3FE7">
        <w:t>certain based on</w:t>
      </w:r>
      <w:r w:rsidR="006C1024" w:rsidRPr="00DB3FE7">
        <w:t xml:space="preserve"> the evidence presented</w:t>
      </w:r>
      <w:r w:rsidR="004B73C0" w:rsidRPr="00DB3FE7">
        <w:t>,</w:t>
      </w:r>
      <w:r w:rsidR="006C1024" w:rsidRPr="00DB3FE7">
        <w:t xml:space="preserve"> noting that inclisiran was possibly inferior to evolocumab and high dose alirocumab</w:t>
      </w:r>
      <w:r w:rsidR="00B8538B" w:rsidRPr="00DB3FE7">
        <w:t xml:space="preserve"> with statistically significantly worse results compared to evolocumab in </w:t>
      </w:r>
      <w:r w:rsidR="00BC507E" w:rsidRPr="00DB3FE7">
        <w:t>HeFH</w:t>
      </w:r>
      <w:r w:rsidR="006C1024" w:rsidRPr="00DB3FE7">
        <w:t xml:space="preserve">. In terms of safety, the ESC considered </w:t>
      </w:r>
      <w:r w:rsidR="00A178A2" w:rsidRPr="00DB3FE7">
        <w:t>whilst inclisir</w:t>
      </w:r>
      <w:r w:rsidR="004B73C0" w:rsidRPr="00DB3FE7">
        <w:t>an</w:t>
      </w:r>
      <w:r w:rsidR="00A178A2" w:rsidRPr="00DB3FE7">
        <w:t xml:space="preserve"> appears to have comparable safety to PCSK9 inhibitors and is reasonably well-tolerated, </w:t>
      </w:r>
      <w:r w:rsidR="006C1024" w:rsidRPr="00DB3FE7">
        <w:t>the claim was uncertain given the lack of comparative and long-term safety data.</w:t>
      </w:r>
    </w:p>
    <w:p w14:paraId="72B1F2C9" w14:textId="07F5A459" w:rsidR="000A545F" w:rsidRPr="00DB3FE7" w:rsidRDefault="000A545F" w:rsidP="00980E94">
      <w:pPr>
        <w:pStyle w:val="COMexecsumnumberedpara"/>
      </w:pPr>
      <w:r w:rsidRPr="00DB3FE7">
        <w:t xml:space="preserve">The </w:t>
      </w:r>
      <w:r w:rsidR="006C1024" w:rsidRPr="00DB3FE7">
        <w:t xml:space="preserve">ESC considered that the </w:t>
      </w:r>
      <w:r w:rsidRPr="00DB3FE7">
        <w:t>following issues should be considered:</w:t>
      </w:r>
    </w:p>
    <w:p w14:paraId="5BF13F12" w14:textId="77777777" w:rsidR="000A545F" w:rsidRPr="00DB3FE7" w:rsidRDefault="000A545F" w:rsidP="009B541B">
      <w:pPr>
        <w:pStyle w:val="COMexecsumnumberedpara"/>
        <w:numPr>
          <w:ilvl w:val="0"/>
          <w:numId w:val="11"/>
        </w:numPr>
        <w:ind w:left="1077" w:hanging="357"/>
      </w:pPr>
      <w:r w:rsidRPr="00DB3FE7">
        <w:t>The robustness of limiting data to a highly selective evidence base (which was still poorly matched) rather than a broader comprehensive assessment of data for each treatment.</w:t>
      </w:r>
    </w:p>
    <w:p w14:paraId="510D7B4A" w14:textId="6A5A9AAE" w:rsidR="000A545F" w:rsidRPr="00DB3FE7" w:rsidRDefault="000A545F" w:rsidP="009B541B">
      <w:pPr>
        <w:pStyle w:val="COMexecsumnumberedpara"/>
        <w:numPr>
          <w:ilvl w:val="0"/>
          <w:numId w:val="11"/>
        </w:numPr>
        <w:ind w:left="1077" w:hanging="357"/>
      </w:pPr>
      <w:r w:rsidRPr="00DB3FE7">
        <w:t>The appropriateness of claiming non-inferiority</w:t>
      </w:r>
      <w:r w:rsidR="00F00548" w:rsidRPr="00DB3FE7">
        <w:t xml:space="preserve"> to </w:t>
      </w:r>
      <w:r w:rsidR="008F392E" w:rsidRPr="00DB3FE7">
        <w:t xml:space="preserve">PCSK9 inhibitor therapies </w:t>
      </w:r>
      <w:r w:rsidRPr="00DB3FE7">
        <w:t>based on a lack of statistically significant difference between therapies in the indirect comparisons particularly given that results consistently favoured evolocumab over inclisiran and the magnitude of difference between therapies may be clinically important.</w:t>
      </w:r>
    </w:p>
    <w:p w14:paraId="0D3FB95A" w14:textId="08B1598F" w:rsidR="000A545F" w:rsidRPr="00DB3FE7" w:rsidRDefault="000A545F" w:rsidP="009B541B">
      <w:pPr>
        <w:pStyle w:val="COMexecsumnumberedpara"/>
        <w:numPr>
          <w:ilvl w:val="0"/>
          <w:numId w:val="11"/>
        </w:numPr>
        <w:ind w:left="1077" w:hanging="357"/>
      </w:pPr>
      <w:r w:rsidRPr="00DB3FE7">
        <w:t>The lack of comparative data between inclisiran, ezetimibe and PCSK9 inhibitors in patients with statin-intolerance.</w:t>
      </w:r>
    </w:p>
    <w:p w14:paraId="4E87E49E" w14:textId="3B3E65C9" w:rsidR="009B1051" w:rsidRPr="00DB3FE7" w:rsidRDefault="009B1051" w:rsidP="009B1051">
      <w:pPr>
        <w:pStyle w:val="COMexecsumnumberedpara"/>
      </w:pPr>
      <w:r w:rsidRPr="00DB3FE7">
        <w:t xml:space="preserve">The PBAC considered that the claim of non-inferior comparative effectiveness to the PCSK9 inhibitors was </w:t>
      </w:r>
      <w:r w:rsidR="004D4B75" w:rsidRPr="00DB3FE7">
        <w:t>uncertain</w:t>
      </w:r>
      <w:r w:rsidRPr="00DB3FE7">
        <w:t>.</w:t>
      </w:r>
    </w:p>
    <w:p w14:paraId="16C581D1" w14:textId="26E44EC0" w:rsidR="009B1051" w:rsidRPr="00DB3FE7" w:rsidRDefault="009B1051" w:rsidP="00EB3108">
      <w:pPr>
        <w:pStyle w:val="COMexecsumnumberedpara"/>
      </w:pPr>
      <w:r w:rsidRPr="00DB3FE7">
        <w:t xml:space="preserve">The PBAC considered that the claim of non-inferior comparative safety </w:t>
      </w:r>
      <w:r w:rsidR="00EB3108" w:rsidRPr="00DB3FE7">
        <w:t xml:space="preserve">to the PCSK9 inhibitors </w:t>
      </w:r>
      <w:r w:rsidRPr="00DB3FE7">
        <w:t xml:space="preserve">was </w:t>
      </w:r>
      <w:r w:rsidR="00EB3108" w:rsidRPr="00DB3FE7">
        <w:t>uncertain, though likely comparable</w:t>
      </w:r>
      <w:r w:rsidRPr="00DB3FE7">
        <w:t>.</w:t>
      </w:r>
    </w:p>
    <w:p w14:paraId="7B492775" w14:textId="77777777" w:rsidR="007F2E83" w:rsidRPr="00DB3FE7" w:rsidRDefault="007F2E83" w:rsidP="007F2E83">
      <w:pPr>
        <w:pStyle w:val="3-SubsectionHeading"/>
      </w:pPr>
      <w:bookmarkStart w:id="35" w:name="_Toc22897645"/>
      <w:bookmarkStart w:id="36" w:name="_Toc124866149"/>
      <w:bookmarkStart w:id="37" w:name="_Hlk76376200"/>
      <w:r w:rsidRPr="00DB3FE7">
        <w:t>Economic analysis</w:t>
      </w:r>
      <w:bookmarkEnd w:id="35"/>
      <w:bookmarkEnd w:id="36"/>
      <w:r w:rsidRPr="00DB3FE7">
        <w:t xml:space="preserve"> </w:t>
      </w:r>
    </w:p>
    <w:bookmarkEnd w:id="37"/>
    <w:p w14:paraId="0DB14CDD" w14:textId="1A7E7F0E" w:rsidR="006C6213" w:rsidRPr="00DB3FE7" w:rsidRDefault="006C6213" w:rsidP="00636952">
      <w:pPr>
        <w:pStyle w:val="COMexecsumnumberedpara"/>
      </w:pPr>
      <w:r w:rsidRPr="00DB3FE7">
        <w:t xml:space="preserve">The submission presented both a modelled economic evaluation of inclisiran compared to ezetimibe for the second-line treatment of hypercholesterolemia in patients with atherosclerotic cardiovascular disease and a </w:t>
      </w:r>
      <w:r w:rsidR="002E0590" w:rsidRPr="00DB3FE7">
        <w:t>CMA</w:t>
      </w:r>
      <w:r w:rsidRPr="00DB3FE7">
        <w:t xml:space="preserve"> between inclisiran and PCSK9 inhibitor therapies in the subsequent line setting. </w:t>
      </w:r>
    </w:p>
    <w:p w14:paraId="06CDB439" w14:textId="30ECE293" w:rsidR="00F00548" w:rsidRPr="00DB3FE7" w:rsidRDefault="00F00548" w:rsidP="008D4598">
      <w:pPr>
        <w:pStyle w:val="COMH3"/>
        <w:spacing w:after="120"/>
      </w:pPr>
      <w:r w:rsidRPr="00DB3FE7">
        <w:t xml:space="preserve">Cost effectiveness analysis of inclisiran compared to ezetimibe </w:t>
      </w:r>
      <w:r w:rsidR="00DD7627" w:rsidRPr="00DB3FE7">
        <w:t>(</w:t>
      </w:r>
      <w:r w:rsidRPr="00DB3FE7">
        <w:t xml:space="preserve">followed by </w:t>
      </w:r>
      <w:r w:rsidR="008F392E" w:rsidRPr="00DB3FE7">
        <w:t>PCSK9 inhibitor therapies</w:t>
      </w:r>
      <w:r w:rsidR="00DD7627" w:rsidRPr="00DB3FE7">
        <w:t>, if required)</w:t>
      </w:r>
    </w:p>
    <w:p w14:paraId="5B899E73" w14:textId="32F661CE" w:rsidR="000F32DA" w:rsidRPr="00DB3FE7" w:rsidRDefault="000F32DA" w:rsidP="000F32DA">
      <w:pPr>
        <w:pStyle w:val="COMexecsumnumberedpara"/>
        <w:rPr>
          <w:b/>
          <w:bCs/>
        </w:rPr>
      </w:pPr>
      <w:r w:rsidRPr="00DB3FE7">
        <w:t>The economic evaluation was based on an indirect comparison of LDL</w:t>
      </w:r>
      <w:r w:rsidR="00CD0449" w:rsidRPr="00DB3FE7">
        <w:t>-C</w:t>
      </w:r>
      <w:r w:rsidRPr="00DB3FE7">
        <w:t xml:space="preserve"> outcomes from the ORION-10 and EASE trials with additional modelled data. The economic evaluation was presented as a cost-effectiveness/cost-utility analysis. </w:t>
      </w:r>
      <w:r w:rsidR="00636952" w:rsidRPr="00DB3FE7">
        <w:t>The ESC noted the trials selected for inclusion in the model and the assumption of the same treatment effect as inclisir</w:t>
      </w:r>
      <w:r w:rsidR="004B73C0" w:rsidRPr="00DB3FE7">
        <w:t>a</w:t>
      </w:r>
      <w:r w:rsidR="00636952" w:rsidRPr="00DB3FE7">
        <w:t>n for PC</w:t>
      </w:r>
      <w:r w:rsidR="00563673" w:rsidRPr="00DB3FE7">
        <w:t>S</w:t>
      </w:r>
      <w:r w:rsidR="00636952" w:rsidRPr="00DB3FE7">
        <w:t>K9 inhibitors favoured inclisir</w:t>
      </w:r>
      <w:r w:rsidR="004B73C0" w:rsidRPr="00DB3FE7">
        <w:t>a</w:t>
      </w:r>
      <w:r w:rsidR="00636952" w:rsidRPr="00DB3FE7">
        <w:t>n.</w:t>
      </w:r>
    </w:p>
    <w:p w14:paraId="5675EBBA" w14:textId="304426EF" w:rsidR="000F32DA" w:rsidRPr="00D2286B" w:rsidRDefault="00773BF1" w:rsidP="00773BF1">
      <w:pPr>
        <w:pStyle w:val="COMtablefigcaption"/>
      </w:pPr>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8</w:t>
      </w:r>
      <w:r w:rsidR="00E1209D" w:rsidRPr="00D2286B">
        <w:rPr>
          <w:noProof/>
        </w:rPr>
        <w:fldChar w:fldCharType="end"/>
      </w:r>
      <w:r w:rsidR="000F32DA" w:rsidRPr="0042765C">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34"/>
        <w:gridCol w:w="7181"/>
      </w:tblGrid>
      <w:tr w:rsidR="000F32DA" w:rsidRPr="00DB3FE7" w14:paraId="167DE17C" w14:textId="77777777" w:rsidTr="00CE77E4">
        <w:trPr>
          <w:tblHeader/>
        </w:trPr>
        <w:tc>
          <w:tcPr>
            <w:tcW w:w="1017" w:type="pct"/>
            <w:shd w:val="clear" w:color="auto" w:fill="auto"/>
          </w:tcPr>
          <w:p w14:paraId="04E12D8B" w14:textId="77777777" w:rsidR="000F32DA" w:rsidRPr="00352E1C" w:rsidRDefault="000F32DA" w:rsidP="00035F43">
            <w:pPr>
              <w:pStyle w:val="TableText"/>
              <w:rPr>
                <w:b/>
              </w:rPr>
            </w:pPr>
            <w:r w:rsidRPr="00352E1C">
              <w:rPr>
                <w:b/>
              </w:rPr>
              <w:t xml:space="preserve">Component </w:t>
            </w:r>
          </w:p>
        </w:tc>
        <w:tc>
          <w:tcPr>
            <w:tcW w:w="3983" w:type="pct"/>
            <w:shd w:val="clear" w:color="auto" w:fill="auto"/>
          </w:tcPr>
          <w:p w14:paraId="4D9CE159" w14:textId="77777777" w:rsidR="000F32DA" w:rsidRPr="00DB3FE7" w:rsidRDefault="000F32DA" w:rsidP="00035F43">
            <w:pPr>
              <w:pStyle w:val="TableText"/>
              <w:rPr>
                <w:b/>
              </w:rPr>
            </w:pPr>
            <w:r w:rsidRPr="00DB3FE7">
              <w:rPr>
                <w:b/>
              </w:rPr>
              <w:t>Description</w:t>
            </w:r>
          </w:p>
        </w:tc>
      </w:tr>
      <w:tr w:rsidR="000F32DA" w:rsidRPr="00DB3FE7" w14:paraId="30B05DE7" w14:textId="77777777" w:rsidTr="00CE77E4">
        <w:tc>
          <w:tcPr>
            <w:tcW w:w="1017" w:type="pct"/>
            <w:shd w:val="clear" w:color="auto" w:fill="auto"/>
            <w:vAlign w:val="center"/>
          </w:tcPr>
          <w:p w14:paraId="764016D4" w14:textId="77777777" w:rsidR="000F32DA" w:rsidRPr="00DB3FE7" w:rsidRDefault="000F32DA" w:rsidP="00035F43">
            <w:pPr>
              <w:pStyle w:val="TableText"/>
            </w:pPr>
            <w:r w:rsidRPr="00DB3FE7">
              <w:t xml:space="preserve">Type of analysis </w:t>
            </w:r>
          </w:p>
        </w:tc>
        <w:tc>
          <w:tcPr>
            <w:tcW w:w="3983" w:type="pct"/>
            <w:shd w:val="clear" w:color="auto" w:fill="auto"/>
            <w:vAlign w:val="center"/>
          </w:tcPr>
          <w:p w14:paraId="13B8B97B" w14:textId="77777777" w:rsidR="000F32DA" w:rsidRPr="00DB3FE7" w:rsidRDefault="000F32DA" w:rsidP="00035F43">
            <w:pPr>
              <w:pStyle w:val="TableText"/>
              <w:rPr>
                <w:rFonts w:ascii="Times" w:eastAsia="Times New Roman" w:hAnsi="Times" w:cs="Times New Roman"/>
                <w:szCs w:val="20"/>
              </w:rPr>
            </w:pPr>
            <w:r w:rsidRPr="00DB3FE7">
              <w:t>Cost-effectiveness/cost-utility analysis</w:t>
            </w:r>
          </w:p>
        </w:tc>
      </w:tr>
      <w:tr w:rsidR="000F32DA" w:rsidRPr="00DB3FE7" w14:paraId="795629B9" w14:textId="77777777" w:rsidTr="00CE77E4">
        <w:tc>
          <w:tcPr>
            <w:tcW w:w="1017" w:type="pct"/>
            <w:shd w:val="clear" w:color="auto" w:fill="auto"/>
            <w:vAlign w:val="center"/>
          </w:tcPr>
          <w:p w14:paraId="790F45ED" w14:textId="77777777" w:rsidR="000F32DA" w:rsidRPr="00DB3FE7" w:rsidRDefault="000F32DA" w:rsidP="00035F43">
            <w:pPr>
              <w:pStyle w:val="TableText"/>
              <w:rPr>
                <w:rFonts w:ascii="Times" w:eastAsia="Times New Roman" w:hAnsi="Times" w:cs="Times New Roman"/>
                <w:szCs w:val="20"/>
              </w:rPr>
            </w:pPr>
            <w:r w:rsidRPr="00DB3FE7">
              <w:t>Outcomes</w:t>
            </w:r>
          </w:p>
        </w:tc>
        <w:tc>
          <w:tcPr>
            <w:tcW w:w="3983" w:type="pct"/>
            <w:shd w:val="clear" w:color="auto" w:fill="auto"/>
            <w:vAlign w:val="center"/>
          </w:tcPr>
          <w:p w14:paraId="59FA7B39" w14:textId="77777777" w:rsidR="000F32DA" w:rsidRPr="00DB3FE7" w:rsidRDefault="000F32DA" w:rsidP="00035F43">
            <w:pPr>
              <w:pStyle w:val="TableText"/>
            </w:pPr>
            <w:r w:rsidRPr="00DB3FE7">
              <w:t xml:space="preserve">Cardiovascular events, life years, quality adjusted life years </w:t>
            </w:r>
          </w:p>
        </w:tc>
      </w:tr>
      <w:tr w:rsidR="000F32DA" w:rsidRPr="00DB3FE7" w14:paraId="70C7792B" w14:textId="77777777" w:rsidTr="00CE77E4">
        <w:tc>
          <w:tcPr>
            <w:tcW w:w="1017" w:type="pct"/>
            <w:shd w:val="clear" w:color="auto" w:fill="auto"/>
            <w:vAlign w:val="center"/>
          </w:tcPr>
          <w:p w14:paraId="798B8D3F" w14:textId="77777777" w:rsidR="000F32DA" w:rsidRPr="00DB3FE7" w:rsidRDefault="000F32DA" w:rsidP="00035F43">
            <w:pPr>
              <w:pStyle w:val="TableText"/>
              <w:rPr>
                <w:rFonts w:ascii="Times" w:eastAsia="Times New Roman" w:hAnsi="Times" w:cs="Times New Roman"/>
                <w:szCs w:val="20"/>
              </w:rPr>
            </w:pPr>
            <w:r w:rsidRPr="00DB3FE7">
              <w:t>Time horizon</w:t>
            </w:r>
          </w:p>
        </w:tc>
        <w:tc>
          <w:tcPr>
            <w:tcW w:w="3983" w:type="pct"/>
            <w:shd w:val="clear" w:color="auto" w:fill="auto"/>
            <w:vAlign w:val="center"/>
          </w:tcPr>
          <w:p w14:paraId="79B6B194" w14:textId="77777777" w:rsidR="000F32DA" w:rsidRPr="00DB3FE7" w:rsidRDefault="000F32DA" w:rsidP="00035F43">
            <w:pPr>
              <w:pStyle w:val="TableText"/>
              <w:rPr>
                <w:rFonts w:ascii="Times" w:eastAsia="Times New Roman" w:hAnsi="Times" w:cs="Times New Roman"/>
                <w:szCs w:val="20"/>
              </w:rPr>
            </w:pPr>
            <w:r w:rsidRPr="00DB3FE7">
              <w:t>Lifetime (maximum 60 years)</w:t>
            </w:r>
          </w:p>
        </w:tc>
      </w:tr>
      <w:tr w:rsidR="000F32DA" w:rsidRPr="00DB3FE7" w14:paraId="7BAE2756" w14:textId="77777777" w:rsidTr="00CE77E4">
        <w:tc>
          <w:tcPr>
            <w:tcW w:w="1017" w:type="pct"/>
            <w:shd w:val="clear" w:color="auto" w:fill="auto"/>
            <w:vAlign w:val="center"/>
          </w:tcPr>
          <w:p w14:paraId="2F8050F2" w14:textId="77777777" w:rsidR="000F32DA" w:rsidRPr="00DB3FE7" w:rsidRDefault="000F32DA" w:rsidP="00035F43">
            <w:pPr>
              <w:pStyle w:val="TableText"/>
              <w:rPr>
                <w:rFonts w:ascii="Times" w:eastAsia="Times New Roman" w:hAnsi="Times" w:cs="Times New Roman"/>
                <w:szCs w:val="20"/>
              </w:rPr>
            </w:pPr>
            <w:r w:rsidRPr="00DB3FE7">
              <w:t>Methods used to generate results</w:t>
            </w:r>
          </w:p>
        </w:tc>
        <w:tc>
          <w:tcPr>
            <w:tcW w:w="3983" w:type="pct"/>
            <w:shd w:val="clear" w:color="auto" w:fill="auto"/>
            <w:vAlign w:val="center"/>
          </w:tcPr>
          <w:p w14:paraId="68AE2429" w14:textId="77777777" w:rsidR="000F32DA" w:rsidRPr="00DB3FE7" w:rsidRDefault="000F32DA" w:rsidP="00035F43">
            <w:pPr>
              <w:pStyle w:val="TableText"/>
            </w:pPr>
            <w:r w:rsidRPr="00DB3FE7">
              <w:t>Markov state-transition cohort models (with half cycle correction) based on multiple simulations of individual patient data (1,051 patient cohorts)</w:t>
            </w:r>
          </w:p>
        </w:tc>
      </w:tr>
      <w:tr w:rsidR="000F32DA" w:rsidRPr="00DB3FE7" w14:paraId="0B2780E8" w14:textId="77777777" w:rsidTr="00CE77E4">
        <w:tc>
          <w:tcPr>
            <w:tcW w:w="1017" w:type="pct"/>
            <w:shd w:val="clear" w:color="auto" w:fill="auto"/>
            <w:vAlign w:val="center"/>
          </w:tcPr>
          <w:p w14:paraId="63280467" w14:textId="77777777" w:rsidR="000F32DA" w:rsidRPr="00DB3FE7" w:rsidRDefault="000F32DA" w:rsidP="00035F43">
            <w:pPr>
              <w:pStyle w:val="TableText"/>
            </w:pPr>
            <w:r w:rsidRPr="00DB3FE7">
              <w:t>Treatments</w:t>
            </w:r>
          </w:p>
        </w:tc>
        <w:tc>
          <w:tcPr>
            <w:tcW w:w="3983" w:type="pct"/>
            <w:shd w:val="clear" w:color="auto" w:fill="auto"/>
            <w:vAlign w:val="center"/>
          </w:tcPr>
          <w:p w14:paraId="113DCE7E" w14:textId="77777777" w:rsidR="000F32DA" w:rsidRPr="00DB3FE7" w:rsidRDefault="000F32DA" w:rsidP="00035F43">
            <w:pPr>
              <w:pStyle w:val="TableText"/>
            </w:pPr>
            <w:r w:rsidRPr="00DB3FE7">
              <w:t>Inclisiran; ezetimibe (followed by PCSK9 therapy if required)</w:t>
            </w:r>
          </w:p>
        </w:tc>
      </w:tr>
      <w:tr w:rsidR="000F32DA" w:rsidRPr="00DB3FE7" w14:paraId="78A2DE72" w14:textId="77777777" w:rsidTr="00CE77E4">
        <w:tc>
          <w:tcPr>
            <w:tcW w:w="1017" w:type="pct"/>
            <w:shd w:val="clear" w:color="auto" w:fill="auto"/>
            <w:vAlign w:val="center"/>
          </w:tcPr>
          <w:p w14:paraId="0589028D" w14:textId="77777777" w:rsidR="000F32DA" w:rsidRPr="00DB3FE7" w:rsidRDefault="000F32DA" w:rsidP="00035F43">
            <w:pPr>
              <w:pStyle w:val="TableText"/>
              <w:rPr>
                <w:rFonts w:ascii="Times" w:eastAsia="Times New Roman" w:hAnsi="Times" w:cs="Times New Roman"/>
                <w:szCs w:val="20"/>
              </w:rPr>
            </w:pPr>
            <w:r w:rsidRPr="00DB3FE7">
              <w:t>Health states</w:t>
            </w:r>
          </w:p>
        </w:tc>
        <w:tc>
          <w:tcPr>
            <w:tcW w:w="3983" w:type="pct"/>
            <w:shd w:val="clear" w:color="auto" w:fill="auto"/>
            <w:vAlign w:val="center"/>
          </w:tcPr>
          <w:p w14:paraId="74338C86" w14:textId="77777777" w:rsidR="000F32DA" w:rsidRPr="00DB3FE7" w:rsidRDefault="000F32DA" w:rsidP="00035F43">
            <w:pPr>
              <w:pStyle w:val="TableText"/>
            </w:pPr>
            <w:r w:rsidRPr="00DB3FE7">
              <w:t>9 health states based on treatment status (second-line, subsequent-line, discontinued) and history of cardiovascular events (pre-event, post-myocardial infarction, post-stroke). The model also includes two death states; cardiovascular death and background mortality</w:t>
            </w:r>
          </w:p>
        </w:tc>
      </w:tr>
      <w:tr w:rsidR="000F32DA" w:rsidRPr="00DB3FE7" w14:paraId="62C6B7E5" w14:textId="77777777" w:rsidTr="00CE77E4">
        <w:tc>
          <w:tcPr>
            <w:tcW w:w="1017" w:type="pct"/>
            <w:shd w:val="clear" w:color="auto" w:fill="auto"/>
            <w:vAlign w:val="center"/>
          </w:tcPr>
          <w:p w14:paraId="1B3CBFAA" w14:textId="77777777" w:rsidR="000F32DA" w:rsidRPr="00DB3FE7" w:rsidRDefault="000F32DA" w:rsidP="00035F43">
            <w:pPr>
              <w:pStyle w:val="TableText"/>
              <w:rPr>
                <w:rFonts w:ascii="Times" w:eastAsia="Times New Roman" w:hAnsi="Times" w:cs="Times New Roman"/>
                <w:szCs w:val="20"/>
              </w:rPr>
            </w:pPr>
            <w:r w:rsidRPr="00DB3FE7">
              <w:t>Cycle length</w:t>
            </w:r>
          </w:p>
        </w:tc>
        <w:tc>
          <w:tcPr>
            <w:tcW w:w="3983" w:type="pct"/>
            <w:shd w:val="clear" w:color="auto" w:fill="auto"/>
            <w:vAlign w:val="center"/>
          </w:tcPr>
          <w:p w14:paraId="0491A72A" w14:textId="77777777" w:rsidR="000F32DA" w:rsidRPr="00DB3FE7" w:rsidRDefault="000F32DA" w:rsidP="00035F43">
            <w:pPr>
              <w:pStyle w:val="TableText"/>
            </w:pPr>
            <w:r w:rsidRPr="00DB3FE7">
              <w:t>1 year</w:t>
            </w:r>
          </w:p>
        </w:tc>
      </w:tr>
      <w:tr w:rsidR="000F32DA" w:rsidRPr="00DB3FE7" w14:paraId="0A9E8EF3" w14:textId="77777777" w:rsidTr="00CE77E4">
        <w:tc>
          <w:tcPr>
            <w:tcW w:w="1017" w:type="pct"/>
            <w:shd w:val="clear" w:color="auto" w:fill="auto"/>
            <w:vAlign w:val="center"/>
          </w:tcPr>
          <w:p w14:paraId="6382E349" w14:textId="77777777" w:rsidR="000F32DA" w:rsidRPr="00DB3FE7" w:rsidRDefault="000F32DA" w:rsidP="000F32DA">
            <w:pPr>
              <w:pStyle w:val="TableText"/>
              <w:keepNext w:val="0"/>
            </w:pPr>
            <w:r w:rsidRPr="00DB3FE7">
              <w:t>Patient characteristics</w:t>
            </w:r>
          </w:p>
          <w:p w14:paraId="55F01E9F" w14:textId="2F5646D5" w:rsidR="000F32DA" w:rsidRPr="00DB3FE7" w:rsidRDefault="000F32DA" w:rsidP="000F32DA">
            <w:pPr>
              <w:pStyle w:val="TableText"/>
            </w:pPr>
            <w:r w:rsidRPr="00DB3FE7">
              <w:t>and circumstances of use</w:t>
            </w:r>
          </w:p>
        </w:tc>
        <w:tc>
          <w:tcPr>
            <w:tcW w:w="3983" w:type="pct"/>
            <w:shd w:val="clear" w:color="auto" w:fill="auto"/>
            <w:vAlign w:val="center"/>
          </w:tcPr>
          <w:p w14:paraId="1BE825A9" w14:textId="77777777" w:rsidR="000F32DA" w:rsidRPr="00DB3FE7" w:rsidRDefault="000F32DA" w:rsidP="000F32DA">
            <w:pPr>
              <w:pStyle w:val="TableText"/>
            </w:pPr>
            <w:r w:rsidRPr="00DB3FE7">
              <w:t xml:space="preserve">Age, gender, smoking history, LDL/HDL/TC levels, history of coronary artery disease/cerebrovascular disease/peripheral arterial disease, history of diabetes and baseline statin use were estimated based on individual patient data from the ORION clinical trial program. </w:t>
            </w:r>
          </w:p>
          <w:p w14:paraId="33F9746D" w14:textId="77777777" w:rsidR="000F32DA" w:rsidRPr="00DB3FE7" w:rsidRDefault="000F32DA" w:rsidP="000F32DA">
            <w:pPr>
              <w:pStyle w:val="TableText"/>
            </w:pPr>
          </w:p>
          <w:p w14:paraId="03F43DA3" w14:textId="30AB75EF" w:rsidR="000F32DA" w:rsidRPr="00DB3FE7" w:rsidRDefault="000F32DA" w:rsidP="000F32DA">
            <w:pPr>
              <w:pStyle w:val="TableText"/>
            </w:pPr>
            <w:r w:rsidRPr="00DB3FE7">
              <w:t>Mean hs-CRP level, mean systolic blood pressure, mean eGFR and the proportion of patients with an aortic aneurysm were based on aggregate data from the SMART derivation cohort (Dorresteijn 2013). Th</w:t>
            </w:r>
            <w:r w:rsidR="00F00548" w:rsidRPr="00DB3FE7">
              <w:t>e average time</w:t>
            </w:r>
            <w:r w:rsidRPr="00DB3FE7">
              <w:t xml:space="preserve"> since diagnosis was based on aggregate data from the </w:t>
            </w:r>
            <w:r w:rsidR="007F7668" w:rsidRPr="00DB3FE7">
              <w:t>Code Red</w:t>
            </w:r>
            <w:r w:rsidRPr="00DB3FE7">
              <w:t xml:space="preserve"> report (Carrington 2020).</w:t>
            </w:r>
          </w:p>
          <w:p w14:paraId="4BED46FE" w14:textId="77777777" w:rsidR="000F32DA" w:rsidRPr="00DB3FE7" w:rsidRDefault="000F32DA" w:rsidP="000F32DA">
            <w:pPr>
              <w:pStyle w:val="TableText"/>
            </w:pPr>
          </w:p>
          <w:p w14:paraId="77D39240" w14:textId="01C06705" w:rsidR="000F32DA" w:rsidRPr="00DB3FE7" w:rsidRDefault="000F32DA" w:rsidP="000F32DA">
            <w:pPr>
              <w:pStyle w:val="TableText"/>
              <w:widowControl w:val="0"/>
              <w:rPr>
                <w:szCs w:val="20"/>
              </w:rPr>
            </w:pPr>
            <w:r w:rsidRPr="00DB3FE7">
              <w:t xml:space="preserve">The submission assumed perfect compliance to background statin therapy for all patients. The submission estimated treatment persistence for inclisiran, ezetimibe and </w:t>
            </w:r>
            <w:r w:rsidR="008F392E" w:rsidRPr="00DB3FE7">
              <w:t xml:space="preserve">PCSK9 inhibitor therapies </w:t>
            </w:r>
            <w:r w:rsidRPr="00DB3FE7">
              <w:t xml:space="preserve">based on treatment discontinuations from the inclisiran treatment arm in the subgroup of patients with atherosclerotic cardiovascular disease in the ORION 10/11 trials. The submission assumed that all patients were perfectly adherent to these therapies while on treatment. The submission assumed that both inclisiran and </w:t>
            </w:r>
            <w:r w:rsidR="008F392E" w:rsidRPr="00DB3FE7">
              <w:t xml:space="preserve">PCSK9 inhibitor therapies </w:t>
            </w:r>
            <w:r w:rsidRPr="00DB3FE7">
              <w:t>required administration by a medical professional.</w:t>
            </w:r>
            <w:r w:rsidR="00ED611A" w:rsidRPr="00DB3FE7">
              <w:t xml:space="preserve"> The ESC noted that the PCSK9 inhibitor therapies did not require administration by a medical professional, and that correction of this error substantially increased the base case ICER.</w:t>
            </w:r>
          </w:p>
        </w:tc>
      </w:tr>
      <w:tr w:rsidR="000F32DA" w:rsidRPr="00DB3FE7" w14:paraId="416A4BA2" w14:textId="77777777" w:rsidTr="00CE77E4">
        <w:tc>
          <w:tcPr>
            <w:tcW w:w="1017" w:type="pct"/>
            <w:shd w:val="clear" w:color="auto" w:fill="auto"/>
            <w:vAlign w:val="center"/>
          </w:tcPr>
          <w:p w14:paraId="7C89AA86" w14:textId="77777777" w:rsidR="000F32DA" w:rsidRPr="00DB3FE7" w:rsidRDefault="000F32DA" w:rsidP="000F32DA">
            <w:pPr>
              <w:pStyle w:val="TableText"/>
            </w:pPr>
            <w:r w:rsidRPr="00DB3FE7">
              <w:t xml:space="preserve">Transition probabilities </w:t>
            </w:r>
          </w:p>
        </w:tc>
        <w:tc>
          <w:tcPr>
            <w:tcW w:w="3983" w:type="pct"/>
            <w:shd w:val="clear" w:color="auto" w:fill="auto"/>
            <w:vAlign w:val="center"/>
          </w:tcPr>
          <w:p w14:paraId="485FCAD2" w14:textId="6A12B0B3" w:rsidR="000F32DA" w:rsidRPr="00DB3FE7" w:rsidRDefault="000F32DA" w:rsidP="000F32DA">
            <w:pPr>
              <w:pStyle w:val="TableText"/>
              <w:widowControl w:val="0"/>
              <w:rPr>
                <w:szCs w:val="20"/>
              </w:rPr>
            </w:pPr>
            <w:r w:rsidRPr="00DB3FE7">
              <w:rPr>
                <w:szCs w:val="20"/>
              </w:rPr>
              <w:t>The annual risk of major cardiovascular events was estimated based on synthesised patient characteristics using the SMART risk equation (Dorresteijn 2013). The underlying risk was updated over time based on age and number of vascular beds affected. The distribution of myocardial infarction, stroke and cardiovascular death events was estimated based on Australian REACH registry data (Steg 2007). Treatment effects were estimated using a multi-step approach transforming LDL</w:t>
            </w:r>
            <w:r w:rsidR="00CD0449" w:rsidRPr="00DB3FE7">
              <w:rPr>
                <w:szCs w:val="20"/>
              </w:rPr>
              <w:t>-C</w:t>
            </w:r>
            <w:r w:rsidRPr="00DB3FE7">
              <w:rPr>
                <w:szCs w:val="20"/>
              </w:rPr>
              <w:t xml:space="preserve"> reductions for ezetimibe (based on the EASE trial) and inclisiran/</w:t>
            </w:r>
            <w:r w:rsidR="008F392E" w:rsidRPr="00DB3FE7">
              <w:rPr>
                <w:szCs w:val="20"/>
              </w:rPr>
              <w:t xml:space="preserve">PCSK9 inhibitor therapies </w:t>
            </w:r>
            <w:r w:rsidRPr="00DB3FE7">
              <w:rPr>
                <w:szCs w:val="20"/>
              </w:rPr>
              <w:t>(based on the ORION-10 trial, assuming equivalent efficacy) into cardiovascular risk reductions using the CTTC meta-analysis (CTTC 2019, Collins 2016). The submission assumed a time delay of 2-4 years in achieving maximum cardiovascular risk reductions.</w:t>
            </w:r>
          </w:p>
          <w:p w14:paraId="1DF4A2BF" w14:textId="77777777" w:rsidR="000F32DA" w:rsidRPr="00DB3FE7" w:rsidRDefault="000F32DA" w:rsidP="000F32DA">
            <w:pPr>
              <w:pStyle w:val="TableText"/>
              <w:widowControl w:val="0"/>
              <w:rPr>
                <w:szCs w:val="20"/>
              </w:rPr>
            </w:pPr>
          </w:p>
          <w:p w14:paraId="4D1445AA" w14:textId="07AB6FBD" w:rsidR="000F32DA" w:rsidRPr="00DB3FE7" w:rsidRDefault="000F32DA" w:rsidP="000F32DA">
            <w:pPr>
              <w:pStyle w:val="TableText"/>
              <w:widowControl w:val="0"/>
              <w:rPr>
                <w:szCs w:val="20"/>
              </w:rPr>
            </w:pPr>
            <w:r w:rsidRPr="00DB3FE7">
              <w:rPr>
                <w:szCs w:val="20"/>
              </w:rPr>
              <w:t>The submission assumed that patients in the comparator arm who failed to achieve an LDL</w:t>
            </w:r>
            <w:r w:rsidR="00CD0449" w:rsidRPr="00DB3FE7">
              <w:rPr>
                <w:szCs w:val="20"/>
              </w:rPr>
              <w:t>-C</w:t>
            </w:r>
            <w:r w:rsidRPr="00DB3FE7">
              <w:rPr>
                <w:szCs w:val="20"/>
              </w:rPr>
              <w:t xml:space="preserve"> &lt;</w:t>
            </w:r>
            <w:r w:rsidR="008D4598" w:rsidRPr="00DB3FE7">
              <w:rPr>
                <w:szCs w:val="20"/>
              </w:rPr>
              <w:t> </w:t>
            </w:r>
            <w:r w:rsidRPr="00DB3FE7">
              <w:rPr>
                <w:szCs w:val="20"/>
              </w:rPr>
              <w:t>1.8</w:t>
            </w:r>
            <w:r w:rsidR="008D4598" w:rsidRPr="00DB3FE7">
              <w:rPr>
                <w:szCs w:val="20"/>
              </w:rPr>
              <w:t> </w:t>
            </w:r>
            <w:r w:rsidRPr="00DB3FE7">
              <w:rPr>
                <w:szCs w:val="20"/>
              </w:rPr>
              <w:t xml:space="preserve">mmol/L after one year of ezetimibe treatment will switch to </w:t>
            </w:r>
            <w:r w:rsidR="008F392E" w:rsidRPr="00DB3FE7">
              <w:rPr>
                <w:szCs w:val="20"/>
              </w:rPr>
              <w:t>PCSK9 inhibitor therapies</w:t>
            </w:r>
            <w:r w:rsidRPr="00DB3FE7">
              <w:rPr>
                <w:szCs w:val="20"/>
              </w:rPr>
              <w:t xml:space="preserve">. </w:t>
            </w:r>
          </w:p>
          <w:p w14:paraId="1DC16127" w14:textId="77777777" w:rsidR="000F32DA" w:rsidRPr="00DB3FE7" w:rsidRDefault="000F32DA" w:rsidP="000F32DA">
            <w:pPr>
              <w:pStyle w:val="TableText"/>
              <w:widowControl w:val="0"/>
              <w:rPr>
                <w:szCs w:val="20"/>
              </w:rPr>
            </w:pPr>
          </w:p>
          <w:p w14:paraId="1EB8D935" w14:textId="77777777" w:rsidR="000F32DA" w:rsidRPr="00DB3FE7" w:rsidRDefault="000F32DA" w:rsidP="000F32DA">
            <w:pPr>
              <w:pStyle w:val="TableText"/>
              <w:widowControl w:val="0"/>
              <w:rPr>
                <w:szCs w:val="20"/>
              </w:rPr>
            </w:pPr>
            <w:r w:rsidRPr="00DB3FE7">
              <w:rPr>
                <w:szCs w:val="20"/>
              </w:rPr>
              <w:t>The submission assumed that treatment effects were maintained while patients remained on therapy.</w:t>
            </w:r>
          </w:p>
          <w:p w14:paraId="34717709" w14:textId="77777777" w:rsidR="000F32DA" w:rsidRPr="00DB3FE7" w:rsidRDefault="000F32DA" w:rsidP="000F32DA">
            <w:pPr>
              <w:pStyle w:val="TableText"/>
              <w:widowControl w:val="0"/>
              <w:rPr>
                <w:szCs w:val="20"/>
              </w:rPr>
            </w:pPr>
          </w:p>
          <w:p w14:paraId="7FF05142" w14:textId="77777777" w:rsidR="000F32DA" w:rsidRPr="00DB3FE7" w:rsidRDefault="000F32DA" w:rsidP="000F32DA">
            <w:pPr>
              <w:pStyle w:val="TableText"/>
              <w:widowControl w:val="0"/>
              <w:rPr>
                <w:szCs w:val="20"/>
              </w:rPr>
            </w:pPr>
            <w:r w:rsidRPr="00DB3FE7">
              <w:rPr>
                <w:szCs w:val="20"/>
              </w:rPr>
              <w:t xml:space="preserve">The annual risk of non-cardiovascular death was estimated based on Australian life tables adjusted to exclude death from cardiovascular causes. </w:t>
            </w:r>
          </w:p>
        </w:tc>
      </w:tr>
      <w:tr w:rsidR="000F32DA" w:rsidRPr="00DB3FE7" w14:paraId="48D8E6A3" w14:textId="77777777" w:rsidTr="00CE77E4">
        <w:tc>
          <w:tcPr>
            <w:tcW w:w="1017" w:type="pct"/>
            <w:shd w:val="clear" w:color="auto" w:fill="auto"/>
            <w:vAlign w:val="center"/>
          </w:tcPr>
          <w:p w14:paraId="68E2F320" w14:textId="21DCE972" w:rsidR="000F32DA" w:rsidRPr="00DB3FE7" w:rsidRDefault="000F32DA" w:rsidP="000F32DA">
            <w:pPr>
              <w:pStyle w:val="TableText"/>
            </w:pPr>
            <w:r w:rsidRPr="00DB3FE7">
              <w:t>Utility values</w:t>
            </w:r>
          </w:p>
        </w:tc>
        <w:tc>
          <w:tcPr>
            <w:tcW w:w="3983" w:type="pct"/>
            <w:shd w:val="clear" w:color="auto" w:fill="auto"/>
            <w:vAlign w:val="center"/>
          </w:tcPr>
          <w:p w14:paraId="65960F61" w14:textId="32F4827F" w:rsidR="000F32DA" w:rsidRPr="00DB3FE7" w:rsidRDefault="000F32DA" w:rsidP="000F32DA">
            <w:pPr>
              <w:pStyle w:val="TableText"/>
              <w:widowControl w:val="0"/>
              <w:rPr>
                <w:szCs w:val="20"/>
              </w:rPr>
            </w:pPr>
            <w:r w:rsidRPr="00DB3FE7">
              <w:rPr>
                <w:rFonts w:eastAsia="Calibri"/>
              </w:rPr>
              <w:t xml:space="preserve">Health state utility values and cardiovascular event disutility values were based EQ-5D-3L data from the OUTCOMES trial (Bhatt 2020). </w:t>
            </w:r>
          </w:p>
        </w:tc>
      </w:tr>
      <w:tr w:rsidR="000F32DA" w:rsidRPr="00DB3FE7" w14:paraId="1C6EAA06" w14:textId="77777777" w:rsidTr="00CE77E4">
        <w:tc>
          <w:tcPr>
            <w:tcW w:w="1017" w:type="pct"/>
            <w:shd w:val="clear" w:color="auto" w:fill="auto"/>
            <w:vAlign w:val="center"/>
          </w:tcPr>
          <w:p w14:paraId="4FF78986" w14:textId="693F11EF" w:rsidR="000F32DA" w:rsidRPr="00DB3FE7" w:rsidRDefault="000F32DA" w:rsidP="000F32DA">
            <w:pPr>
              <w:pStyle w:val="TableText"/>
            </w:pPr>
            <w:r w:rsidRPr="00DB3FE7">
              <w:t>Costs</w:t>
            </w:r>
          </w:p>
        </w:tc>
        <w:tc>
          <w:tcPr>
            <w:tcW w:w="3983" w:type="pct"/>
            <w:shd w:val="clear" w:color="auto" w:fill="auto"/>
            <w:vAlign w:val="center"/>
          </w:tcPr>
          <w:p w14:paraId="339FE8D3" w14:textId="3EBFA7C6" w:rsidR="000F32DA" w:rsidRPr="00DB3FE7" w:rsidRDefault="000F32DA" w:rsidP="000F32DA">
            <w:pPr>
              <w:pStyle w:val="TableText"/>
            </w:pPr>
            <w:r w:rsidRPr="00DB3FE7">
              <w:t xml:space="preserve">Inclisiran drug costs were estimated based on the proposed ‘placeholder’ effective price. Atorvastatin (proxy for all statin therapies), ezetimibe and evolocumab (proxy for all </w:t>
            </w:r>
            <w:r w:rsidR="008F392E" w:rsidRPr="00DB3FE7">
              <w:t>PCSK9 inhibitor therapies</w:t>
            </w:r>
            <w:r w:rsidRPr="00DB3FE7">
              <w:t xml:space="preserve">) drug costs were estimated based on published PBS prices. Drug administration costs were estimated for inclisiran and </w:t>
            </w:r>
            <w:r w:rsidR="008F392E" w:rsidRPr="00DB3FE7">
              <w:t xml:space="preserve">PCSK9 inhibitor therapies </w:t>
            </w:r>
            <w:r w:rsidRPr="00DB3FE7">
              <w:t>based on MBS costs for a GP visit.</w:t>
            </w:r>
          </w:p>
          <w:p w14:paraId="18B3A8D1" w14:textId="77777777" w:rsidR="000F32DA" w:rsidRPr="00DB3FE7" w:rsidRDefault="000F32DA" w:rsidP="000F32DA">
            <w:pPr>
              <w:pStyle w:val="TableText"/>
            </w:pPr>
          </w:p>
          <w:p w14:paraId="3F601C50" w14:textId="77777777" w:rsidR="000F32DA" w:rsidRPr="00DB3FE7" w:rsidRDefault="000F32DA" w:rsidP="000F32DA">
            <w:pPr>
              <w:pStyle w:val="TableText"/>
            </w:pPr>
            <w:r w:rsidRPr="00DB3FE7">
              <w:t xml:space="preserve">The event and health state costs of non-fatal cardiovascular events were estimated from various published sources (National Heart Foundation ACS cost report 2018, Tan Tanny 2013, Gloede 2014, AIHW stroke report 2013). Costs estimated in the submission were inflated to 2022 values using the health sub-category of the consumer price index. </w:t>
            </w:r>
          </w:p>
          <w:p w14:paraId="652B005A" w14:textId="77777777" w:rsidR="000F32DA" w:rsidRPr="00DB3FE7" w:rsidRDefault="000F32DA" w:rsidP="000F32DA">
            <w:pPr>
              <w:pStyle w:val="TableText"/>
            </w:pPr>
          </w:p>
          <w:p w14:paraId="6663C44D" w14:textId="3DB96DFD" w:rsidR="000F32DA" w:rsidRPr="00DB3FE7" w:rsidRDefault="000F32DA" w:rsidP="000F32DA">
            <w:pPr>
              <w:pStyle w:val="TableText"/>
              <w:widowControl w:val="0"/>
              <w:rPr>
                <w:szCs w:val="20"/>
              </w:rPr>
            </w:pPr>
            <w:r w:rsidRPr="00DB3FE7">
              <w:t>The cost of cardiovascular death was estimated based on AR-DRG cost weights assuming all patients would be hospitalised.</w:t>
            </w:r>
          </w:p>
        </w:tc>
      </w:tr>
      <w:tr w:rsidR="000F32DA" w:rsidRPr="00DB3FE7" w14:paraId="37CDFC63" w14:textId="77777777" w:rsidTr="00CE77E4">
        <w:tc>
          <w:tcPr>
            <w:tcW w:w="1017" w:type="pct"/>
            <w:shd w:val="clear" w:color="auto" w:fill="auto"/>
            <w:vAlign w:val="center"/>
          </w:tcPr>
          <w:p w14:paraId="25E46D08" w14:textId="77777777" w:rsidR="000F32DA" w:rsidRPr="00DB3FE7" w:rsidRDefault="000F32DA" w:rsidP="000F32DA">
            <w:pPr>
              <w:pStyle w:val="TableText"/>
            </w:pPr>
            <w:r w:rsidRPr="00DB3FE7">
              <w:t>Discount rate</w:t>
            </w:r>
          </w:p>
        </w:tc>
        <w:tc>
          <w:tcPr>
            <w:tcW w:w="3983" w:type="pct"/>
            <w:shd w:val="clear" w:color="auto" w:fill="auto"/>
            <w:vAlign w:val="center"/>
          </w:tcPr>
          <w:p w14:paraId="473783F4" w14:textId="77777777" w:rsidR="000F32DA" w:rsidRPr="00DB3FE7" w:rsidRDefault="000F32DA" w:rsidP="000F32DA">
            <w:pPr>
              <w:pStyle w:val="TableText"/>
            </w:pPr>
            <w:r w:rsidRPr="00DB3FE7">
              <w:t>5% for costs and outcomes</w:t>
            </w:r>
          </w:p>
        </w:tc>
      </w:tr>
      <w:tr w:rsidR="000F32DA" w:rsidRPr="00DB3FE7" w14:paraId="7A770D49" w14:textId="77777777" w:rsidTr="00CE77E4">
        <w:tc>
          <w:tcPr>
            <w:tcW w:w="1017" w:type="pct"/>
            <w:shd w:val="clear" w:color="auto" w:fill="auto"/>
            <w:vAlign w:val="center"/>
          </w:tcPr>
          <w:p w14:paraId="74582626" w14:textId="77777777" w:rsidR="000F32DA" w:rsidRPr="00DB3FE7" w:rsidRDefault="000F32DA" w:rsidP="000F32DA">
            <w:pPr>
              <w:pStyle w:val="TableText"/>
              <w:rPr>
                <w:rFonts w:ascii="Times" w:eastAsia="Times New Roman" w:hAnsi="Times" w:cs="Times New Roman"/>
                <w:szCs w:val="20"/>
              </w:rPr>
            </w:pPr>
            <w:r w:rsidRPr="00DB3FE7">
              <w:t>Software package</w:t>
            </w:r>
          </w:p>
        </w:tc>
        <w:tc>
          <w:tcPr>
            <w:tcW w:w="3983" w:type="pct"/>
            <w:shd w:val="clear" w:color="auto" w:fill="auto"/>
            <w:vAlign w:val="center"/>
          </w:tcPr>
          <w:p w14:paraId="74BC64E1" w14:textId="77777777" w:rsidR="000F32DA" w:rsidRPr="00DB3FE7" w:rsidRDefault="000F32DA" w:rsidP="000F32DA">
            <w:pPr>
              <w:pStyle w:val="TableText"/>
            </w:pPr>
            <w:r w:rsidRPr="00DB3FE7">
              <w:t>TreeAge Pro Healthcare 2022 with Microsoft Excel used to average results across all simulated cohorts</w:t>
            </w:r>
          </w:p>
        </w:tc>
      </w:tr>
    </w:tbl>
    <w:p w14:paraId="4445ABF8" w14:textId="5030FB99" w:rsidR="000F32DA" w:rsidRPr="00DB3FE7" w:rsidRDefault="000F32DA" w:rsidP="000F32DA">
      <w:pPr>
        <w:pStyle w:val="COMTablefooter"/>
      </w:pPr>
      <w:r w:rsidRPr="00DB3FE7">
        <w:t>Source: Table 60 of the submission</w:t>
      </w:r>
    </w:p>
    <w:p w14:paraId="06631DFA" w14:textId="4F87B96A" w:rsidR="000F32DA" w:rsidRPr="00DB3FE7" w:rsidRDefault="000F32DA" w:rsidP="000F32DA">
      <w:pPr>
        <w:pStyle w:val="COMTablefooter"/>
      </w:pPr>
      <w:r w:rsidRPr="00DB3FE7">
        <w:t>Abbreviations: CTTC, Cholesterol Treatment Trialists Collaboration; LDL</w:t>
      </w:r>
      <w:r w:rsidR="00CD0449" w:rsidRPr="00DB3FE7">
        <w:t>-C</w:t>
      </w:r>
      <w:r w:rsidRPr="00DB3FE7">
        <w:t>, low density lipoprotein cholesterol</w:t>
      </w:r>
    </w:p>
    <w:p w14:paraId="12040545" w14:textId="28CA5FC7" w:rsidR="00DE28CB" w:rsidRPr="00DB3FE7" w:rsidRDefault="00DE28CB" w:rsidP="00DE28CB">
      <w:pPr>
        <w:pStyle w:val="COMexecsumnumberedpara"/>
      </w:pPr>
      <w:r w:rsidRPr="00DB3FE7">
        <w:t xml:space="preserve">All patients begin the model in the pre-event health state and are allocated to either inclisiran or ezetimibe. During each annual cycle, patients could remain in their current health state or experience a non-fatal myocardial infarction and/or non-fatal stroke or cardiovascular death or non-cardiovascular death. Patients experiencing multiple non-fatal events accrue the acute costs and consequences of each event and have ongoing chronic costs and consequences based on the most severe event (with stroke worse than myocardial infarction). </w:t>
      </w:r>
    </w:p>
    <w:p w14:paraId="39D48721" w14:textId="232FD858" w:rsidR="00DE28CB" w:rsidRPr="00DB3FE7" w:rsidRDefault="00DE28CB" w:rsidP="00DE28CB">
      <w:pPr>
        <w:pStyle w:val="COMexecsumnumberedpara"/>
      </w:pPr>
      <w:r w:rsidRPr="00DB3FE7">
        <w:t>During each cycle of the model, patients in both treatment arms could discontinue treatment (i.e. have no LDL</w:t>
      </w:r>
      <w:r w:rsidR="00CD0449" w:rsidRPr="00DB3FE7">
        <w:t>-C</w:t>
      </w:r>
      <w:r w:rsidRPr="00DB3FE7">
        <w:t xml:space="preserve"> lowering treatment effects beyond background therapy). Additionally, patients in the comparator arm were assessed after the initial year of treatment. Patients who achieved an LDL</w:t>
      </w:r>
      <w:r w:rsidR="00CD0449" w:rsidRPr="00DB3FE7">
        <w:t>-C</w:t>
      </w:r>
      <w:r w:rsidRPr="00DB3FE7">
        <w:t xml:space="preserve"> level &lt; 1.8 mmol/L continued to receive ezetimibe treatment and never become eligible for PCSK9 therapy. </w:t>
      </w:r>
      <w:r w:rsidR="00EB3600" w:rsidRPr="00DB3FE7">
        <w:t>Patients </w:t>
      </w:r>
      <w:r w:rsidRPr="00DB3FE7">
        <w:t>who failed to achieve the LDL</w:t>
      </w:r>
      <w:r w:rsidR="00CD0449" w:rsidRPr="00DB3FE7">
        <w:t>-C</w:t>
      </w:r>
      <w:r w:rsidRPr="00DB3FE7">
        <w:t xml:space="preserve"> target were assumed to discontinue ezetimibe treatment and switch to PCSK9 </w:t>
      </w:r>
      <w:r w:rsidR="00CD0449" w:rsidRPr="00DB3FE7">
        <w:t xml:space="preserve">inhibitor </w:t>
      </w:r>
      <w:r w:rsidRPr="00DB3FE7">
        <w:t>therapy.</w:t>
      </w:r>
      <w:r w:rsidR="00971C06" w:rsidRPr="00DB3FE7">
        <w:t xml:space="preserve"> The ESC noted that the submission did not justify the assumption that PCSK9 inhibitor therapies would replace, rather than be used in addition to ezetimibe.</w:t>
      </w:r>
    </w:p>
    <w:p w14:paraId="390EC14C" w14:textId="5CEEBCB0" w:rsidR="00DE28CB" w:rsidRPr="00D2286B" w:rsidRDefault="00DE28CB" w:rsidP="00DE28CB">
      <w:pPr>
        <w:pStyle w:val="COMexecsumnumberedpara"/>
      </w:pPr>
      <w:r w:rsidRPr="00DB3FE7">
        <w:t xml:space="preserve">Key drivers of the economic model are summarised in </w:t>
      </w:r>
      <w:r w:rsidR="002A689B" w:rsidRPr="00D2286B">
        <w:fldChar w:fldCharType="begin" w:fldLock="1"/>
      </w:r>
      <w:r w:rsidR="002A689B" w:rsidRPr="00DB3FE7">
        <w:instrText xml:space="preserve"> REF _Ref104805122 \h </w:instrText>
      </w:r>
      <w:r w:rsidR="003B07E4" w:rsidRPr="00DB3FE7">
        <w:instrText xml:space="preserve"> \* MERGEFORMAT </w:instrText>
      </w:r>
      <w:r w:rsidR="002A689B" w:rsidRPr="00D2286B">
        <w:fldChar w:fldCharType="separate"/>
      </w:r>
      <w:r w:rsidR="00424520" w:rsidRPr="00D2286B">
        <w:t xml:space="preserve">Table </w:t>
      </w:r>
      <w:r w:rsidR="00424520" w:rsidRPr="00D2286B">
        <w:rPr>
          <w:noProof/>
        </w:rPr>
        <w:t>9</w:t>
      </w:r>
      <w:r w:rsidR="002A689B" w:rsidRPr="00D2286B">
        <w:fldChar w:fldCharType="end"/>
      </w:r>
      <w:r w:rsidRPr="0042765C">
        <w:t>.</w:t>
      </w:r>
    </w:p>
    <w:p w14:paraId="53A9AB76" w14:textId="645B9B95" w:rsidR="00DE28CB" w:rsidRPr="00D2286B" w:rsidRDefault="00773BF1" w:rsidP="00B4179B">
      <w:pPr>
        <w:pStyle w:val="COMtablefigcaption"/>
        <w:keepNext w:val="0"/>
      </w:pPr>
      <w:bookmarkStart w:id="38" w:name="_Ref104805122"/>
      <w:r w:rsidRPr="00D2286B">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9</w:t>
      </w:r>
      <w:r w:rsidR="00E1209D" w:rsidRPr="00D2286B">
        <w:rPr>
          <w:noProof/>
        </w:rPr>
        <w:fldChar w:fldCharType="end"/>
      </w:r>
      <w:bookmarkEnd w:id="38"/>
      <w:r w:rsidR="00DE28CB" w:rsidRPr="0042765C">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82"/>
        <w:gridCol w:w="6272"/>
        <w:gridCol w:w="1463"/>
      </w:tblGrid>
      <w:tr w:rsidR="00DE28CB" w:rsidRPr="00DB3FE7" w14:paraId="02D345A1" w14:textId="77777777" w:rsidTr="004B73C0">
        <w:trPr>
          <w:tblHeader/>
        </w:trPr>
        <w:tc>
          <w:tcPr>
            <w:tcW w:w="711" w:type="pct"/>
            <w:shd w:val="clear" w:color="auto" w:fill="auto"/>
            <w:vAlign w:val="center"/>
          </w:tcPr>
          <w:p w14:paraId="2F23AB61" w14:textId="77777777" w:rsidR="00DE28CB" w:rsidRPr="00352E1C" w:rsidRDefault="00DE28CB" w:rsidP="00B4179B">
            <w:pPr>
              <w:pStyle w:val="COMTableheadingrow"/>
              <w:keepNext w:val="0"/>
              <w:jc w:val="center"/>
              <w:rPr>
                <w:lang w:val="en-AU"/>
              </w:rPr>
            </w:pPr>
            <w:r w:rsidRPr="00352E1C">
              <w:rPr>
                <w:lang w:val="en-AU"/>
              </w:rPr>
              <w:t>Description</w:t>
            </w:r>
          </w:p>
        </w:tc>
        <w:tc>
          <w:tcPr>
            <w:tcW w:w="3478" w:type="pct"/>
            <w:shd w:val="clear" w:color="auto" w:fill="auto"/>
            <w:vAlign w:val="center"/>
          </w:tcPr>
          <w:p w14:paraId="06727618" w14:textId="77777777" w:rsidR="00DE28CB" w:rsidRPr="00DB3FE7" w:rsidRDefault="00DE28CB" w:rsidP="00B4179B">
            <w:pPr>
              <w:pStyle w:val="COMTableheadingrow"/>
              <w:keepNext w:val="0"/>
              <w:jc w:val="center"/>
              <w:rPr>
                <w:lang w:val="en-AU"/>
              </w:rPr>
            </w:pPr>
            <w:r w:rsidRPr="00DB3FE7">
              <w:rPr>
                <w:lang w:val="en-AU"/>
              </w:rPr>
              <w:t>Method/Value</w:t>
            </w:r>
          </w:p>
        </w:tc>
        <w:tc>
          <w:tcPr>
            <w:tcW w:w="811" w:type="pct"/>
            <w:shd w:val="clear" w:color="auto" w:fill="auto"/>
            <w:vAlign w:val="center"/>
          </w:tcPr>
          <w:p w14:paraId="74AF4411" w14:textId="50018C33" w:rsidR="00DE28CB" w:rsidRPr="00DB3FE7" w:rsidRDefault="00DE28CB" w:rsidP="00B4179B">
            <w:pPr>
              <w:pStyle w:val="COMTableheadingrow"/>
              <w:keepNext w:val="0"/>
              <w:jc w:val="center"/>
              <w:rPr>
                <w:lang w:val="en-AU"/>
              </w:rPr>
            </w:pPr>
            <w:r w:rsidRPr="00DB3FE7">
              <w:rPr>
                <w:lang w:val="en-AU"/>
              </w:rPr>
              <w:t>Impact</w:t>
            </w:r>
          </w:p>
        </w:tc>
      </w:tr>
      <w:tr w:rsidR="00B4179B" w:rsidRPr="00DB3FE7" w14:paraId="3FEA0080" w14:textId="77777777" w:rsidTr="004B73C0">
        <w:tc>
          <w:tcPr>
            <w:tcW w:w="711" w:type="pct"/>
            <w:shd w:val="clear" w:color="auto" w:fill="auto"/>
            <w:vAlign w:val="center"/>
          </w:tcPr>
          <w:p w14:paraId="4F1010B4" w14:textId="56C15518" w:rsidR="00B4179B" w:rsidRPr="00DB3FE7" w:rsidRDefault="00B4179B" w:rsidP="00B4179B">
            <w:pPr>
              <w:pStyle w:val="COMTabletext"/>
              <w:keepNext w:val="0"/>
            </w:pPr>
            <w:r w:rsidRPr="00DB3FE7">
              <w:t>Inclisiran LDL treatment effect</w:t>
            </w:r>
          </w:p>
        </w:tc>
        <w:tc>
          <w:tcPr>
            <w:tcW w:w="3478" w:type="pct"/>
            <w:shd w:val="clear" w:color="auto" w:fill="auto"/>
            <w:vAlign w:val="center"/>
          </w:tcPr>
          <w:p w14:paraId="6EFA1640" w14:textId="74EB83DE" w:rsidR="00B4179B" w:rsidRPr="00DB3FE7" w:rsidRDefault="00B4179B" w:rsidP="00B4179B">
            <w:pPr>
              <w:pStyle w:val="COMTabletext"/>
              <w:keepNext w:val="0"/>
            </w:pPr>
            <w:r w:rsidRPr="00DB3FE7">
              <w:t>The submission estimated LDL</w:t>
            </w:r>
            <w:r w:rsidR="00B8538B" w:rsidRPr="00DB3FE7">
              <w:t>-C</w:t>
            </w:r>
            <w:r w:rsidRPr="00DB3FE7">
              <w:t xml:space="preserve"> treatment effects for inclisiran based on the ORION-10 trial. The submission claimed that this was the most applicable study from the ORION clinical trial program as all patients had atherosclerotic cardiovascular disease. The estimate used in the submission was based on a sensitivity analysis using a mixed effect model for repeated measures (MMRM) to handle missing data. </w:t>
            </w:r>
          </w:p>
          <w:p w14:paraId="26BEBD47" w14:textId="77777777" w:rsidR="00B4179B" w:rsidRPr="00DB3FE7" w:rsidRDefault="00B4179B" w:rsidP="00B4179B">
            <w:pPr>
              <w:pStyle w:val="COMTabletext"/>
              <w:keepNext w:val="0"/>
            </w:pPr>
          </w:p>
          <w:p w14:paraId="5F57B724" w14:textId="4A172D49" w:rsidR="00C11201" w:rsidRPr="00DB3FE7" w:rsidRDefault="00B4179B" w:rsidP="00B4179B">
            <w:pPr>
              <w:pStyle w:val="COMTabletext"/>
              <w:keepNext w:val="0"/>
            </w:pPr>
            <w:r w:rsidRPr="00DB3FE7">
              <w:t xml:space="preserve">The submission did not adequately justify limiting the treatment efficacy data to the ORION-10 trial given that the ORION-9/10/11 trials are used to inform patient characteristics and ORION 10/11 trials are used to inform treatment discontinuations. </w:t>
            </w:r>
            <w:r w:rsidR="00F1749F" w:rsidRPr="00DB3FE7">
              <w:t xml:space="preserve">The PSCR noted that the meta-analysed estimate from the ORION 10/11 trials resulted in a very small difference in magnitude -54.95%, as compared to </w:t>
            </w:r>
            <w:r w:rsidR="00B8538B" w:rsidRPr="00DB3FE7">
              <w:t>-</w:t>
            </w:r>
            <w:r w:rsidR="00F1749F" w:rsidRPr="00DB3FE7">
              <w:t>57.24% as used in the model. The PSCR also stated that the ORION-10 trial was used as it was the most applicable inclisiran trial to the target PBS population (patients with prior ASCVD and LDL</w:t>
            </w:r>
            <w:r w:rsidR="00CD0449" w:rsidRPr="00DB3FE7">
              <w:t>-C</w:t>
            </w:r>
            <w:r w:rsidR="00F1749F" w:rsidRPr="00DB3FE7">
              <w:t xml:space="preserve"> ≥ 1.8 mmol/L despite maximum tolerated statin therapy). </w:t>
            </w:r>
            <w:r w:rsidR="00C11201" w:rsidRPr="00DB3FE7">
              <w:t>The ESC noted that the ICER was sensitive to the use of treatment efficacy data from the ORION 10/11 trials (base case increased by 33%).</w:t>
            </w:r>
          </w:p>
          <w:p w14:paraId="4F234557" w14:textId="77777777" w:rsidR="00C11201" w:rsidRPr="00DB3FE7" w:rsidRDefault="00C11201" w:rsidP="00B4179B">
            <w:pPr>
              <w:pStyle w:val="COMTabletext"/>
              <w:keepNext w:val="0"/>
            </w:pPr>
          </w:p>
          <w:p w14:paraId="365DB00B" w14:textId="56EA51F1" w:rsidR="00B4179B" w:rsidRPr="00DB3FE7" w:rsidRDefault="00B4179B" w:rsidP="00B4179B">
            <w:pPr>
              <w:pStyle w:val="COMTabletext"/>
              <w:keepNext w:val="0"/>
            </w:pPr>
            <w:r w:rsidRPr="00DB3FE7">
              <w:t>Additionally, the estimated treatment efficacy for ezetimibe used in the model was based on the EASE trial, which included a mixed population of patients with atherosclerotic cardiovascular disease or risk equivalents and therefore the exclusion of the ORION-11 trial (</w:t>
            </w:r>
            <w:r w:rsidR="002A1504" w:rsidRPr="00DB3FE7">
              <w:t xml:space="preserve">which </w:t>
            </w:r>
            <w:r w:rsidRPr="00DB3FE7">
              <w:t>also included a mixed population) does not appear to be reasonable.</w:t>
            </w:r>
            <w:r w:rsidR="00D31A34" w:rsidRPr="00DB3FE7">
              <w:t xml:space="preserve"> </w:t>
            </w:r>
          </w:p>
        </w:tc>
        <w:tc>
          <w:tcPr>
            <w:tcW w:w="811" w:type="pct"/>
            <w:shd w:val="clear" w:color="auto" w:fill="auto"/>
            <w:vAlign w:val="center"/>
          </w:tcPr>
          <w:p w14:paraId="78FCDEBB" w14:textId="77777777" w:rsidR="00B4179B" w:rsidRPr="00DB3FE7" w:rsidRDefault="00B4179B" w:rsidP="00B4179B">
            <w:pPr>
              <w:pStyle w:val="COMTabletext"/>
              <w:keepNext w:val="0"/>
              <w:jc w:val="center"/>
            </w:pPr>
            <w:r w:rsidRPr="00DB3FE7">
              <w:t xml:space="preserve">High, </w:t>
            </w:r>
          </w:p>
          <w:p w14:paraId="433769FE" w14:textId="06A81366" w:rsidR="00B4179B" w:rsidRPr="00DB3FE7" w:rsidRDefault="00B4179B" w:rsidP="00B4179B">
            <w:pPr>
              <w:pStyle w:val="COMTabletext"/>
              <w:keepNext w:val="0"/>
              <w:jc w:val="center"/>
            </w:pPr>
            <w:r w:rsidRPr="00DB3FE7">
              <w:t>favours inclisiran</w:t>
            </w:r>
          </w:p>
        </w:tc>
      </w:tr>
      <w:tr w:rsidR="00B4179B" w:rsidRPr="00DB3FE7" w14:paraId="174EC36F" w14:textId="77777777" w:rsidTr="004B73C0">
        <w:tc>
          <w:tcPr>
            <w:tcW w:w="711" w:type="pct"/>
            <w:shd w:val="clear" w:color="auto" w:fill="auto"/>
            <w:vAlign w:val="center"/>
          </w:tcPr>
          <w:p w14:paraId="4B67FBCA" w14:textId="4A551F82" w:rsidR="00B4179B" w:rsidRPr="00DB3FE7" w:rsidRDefault="00B4179B" w:rsidP="00B4179B">
            <w:pPr>
              <w:pStyle w:val="COMTabletext"/>
              <w:keepNext w:val="0"/>
            </w:pPr>
            <w:r w:rsidRPr="00DB3FE7">
              <w:t>Ezetimibe LDL</w:t>
            </w:r>
            <w:r w:rsidR="00CD0449" w:rsidRPr="00DB3FE7">
              <w:t>-C</w:t>
            </w:r>
            <w:r w:rsidRPr="00DB3FE7">
              <w:t xml:space="preserve"> treatment effect</w:t>
            </w:r>
          </w:p>
        </w:tc>
        <w:tc>
          <w:tcPr>
            <w:tcW w:w="3478" w:type="pct"/>
            <w:shd w:val="clear" w:color="auto" w:fill="auto"/>
            <w:vAlign w:val="center"/>
          </w:tcPr>
          <w:p w14:paraId="35D9C481" w14:textId="3D4F13E5" w:rsidR="005F3BA0" w:rsidRPr="00DB3FE7" w:rsidRDefault="00B4179B" w:rsidP="00B4179B">
            <w:pPr>
              <w:pStyle w:val="COMTabletext"/>
              <w:keepNext w:val="0"/>
            </w:pPr>
            <w:r w:rsidRPr="00DB3FE7">
              <w:t>The submission estimated LDL</w:t>
            </w:r>
            <w:r w:rsidR="00CD0449" w:rsidRPr="00DB3FE7">
              <w:t>-C</w:t>
            </w:r>
            <w:r w:rsidRPr="00DB3FE7">
              <w:t xml:space="preserve"> treatment effects for ezetimibe based on the EASE trial.</w:t>
            </w:r>
          </w:p>
          <w:p w14:paraId="0641863B" w14:textId="77777777" w:rsidR="005F3BA0" w:rsidRPr="00DB3FE7" w:rsidRDefault="005F3BA0" w:rsidP="00B4179B">
            <w:pPr>
              <w:pStyle w:val="COMTabletext"/>
              <w:keepNext w:val="0"/>
            </w:pPr>
          </w:p>
          <w:p w14:paraId="6F3342C1" w14:textId="75ED77BC" w:rsidR="00B4179B" w:rsidRPr="00DB3FE7" w:rsidRDefault="00B4179B" w:rsidP="00B4179B">
            <w:pPr>
              <w:pStyle w:val="COMTabletext"/>
              <w:keepNext w:val="0"/>
            </w:pPr>
            <w:r w:rsidRPr="00DB3FE7">
              <w:t xml:space="preserve">It was unclear whether the efficacy estimates used in the model are a robust representation of ezetimibe treatment effects given the exclusion of </w:t>
            </w:r>
            <w:r w:rsidR="00E02274" w:rsidRPr="00DB3FE7">
              <w:t xml:space="preserve">a </w:t>
            </w:r>
            <w:r w:rsidRPr="00DB3FE7">
              <w:t xml:space="preserve">substantial number of potentially relevant trials and treatment arms from consideration in the clinical analyses. </w:t>
            </w:r>
            <w:r w:rsidR="00C46ABF" w:rsidRPr="00DB3FE7">
              <w:t>The ESC noted that the ICER was sensitive to the use of treatment efficacy data from the EASE/ACCENTUATE trials (base case increased by 91%).</w:t>
            </w:r>
          </w:p>
        </w:tc>
        <w:tc>
          <w:tcPr>
            <w:tcW w:w="811" w:type="pct"/>
            <w:shd w:val="clear" w:color="auto" w:fill="auto"/>
            <w:vAlign w:val="center"/>
          </w:tcPr>
          <w:p w14:paraId="5F9A8B38" w14:textId="77777777" w:rsidR="00B4179B" w:rsidRPr="00DB3FE7" w:rsidRDefault="00B4179B" w:rsidP="00B4179B">
            <w:pPr>
              <w:pStyle w:val="COMTabletext"/>
              <w:keepNext w:val="0"/>
              <w:jc w:val="center"/>
            </w:pPr>
            <w:r w:rsidRPr="00DB3FE7">
              <w:t xml:space="preserve">High, </w:t>
            </w:r>
          </w:p>
          <w:p w14:paraId="1C94E62B" w14:textId="46DBC846" w:rsidR="00B4179B" w:rsidRPr="00DB3FE7" w:rsidRDefault="00B4179B" w:rsidP="00B4179B">
            <w:pPr>
              <w:pStyle w:val="COMTabletext"/>
              <w:keepNext w:val="0"/>
              <w:jc w:val="center"/>
            </w:pPr>
            <w:r w:rsidRPr="00DB3FE7">
              <w:t>favours inclisiran</w:t>
            </w:r>
          </w:p>
        </w:tc>
      </w:tr>
      <w:tr w:rsidR="00B4179B" w:rsidRPr="00DB3FE7" w14:paraId="2EF5C0FC" w14:textId="77777777" w:rsidTr="004B73C0">
        <w:tc>
          <w:tcPr>
            <w:tcW w:w="711" w:type="pct"/>
            <w:shd w:val="clear" w:color="auto" w:fill="auto"/>
            <w:vAlign w:val="center"/>
          </w:tcPr>
          <w:p w14:paraId="539FEA36" w14:textId="2BE5ACF8" w:rsidR="00B4179B" w:rsidRPr="00DB3FE7" w:rsidRDefault="00B4179B" w:rsidP="00B4179B">
            <w:pPr>
              <w:pStyle w:val="COMTabletext"/>
              <w:keepNext w:val="0"/>
            </w:pPr>
            <w:r w:rsidRPr="00DB3FE7">
              <w:t>PCSK9 LDL treatment effect</w:t>
            </w:r>
          </w:p>
        </w:tc>
        <w:tc>
          <w:tcPr>
            <w:tcW w:w="3478" w:type="pct"/>
            <w:shd w:val="clear" w:color="auto" w:fill="auto"/>
            <w:vAlign w:val="center"/>
          </w:tcPr>
          <w:p w14:paraId="679FD729" w14:textId="71C971F6" w:rsidR="005F3BA0" w:rsidRPr="00DB3FE7" w:rsidRDefault="00B4179B" w:rsidP="00B4179B">
            <w:pPr>
              <w:pStyle w:val="COMTabletext"/>
              <w:keepNext w:val="0"/>
            </w:pPr>
            <w:r w:rsidRPr="00DB3FE7">
              <w:t>The submission assumed that LDL</w:t>
            </w:r>
            <w:r w:rsidR="00CD0449" w:rsidRPr="00DB3FE7">
              <w:t>-C</w:t>
            </w:r>
            <w:r w:rsidRPr="00DB3FE7">
              <w:t xml:space="preserve"> treatment effects for </w:t>
            </w:r>
            <w:r w:rsidR="008F392E" w:rsidRPr="00DB3FE7">
              <w:t xml:space="preserve">PCSK9 inhibitor therapies </w:t>
            </w:r>
            <w:r w:rsidRPr="00DB3FE7">
              <w:t xml:space="preserve">were equivalent to inclisiran. </w:t>
            </w:r>
          </w:p>
          <w:p w14:paraId="0C037BB2" w14:textId="77777777" w:rsidR="005F3BA0" w:rsidRPr="00DB3FE7" w:rsidRDefault="005F3BA0" w:rsidP="00B4179B">
            <w:pPr>
              <w:pStyle w:val="COMTabletext"/>
              <w:keepNext w:val="0"/>
            </w:pPr>
          </w:p>
          <w:p w14:paraId="38E8EB11" w14:textId="5577E3AB" w:rsidR="00B4179B" w:rsidRPr="00DB3FE7" w:rsidRDefault="00B4179B" w:rsidP="00B4179B">
            <w:pPr>
              <w:pStyle w:val="COMTabletext"/>
              <w:keepNext w:val="0"/>
            </w:pPr>
            <w:r w:rsidRPr="00DB3FE7">
              <w:t>This assumption may not be reasonable given that clinical data consistently showed that treatment with evolocumab was associated with greater reductions in LDL</w:t>
            </w:r>
            <w:r w:rsidR="00CD0449" w:rsidRPr="00DB3FE7">
              <w:t>-C</w:t>
            </w:r>
            <w:r w:rsidRPr="00DB3FE7">
              <w:t xml:space="preserve"> cholesterol compared to inclisiran. Additionally, the PBAC has previously noted that not all </w:t>
            </w:r>
            <w:r w:rsidR="008F392E" w:rsidRPr="00DB3FE7">
              <w:t xml:space="preserve">PCSK9 inhibitor therapies </w:t>
            </w:r>
            <w:r w:rsidRPr="00DB3FE7">
              <w:t xml:space="preserve">are equivalent, with low dose alirocumab (75 mg fortnightly, 150 mg monthly) potentially being inferior to other </w:t>
            </w:r>
            <w:r w:rsidR="008F392E" w:rsidRPr="00DB3FE7">
              <w:t xml:space="preserve">PCSK9 inhibitor therapies </w:t>
            </w:r>
            <w:r w:rsidRPr="00DB3FE7">
              <w:t>(para</w:t>
            </w:r>
            <w:r w:rsidR="00ED611A" w:rsidRPr="00DB3FE7">
              <w:t>graph</w:t>
            </w:r>
            <w:r w:rsidRPr="00DB3FE7">
              <w:t xml:space="preserve"> 6.8, alirocumab </w:t>
            </w:r>
            <w:r w:rsidR="00ED611A" w:rsidRPr="00DB3FE7">
              <w:t>PSD</w:t>
            </w:r>
            <w:r w:rsidRPr="00DB3FE7">
              <w:t xml:space="preserve">, March 2020 PBAC meeting). </w:t>
            </w:r>
            <w:r w:rsidR="00C46ABF" w:rsidRPr="00DB3FE7">
              <w:t>The ESC noted that the ICER was sensitive to the use of separate efficacy estimates (i.e. not assum</w:t>
            </w:r>
            <w:r w:rsidR="00473552" w:rsidRPr="00DB3FE7">
              <w:t>ing</w:t>
            </w:r>
            <w:r w:rsidR="00C46ABF" w:rsidRPr="00DB3FE7">
              <w:t xml:space="preserve"> the same efficacy for inclisiran and evolocumab) based on Burnett 2022 (base case increased by 203%</w:t>
            </w:r>
            <w:r w:rsidR="003356B3" w:rsidRPr="00DB3FE7">
              <w:t xml:space="preserve">; </w:t>
            </w:r>
            <w:r w:rsidR="00B35F2C" w:rsidRPr="00DB3FE7">
              <w:t xml:space="preserve">base case </w:t>
            </w:r>
            <w:r w:rsidR="003356B3" w:rsidRPr="00DB3FE7">
              <w:t>dominated if based on H</w:t>
            </w:r>
            <w:r w:rsidR="00B35F2C" w:rsidRPr="00DB3FE7">
              <w:t>uang 2022 NMA or Toth 2022 NMA</w:t>
            </w:r>
            <w:r w:rsidR="00C46ABF" w:rsidRPr="00DB3FE7">
              <w:t>).</w:t>
            </w:r>
          </w:p>
        </w:tc>
        <w:tc>
          <w:tcPr>
            <w:tcW w:w="811" w:type="pct"/>
            <w:shd w:val="clear" w:color="auto" w:fill="auto"/>
            <w:vAlign w:val="center"/>
          </w:tcPr>
          <w:p w14:paraId="74DE64B7" w14:textId="77777777" w:rsidR="00B4179B" w:rsidRPr="00DB3FE7" w:rsidRDefault="00B4179B" w:rsidP="00B4179B">
            <w:pPr>
              <w:pStyle w:val="COMTabletext"/>
              <w:keepNext w:val="0"/>
              <w:jc w:val="center"/>
            </w:pPr>
            <w:r w:rsidRPr="00DB3FE7">
              <w:t xml:space="preserve">High, </w:t>
            </w:r>
          </w:p>
          <w:p w14:paraId="5A8EAFA9" w14:textId="12CABDD7" w:rsidR="00B4179B" w:rsidRPr="00DB3FE7" w:rsidRDefault="00B4179B" w:rsidP="00B4179B">
            <w:pPr>
              <w:pStyle w:val="COMTabletext"/>
              <w:keepNext w:val="0"/>
              <w:jc w:val="center"/>
            </w:pPr>
            <w:r w:rsidRPr="00DB3FE7">
              <w:t>favours inclisiran</w:t>
            </w:r>
          </w:p>
        </w:tc>
      </w:tr>
      <w:tr w:rsidR="00DE28CB" w:rsidRPr="00DB3FE7" w14:paraId="7A838AC8" w14:textId="77777777" w:rsidTr="004B73C0">
        <w:tc>
          <w:tcPr>
            <w:tcW w:w="711" w:type="pct"/>
            <w:shd w:val="clear" w:color="auto" w:fill="auto"/>
            <w:vAlign w:val="center"/>
          </w:tcPr>
          <w:p w14:paraId="7E22D1EE" w14:textId="1DCF1B26" w:rsidR="00DE28CB" w:rsidRPr="00DB3FE7" w:rsidRDefault="00B4179B" w:rsidP="00B4179B">
            <w:pPr>
              <w:pStyle w:val="COMTabletext"/>
              <w:keepNext w:val="0"/>
            </w:pPr>
            <w:r w:rsidRPr="00DB3FE7">
              <w:t>Treatment discontinuations</w:t>
            </w:r>
          </w:p>
        </w:tc>
        <w:tc>
          <w:tcPr>
            <w:tcW w:w="3478" w:type="pct"/>
            <w:shd w:val="clear" w:color="auto" w:fill="auto"/>
            <w:vAlign w:val="center"/>
          </w:tcPr>
          <w:p w14:paraId="5F9D435B" w14:textId="77777777" w:rsidR="005F3BA0" w:rsidRPr="00DB3FE7" w:rsidRDefault="00B4179B" w:rsidP="00B4179B">
            <w:pPr>
              <w:pStyle w:val="COMTabletext"/>
            </w:pPr>
            <w:r w:rsidRPr="00DB3FE7">
              <w:t xml:space="preserve">The submission estimated treatment discontinuations based on a post hoc analysis of pooled data from the subgroup of patients with atherosclerotic cardiovascular disease who were treated with inclisiran in the ORION 10/11 trials. </w:t>
            </w:r>
          </w:p>
          <w:p w14:paraId="16A61B9D" w14:textId="77777777" w:rsidR="00B4179B" w:rsidRPr="00DB3FE7" w:rsidRDefault="00B4179B" w:rsidP="00B4179B">
            <w:pPr>
              <w:pStyle w:val="COMTabletext"/>
            </w:pPr>
          </w:p>
          <w:p w14:paraId="7D7E15F2" w14:textId="77777777" w:rsidR="00B4179B" w:rsidRPr="00DB3FE7" w:rsidRDefault="00B4179B" w:rsidP="00B4179B">
            <w:pPr>
              <w:pStyle w:val="COMTabletext"/>
            </w:pPr>
            <w:r w:rsidRPr="00DB3FE7">
              <w:t>The reported discontinuation rate with inclisiran treatment in a highly regulated clinical trial setting over a duration of 18 months may not be representative of discontinuations in clinical practice over the longer term.</w:t>
            </w:r>
          </w:p>
          <w:p w14:paraId="691CE2CB" w14:textId="77777777" w:rsidR="00B4179B" w:rsidRPr="00DB3FE7" w:rsidRDefault="00B4179B" w:rsidP="00B4179B">
            <w:pPr>
              <w:pStyle w:val="COMTabletext"/>
            </w:pPr>
          </w:p>
          <w:p w14:paraId="190F7118" w14:textId="27BEB744" w:rsidR="00DE28CB" w:rsidRPr="00DB3FE7" w:rsidRDefault="00B4179B" w:rsidP="00B4179B">
            <w:pPr>
              <w:pStyle w:val="COMTabletext"/>
              <w:keepNext w:val="0"/>
            </w:pPr>
            <w:r w:rsidRPr="00DB3FE7">
              <w:t>The submission assumed that all therapies (inclisiran, ezetimibe, evolocumab) have the same discontinuation rate. However, it remains clinically plausible that there may be important differences in discontinuations between therapies given the differences in both the frequency and mode of administration.</w:t>
            </w:r>
          </w:p>
        </w:tc>
        <w:tc>
          <w:tcPr>
            <w:tcW w:w="811" w:type="pct"/>
            <w:shd w:val="clear" w:color="auto" w:fill="auto"/>
            <w:vAlign w:val="center"/>
          </w:tcPr>
          <w:p w14:paraId="0EE5A634" w14:textId="77777777" w:rsidR="00B4179B" w:rsidRPr="00DB3FE7" w:rsidRDefault="00B4179B" w:rsidP="00B4179B">
            <w:pPr>
              <w:pStyle w:val="COMTabletext"/>
              <w:keepNext w:val="0"/>
              <w:jc w:val="center"/>
            </w:pPr>
            <w:r w:rsidRPr="00DB3FE7">
              <w:t xml:space="preserve">High, </w:t>
            </w:r>
          </w:p>
          <w:p w14:paraId="3D0B6DE4" w14:textId="3CA48741" w:rsidR="00DE28CB" w:rsidRPr="00DB3FE7" w:rsidRDefault="00B4179B" w:rsidP="00B4179B">
            <w:pPr>
              <w:pStyle w:val="COMTabletext"/>
              <w:keepNext w:val="0"/>
              <w:jc w:val="center"/>
            </w:pPr>
            <w:r w:rsidRPr="00DB3FE7">
              <w:t>unclear direction</w:t>
            </w:r>
          </w:p>
        </w:tc>
      </w:tr>
      <w:tr w:rsidR="00B4179B" w:rsidRPr="00DB3FE7" w14:paraId="0DA62C3C" w14:textId="77777777" w:rsidTr="00315E87">
        <w:trPr>
          <w:trHeight w:val="1531"/>
        </w:trPr>
        <w:tc>
          <w:tcPr>
            <w:tcW w:w="711" w:type="pct"/>
            <w:shd w:val="clear" w:color="auto" w:fill="auto"/>
            <w:vAlign w:val="center"/>
          </w:tcPr>
          <w:p w14:paraId="237026D9" w14:textId="0F8A3EFC" w:rsidR="00B4179B" w:rsidRPr="00DB3FE7" w:rsidRDefault="00B4179B" w:rsidP="00B4179B">
            <w:pPr>
              <w:pStyle w:val="COMTabletext"/>
            </w:pPr>
            <w:r w:rsidRPr="00DB3FE7">
              <w:t>Treatment switching</w:t>
            </w:r>
          </w:p>
        </w:tc>
        <w:tc>
          <w:tcPr>
            <w:tcW w:w="3478" w:type="pct"/>
            <w:shd w:val="clear" w:color="auto" w:fill="auto"/>
            <w:vAlign w:val="center"/>
          </w:tcPr>
          <w:p w14:paraId="208F26FB" w14:textId="765671CD" w:rsidR="00B4179B" w:rsidRPr="00DB3FE7" w:rsidRDefault="00B4179B" w:rsidP="00B4179B">
            <w:pPr>
              <w:pStyle w:val="COMTabletext"/>
            </w:pPr>
            <w:r w:rsidRPr="00DB3FE7">
              <w:t>The submission assumed that all patients in the comparator arm would initially receive one year of treatment with ezetimibe. After one year, patients who achieved an LDL</w:t>
            </w:r>
            <w:r w:rsidR="00CD0449" w:rsidRPr="00DB3FE7">
              <w:t>-C</w:t>
            </w:r>
            <w:r w:rsidRPr="00DB3FE7">
              <w:t xml:space="preserve"> target of &lt; 1.8 mmol/L were assumed to remain on ezetimibe and never become eligible for PCSK9 therapy. Patients who failed to achieve the LDL</w:t>
            </w:r>
            <w:r w:rsidR="00CD0449" w:rsidRPr="00DB3FE7">
              <w:t>-C</w:t>
            </w:r>
            <w:r w:rsidRPr="00DB3FE7">
              <w:t xml:space="preserve"> target after one year of ezetimibe treatment were assumed to discontinue therapy and switch to </w:t>
            </w:r>
            <w:r w:rsidR="008F392E" w:rsidRPr="00DB3FE7">
              <w:t>PCSK9 inhibitor therapies</w:t>
            </w:r>
            <w:r w:rsidRPr="00DB3FE7">
              <w:t xml:space="preserve">. </w:t>
            </w:r>
          </w:p>
        </w:tc>
        <w:tc>
          <w:tcPr>
            <w:tcW w:w="811" w:type="pct"/>
            <w:shd w:val="clear" w:color="auto" w:fill="auto"/>
            <w:vAlign w:val="center"/>
          </w:tcPr>
          <w:p w14:paraId="034144C8" w14:textId="77777777" w:rsidR="00B4179B" w:rsidRPr="00DB3FE7" w:rsidRDefault="00B4179B" w:rsidP="00B4179B">
            <w:pPr>
              <w:pStyle w:val="COMTabletext"/>
              <w:keepNext w:val="0"/>
              <w:jc w:val="center"/>
            </w:pPr>
            <w:r w:rsidRPr="00DB3FE7">
              <w:t xml:space="preserve">High, </w:t>
            </w:r>
          </w:p>
          <w:p w14:paraId="2ED71DFD" w14:textId="6D58AAD9" w:rsidR="00B4179B" w:rsidRPr="00DB3FE7" w:rsidRDefault="00B4179B" w:rsidP="008D4598">
            <w:pPr>
              <w:pStyle w:val="COMTabletext"/>
              <w:keepNext w:val="0"/>
              <w:jc w:val="center"/>
            </w:pPr>
            <w:r w:rsidRPr="00DB3FE7">
              <w:t>favours inclisiran</w:t>
            </w:r>
          </w:p>
        </w:tc>
      </w:tr>
      <w:tr w:rsidR="00B4179B" w:rsidRPr="00DB3FE7" w14:paraId="366E829C" w14:textId="77777777" w:rsidTr="004B73C0">
        <w:tc>
          <w:tcPr>
            <w:tcW w:w="711" w:type="pct"/>
            <w:shd w:val="clear" w:color="auto" w:fill="auto"/>
            <w:vAlign w:val="center"/>
          </w:tcPr>
          <w:p w14:paraId="03F60D9C" w14:textId="4FD71E66" w:rsidR="00B4179B" w:rsidRPr="00DB3FE7" w:rsidRDefault="00B4179B" w:rsidP="00B4179B">
            <w:pPr>
              <w:pStyle w:val="COMTabletext"/>
              <w:keepNext w:val="0"/>
            </w:pPr>
            <w:r w:rsidRPr="00DB3FE7">
              <w:t>Evolocumab script duration</w:t>
            </w:r>
          </w:p>
        </w:tc>
        <w:tc>
          <w:tcPr>
            <w:tcW w:w="3478" w:type="pct"/>
            <w:shd w:val="clear" w:color="auto" w:fill="auto"/>
            <w:vAlign w:val="center"/>
          </w:tcPr>
          <w:p w14:paraId="7E3A458D" w14:textId="305EAA4C" w:rsidR="005F3BA0" w:rsidRPr="00DB3FE7" w:rsidRDefault="00B4179B" w:rsidP="00B4179B">
            <w:pPr>
              <w:pStyle w:val="COMTabletext"/>
              <w:keepNext w:val="0"/>
            </w:pPr>
            <w:r w:rsidRPr="00DB3FE7">
              <w:t xml:space="preserve">The submission assumed that each script of evolocumab 420 mg would last 28 days, which appeared to be based on the script coverage of the evolocumab 140 mg dose strength (2 injections per script, one injection per fortnight with 13.04 scripts per year). </w:t>
            </w:r>
          </w:p>
          <w:p w14:paraId="22C9D4F8" w14:textId="77777777" w:rsidR="005F3BA0" w:rsidRPr="00DB3FE7" w:rsidRDefault="005F3BA0" w:rsidP="00B4179B">
            <w:pPr>
              <w:pStyle w:val="COMTabletext"/>
              <w:keepNext w:val="0"/>
            </w:pPr>
          </w:p>
          <w:p w14:paraId="1174DB9D" w14:textId="5F8AD924" w:rsidR="00B4179B" w:rsidRPr="00DB3FE7" w:rsidRDefault="00B4179B" w:rsidP="00B4179B">
            <w:pPr>
              <w:pStyle w:val="COMTabletext"/>
              <w:keepNext w:val="0"/>
            </w:pPr>
            <w:r w:rsidRPr="00DB3FE7">
              <w:t xml:space="preserve">Based on the product information, evolocumab 420 mg is administered as a monthly dose and therefore there should be approximately 12 scripts per year. The assumption that patients using evolocumab 420 mg would require 13.04 scripts per year was also inconsistent with the </w:t>
            </w:r>
            <w:r w:rsidR="002E0590" w:rsidRPr="00DB3FE7">
              <w:t>CMA</w:t>
            </w:r>
            <w:r w:rsidRPr="00DB3FE7">
              <w:t xml:space="preserve"> presented in the submission which assumed that patient</w:t>
            </w:r>
            <w:r w:rsidR="00046E8E" w:rsidRPr="00DB3FE7">
              <w:t>s</w:t>
            </w:r>
            <w:r w:rsidRPr="00DB3FE7">
              <w:t xml:space="preserve"> would require 12 scripts per year.</w:t>
            </w:r>
            <w:r w:rsidR="00F1749F" w:rsidRPr="00DB3FE7">
              <w:t xml:space="preserve"> </w:t>
            </w:r>
            <w:r w:rsidR="005645AF" w:rsidRPr="00DB3FE7">
              <w:t xml:space="preserve">The PSCR acknowledged that the 420 mg dose </w:t>
            </w:r>
            <w:r w:rsidR="0064154E" w:rsidRPr="00DB3FE7">
              <w:t xml:space="preserve">was inconsistently estimated between the cost effectiveness analysis and the </w:t>
            </w:r>
            <w:r w:rsidR="002E0590" w:rsidRPr="00DB3FE7">
              <w:t>CMA</w:t>
            </w:r>
            <w:r w:rsidR="0064154E" w:rsidRPr="00DB3FE7">
              <w:t>.</w:t>
            </w:r>
          </w:p>
        </w:tc>
        <w:tc>
          <w:tcPr>
            <w:tcW w:w="811" w:type="pct"/>
            <w:shd w:val="clear" w:color="auto" w:fill="auto"/>
            <w:vAlign w:val="center"/>
          </w:tcPr>
          <w:p w14:paraId="5339D3E6" w14:textId="77777777" w:rsidR="00B4179B" w:rsidRPr="00DB3FE7" w:rsidRDefault="00B4179B" w:rsidP="00B4179B">
            <w:pPr>
              <w:pStyle w:val="COMTabletext"/>
              <w:keepNext w:val="0"/>
              <w:jc w:val="center"/>
            </w:pPr>
            <w:r w:rsidRPr="00DB3FE7">
              <w:t xml:space="preserve">High, </w:t>
            </w:r>
          </w:p>
          <w:p w14:paraId="4B19C384" w14:textId="6C830EDF" w:rsidR="00B4179B" w:rsidRPr="00DB3FE7" w:rsidRDefault="00B4179B" w:rsidP="00B4179B">
            <w:pPr>
              <w:pStyle w:val="COMTabletext"/>
              <w:keepNext w:val="0"/>
              <w:jc w:val="center"/>
            </w:pPr>
            <w:r w:rsidRPr="00DB3FE7">
              <w:t>favours inclisiran</w:t>
            </w:r>
          </w:p>
        </w:tc>
      </w:tr>
      <w:tr w:rsidR="00B4179B" w:rsidRPr="00DB3FE7" w14:paraId="6F6AFCAE" w14:textId="77777777" w:rsidTr="004B73C0">
        <w:tc>
          <w:tcPr>
            <w:tcW w:w="711" w:type="pct"/>
            <w:shd w:val="clear" w:color="auto" w:fill="auto"/>
            <w:vAlign w:val="center"/>
          </w:tcPr>
          <w:p w14:paraId="65CD76B9" w14:textId="5EFDAA6E" w:rsidR="00B4179B" w:rsidRPr="00DB3FE7" w:rsidRDefault="00B4179B" w:rsidP="00B4179B">
            <w:pPr>
              <w:pStyle w:val="COMTabletext"/>
              <w:keepNext w:val="0"/>
            </w:pPr>
            <w:r w:rsidRPr="00DB3FE7">
              <w:t>Evolocumab administration costs</w:t>
            </w:r>
          </w:p>
        </w:tc>
        <w:tc>
          <w:tcPr>
            <w:tcW w:w="3478" w:type="pct"/>
            <w:shd w:val="clear" w:color="auto" w:fill="auto"/>
            <w:vAlign w:val="center"/>
          </w:tcPr>
          <w:p w14:paraId="16508607" w14:textId="2BC5E869" w:rsidR="00B4179B" w:rsidRPr="00DB3FE7" w:rsidRDefault="00B4179B" w:rsidP="00B4179B">
            <w:pPr>
              <w:pStyle w:val="COMTabletext"/>
              <w:keepNext w:val="0"/>
            </w:pPr>
            <w:r w:rsidRPr="00DB3FE7">
              <w:t xml:space="preserve">The submission assumed that a medical professional would be required to administer each evolocumab injection. The assumption that evolocumab requires administration by a medical professional was also inconsistent with the </w:t>
            </w:r>
            <w:r w:rsidR="0086244E" w:rsidRPr="00DB3FE7">
              <w:t>CMA</w:t>
            </w:r>
            <w:r w:rsidRPr="00DB3FE7">
              <w:t xml:space="preserve"> presented in the submission which assumed that all patients would self-administer </w:t>
            </w:r>
            <w:r w:rsidR="008F392E" w:rsidRPr="00DB3FE7">
              <w:t>PCSK9 inhibitor therapies</w:t>
            </w:r>
            <w:r w:rsidRPr="00DB3FE7">
              <w:t>.</w:t>
            </w:r>
            <w:r w:rsidR="00765345" w:rsidRPr="00DB3FE7">
              <w:t xml:space="preserve"> The PSCR acknowledged that the administration costs for the PCSK9 inhibitor therapies was inappropriate and should be excluded.</w:t>
            </w:r>
            <w:r w:rsidR="00B35F2C" w:rsidRPr="00DB3FE7">
              <w:t xml:space="preserve"> Analyses presented in the commentary indicate that exclusion of administration costs increases the ICER from $</w:t>
            </w:r>
            <w:r w:rsidR="00544295" w:rsidRPr="00C91ADA">
              <w:rPr>
                <w:color w:val="000000"/>
                <w:spacing w:val="29"/>
                <w:shd w:val="solid" w:color="000000" w:fill="000000"/>
                <w:fitText w:val="547" w:id="-1233410814"/>
                <w14:textFill>
                  <w14:solidFill>
                    <w14:srgbClr w14:val="000000">
                      <w14:alpha w14:val="100000"/>
                    </w14:srgbClr>
                  </w14:solidFill>
                </w14:textFill>
              </w:rPr>
              <w:t>|||||||</w:t>
            </w:r>
            <w:r w:rsidR="00544295" w:rsidRPr="00C91ADA">
              <w:rPr>
                <w:color w:val="000000"/>
                <w:spacing w:val="4"/>
                <w:shd w:val="solid" w:color="000000" w:fill="000000"/>
                <w:fitText w:val="547" w:id="-1233410814"/>
                <w14:textFill>
                  <w14:solidFill>
                    <w14:srgbClr w14:val="000000">
                      <w14:alpha w14:val="100000"/>
                    </w14:srgbClr>
                  </w14:solidFill>
                </w14:textFill>
              </w:rPr>
              <w:t>|</w:t>
            </w:r>
            <w:r w:rsidR="00356480" w:rsidRPr="00DB3FE7">
              <w:rPr>
                <w:vertAlign w:val="superscript"/>
              </w:rPr>
              <w:t>1</w:t>
            </w:r>
            <w:r w:rsidR="00C420B6" w:rsidRPr="00DB3FE7">
              <w:rPr>
                <w:vertAlign w:val="superscript"/>
              </w:rPr>
              <w:t xml:space="preserve"> </w:t>
            </w:r>
            <w:r w:rsidR="00B35F2C" w:rsidRPr="00DB3FE7">
              <w:t>per QALY gained in the base case to $</w:t>
            </w:r>
            <w:r w:rsidR="00544295" w:rsidRPr="00C91ADA">
              <w:rPr>
                <w:color w:val="000000"/>
                <w:spacing w:val="29"/>
                <w:shd w:val="solid" w:color="000000" w:fill="000000"/>
                <w:fitText w:val="547" w:id="-1233410813"/>
                <w14:textFill>
                  <w14:solidFill>
                    <w14:srgbClr w14:val="000000">
                      <w14:alpha w14:val="100000"/>
                    </w14:srgbClr>
                  </w14:solidFill>
                </w14:textFill>
              </w:rPr>
              <w:t>|||||||</w:t>
            </w:r>
            <w:r w:rsidR="00544295" w:rsidRPr="00C91ADA">
              <w:rPr>
                <w:color w:val="000000"/>
                <w:spacing w:val="4"/>
                <w:shd w:val="solid" w:color="000000" w:fill="000000"/>
                <w:fitText w:val="547" w:id="-1233410813"/>
                <w14:textFill>
                  <w14:solidFill>
                    <w14:srgbClr w14:val="000000">
                      <w14:alpha w14:val="100000"/>
                    </w14:srgbClr>
                  </w14:solidFill>
                </w14:textFill>
              </w:rPr>
              <w:t>|</w:t>
            </w:r>
            <w:r w:rsidR="00356480" w:rsidRPr="00DB3FE7">
              <w:rPr>
                <w:vertAlign w:val="superscript"/>
              </w:rPr>
              <w:t>2</w:t>
            </w:r>
            <w:r w:rsidR="00B35F2C" w:rsidRPr="00DB3FE7">
              <w:t xml:space="preserve"> per QALY gained.</w:t>
            </w:r>
          </w:p>
        </w:tc>
        <w:tc>
          <w:tcPr>
            <w:tcW w:w="811" w:type="pct"/>
            <w:shd w:val="clear" w:color="auto" w:fill="auto"/>
            <w:vAlign w:val="center"/>
          </w:tcPr>
          <w:p w14:paraId="5DD9F27D" w14:textId="77777777" w:rsidR="00B4179B" w:rsidRPr="00DB3FE7" w:rsidRDefault="00B4179B" w:rsidP="00B4179B">
            <w:pPr>
              <w:pStyle w:val="COMTabletext"/>
              <w:keepNext w:val="0"/>
              <w:jc w:val="center"/>
            </w:pPr>
            <w:r w:rsidRPr="00DB3FE7">
              <w:t xml:space="preserve">High, </w:t>
            </w:r>
          </w:p>
          <w:p w14:paraId="2A3286D2" w14:textId="0D387FDA" w:rsidR="00B4179B" w:rsidRPr="00DB3FE7" w:rsidRDefault="00B4179B" w:rsidP="00B4179B">
            <w:pPr>
              <w:pStyle w:val="COMTabletext"/>
              <w:keepNext w:val="0"/>
              <w:jc w:val="center"/>
            </w:pPr>
            <w:r w:rsidRPr="00DB3FE7">
              <w:t>favours inclisiran</w:t>
            </w:r>
          </w:p>
        </w:tc>
      </w:tr>
    </w:tbl>
    <w:p w14:paraId="29FA0F5E" w14:textId="7CF19732" w:rsidR="00DE28CB" w:rsidRPr="00DB3FE7" w:rsidRDefault="00B4179B" w:rsidP="00282EC9">
      <w:pPr>
        <w:pStyle w:val="COMTablefooter"/>
        <w:spacing w:after="0"/>
      </w:pPr>
      <w:r w:rsidRPr="00DB3FE7">
        <w:t>Source: Constructed during the evaluation</w:t>
      </w:r>
    </w:p>
    <w:p w14:paraId="17E78574" w14:textId="77777777" w:rsidR="00C420B6" w:rsidRPr="00DB3FE7" w:rsidRDefault="00C420B6" w:rsidP="00C420B6">
      <w:pPr>
        <w:rPr>
          <w:rFonts w:ascii="Arial Narrow" w:hAnsi="Arial Narrow"/>
          <w:i/>
          <w:sz w:val="18"/>
          <w:szCs w:val="18"/>
        </w:rPr>
      </w:pPr>
      <w:r w:rsidRPr="00DB3FE7">
        <w:rPr>
          <w:rFonts w:ascii="Arial Narrow" w:hAnsi="Arial Narrow"/>
          <w:i/>
          <w:sz w:val="18"/>
          <w:szCs w:val="18"/>
        </w:rPr>
        <w:t xml:space="preserve">The redacted values correspond to the following ranges: </w:t>
      </w:r>
    </w:p>
    <w:p w14:paraId="50AA99B2" w14:textId="2AF5DB89" w:rsidR="00C420B6" w:rsidRPr="00DB3FE7" w:rsidRDefault="00356480" w:rsidP="00C420B6">
      <w:pPr>
        <w:rPr>
          <w:rFonts w:ascii="Arial Narrow" w:hAnsi="Arial Narrow"/>
          <w:i/>
          <w:sz w:val="18"/>
          <w:szCs w:val="18"/>
        </w:rPr>
      </w:pPr>
      <w:r w:rsidRPr="00DB3FE7">
        <w:rPr>
          <w:rFonts w:ascii="Arial Narrow" w:hAnsi="Arial Narrow"/>
          <w:i/>
          <w:sz w:val="18"/>
          <w:szCs w:val="18"/>
          <w:vertAlign w:val="superscript"/>
        </w:rPr>
        <w:t>1</w:t>
      </w:r>
      <w:r w:rsidR="00C420B6" w:rsidRPr="00DB3FE7">
        <w:rPr>
          <w:rFonts w:ascii="Arial Narrow" w:hAnsi="Arial Narrow"/>
          <w:i/>
          <w:sz w:val="18"/>
          <w:szCs w:val="18"/>
        </w:rPr>
        <w:t xml:space="preserve"> $</w:t>
      </w:r>
      <w:r w:rsidR="0083060E" w:rsidRPr="00DB3FE7">
        <w:rPr>
          <w:rFonts w:ascii="Arial Narrow" w:hAnsi="Arial Narrow"/>
          <w:i/>
          <w:sz w:val="18"/>
          <w:szCs w:val="18"/>
        </w:rPr>
        <w:t>3</w:t>
      </w:r>
      <w:r w:rsidR="00C420B6" w:rsidRPr="00DB3FE7">
        <w:rPr>
          <w:rFonts w:ascii="Arial Narrow" w:hAnsi="Arial Narrow"/>
          <w:i/>
          <w:sz w:val="18"/>
          <w:szCs w:val="18"/>
        </w:rPr>
        <w:t>5,000 to &lt; $</w:t>
      </w:r>
      <w:r w:rsidR="0083060E" w:rsidRPr="00DB3FE7">
        <w:rPr>
          <w:rFonts w:ascii="Arial Narrow" w:hAnsi="Arial Narrow"/>
          <w:i/>
          <w:sz w:val="18"/>
          <w:szCs w:val="18"/>
        </w:rPr>
        <w:t>4</w:t>
      </w:r>
      <w:r w:rsidR="00C420B6" w:rsidRPr="00DB3FE7">
        <w:rPr>
          <w:rFonts w:ascii="Arial Narrow" w:hAnsi="Arial Narrow"/>
          <w:i/>
          <w:sz w:val="18"/>
          <w:szCs w:val="18"/>
        </w:rPr>
        <w:t>5,000</w:t>
      </w:r>
    </w:p>
    <w:p w14:paraId="59032EC0" w14:textId="2B46B659" w:rsidR="00C420B6" w:rsidRPr="00DB3FE7" w:rsidRDefault="00356480" w:rsidP="003A077F">
      <w:pPr>
        <w:spacing w:after="120"/>
        <w:rPr>
          <w:rFonts w:ascii="Arial Narrow" w:hAnsi="Arial Narrow"/>
          <w:i/>
          <w:sz w:val="18"/>
          <w:szCs w:val="18"/>
        </w:rPr>
      </w:pPr>
      <w:r w:rsidRPr="00DB3FE7">
        <w:rPr>
          <w:rFonts w:ascii="Arial Narrow" w:hAnsi="Arial Narrow"/>
          <w:i/>
          <w:sz w:val="18"/>
          <w:szCs w:val="18"/>
          <w:vertAlign w:val="superscript"/>
        </w:rPr>
        <w:t>2</w:t>
      </w:r>
      <w:r w:rsidR="00C420B6" w:rsidRPr="00DB3FE7">
        <w:rPr>
          <w:rFonts w:ascii="Arial Narrow" w:hAnsi="Arial Narrow"/>
          <w:i/>
          <w:sz w:val="18"/>
          <w:szCs w:val="18"/>
        </w:rPr>
        <w:t xml:space="preserve"> $75,000 to &lt; $95,000</w:t>
      </w:r>
    </w:p>
    <w:p w14:paraId="2B5F3719" w14:textId="136A9525" w:rsidR="002524D5" w:rsidRPr="00DB3FE7" w:rsidRDefault="00DE28CB" w:rsidP="00DE28CB">
      <w:pPr>
        <w:pStyle w:val="COMexecsumnumberedpara"/>
      </w:pPr>
      <w:r w:rsidRPr="00DB3FE7">
        <w:t xml:space="preserve">The treatment switching rule included in the economic analysis </w:t>
      </w:r>
      <w:r w:rsidR="00333519" w:rsidRPr="00DB3FE7">
        <w:t xml:space="preserve">for ezetimibe patients </w:t>
      </w:r>
      <w:r w:rsidRPr="00DB3FE7">
        <w:t xml:space="preserve">resulted in two distinct modelled patient populations based on whether patients were eligible or ineligible for PCSK9 therapy. </w:t>
      </w:r>
    </w:p>
    <w:p w14:paraId="628F6537" w14:textId="259D55FB" w:rsidR="0025331D" w:rsidRPr="00DB3FE7" w:rsidRDefault="0025331D" w:rsidP="0025331D">
      <w:pPr>
        <w:pStyle w:val="COMexecsumnumberedpara"/>
      </w:pPr>
      <w:r w:rsidRPr="00DB3FE7">
        <w:t>Treatment with inclisiran was associated with substantial reductions in the risks of myocardial infarction, stroke and cardiovascular death compared to ezetimibe in patients who were ineligible for PCSK9 therapy (as they achieved target LDL</w:t>
      </w:r>
      <w:r w:rsidR="00CD0449" w:rsidRPr="00DB3FE7">
        <w:t>-C</w:t>
      </w:r>
      <w:r w:rsidRPr="00DB3FE7">
        <w:t xml:space="preserve"> levels with ezetimibe and therefore did not qualify for PCSK9 therapy). The improved cardiovascular outcomes were due to patients being able to push their LDL</w:t>
      </w:r>
      <w:r w:rsidR="00CD0449" w:rsidRPr="00DB3FE7">
        <w:t>-C</w:t>
      </w:r>
      <w:r w:rsidRPr="00DB3FE7">
        <w:t xml:space="preserve"> levels further below treatment targets with inclisiran compared to ezetimibe.</w:t>
      </w:r>
    </w:p>
    <w:p w14:paraId="1E9899BB" w14:textId="4D23D5DF" w:rsidR="0025331D" w:rsidRPr="00DB3FE7" w:rsidRDefault="0025331D" w:rsidP="0025331D">
      <w:pPr>
        <w:pStyle w:val="COMexecsumnumberedpara"/>
      </w:pPr>
      <w:r w:rsidRPr="00DB3FE7">
        <w:t>Treatment with inclisiran was associated with a marginally higher incidence of myocardial infarction, stroke and cardiovascular death compared to the comparator arm in patients who were eligible for PCSK9 therapy (patients who failed to achieve target LDL</w:t>
      </w:r>
      <w:r w:rsidR="00CD0449" w:rsidRPr="00DB3FE7">
        <w:t>-C</w:t>
      </w:r>
      <w:r w:rsidRPr="00DB3FE7">
        <w:t xml:space="preserve"> levels after one year of treatment with ezetimibe and switched to evolocumab). The small difference in outcomes was due to a difference in treatment discontinuations. Patients discontinuing ezetimibe in the first year of treatment were allowed to start treatment with evolocumab in the second year while patients in the inclisiran arm were never allowed to restart therapy after treatment discontinuation.</w:t>
      </w:r>
    </w:p>
    <w:p w14:paraId="0C78DEA0" w14:textId="4F3B5CA4" w:rsidR="00DE28CB" w:rsidRPr="00D2286B" w:rsidRDefault="00DE28CB" w:rsidP="003E399E">
      <w:pPr>
        <w:pStyle w:val="COMexecsumnumberedpara"/>
      </w:pPr>
      <w:r w:rsidRPr="00DB3FE7">
        <w:t>The results of the modelled economic evaluation</w:t>
      </w:r>
      <w:r w:rsidR="00110338" w:rsidRPr="00DB3FE7">
        <w:t>,</w:t>
      </w:r>
      <w:r w:rsidRPr="00DB3FE7">
        <w:t xml:space="preserve"> </w:t>
      </w:r>
      <w:r w:rsidR="006D6A6E" w:rsidRPr="00DB3FE7">
        <w:t>based on published prices</w:t>
      </w:r>
      <w:r w:rsidR="00110338" w:rsidRPr="00DB3FE7">
        <w:t>,</w:t>
      </w:r>
      <w:r w:rsidR="006D6A6E" w:rsidRPr="00DB3FE7">
        <w:t xml:space="preserve"> </w:t>
      </w:r>
      <w:r w:rsidRPr="00DB3FE7">
        <w:t xml:space="preserve">are summarised in </w:t>
      </w:r>
      <w:r w:rsidR="002A689B" w:rsidRPr="00D2286B">
        <w:fldChar w:fldCharType="begin" w:fldLock="1"/>
      </w:r>
      <w:r w:rsidR="002A689B" w:rsidRPr="00DB3FE7">
        <w:instrText xml:space="preserve"> REF _Ref124101660 \h </w:instrText>
      </w:r>
      <w:r w:rsidR="003B07E4" w:rsidRPr="00DB3FE7">
        <w:instrText xml:space="preserve"> \* MERGEFORMAT </w:instrText>
      </w:r>
      <w:r w:rsidR="002A689B" w:rsidRPr="00D2286B">
        <w:fldChar w:fldCharType="separate"/>
      </w:r>
      <w:r w:rsidR="00424520" w:rsidRPr="00D2286B">
        <w:t xml:space="preserve">Table </w:t>
      </w:r>
      <w:r w:rsidR="00424520" w:rsidRPr="00D2286B">
        <w:rPr>
          <w:noProof/>
        </w:rPr>
        <w:t>10</w:t>
      </w:r>
      <w:r w:rsidR="002A689B" w:rsidRPr="00D2286B">
        <w:fldChar w:fldCharType="end"/>
      </w:r>
      <w:r w:rsidRPr="0042765C">
        <w:t>.</w:t>
      </w:r>
      <w:r w:rsidR="003E399E" w:rsidRPr="00D2286B">
        <w:t xml:space="preserve"> </w:t>
      </w:r>
    </w:p>
    <w:p w14:paraId="35C21A0A" w14:textId="06101D8F" w:rsidR="00DE28CB" w:rsidRPr="00D2286B" w:rsidRDefault="00773BF1" w:rsidP="00773BF1">
      <w:pPr>
        <w:pStyle w:val="COMtablefigcaption"/>
      </w:pPr>
      <w:bookmarkStart w:id="39" w:name="_Ref124101660"/>
      <w:r w:rsidRPr="00D2286B">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10</w:t>
      </w:r>
      <w:r w:rsidR="00E1209D" w:rsidRPr="00D2286B">
        <w:rPr>
          <w:noProof/>
        </w:rPr>
        <w:fldChar w:fldCharType="end"/>
      </w:r>
      <w:bookmarkEnd w:id="39"/>
      <w:r w:rsidR="00DE28CB" w:rsidRPr="0042765C">
        <w:t>: Results of the modelled economic evaluation</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139"/>
        <w:gridCol w:w="1623"/>
        <w:gridCol w:w="1625"/>
        <w:gridCol w:w="1621"/>
      </w:tblGrid>
      <w:tr w:rsidR="00DE28CB" w:rsidRPr="00DB3FE7" w14:paraId="666EECF7" w14:textId="77777777" w:rsidTr="00035F43">
        <w:trPr>
          <w:trHeight w:val="469"/>
        </w:trPr>
        <w:tc>
          <w:tcPr>
            <w:tcW w:w="2297" w:type="pct"/>
            <w:vAlign w:val="center"/>
          </w:tcPr>
          <w:p w14:paraId="726DCD31" w14:textId="77777777" w:rsidR="00DE28CB" w:rsidRPr="00352E1C" w:rsidRDefault="00DE28CB" w:rsidP="00035F43">
            <w:pPr>
              <w:pStyle w:val="TableText"/>
              <w:widowControl w:val="0"/>
              <w:jc w:val="center"/>
              <w:rPr>
                <w:b/>
              </w:rPr>
            </w:pPr>
            <w:r w:rsidRPr="00352E1C">
              <w:rPr>
                <w:b/>
              </w:rPr>
              <w:t>Type of resource item</w:t>
            </w:r>
          </w:p>
        </w:tc>
        <w:tc>
          <w:tcPr>
            <w:tcW w:w="901" w:type="pct"/>
            <w:vAlign w:val="center"/>
          </w:tcPr>
          <w:p w14:paraId="7965CFA7" w14:textId="77777777" w:rsidR="00DE28CB" w:rsidRPr="00DB3FE7" w:rsidRDefault="00DE28CB" w:rsidP="00035F43">
            <w:pPr>
              <w:pStyle w:val="TableText"/>
              <w:widowControl w:val="0"/>
              <w:jc w:val="center"/>
              <w:rPr>
                <w:b/>
              </w:rPr>
            </w:pPr>
            <w:r w:rsidRPr="00DB3FE7">
              <w:rPr>
                <w:b/>
              </w:rPr>
              <w:t>Inclisiran</w:t>
            </w:r>
          </w:p>
        </w:tc>
        <w:tc>
          <w:tcPr>
            <w:tcW w:w="902" w:type="pct"/>
            <w:vAlign w:val="center"/>
          </w:tcPr>
          <w:p w14:paraId="51DC2770" w14:textId="77777777" w:rsidR="00DE28CB" w:rsidRPr="00DB3FE7" w:rsidRDefault="00DE28CB" w:rsidP="00035F43">
            <w:pPr>
              <w:pStyle w:val="TableText"/>
              <w:widowControl w:val="0"/>
              <w:jc w:val="center"/>
              <w:rPr>
                <w:b/>
              </w:rPr>
            </w:pPr>
            <w:r w:rsidRPr="00DB3FE7">
              <w:rPr>
                <w:b/>
              </w:rPr>
              <w:t>Comparator</w:t>
            </w:r>
          </w:p>
        </w:tc>
        <w:tc>
          <w:tcPr>
            <w:tcW w:w="900" w:type="pct"/>
          </w:tcPr>
          <w:p w14:paraId="05E1D194" w14:textId="77777777" w:rsidR="00DE28CB" w:rsidRPr="00DB3FE7" w:rsidRDefault="00DE28CB" w:rsidP="00035F43">
            <w:pPr>
              <w:pStyle w:val="TableText"/>
              <w:widowControl w:val="0"/>
              <w:jc w:val="center"/>
              <w:rPr>
                <w:b/>
              </w:rPr>
            </w:pPr>
            <w:r w:rsidRPr="00DB3FE7">
              <w:rPr>
                <w:b/>
              </w:rPr>
              <w:t xml:space="preserve">Incremental </w:t>
            </w:r>
          </w:p>
          <w:p w14:paraId="4331BEBB" w14:textId="77777777" w:rsidR="00DE28CB" w:rsidRPr="00DB3FE7" w:rsidRDefault="00DE28CB" w:rsidP="00035F43">
            <w:pPr>
              <w:pStyle w:val="TableText"/>
              <w:widowControl w:val="0"/>
              <w:jc w:val="center"/>
              <w:rPr>
                <w:b/>
              </w:rPr>
            </w:pPr>
            <w:r w:rsidRPr="00DB3FE7">
              <w:rPr>
                <w:b/>
              </w:rPr>
              <w:t>difference</w:t>
            </w:r>
          </w:p>
        </w:tc>
      </w:tr>
      <w:tr w:rsidR="00820BE8" w:rsidRPr="00DB3FE7" w14:paraId="7B94312A" w14:textId="77777777" w:rsidTr="00820BE8">
        <w:tc>
          <w:tcPr>
            <w:tcW w:w="5000" w:type="pct"/>
            <w:gridSpan w:val="4"/>
          </w:tcPr>
          <w:p w14:paraId="5816BE6D" w14:textId="1F4FDF11" w:rsidR="00820BE8" w:rsidRPr="00DB3FE7" w:rsidRDefault="00820BE8" w:rsidP="00820BE8">
            <w:pPr>
              <w:pStyle w:val="TableText"/>
              <w:widowControl w:val="0"/>
              <w:rPr>
                <w:b/>
                <w:bCs w:val="0"/>
              </w:rPr>
            </w:pPr>
            <w:r w:rsidRPr="00DB3FE7">
              <w:rPr>
                <w:b/>
                <w:bCs w:val="0"/>
              </w:rPr>
              <w:t>Overall modelled population</w:t>
            </w:r>
          </w:p>
        </w:tc>
      </w:tr>
      <w:tr w:rsidR="00DE28CB" w:rsidRPr="00DB3FE7" w14:paraId="3BB12C54" w14:textId="77777777" w:rsidTr="00544295">
        <w:tc>
          <w:tcPr>
            <w:tcW w:w="2297" w:type="pct"/>
          </w:tcPr>
          <w:p w14:paraId="4885A230" w14:textId="77777777" w:rsidR="00DE28CB" w:rsidRPr="00DB3FE7" w:rsidRDefault="00DE28CB" w:rsidP="00035F43">
            <w:pPr>
              <w:pStyle w:val="TableText"/>
              <w:widowControl w:val="0"/>
            </w:pPr>
            <w:r w:rsidRPr="00DB3FE7">
              <w:t>Costs</w:t>
            </w:r>
          </w:p>
        </w:tc>
        <w:tc>
          <w:tcPr>
            <w:tcW w:w="901" w:type="pct"/>
            <w:vAlign w:val="bottom"/>
          </w:tcPr>
          <w:p w14:paraId="49ABD8D7" w14:textId="4261C60C" w:rsidR="00DE28CB" w:rsidRPr="00DB3FE7" w:rsidRDefault="00DE28CB" w:rsidP="00035F43">
            <w:pPr>
              <w:pStyle w:val="TableText"/>
              <w:widowControl w:val="0"/>
              <w:jc w:val="center"/>
            </w:pPr>
            <w:r w:rsidRPr="00DB3FE7">
              <w:t>$</w:t>
            </w:r>
            <w:r w:rsidR="00544295" w:rsidRPr="00C91ADA">
              <w:rPr>
                <w:rFonts w:hint="eastAsia"/>
                <w:color w:val="000000"/>
                <w:w w:val="30"/>
                <w:shd w:val="solid" w:color="000000" w:fill="000000"/>
                <w:fitText w:val="137" w:id="-1233410812"/>
                <w14:textFill>
                  <w14:solidFill>
                    <w14:srgbClr w14:val="000000">
                      <w14:alpha w14:val="100000"/>
                    </w14:srgbClr>
                  </w14:solidFill>
                </w14:textFill>
              </w:rPr>
              <w:t xml:space="preserve">　</w:t>
            </w:r>
            <w:r w:rsidR="00544295" w:rsidRPr="00C91ADA">
              <w:rPr>
                <w:color w:val="000000"/>
                <w:w w:val="30"/>
                <w:shd w:val="solid" w:color="000000" w:fill="000000"/>
                <w:fitText w:val="137" w:id="-1233410812"/>
                <w14:textFill>
                  <w14:solidFill>
                    <w14:srgbClr w14:val="000000">
                      <w14:alpha w14:val="100000"/>
                    </w14:srgbClr>
                  </w14:solidFill>
                </w14:textFill>
              </w:rPr>
              <w:t>|</w:t>
            </w:r>
            <w:r w:rsidR="00544295" w:rsidRPr="00C91ADA">
              <w:rPr>
                <w:rFonts w:hint="eastAsia"/>
                <w:color w:val="000000"/>
                <w:w w:val="30"/>
                <w:shd w:val="solid" w:color="000000" w:fill="000000"/>
                <w:fitText w:val="137" w:id="-1233410812"/>
                <w14:textFill>
                  <w14:solidFill>
                    <w14:srgbClr w14:val="000000">
                      <w14:alpha w14:val="100000"/>
                    </w14:srgbClr>
                  </w14:solidFill>
                </w14:textFill>
              </w:rPr>
              <w:t xml:space="preserve">　</w:t>
            </w:r>
          </w:p>
        </w:tc>
        <w:tc>
          <w:tcPr>
            <w:tcW w:w="902" w:type="pct"/>
            <w:vAlign w:val="bottom"/>
          </w:tcPr>
          <w:p w14:paraId="60AA7BEE" w14:textId="77777777" w:rsidR="00DE28CB" w:rsidRPr="00DB3FE7" w:rsidRDefault="00DE28CB" w:rsidP="00035F43">
            <w:pPr>
              <w:pStyle w:val="TableText"/>
              <w:widowControl w:val="0"/>
              <w:jc w:val="center"/>
            </w:pPr>
            <w:r w:rsidRPr="00DB3FE7">
              <w:t>$48,729</w:t>
            </w:r>
          </w:p>
        </w:tc>
        <w:tc>
          <w:tcPr>
            <w:tcW w:w="900" w:type="pct"/>
            <w:shd w:val="solid" w:color="000000" w:fill="000000"/>
            <w:vAlign w:val="center"/>
          </w:tcPr>
          <w:p w14:paraId="076152C6" w14:textId="22659D32" w:rsidR="00DE28CB" w:rsidRPr="00DB3FE7" w:rsidRDefault="00544295" w:rsidP="00035F43">
            <w:pPr>
              <w:pStyle w:val="TableText"/>
              <w:widowControl w:val="0"/>
              <w:jc w:val="center"/>
            </w:pPr>
            <w:r w:rsidRPr="00C91ADA">
              <w:rPr>
                <w:rFonts w:hint="eastAsia"/>
                <w:color w:val="000000"/>
                <w:w w:val="20"/>
                <w:fitText w:val="91" w:id="-1233410811"/>
                <w14:textFill>
                  <w14:solidFill>
                    <w14:srgbClr w14:val="000000">
                      <w14:alpha w14:val="100000"/>
                    </w14:srgbClr>
                  </w14:solidFill>
                </w14:textFill>
              </w:rPr>
              <w:t xml:space="preserve">　</w:t>
            </w:r>
            <w:r w:rsidRPr="00C91ADA">
              <w:rPr>
                <w:color w:val="000000"/>
                <w:w w:val="20"/>
                <w:fitText w:val="91" w:id="-1233410811"/>
                <w14:textFill>
                  <w14:solidFill>
                    <w14:srgbClr w14:val="000000">
                      <w14:alpha w14:val="100000"/>
                    </w14:srgbClr>
                  </w14:solidFill>
                </w14:textFill>
              </w:rPr>
              <w:t>|</w:t>
            </w:r>
            <w:r w:rsidRPr="00C91ADA">
              <w:rPr>
                <w:rFonts w:hint="eastAsia"/>
                <w:color w:val="000000"/>
                <w:w w:val="20"/>
                <w:fitText w:val="91" w:id="-1233410811"/>
                <w14:textFill>
                  <w14:solidFill>
                    <w14:srgbClr w14:val="000000">
                      <w14:alpha w14:val="100000"/>
                    </w14:srgbClr>
                  </w14:solidFill>
                </w14:textFill>
              </w:rPr>
              <w:t xml:space="preserve">　</w:t>
            </w:r>
          </w:p>
        </w:tc>
      </w:tr>
      <w:tr w:rsidR="00DE28CB" w:rsidRPr="00DB3FE7" w14:paraId="09FFFAC8" w14:textId="77777777" w:rsidTr="00035F43">
        <w:tc>
          <w:tcPr>
            <w:tcW w:w="2297" w:type="pct"/>
          </w:tcPr>
          <w:p w14:paraId="13A32AC2" w14:textId="77777777" w:rsidR="00DE28CB" w:rsidRPr="00DB3FE7" w:rsidRDefault="00DE28CB" w:rsidP="00035F43">
            <w:pPr>
              <w:pStyle w:val="TableText"/>
              <w:widowControl w:val="0"/>
            </w:pPr>
            <w:r w:rsidRPr="00DB3FE7">
              <w:t>Quality adjusted life years</w:t>
            </w:r>
          </w:p>
        </w:tc>
        <w:tc>
          <w:tcPr>
            <w:tcW w:w="901" w:type="pct"/>
          </w:tcPr>
          <w:p w14:paraId="75AC168F" w14:textId="77777777" w:rsidR="00DE28CB" w:rsidRPr="00DB3FE7" w:rsidRDefault="00DE28CB" w:rsidP="00035F43">
            <w:pPr>
              <w:pStyle w:val="TableText"/>
              <w:widowControl w:val="0"/>
              <w:jc w:val="center"/>
              <w:rPr>
                <w:bCs w:val="0"/>
              </w:rPr>
            </w:pPr>
            <w:r w:rsidRPr="00DB3FE7">
              <w:rPr>
                <w:bCs w:val="0"/>
                <w:szCs w:val="20"/>
              </w:rPr>
              <w:t>9.4002</w:t>
            </w:r>
          </w:p>
        </w:tc>
        <w:tc>
          <w:tcPr>
            <w:tcW w:w="902" w:type="pct"/>
          </w:tcPr>
          <w:p w14:paraId="65EA7418" w14:textId="77777777" w:rsidR="00DE28CB" w:rsidRPr="00DB3FE7" w:rsidRDefault="00DE28CB" w:rsidP="00035F43">
            <w:pPr>
              <w:pStyle w:val="TableText"/>
              <w:widowControl w:val="0"/>
              <w:jc w:val="center"/>
              <w:rPr>
                <w:bCs w:val="0"/>
              </w:rPr>
            </w:pPr>
            <w:r w:rsidRPr="00DB3FE7">
              <w:rPr>
                <w:bCs w:val="0"/>
                <w:szCs w:val="20"/>
              </w:rPr>
              <w:t>9.3647</w:t>
            </w:r>
          </w:p>
        </w:tc>
        <w:tc>
          <w:tcPr>
            <w:tcW w:w="900" w:type="pct"/>
          </w:tcPr>
          <w:p w14:paraId="6E749834" w14:textId="77777777" w:rsidR="00DE28CB" w:rsidRPr="00DB3FE7" w:rsidRDefault="00DE28CB" w:rsidP="00035F43">
            <w:pPr>
              <w:pStyle w:val="TableText"/>
              <w:widowControl w:val="0"/>
              <w:jc w:val="center"/>
              <w:rPr>
                <w:bCs w:val="0"/>
              </w:rPr>
            </w:pPr>
            <w:r w:rsidRPr="00DB3FE7">
              <w:rPr>
                <w:bCs w:val="0"/>
                <w:szCs w:val="20"/>
              </w:rPr>
              <w:t>0.0355</w:t>
            </w:r>
          </w:p>
        </w:tc>
      </w:tr>
      <w:tr w:rsidR="00DE28CB" w:rsidRPr="00DB3FE7" w14:paraId="2E3D4268" w14:textId="77777777" w:rsidTr="00035F43">
        <w:tc>
          <w:tcPr>
            <w:tcW w:w="4100" w:type="pct"/>
            <w:gridSpan w:val="3"/>
          </w:tcPr>
          <w:p w14:paraId="0518DC10" w14:textId="77777777" w:rsidR="00DE28CB" w:rsidRPr="00DB3FE7" w:rsidRDefault="00DE28CB" w:rsidP="00035F43">
            <w:pPr>
              <w:pStyle w:val="TableText"/>
              <w:widowControl w:val="0"/>
              <w:jc w:val="right"/>
              <w:rPr>
                <w:b/>
              </w:rPr>
            </w:pPr>
            <w:r w:rsidRPr="00DB3FE7">
              <w:rPr>
                <w:b/>
              </w:rPr>
              <w:t>Incremental cost per quality adjusted life year gained</w:t>
            </w:r>
          </w:p>
        </w:tc>
        <w:tc>
          <w:tcPr>
            <w:tcW w:w="900" w:type="pct"/>
            <w:vAlign w:val="center"/>
          </w:tcPr>
          <w:p w14:paraId="25BF12B4" w14:textId="20A2F354" w:rsidR="00DE28CB" w:rsidRPr="00DB3FE7" w:rsidRDefault="00544295" w:rsidP="00035F43">
            <w:pPr>
              <w:pStyle w:val="TableText"/>
              <w:widowControl w:val="0"/>
              <w:jc w:val="center"/>
            </w:pPr>
            <w:r w:rsidRPr="00C91ADA">
              <w:rPr>
                <w:rFonts w:hint="eastAsia"/>
                <w:color w:val="000000"/>
                <w:w w:val="26"/>
                <w:shd w:val="solid" w:color="000000" w:fill="000000"/>
                <w:fitText w:val="118" w:id="-1233410810"/>
                <w14:textFill>
                  <w14:solidFill>
                    <w14:srgbClr w14:val="000000">
                      <w14:alpha w14:val="100000"/>
                    </w14:srgbClr>
                  </w14:solidFill>
                </w14:textFill>
              </w:rPr>
              <w:t xml:space="preserve">　</w:t>
            </w:r>
            <w:r w:rsidRPr="00C91ADA">
              <w:rPr>
                <w:color w:val="000000"/>
                <w:w w:val="26"/>
                <w:shd w:val="solid" w:color="000000" w:fill="000000"/>
                <w:fitText w:val="118" w:id="-1233410810"/>
                <w14:textFill>
                  <w14:solidFill>
                    <w14:srgbClr w14:val="000000">
                      <w14:alpha w14:val="100000"/>
                    </w14:srgbClr>
                  </w14:solidFill>
                </w14:textFill>
              </w:rPr>
              <w:t>|</w:t>
            </w:r>
            <w:r w:rsidRPr="00C91ADA">
              <w:rPr>
                <w:rFonts w:hint="eastAsia"/>
                <w:color w:val="000000"/>
                <w:w w:val="26"/>
                <w:shd w:val="solid" w:color="000000" w:fill="000000"/>
                <w:fitText w:val="118" w:id="-1233410810"/>
                <w14:textFill>
                  <w14:solidFill>
                    <w14:srgbClr w14:val="000000">
                      <w14:alpha w14:val="100000"/>
                    </w14:srgbClr>
                  </w14:solidFill>
                </w14:textFill>
              </w:rPr>
              <w:t xml:space="preserve">　</w:t>
            </w:r>
            <w:r w:rsidR="00175FF1" w:rsidRPr="00DB3FE7">
              <w:rPr>
                <w:vertAlign w:val="superscript"/>
              </w:rPr>
              <w:t>1</w:t>
            </w:r>
          </w:p>
        </w:tc>
      </w:tr>
      <w:tr w:rsidR="00820BE8" w:rsidRPr="00DB3FE7" w14:paraId="172734ED" w14:textId="77777777" w:rsidTr="00035F43">
        <w:tc>
          <w:tcPr>
            <w:tcW w:w="5000" w:type="pct"/>
            <w:gridSpan w:val="4"/>
          </w:tcPr>
          <w:p w14:paraId="45D4FE29" w14:textId="28D4FD87" w:rsidR="00820BE8" w:rsidRPr="00DB3FE7" w:rsidRDefault="00820BE8" w:rsidP="00035F43">
            <w:pPr>
              <w:pStyle w:val="TableText"/>
              <w:widowControl w:val="0"/>
              <w:rPr>
                <w:b/>
                <w:bCs w:val="0"/>
              </w:rPr>
            </w:pPr>
            <w:r w:rsidRPr="00DB3FE7">
              <w:rPr>
                <w:b/>
                <w:bCs w:val="0"/>
              </w:rPr>
              <w:t xml:space="preserve">Patients who are ineligible for PCSK9 </w:t>
            </w:r>
            <w:r w:rsidR="00954110" w:rsidRPr="00DB3FE7">
              <w:rPr>
                <w:b/>
                <w:bCs w:val="0"/>
              </w:rPr>
              <w:t xml:space="preserve">inhibitor </w:t>
            </w:r>
            <w:r w:rsidRPr="00DB3FE7">
              <w:rPr>
                <w:b/>
                <w:bCs w:val="0"/>
              </w:rPr>
              <w:t>therapy</w:t>
            </w:r>
            <w:r w:rsidR="008C254D" w:rsidRPr="00DB3FE7">
              <w:rPr>
                <w:b/>
                <w:bCs w:val="0"/>
              </w:rPr>
              <w:t xml:space="preserve"> (i</w:t>
            </w:r>
            <w:r w:rsidR="00ED611A" w:rsidRPr="00DB3FE7">
              <w:rPr>
                <w:b/>
                <w:bCs w:val="0"/>
              </w:rPr>
              <w:t>.</w:t>
            </w:r>
            <w:r w:rsidR="008C254D" w:rsidRPr="00DB3FE7">
              <w:rPr>
                <w:b/>
                <w:bCs w:val="0"/>
              </w:rPr>
              <w:t>e</w:t>
            </w:r>
            <w:r w:rsidR="00ED611A" w:rsidRPr="00DB3FE7">
              <w:rPr>
                <w:b/>
                <w:bCs w:val="0"/>
              </w:rPr>
              <w:t>.</w:t>
            </w:r>
            <w:r w:rsidR="008C254D" w:rsidRPr="00DB3FE7">
              <w:rPr>
                <w:b/>
                <w:bCs w:val="0"/>
              </w:rPr>
              <w:t xml:space="preserve"> have achieved LDL</w:t>
            </w:r>
            <w:r w:rsidR="00CD0449" w:rsidRPr="00DB3FE7">
              <w:rPr>
                <w:b/>
                <w:bCs w:val="0"/>
              </w:rPr>
              <w:t>-C</w:t>
            </w:r>
            <w:r w:rsidR="008C254D" w:rsidRPr="00DB3FE7">
              <w:rPr>
                <w:b/>
                <w:bCs w:val="0"/>
              </w:rPr>
              <w:t xml:space="preserve"> ≤</w:t>
            </w:r>
            <w:r w:rsidR="008F392E" w:rsidRPr="00DB3FE7">
              <w:rPr>
                <w:b/>
                <w:bCs w:val="0"/>
              </w:rPr>
              <w:t xml:space="preserve"> </w:t>
            </w:r>
            <w:r w:rsidR="008C254D" w:rsidRPr="00DB3FE7">
              <w:rPr>
                <w:b/>
                <w:bCs w:val="0"/>
              </w:rPr>
              <w:t>1.8</w:t>
            </w:r>
            <w:r w:rsidR="008F392E" w:rsidRPr="00DB3FE7">
              <w:rPr>
                <w:b/>
                <w:bCs w:val="0"/>
              </w:rPr>
              <w:t xml:space="preserve"> </w:t>
            </w:r>
            <w:r w:rsidR="008C254D" w:rsidRPr="00DB3FE7">
              <w:rPr>
                <w:b/>
                <w:bCs w:val="0"/>
              </w:rPr>
              <w:t>mmol/L and remain on ezetimibe without a PCSK9</w:t>
            </w:r>
            <w:r w:rsidR="00954110" w:rsidRPr="00DB3FE7">
              <w:rPr>
                <w:b/>
                <w:bCs w:val="0"/>
              </w:rPr>
              <w:t xml:space="preserve"> </w:t>
            </w:r>
            <w:r w:rsidR="008C254D" w:rsidRPr="00DB3FE7">
              <w:rPr>
                <w:b/>
                <w:bCs w:val="0"/>
              </w:rPr>
              <w:t>i</w:t>
            </w:r>
            <w:r w:rsidR="00954110" w:rsidRPr="00DB3FE7">
              <w:rPr>
                <w:b/>
                <w:bCs w:val="0"/>
              </w:rPr>
              <w:t>nhibitor</w:t>
            </w:r>
            <w:r w:rsidR="008C254D" w:rsidRPr="00DB3FE7">
              <w:rPr>
                <w:b/>
                <w:bCs w:val="0"/>
              </w:rPr>
              <w:t>)</w:t>
            </w:r>
            <w:r w:rsidRPr="00DB3FE7">
              <w:rPr>
                <w:b/>
                <w:bCs w:val="0"/>
              </w:rPr>
              <w:t xml:space="preserve"> (441 of the 1,051 modelled cohorts)</w:t>
            </w:r>
          </w:p>
        </w:tc>
      </w:tr>
      <w:tr w:rsidR="00820BE8" w:rsidRPr="00DB3FE7" w14:paraId="6AAF81CA" w14:textId="77777777" w:rsidTr="00544295">
        <w:tc>
          <w:tcPr>
            <w:tcW w:w="2297" w:type="pct"/>
          </w:tcPr>
          <w:p w14:paraId="56262D41" w14:textId="77777777" w:rsidR="00820BE8" w:rsidRPr="00DB3FE7" w:rsidRDefault="00820BE8" w:rsidP="00035F43">
            <w:pPr>
              <w:pStyle w:val="TableText"/>
              <w:widowControl w:val="0"/>
            </w:pPr>
            <w:r w:rsidRPr="00DB3FE7">
              <w:t>Costs</w:t>
            </w:r>
          </w:p>
        </w:tc>
        <w:tc>
          <w:tcPr>
            <w:tcW w:w="901" w:type="pct"/>
            <w:vAlign w:val="bottom"/>
          </w:tcPr>
          <w:p w14:paraId="11A3098E" w14:textId="17FE49CB" w:rsidR="00820BE8" w:rsidRPr="00DB3FE7" w:rsidRDefault="00820BE8" w:rsidP="00035F43">
            <w:pPr>
              <w:pStyle w:val="TableText"/>
              <w:widowControl w:val="0"/>
              <w:jc w:val="center"/>
            </w:pPr>
            <w:r w:rsidRPr="00DB3FE7">
              <w:t>$</w:t>
            </w:r>
            <w:r w:rsidR="00544295" w:rsidRPr="00C91ADA">
              <w:rPr>
                <w:rFonts w:hint="eastAsia"/>
                <w:color w:val="000000"/>
                <w:w w:val="30"/>
                <w:shd w:val="solid" w:color="000000" w:fill="000000"/>
                <w:fitText w:val="137" w:id="-1233410809"/>
                <w14:textFill>
                  <w14:solidFill>
                    <w14:srgbClr w14:val="000000">
                      <w14:alpha w14:val="100000"/>
                    </w14:srgbClr>
                  </w14:solidFill>
                </w14:textFill>
              </w:rPr>
              <w:t xml:space="preserve">　</w:t>
            </w:r>
            <w:r w:rsidR="00544295" w:rsidRPr="00C91ADA">
              <w:rPr>
                <w:color w:val="000000"/>
                <w:w w:val="30"/>
                <w:shd w:val="solid" w:color="000000" w:fill="000000"/>
                <w:fitText w:val="137" w:id="-1233410809"/>
                <w14:textFill>
                  <w14:solidFill>
                    <w14:srgbClr w14:val="000000">
                      <w14:alpha w14:val="100000"/>
                    </w14:srgbClr>
                  </w14:solidFill>
                </w14:textFill>
              </w:rPr>
              <w:t>|</w:t>
            </w:r>
            <w:r w:rsidR="00544295" w:rsidRPr="00C91ADA">
              <w:rPr>
                <w:rFonts w:hint="eastAsia"/>
                <w:color w:val="000000"/>
                <w:w w:val="30"/>
                <w:shd w:val="solid" w:color="000000" w:fill="000000"/>
                <w:fitText w:val="137" w:id="-1233410809"/>
                <w14:textFill>
                  <w14:solidFill>
                    <w14:srgbClr w14:val="000000">
                      <w14:alpha w14:val="100000"/>
                    </w14:srgbClr>
                  </w14:solidFill>
                </w14:textFill>
              </w:rPr>
              <w:t xml:space="preserve">　</w:t>
            </w:r>
          </w:p>
        </w:tc>
        <w:tc>
          <w:tcPr>
            <w:tcW w:w="902" w:type="pct"/>
            <w:vAlign w:val="bottom"/>
          </w:tcPr>
          <w:p w14:paraId="36B2587D" w14:textId="77777777" w:rsidR="00820BE8" w:rsidRPr="00DB3FE7" w:rsidRDefault="00820BE8" w:rsidP="00035F43">
            <w:pPr>
              <w:pStyle w:val="TableText"/>
              <w:widowControl w:val="0"/>
              <w:jc w:val="center"/>
            </w:pPr>
            <w:r w:rsidRPr="00DB3FE7">
              <w:t>$18,293</w:t>
            </w:r>
          </w:p>
        </w:tc>
        <w:tc>
          <w:tcPr>
            <w:tcW w:w="900" w:type="pct"/>
            <w:shd w:val="solid" w:color="000000" w:fill="000000"/>
            <w:vAlign w:val="center"/>
          </w:tcPr>
          <w:p w14:paraId="72F98D52" w14:textId="40EC752E" w:rsidR="00820BE8" w:rsidRPr="00DB3FE7" w:rsidRDefault="00544295" w:rsidP="00035F43">
            <w:pPr>
              <w:pStyle w:val="TableText"/>
              <w:widowControl w:val="0"/>
              <w:jc w:val="center"/>
            </w:pPr>
            <w:r w:rsidRPr="00C91ADA">
              <w:rPr>
                <w:rFonts w:hint="eastAsia"/>
                <w:color w:val="000000"/>
                <w:w w:val="20"/>
                <w:fitText w:val="91" w:id="-1233410808"/>
                <w14:textFill>
                  <w14:solidFill>
                    <w14:srgbClr w14:val="000000">
                      <w14:alpha w14:val="100000"/>
                    </w14:srgbClr>
                  </w14:solidFill>
                </w14:textFill>
              </w:rPr>
              <w:t xml:space="preserve">　</w:t>
            </w:r>
            <w:r w:rsidRPr="00C91ADA">
              <w:rPr>
                <w:color w:val="000000"/>
                <w:w w:val="20"/>
                <w:fitText w:val="91" w:id="-1233410808"/>
                <w14:textFill>
                  <w14:solidFill>
                    <w14:srgbClr w14:val="000000">
                      <w14:alpha w14:val="100000"/>
                    </w14:srgbClr>
                  </w14:solidFill>
                </w14:textFill>
              </w:rPr>
              <w:t>|</w:t>
            </w:r>
            <w:r w:rsidRPr="00C91ADA">
              <w:rPr>
                <w:rFonts w:hint="eastAsia"/>
                <w:color w:val="000000"/>
                <w:w w:val="20"/>
                <w:fitText w:val="91" w:id="-1233410808"/>
                <w14:textFill>
                  <w14:solidFill>
                    <w14:srgbClr w14:val="000000">
                      <w14:alpha w14:val="100000"/>
                    </w14:srgbClr>
                  </w14:solidFill>
                </w14:textFill>
              </w:rPr>
              <w:t xml:space="preserve">　</w:t>
            </w:r>
          </w:p>
        </w:tc>
      </w:tr>
      <w:tr w:rsidR="00820BE8" w:rsidRPr="00DB3FE7" w14:paraId="0CEE4AE5" w14:textId="77777777" w:rsidTr="00035F43">
        <w:tc>
          <w:tcPr>
            <w:tcW w:w="2297" w:type="pct"/>
          </w:tcPr>
          <w:p w14:paraId="6A131E16" w14:textId="77777777" w:rsidR="00820BE8" w:rsidRPr="00DB3FE7" w:rsidRDefault="00820BE8" w:rsidP="00035F43">
            <w:pPr>
              <w:pStyle w:val="TableText"/>
              <w:widowControl w:val="0"/>
            </w:pPr>
            <w:r w:rsidRPr="00DB3FE7">
              <w:t>Quality adjusted life years</w:t>
            </w:r>
          </w:p>
        </w:tc>
        <w:tc>
          <w:tcPr>
            <w:tcW w:w="901" w:type="pct"/>
          </w:tcPr>
          <w:p w14:paraId="7A762DEC" w14:textId="77777777" w:rsidR="00820BE8" w:rsidRPr="00DB3FE7" w:rsidRDefault="00820BE8" w:rsidP="00035F43">
            <w:pPr>
              <w:pStyle w:val="TableText"/>
              <w:widowControl w:val="0"/>
              <w:jc w:val="center"/>
              <w:rPr>
                <w:bCs w:val="0"/>
              </w:rPr>
            </w:pPr>
            <w:r w:rsidRPr="00DB3FE7">
              <w:rPr>
                <w:bCs w:val="0"/>
              </w:rPr>
              <w:t>9.2887</w:t>
            </w:r>
          </w:p>
        </w:tc>
        <w:tc>
          <w:tcPr>
            <w:tcW w:w="902" w:type="pct"/>
          </w:tcPr>
          <w:p w14:paraId="22CCA136" w14:textId="77777777" w:rsidR="00820BE8" w:rsidRPr="00DB3FE7" w:rsidRDefault="00820BE8" w:rsidP="00035F43">
            <w:pPr>
              <w:pStyle w:val="TableText"/>
              <w:widowControl w:val="0"/>
              <w:jc w:val="center"/>
              <w:rPr>
                <w:bCs w:val="0"/>
              </w:rPr>
            </w:pPr>
            <w:r w:rsidRPr="00DB3FE7">
              <w:rPr>
                <w:bCs w:val="0"/>
              </w:rPr>
              <w:t>9.1977</w:t>
            </w:r>
          </w:p>
        </w:tc>
        <w:tc>
          <w:tcPr>
            <w:tcW w:w="900" w:type="pct"/>
          </w:tcPr>
          <w:p w14:paraId="1F514C71" w14:textId="77777777" w:rsidR="00820BE8" w:rsidRPr="00DB3FE7" w:rsidRDefault="00820BE8" w:rsidP="00035F43">
            <w:pPr>
              <w:pStyle w:val="TableText"/>
              <w:widowControl w:val="0"/>
              <w:jc w:val="center"/>
              <w:rPr>
                <w:bCs w:val="0"/>
              </w:rPr>
            </w:pPr>
            <w:r w:rsidRPr="00DB3FE7">
              <w:rPr>
                <w:bCs w:val="0"/>
              </w:rPr>
              <w:t>0.0911</w:t>
            </w:r>
          </w:p>
        </w:tc>
      </w:tr>
      <w:tr w:rsidR="00820BE8" w:rsidRPr="00DB3FE7" w14:paraId="35229DB2" w14:textId="77777777" w:rsidTr="00035F43">
        <w:tc>
          <w:tcPr>
            <w:tcW w:w="4100" w:type="pct"/>
            <w:gridSpan w:val="3"/>
          </w:tcPr>
          <w:p w14:paraId="2CBBDD61" w14:textId="77777777" w:rsidR="00820BE8" w:rsidRPr="00DB3FE7" w:rsidRDefault="00820BE8" w:rsidP="00035F43">
            <w:pPr>
              <w:pStyle w:val="TableText"/>
              <w:widowControl w:val="0"/>
              <w:jc w:val="right"/>
              <w:rPr>
                <w:b/>
              </w:rPr>
            </w:pPr>
            <w:r w:rsidRPr="00DB3FE7">
              <w:rPr>
                <w:b/>
              </w:rPr>
              <w:t>Incremental cost per quality adjusted life year gained</w:t>
            </w:r>
          </w:p>
        </w:tc>
        <w:tc>
          <w:tcPr>
            <w:tcW w:w="900" w:type="pct"/>
            <w:vAlign w:val="center"/>
          </w:tcPr>
          <w:p w14:paraId="3E288FD4" w14:textId="5A15AEF9" w:rsidR="00820BE8" w:rsidRPr="00DB3FE7" w:rsidRDefault="00544295" w:rsidP="00035F43">
            <w:pPr>
              <w:pStyle w:val="TableText"/>
              <w:widowControl w:val="0"/>
              <w:jc w:val="center"/>
            </w:pPr>
            <w:r w:rsidRPr="00C91ADA">
              <w:rPr>
                <w:rFonts w:hint="eastAsia"/>
                <w:color w:val="000000"/>
                <w:w w:val="26"/>
                <w:shd w:val="solid" w:color="000000" w:fill="000000"/>
                <w:fitText w:val="118" w:id="-1233410807"/>
                <w14:textFill>
                  <w14:solidFill>
                    <w14:srgbClr w14:val="000000">
                      <w14:alpha w14:val="100000"/>
                    </w14:srgbClr>
                  </w14:solidFill>
                </w14:textFill>
              </w:rPr>
              <w:t xml:space="preserve">　</w:t>
            </w:r>
            <w:r w:rsidRPr="00C91ADA">
              <w:rPr>
                <w:color w:val="000000"/>
                <w:w w:val="26"/>
                <w:shd w:val="solid" w:color="000000" w:fill="000000"/>
                <w:fitText w:val="118" w:id="-1233410807"/>
                <w14:textFill>
                  <w14:solidFill>
                    <w14:srgbClr w14:val="000000">
                      <w14:alpha w14:val="100000"/>
                    </w14:srgbClr>
                  </w14:solidFill>
                </w14:textFill>
              </w:rPr>
              <w:t>|</w:t>
            </w:r>
            <w:r w:rsidRPr="00C91ADA">
              <w:rPr>
                <w:rFonts w:hint="eastAsia"/>
                <w:color w:val="000000"/>
                <w:w w:val="26"/>
                <w:shd w:val="solid" w:color="000000" w:fill="000000"/>
                <w:fitText w:val="118" w:id="-1233410807"/>
                <w14:textFill>
                  <w14:solidFill>
                    <w14:srgbClr w14:val="000000">
                      <w14:alpha w14:val="100000"/>
                    </w14:srgbClr>
                  </w14:solidFill>
                </w14:textFill>
              </w:rPr>
              <w:t xml:space="preserve">　</w:t>
            </w:r>
            <w:r w:rsidR="00175FF1" w:rsidRPr="00DB3FE7">
              <w:rPr>
                <w:vertAlign w:val="superscript"/>
              </w:rPr>
              <w:t>2</w:t>
            </w:r>
          </w:p>
        </w:tc>
      </w:tr>
      <w:tr w:rsidR="00820BE8" w:rsidRPr="00DB3FE7" w14:paraId="3C821B8C" w14:textId="77777777" w:rsidTr="00035F43">
        <w:tc>
          <w:tcPr>
            <w:tcW w:w="5000" w:type="pct"/>
            <w:gridSpan w:val="4"/>
          </w:tcPr>
          <w:p w14:paraId="0C087BCD" w14:textId="15B469F3" w:rsidR="00820BE8" w:rsidRPr="00DB3FE7" w:rsidRDefault="00820BE8" w:rsidP="00035F43">
            <w:pPr>
              <w:pStyle w:val="TableText"/>
              <w:widowControl w:val="0"/>
              <w:rPr>
                <w:b/>
                <w:bCs w:val="0"/>
              </w:rPr>
            </w:pPr>
            <w:r w:rsidRPr="00DB3FE7">
              <w:rPr>
                <w:b/>
                <w:bCs w:val="0"/>
              </w:rPr>
              <w:t xml:space="preserve">Patients who are eligible for PCSK9 </w:t>
            </w:r>
            <w:r w:rsidR="00954110" w:rsidRPr="00DB3FE7">
              <w:rPr>
                <w:b/>
                <w:bCs w:val="0"/>
              </w:rPr>
              <w:t xml:space="preserve">inhibitor </w:t>
            </w:r>
            <w:r w:rsidRPr="00DB3FE7">
              <w:rPr>
                <w:b/>
                <w:bCs w:val="0"/>
              </w:rPr>
              <w:t>therapy</w:t>
            </w:r>
            <w:r w:rsidR="008C254D" w:rsidRPr="00DB3FE7">
              <w:rPr>
                <w:b/>
                <w:bCs w:val="0"/>
              </w:rPr>
              <w:t xml:space="preserve"> (i</w:t>
            </w:r>
            <w:r w:rsidR="00ED611A" w:rsidRPr="00DB3FE7">
              <w:rPr>
                <w:b/>
                <w:bCs w:val="0"/>
              </w:rPr>
              <w:t>.</w:t>
            </w:r>
            <w:r w:rsidR="008C254D" w:rsidRPr="00DB3FE7">
              <w:rPr>
                <w:b/>
                <w:bCs w:val="0"/>
              </w:rPr>
              <w:t>e</w:t>
            </w:r>
            <w:r w:rsidR="00ED611A" w:rsidRPr="00DB3FE7">
              <w:rPr>
                <w:b/>
                <w:bCs w:val="0"/>
              </w:rPr>
              <w:t>.</w:t>
            </w:r>
            <w:r w:rsidR="008C254D" w:rsidRPr="00DB3FE7">
              <w:rPr>
                <w:b/>
                <w:bCs w:val="0"/>
              </w:rPr>
              <w:t xml:space="preserve"> LDL</w:t>
            </w:r>
            <w:r w:rsidR="00CD0449" w:rsidRPr="00DB3FE7">
              <w:rPr>
                <w:b/>
                <w:bCs w:val="0"/>
              </w:rPr>
              <w:t>-C</w:t>
            </w:r>
            <w:r w:rsidR="008C254D" w:rsidRPr="00DB3FE7">
              <w:rPr>
                <w:b/>
                <w:bCs w:val="0"/>
              </w:rPr>
              <w:t xml:space="preserve"> remains &gt; 1.8 mmol/L with 12 months ezetimibe treatment and 100% switch to PCSK9 inhibitor) </w:t>
            </w:r>
            <w:r w:rsidRPr="00DB3FE7">
              <w:rPr>
                <w:b/>
                <w:bCs w:val="0"/>
              </w:rPr>
              <w:t>(610 of the 1,051 modelled cohorts)</w:t>
            </w:r>
          </w:p>
        </w:tc>
      </w:tr>
      <w:tr w:rsidR="00820BE8" w:rsidRPr="00DB3FE7" w14:paraId="34F57339" w14:textId="77777777" w:rsidTr="00035F43">
        <w:tc>
          <w:tcPr>
            <w:tcW w:w="2297" w:type="pct"/>
          </w:tcPr>
          <w:p w14:paraId="6667ACEA" w14:textId="77777777" w:rsidR="00820BE8" w:rsidRPr="00DB3FE7" w:rsidRDefault="00820BE8" w:rsidP="00035F43">
            <w:pPr>
              <w:pStyle w:val="TableText"/>
              <w:widowControl w:val="0"/>
            </w:pPr>
            <w:r w:rsidRPr="00DB3FE7">
              <w:t>Costs</w:t>
            </w:r>
          </w:p>
        </w:tc>
        <w:tc>
          <w:tcPr>
            <w:tcW w:w="901" w:type="pct"/>
            <w:vAlign w:val="bottom"/>
          </w:tcPr>
          <w:p w14:paraId="32616BCB" w14:textId="2622C83A" w:rsidR="00820BE8" w:rsidRPr="00DB3FE7" w:rsidRDefault="00820BE8" w:rsidP="00035F43">
            <w:pPr>
              <w:pStyle w:val="TableText"/>
              <w:widowControl w:val="0"/>
              <w:jc w:val="center"/>
            </w:pPr>
            <w:r w:rsidRPr="00DB3FE7">
              <w:t>$</w:t>
            </w:r>
            <w:r w:rsidR="00544295" w:rsidRPr="00C91ADA">
              <w:rPr>
                <w:rFonts w:hint="eastAsia"/>
                <w:color w:val="000000"/>
                <w:w w:val="30"/>
                <w:shd w:val="solid" w:color="000000" w:fill="000000"/>
                <w:fitText w:val="137" w:id="-1233410806"/>
                <w14:textFill>
                  <w14:solidFill>
                    <w14:srgbClr w14:val="000000">
                      <w14:alpha w14:val="100000"/>
                    </w14:srgbClr>
                  </w14:solidFill>
                </w14:textFill>
              </w:rPr>
              <w:t xml:space="preserve">　</w:t>
            </w:r>
            <w:r w:rsidR="00544295" w:rsidRPr="00C91ADA">
              <w:rPr>
                <w:color w:val="000000"/>
                <w:w w:val="30"/>
                <w:shd w:val="solid" w:color="000000" w:fill="000000"/>
                <w:fitText w:val="137" w:id="-1233410806"/>
                <w14:textFill>
                  <w14:solidFill>
                    <w14:srgbClr w14:val="000000">
                      <w14:alpha w14:val="100000"/>
                    </w14:srgbClr>
                  </w14:solidFill>
                </w14:textFill>
              </w:rPr>
              <w:t>|</w:t>
            </w:r>
            <w:r w:rsidR="00544295" w:rsidRPr="00C91ADA">
              <w:rPr>
                <w:rFonts w:hint="eastAsia"/>
                <w:color w:val="000000"/>
                <w:w w:val="30"/>
                <w:shd w:val="solid" w:color="000000" w:fill="000000"/>
                <w:fitText w:val="137" w:id="-1233410806"/>
                <w14:textFill>
                  <w14:solidFill>
                    <w14:srgbClr w14:val="000000">
                      <w14:alpha w14:val="100000"/>
                    </w14:srgbClr>
                  </w14:solidFill>
                </w14:textFill>
              </w:rPr>
              <w:t xml:space="preserve">　</w:t>
            </w:r>
          </w:p>
        </w:tc>
        <w:tc>
          <w:tcPr>
            <w:tcW w:w="902" w:type="pct"/>
            <w:vAlign w:val="bottom"/>
          </w:tcPr>
          <w:p w14:paraId="5E711BF8" w14:textId="77777777" w:rsidR="00820BE8" w:rsidRPr="00DB3FE7" w:rsidRDefault="00820BE8" w:rsidP="00035F43">
            <w:pPr>
              <w:pStyle w:val="TableText"/>
              <w:widowControl w:val="0"/>
              <w:jc w:val="center"/>
            </w:pPr>
            <w:r w:rsidRPr="00DB3FE7">
              <w:t>$70,732</w:t>
            </w:r>
          </w:p>
        </w:tc>
        <w:tc>
          <w:tcPr>
            <w:tcW w:w="900" w:type="pct"/>
            <w:vAlign w:val="center"/>
          </w:tcPr>
          <w:p w14:paraId="344ACF0A" w14:textId="64D4E34A" w:rsidR="00820BE8" w:rsidRPr="00DB3FE7" w:rsidRDefault="00820BE8" w:rsidP="00035F43">
            <w:pPr>
              <w:pStyle w:val="TableText"/>
              <w:widowControl w:val="0"/>
              <w:jc w:val="center"/>
            </w:pPr>
            <w:r w:rsidRPr="00DB3FE7">
              <w:t>-$</w:t>
            </w:r>
            <w:r w:rsidR="00544295" w:rsidRPr="00C91ADA">
              <w:rPr>
                <w:color w:val="000000"/>
                <w:spacing w:val="78"/>
                <w:shd w:val="solid" w:color="000000" w:fill="000000"/>
                <w:fitText w:val="164" w:id="-1233410805"/>
                <w14:textFill>
                  <w14:solidFill>
                    <w14:srgbClr w14:val="000000">
                      <w14:alpha w14:val="100000"/>
                    </w14:srgbClr>
                  </w14:solidFill>
                </w14:textFill>
              </w:rPr>
              <w:t>|</w:t>
            </w:r>
            <w:r w:rsidR="00544295" w:rsidRPr="00C91ADA">
              <w:rPr>
                <w:color w:val="000000"/>
                <w:shd w:val="solid" w:color="000000" w:fill="000000"/>
                <w:fitText w:val="164" w:id="-1233410805"/>
                <w14:textFill>
                  <w14:solidFill>
                    <w14:srgbClr w14:val="000000">
                      <w14:alpha w14:val="100000"/>
                    </w14:srgbClr>
                  </w14:solidFill>
                </w14:textFill>
              </w:rPr>
              <w:t>|</w:t>
            </w:r>
          </w:p>
        </w:tc>
      </w:tr>
      <w:tr w:rsidR="00820BE8" w:rsidRPr="00DB3FE7" w14:paraId="1C77C98E" w14:textId="77777777" w:rsidTr="00035F43">
        <w:tc>
          <w:tcPr>
            <w:tcW w:w="2297" w:type="pct"/>
          </w:tcPr>
          <w:p w14:paraId="47521B36" w14:textId="77777777" w:rsidR="00820BE8" w:rsidRPr="00DB3FE7" w:rsidRDefault="00820BE8" w:rsidP="00035F43">
            <w:pPr>
              <w:pStyle w:val="TableText"/>
              <w:widowControl w:val="0"/>
            </w:pPr>
            <w:r w:rsidRPr="00DB3FE7">
              <w:t>Quality adjusted life years</w:t>
            </w:r>
          </w:p>
        </w:tc>
        <w:tc>
          <w:tcPr>
            <w:tcW w:w="901" w:type="pct"/>
          </w:tcPr>
          <w:p w14:paraId="33EAC7BA" w14:textId="77777777" w:rsidR="00820BE8" w:rsidRPr="00DB3FE7" w:rsidRDefault="00820BE8" w:rsidP="00035F43">
            <w:pPr>
              <w:pStyle w:val="TableText"/>
              <w:widowControl w:val="0"/>
              <w:jc w:val="center"/>
              <w:rPr>
                <w:bCs w:val="0"/>
              </w:rPr>
            </w:pPr>
            <w:r w:rsidRPr="00DB3FE7">
              <w:rPr>
                <w:bCs w:val="0"/>
              </w:rPr>
              <w:t>9.4807</w:t>
            </w:r>
          </w:p>
        </w:tc>
        <w:tc>
          <w:tcPr>
            <w:tcW w:w="902" w:type="pct"/>
          </w:tcPr>
          <w:p w14:paraId="50FCEDA1" w14:textId="77777777" w:rsidR="00820BE8" w:rsidRPr="00DB3FE7" w:rsidRDefault="00820BE8" w:rsidP="00035F43">
            <w:pPr>
              <w:pStyle w:val="TableText"/>
              <w:widowControl w:val="0"/>
              <w:jc w:val="center"/>
              <w:rPr>
                <w:bCs w:val="0"/>
              </w:rPr>
            </w:pPr>
            <w:r w:rsidRPr="00DB3FE7">
              <w:rPr>
                <w:bCs w:val="0"/>
              </w:rPr>
              <w:t>9.4855</w:t>
            </w:r>
          </w:p>
        </w:tc>
        <w:tc>
          <w:tcPr>
            <w:tcW w:w="900" w:type="pct"/>
          </w:tcPr>
          <w:p w14:paraId="12352922" w14:textId="77777777" w:rsidR="00820BE8" w:rsidRPr="00DB3FE7" w:rsidRDefault="00820BE8" w:rsidP="00035F43">
            <w:pPr>
              <w:pStyle w:val="TableText"/>
              <w:widowControl w:val="0"/>
              <w:jc w:val="center"/>
              <w:rPr>
                <w:bCs w:val="0"/>
              </w:rPr>
            </w:pPr>
            <w:r w:rsidRPr="00DB3FE7">
              <w:rPr>
                <w:bCs w:val="0"/>
              </w:rPr>
              <w:t>-0.0047</w:t>
            </w:r>
          </w:p>
        </w:tc>
      </w:tr>
      <w:tr w:rsidR="00820BE8" w:rsidRPr="00DB3FE7" w14:paraId="55C4B2A7" w14:textId="77777777" w:rsidTr="00035F43">
        <w:tc>
          <w:tcPr>
            <w:tcW w:w="4100" w:type="pct"/>
            <w:gridSpan w:val="3"/>
          </w:tcPr>
          <w:p w14:paraId="3A7C1C03" w14:textId="77777777" w:rsidR="00820BE8" w:rsidRPr="00DB3FE7" w:rsidRDefault="00820BE8" w:rsidP="00035F43">
            <w:pPr>
              <w:pStyle w:val="TableText"/>
              <w:widowControl w:val="0"/>
              <w:jc w:val="right"/>
              <w:rPr>
                <w:b/>
              </w:rPr>
            </w:pPr>
            <w:r w:rsidRPr="00DB3FE7">
              <w:rPr>
                <w:b/>
              </w:rPr>
              <w:t>Incremental saving per quality adjusted life year foregone</w:t>
            </w:r>
          </w:p>
        </w:tc>
        <w:tc>
          <w:tcPr>
            <w:tcW w:w="900" w:type="pct"/>
            <w:vAlign w:val="center"/>
          </w:tcPr>
          <w:p w14:paraId="464B673F" w14:textId="1A799E0E" w:rsidR="00820BE8" w:rsidRPr="00DB3FE7" w:rsidRDefault="00544295" w:rsidP="00035F43">
            <w:pPr>
              <w:pStyle w:val="TableText"/>
              <w:widowControl w:val="0"/>
              <w:jc w:val="center"/>
            </w:pPr>
            <w:r w:rsidRPr="00C91ADA">
              <w:rPr>
                <w:rFonts w:hint="eastAsia"/>
                <w:color w:val="000000"/>
                <w:w w:val="26"/>
                <w:shd w:val="solid" w:color="000000" w:fill="000000"/>
                <w:fitText w:val="118" w:id="-1233410804"/>
                <w14:textFill>
                  <w14:solidFill>
                    <w14:srgbClr w14:val="000000">
                      <w14:alpha w14:val="100000"/>
                    </w14:srgbClr>
                  </w14:solidFill>
                </w14:textFill>
              </w:rPr>
              <w:t xml:space="preserve">　</w:t>
            </w:r>
            <w:r w:rsidRPr="00C91ADA">
              <w:rPr>
                <w:color w:val="000000"/>
                <w:w w:val="26"/>
                <w:shd w:val="solid" w:color="000000" w:fill="000000"/>
                <w:fitText w:val="118" w:id="-1233410804"/>
                <w14:textFill>
                  <w14:solidFill>
                    <w14:srgbClr w14:val="000000">
                      <w14:alpha w14:val="100000"/>
                    </w14:srgbClr>
                  </w14:solidFill>
                </w14:textFill>
              </w:rPr>
              <w:t>|</w:t>
            </w:r>
            <w:r w:rsidRPr="00C91ADA">
              <w:rPr>
                <w:rFonts w:hint="eastAsia"/>
                <w:color w:val="000000"/>
                <w:w w:val="26"/>
                <w:shd w:val="solid" w:color="000000" w:fill="000000"/>
                <w:fitText w:val="118" w:id="-1233410804"/>
                <w14:textFill>
                  <w14:solidFill>
                    <w14:srgbClr w14:val="000000">
                      <w14:alpha w14:val="100000"/>
                    </w14:srgbClr>
                  </w14:solidFill>
                </w14:textFill>
              </w:rPr>
              <w:t xml:space="preserve">　</w:t>
            </w:r>
            <w:r w:rsidR="0083060E" w:rsidRPr="00DB3FE7">
              <w:rPr>
                <w:vertAlign w:val="superscript"/>
              </w:rPr>
              <w:t>3</w:t>
            </w:r>
          </w:p>
        </w:tc>
      </w:tr>
    </w:tbl>
    <w:p w14:paraId="1F55B309" w14:textId="64AF9A8A" w:rsidR="00DE28CB" w:rsidRPr="00DB3FE7" w:rsidRDefault="00DE28CB" w:rsidP="00282EC9">
      <w:pPr>
        <w:pStyle w:val="COMTablefooter"/>
        <w:spacing w:after="0"/>
      </w:pPr>
      <w:r w:rsidRPr="00DB3FE7">
        <w:t>Source: Table 82 of the submission</w:t>
      </w:r>
      <w:r w:rsidR="00820BE8" w:rsidRPr="00DB3FE7">
        <w:t>; additional analyses conducted during the evaluation based on the ‘Section 3 model 24.10.2022 clean’ TreeAge file</w:t>
      </w:r>
      <w:r w:rsidRPr="00DB3FE7">
        <w:t xml:space="preserve"> </w:t>
      </w:r>
    </w:p>
    <w:p w14:paraId="4A452F69" w14:textId="77777777" w:rsidR="00175FF1" w:rsidRPr="00DB3FE7" w:rsidRDefault="00175FF1" w:rsidP="00175FF1">
      <w:pPr>
        <w:rPr>
          <w:rFonts w:ascii="Arial Narrow" w:hAnsi="Arial Narrow"/>
          <w:i/>
          <w:sz w:val="18"/>
          <w:szCs w:val="18"/>
        </w:rPr>
      </w:pPr>
      <w:r w:rsidRPr="00DB3FE7">
        <w:rPr>
          <w:rFonts w:ascii="Arial Narrow" w:hAnsi="Arial Narrow"/>
          <w:i/>
          <w:sz w:val="18"/>
          <w:szCs w:val="18"/>
        </w:rPr>
        <w:t xml:space="preserve">The redacted values correspond to the following ranges: </w:t>
      </w:r>
    </w:p>
    <w:p w14:paraId="5B38AC94" w14:textId="22B2C9D5" w:rsidR="00175FF1" w:rsidRPr="00DB3FE7" w:rsidRDefault="00175FF1" w:rsidP="00175FF1">
      <w:pPr>
        <w:rPr>
          <w:rFonts w:ascii="Arial Narrow" w:hAnsi="Arial Narrow"/>
          <w:i/>
          <w:sz w:val="18"/>
          <w:szCs w:val="18"/>
        </w:rPr>
      </w:pPr>
      <w:r w:rsidRPr="00DB3FE7">
        <w:rPr>
          <w:rFonts w:ascii="Arial Narrow" w:hAnsi="Arial Narrow"/>
          <w:i/>
          <w:sz w:val="18"/>
          <w:szCs w:val="18"/>
          <w:vertAlign w:val="superscript"/>
        </w:rPr>
        <w:t>1</w:t>
      </w:r>
      <w:r w:rsidRPr="00DB3FE7">
        <w:rPr>
          <w:rFonts w:ascii="Arial Narrow" w:hAnsi="Arial Narrow"/>
          <w:i/>
          <w:sz w:val="18"/>
          <w:szCs w:val="18"/>
        </w:rPr>
        <w:t xml:space="preserve"> $</w:t>
      </w:r>
      <w:r w:rsidR="0083060E" w:rsidRPr="00DB3FE7">
        <w:rPr>
          <w:rFonts w:ascii="Arial Narrow" w:hAnsi="Arial Narrow"/>
          <w:i/>
          <w:sz w:val="18"/>
          <w:szCs w:val="18"/>
        </w:rPr>
        <w:t>3</w:t>
      </w:r>
      <w:r w:rsidRPr="00DB3FE7">
        <w:rPr>
          <w:rFonts w:ascii="Arial Narrow" w:hAnsi="Arial Narrow"/>
          <w:i/>
          <w:sz w:val="18"/>
          <w:szCs w:val="18"/>
        </w:rPr>
        <w:t>5,000 to &lt; $</w:t>
      </w:r>
      <w:r w:rsidR="0083060E" w:rsidRPr="00DB3FE7">
        <w:rPr>
          <w:rFonts w:ascii="Arial Narrow" w:hAnsi="Arial Narrow"/>
          <w:i/>
          <w:sz w:val="18"/>
          <w:szCs w:val="18"/>
        </w:rPr>
        <w:t>4</w:t>
      </w:r>
      <w:r w:rsidRPr="00DB3FE7">
        <w:rPr>
          <w:rFonts w:ascii="Arial Narrow" w:hAnsi="Arial Narrow"/>
          <w:i/>
          <w:sz w:val="18"/>
          <w:szCs w:val="18"/>
        </w:rPr>
        <w:t>5,000</w:t>
      </w:r>
    </w:p>
    <w:p w14:paraId="28419703" w14:textId="3E550C89" w:rsidR="00175FF1" w:rsidRPr="00DB3FE7" w:rsidRDefault="00175FF1" w:rsidP="00175FF1">
      <w:pPr>
        <w:rPr>
          <w:rFonts w:ascii="Arial Narrow" w:hAnsi="Arial Narrow"/>
          <w:i/>
          <w:sz w:val="18"/>
          <w:szCs w:val="18"/>
        </w:rPr>
      </w:pPr>
      <w:r w:rsidRPr="00DB3FE7">
        <w:rPr>
          <w:rFonts w:ascii="Arial Narrow" w:hAnsi="Arial Narrow"/>
          <w:i/>
          <w:sz w:val="18"/>
          <w:szCs w:val="18"/>
          <w:vertAlign w:val="superscript"/>
        </w:rPr>
        <w:t>2</w:t>
      </w:r>
      <w:r w:rsidRPr="00DB3FE7">
        <w:rPr>
          <w:rFonts w:ascii="Arial Narrow" w:hAnsi="Arial Narrow"/>
          <w:i/>
          <w:sz w:val="18"/>
          <w:szCs w:val="18"/>
        </w:rPr>
        <w:t xml:space="preserve"> $255,000 to &lt; $355,000</w:t>
      </w:r>
    </w:p>
    <w:p w14:paraId="6ED3B149" w14:textId="1DB99B37" w:rsidR="00175FF1" w:rsidRPr="00DB3FE7" w:rsidRDefault="00175FF1" w:rsidP="00282EC9">
      <w:pPr>
        <w:spacing w:after="120"/>
        <w:rPr>
          <w:rFonts w:ascii="Arial Narrow" w:hAnsi="Arial Narrow"/>
          <w:i/>
          <w:sz w:val="18"/>
          <w:szCs w:val="18"/>
        </w:rPr>
      </w:pPr>
      <w:r w:rsidRPr="00DB3FE7">
        <w:rPr>
          <w:rFonts w:ascii="Arial Narrow" w:hAnsi="Arial Narrow"/>
          <w:i/>
          <w:sz w:val="18"/>
          <w:szCs w:val="18"/>
          <w:vertAlign w:val="superscript"/>
        </w:rPr>
        <w:t>3</w:t>
      </w:r>
      <w:r w:rsidRPr="00DB3FE7">
        <w:rPr>
          <w:rFonts w:ascii="Arial Narrow" w:hAnsi="Arial Narrow"/>
          <w:i/>
          <w:sz w:val="18"/>
          <w:szCs w:val="18"/>
        </w:rPr>
        <w:t xml:space="preserve"> &gt; $1,055,000</w:t>
      </w:r>
    </w:p>
    <w:p w14:paraId="06DC0252" w14:textId="3085722C" w:rsidR="00971C06" w:rsidRPr="00D2286B" w:rsidRDefault="0080671D" w:rsidP="00971C06">
      <w:pPr>
        <w:pStyle w:val="COMexecsumnumberedpara"/>
      </w:pPr>
      <w:r w:rsidRPr="00DB3FE7">
        <w:t xml:space="preserve">Based on the overall population, treatment with inclisiran was associated with an incremental cost per QALY gained of </w:t>
      </w:r>
      <w:r w:rsidR="00E170BF" w:rsidRPr="00DB3FE7">
        <w:t>$</w:t>
      </w:r>
      <w:r w:rsidR="0083060E" w:rsidRPr="00DB3FE7">
        <w:t>3</w:t>
      </w:r>
      <w:r w:rsidR="00E170BF" w:rsidRPr="00DB3FE7">
        <w:t>5,000</w:t>
      </w:r>
      <w:r w:rsidR="00B73417">
        <w:t> </w:t>
      </w:r>
      <w:r w:rsidR="00E170BF" w:rsidRPr="00DB3FE7">
        <w:t>to</w:t>
      </w:r>
      <w:r w:rsidR="00B73417">
        <w:t> </w:t>
      </w:r>
      <w:r w:rsidR="00E170BF" w:rsidRPr="00DB3FE7">
        <w:t>&lt;</w:t>
      </w:r>
      <w:r w:rsidR="00282EC9" w:rsidRPr="00DB3FE7">
        <w:t> </w:t>
      </w:r>
      <w:r w:rsidR="00E170BF" w:rsidRPr="00DB3FE7">
        <w:t>$</w:t>
      </w:r>
      <w:r w:rsidR="0083060E" w:rsidRPr="00DB3FE7">
        <w:t>4</w:t>
      </w:r>
      <w:r w:rsidR="00E170BF" w:rsidRPr="00DB3FE7">
        <w:t>5,000</w:t>
      </w:r>
      <w:r w:rsidR="00A01A67" w:rsidRPr="00DB3FE7">
        <w:t xml:space="preserve"> </w:t>
      </w:r>
      <w:r w:rsidRPr="00DB3FE7">
        <w:t xml:space="preserve">compared to ezetimibe and </w:t>
      </w:r>
      <w:r w:rsidR="008F392E" w:rsidRPr="00DB3FE7">
        <w:t xml:space="preserve">PCSK9 inhibitor therapies </w:t>
      </w:r>
      <w:r w:rsidRPr="00DB3FE7">
        <w:t xml:space="preserve">for the treatment of hypercholesterolaemia. </w:t>
      </w:r>
      <w:r w:rsidR="00971C06" w:rsidRPr="00DB3FE7">
        <w:t xml:space="preserve">The ESC noted that removal of the administration costs associated with the PCSK9 inhibitor therapies would result in a revised base case ICER of </w:t>
      </w:r>
      <w:r w:rsidR="00E32251" w:rsidRPr="00DB3FE7">
        <w:t>$75,000 to &lt; $95,000</w:t>
      </w:r>
      <w:r w:rsidR="00A01A67" w:rsidRPr="00DB3FE7">
        <w:t xml:space="preserve"> </w:t>
      </w:r>
      <w:r w:rsidR="00971C06" w:rsidRPr="00DB3FE7">
        <w:t>per QALY gained (</w:t>
      </w:r>
      <w:r w:rsidR="0013295B" w:rsidRPr="00DB3FE7">
        <w:t>see </w:t>
      </w:r>
      <w:r w:rsidR="00971C06" w:rsidRPr="00D2286B">
        <w:fldChar w:fldCharType="begin" w:fldLock="1"/>
      </w:r>
      <w:r w:rsidR="00971C06" w:rsidRPr="00DB3FE7">
        <w:instrText xml:space="preserve"> REF _Ref126857115 \h  \* MERGEFORMAT </w:instrText>
      </w:r>
      <w:r w:rsidR="00971C06" w:rsidRPr="00D2286B">
        <w:fldChar w:fldCharType="separate"/>
      </w:r>
      <w:r w:rsidR="00424520" w:rsidRPr="00D2286B">
        <w:t xml:space="preserve">Table </w:t>
      </w:r>
      <w:r w:rsidR="00424520" w:rsidRPr="00D2286B">
        <w:rPr>
          <w:noProof/>
        </w:rPr>
        <w:t>11</w:t>
      </w:r>
      <w:r w:rsidR="00971C06" w:rsidRPr="00D2286B">
        <w:fldChar w:fldCharType="end"/>
      </w:r>
      <w:r w:rsidR="00971C06" w:rsidRPr="0042765C">
        <w:t>).</w:t>
      </w:r>
    </w:p>
    <w:p w14:paraId="1EB04172" w14:textId="7CDFE200" w:rsidR="0080671D" w:rsidRPr="00DB3FE7" w:rsidRDefault="00971C06" w:rsidP="00980E94">
      <w:pPr>
        <w:pStyle w:val="COMexecsumnumberedpara"/>
      </w:pPr>
      <w:bookmarkStart w:id="40" w:name="_Ref131411654"/>
      <w:r w:rsidRPr="00352E1C">
        <w:t xml:space="preserve">The ESC also noted </w:t>
      </w:r>
      <w:r w:rsidR="0080671D" w:rsidRPr="00352E1C">
        <w:t xml:space="preserve">the use of inclisiran </w:t>
      </w:r>
      <w:r w:rsidRPr="00352E1C">
        <w:t>wa</w:t>
      </w:r>
      <w:r w:rsidR="0080671D" w:rsidRPr="00352E1C">
        <w:t xml:space="preserve">s </w:t>
      </w:r>
      <w:r w:rsidRPr="00352E1C">
        <w:t xml:space="preserve">not </w:t>
      </w:r>
      <w:r w:rsidR="0080671D" w:rsidRPr="00352E1C">
        <w:t>cost-effective in patients who would have otherwise achiev</w:t>
      </w:r>
      <w:r w:rsidR="0080671D" w:rsidRPr="00DB3FE7">
        <w:t>ed target LDL</w:t>
      </w:r>
      <w:r w:rsidR="00CD0449" w:rsidRPr="00DB3FE7">
        <w:t>-C</w:t>
      </w:r>
      <w:r w:rsidR="0080671D" w:rsidRPr="00DB3FE7">
        <w:t xml:space="preserve"> levels with ezetimibe alone (i.e. PCSK9 ineligible patients)</w:t>
      </w:r>
      <w:r w:rsidRPr="00DB3FE7">
        <w:t xml:space="preserve"> as the ICER in this group was </w:t>
      </w:r>
      <w:r w:rsidR="00E32251" w:rsidRPr="00DB3FE7">
        <w:t>$255,000</w:t>
      </w:r>
      <w:r w:rsidR="00B73417">
        <w:t> </w:t>
      </w:r>
      <w:r w:rsidR="00E32251" w:rsidRPr="00DB3FE7">
        <w:t>to</w:t>
      </w:r>
      <w:r w:rsidR="00B73417">
        <w:t> </w:t>
      </w:r>
      <w:r w:rsidR="00E32251" w:rsidRPr="00DB3FE7">
        <w:t>&lt;</w:t>
      </w:r>
      <w:r w:rsidR="00282EC9" w:rsidRPr="00DB3FE7">
        <w:t> </w:t>
      </w:r>
      <w:r w:rsidR="00E32251" w:rsidRPr="00DB3FE7">
        <w:t>$355,000</w:t>
      </w:r>
      <w:r w:rsidR="00A01A67" w:rsidRPr="00DB3FE7">
        <w:t xml:space="preserve"> </w:t>
      </w:r>
      <w:r w:rsidRPr="00DB3FE7">
        <w:t>per QALY gained</w:t>
      </w:r>
      <w:r w:rsidR="0080671D" w:rsidRPr="00DB3FE7">
        <w:t xml:space="preserve">. </w:t>
      </w:r>
      <w:r w:rsidR="0013295B" w:rsidRPr="00DB3FE7">
        <w:t>In </w:t>
      </w:r>
      <w:r w:rsidR="00C11201" w:rsidRPr="00DB3FE7">
        <w:t>addition, the ESC noted that although t</w:t>
      </w:r>
      <w:r w:rsidR="0080671D" w:rsidRPr="00DB3FE7">
        <w:t xml:space="preserve">he use of inclisiran in patients who would have switched to </w:t>
      </w:r>
      <w:r w:rsidR="008F392E" w:rsidRPr="00DB3FE7">
        <w:t xml:space="preserve">PCSK9 inhibitor therapies </w:t>
      </w:r>
      <w:r w:rsidR="0080671D" w:rsidRPr="00DB3FE7">
        <w:t>(i.e. PCSK9 eligible patients) could potentially result in cost savings</w:t>
      </w:r>
      <w:r w:rsidR="00C11201" w:rsidRPr="00DB3FE7">
        <w:t xml:space="preserve">, it would also likely </w:t>
      </w:r>
      <w:r w:rsidR="004B73C0" w:rsidRPr="00DB3FE7">
        <w:t>r</w:t>
      </w:r>
      <w:r w:rsidR="0080671D" w:rsidRPr="00DB3FE7">
        <w:t>esult in less clinical benefits</w:t>
      </w:r>
      <w:r w:rsidR="00C11201" w:rsidRPr="00DB3FE7">
        <w:t xml:space="preserve"> (incremental QALYs = </w:t>
      </w:r>
      <w:r w:rsidR="0007746A" w:rsidRPr="00DB3FE7">
        <w:noBreakHyphen/>
      </w:r>
      <w:r w:rsidR="00C11201" w:rsidRPr="00DB3FE7">
        <w:t>0.0047)</w:t>
      </w:r>
      <w:r w:rsidR="0080671D" w:rsidRPr="00DB3FE7">
        <w:t>.</w:t>
      </w:r>
      <w:r w:rsidR="00765345" w:rsidRPr="00DB3FE7">
        <w:t xml:space="preserve"> </w:t>
      </w:r>
      <w:r w:rsidR="0007746A" w:rsidRPr="00DB3FE7">
        <w:t>The ESC considered the disaggregated ICERs showed the base case ICER was misleading as it was strongly driven by the patients becoming eligible for subsequent PCSK9 inhibitor therapies.</w:t>
      </w:r>
      <w:bookmarkEnd w:id="40"/>
    </w:p>
    <w:p w14:paraId="55876918" w14:textId="5AC6F918" w:rsidR="0080671D" w:rsidRPr="00DB3FE7" w:rsidRDefault="0080671D" w:rsidP="00980E94">
      <w:pPr>
        <w:pStyle w:val="COMexecsumnumberedpara"/>
      </w:pPr>
      <w:r w:rsidRPr="00DB3FE7">
        <w:t>The PBAC has previously considered than an ICER of less than $25,000</w:t>
      </w:r>
      <w:r w:rsidR="00B73417">
        <w:t> </w:t>
      </w:r>
      <w:r w:rsidRPr="00DB3FE7">
        <w:t>to</w:t>
      </w:r>
      <w:r w:rsidR="00B73417">
        <w:t> </w:t>
      </w:r>
      <w:r w:rsidRPr="00DB3FE7">
        <w:t>&lt;</w:t>
      </w:r>
      <w:r w:rsidR="00282EC9" w:rsidRPr="00DB3FE7">
        <w:t> </w:t>
      </w:r>
      <w:r w:rsidRPr="00DB3FE7">
        <w:t>$35,000 per QALY gained would be required for a hypercholesterolemia treatment to be considered cost-effective in the secondary prevention setting when the magnitude of the mortality benefit was unknown (para 7.11, evolocumab PSD, July 2022 PBAC meeting).</w:t>
      </w:r>
      <w:r w:rsidR="00201B4C" w:rsidRPr="00DB3FE7">
        <w:t xml:space="preserve"> </w:t>
      </w:r>
    </w:p>
    <w:p w14:paraId="621B1BD8" w14:textId="516227AA" w:rsidR="00DD6E32" w:rsidRPr="00DB3FE7" w:rsidRDefault="00DD6E32" w:rsidP="00DD6E32">
      <w:pPr>
        <w:pStyle w:val="COMexecsumnumberedpara"/>
      </w:pPr>
      <w:r w:rsidRPr="00DB3FE7">
        <w:t>For every 1,000 patients treated with inclisiran versus comparator therapies and followed up over their lifetime, the economic evaluation (undiscounted) estimated that there would be:</w:t>
      </w:r>
    </w:p>
    <w:p w14:paraId="45082488" w14:textId="77777777" w:rsidR="00DD6E32" w:rsidRPr="00DB3FE7" w:rsidRDefault="00DD6E32" w:rsidP="00BA3310">
      <w:pPr>
        <w:pStyle w:val="COMexecsumnumberedpara"/>
        <w:numPr>
          <w:ilvl w:val="0"/>
          <w:numId w:val="15"/>
        </w:numPr>
        <w:ind w:left="1077" w:hanging="357"/>
      </w:pPr>
      <w:r w:rsidRPr="00DB3FE7">
        <w:t>Decreased incidence of myocardial infarction (9 fewer events), stroke (7 fewer events) and cardiovascular death (7 fewer events) with a small increase in survival (average 30 days per patient).</w:t>
      </w:r>
    </w:p>
    <w:p w14:paraId="3DA7E62D" w14:textId="77777777" w:rsidR="00DD6E32" w:rsidRPr="00DB3FE7" w:rsidRDefault="00DD6E32" w:rsidP="00BA3310">
      <w:pPr>
        <w:pStyle w:val="COMexecsumnumberedpara"/>
        <w:numPr>
          <w:ilvl w:val="0"/>
          <w:numId w:val="15"/>
        </w:numPr>
        <w:ind w:left="1077" w:hanging="357"/>
      </w:pPr>
      <w:r w:rsidRPr="00DB3FE7">
        <w:t>Additional drug and administration costs of $1.5 million but decreased cardiovascular event and disease management costs of $0.9 million.</w:t>
      </w:r>
    </w:p>
    <w:p w14:paraId="5C5DEA69" w14:textId="7802EA06" w:rsidR="00DD6E32" w:rsidRPr="00DB3FE7" w:rsidRDefault="00DD6E32" w:rsidP="00980E94">
      <w:pPr>
        <w:pStyle w:val="COMexecsumnumberedpara"/>
      </w:pPr>
      <w:r w:rsidRPr="00DB3FE7">
        <w:t xml:space="preserve">The results of the sensitivity analyses indicated that the model was </w:t>
      </w:r>
      <w:r w:rsidR="00917440" w:rsidRPr="00DB3FE7">
        <w:t xml:space="preserve">highly </w:t>
      </w:r>
      <w:r w:rsidRPr="00DB3FE7">
        <w:t>sensitive</w:t>
      </w:r>
      <w:r w:rsidR="00917440" w:rsidRPr="00DB3FE7">
        <w:t>, particularly</w:t>
      </w:r>
      <w:r w:rsidRPr="00DB3FE7">
        <w:t xml:space="preserve"> to the discount rate, time horizon, circumstances of use (differential discontinuations between treatments, evolocumab uptake rate and use of concomitant ezetimibe and evolocumab treatment), estimated treatment effects (mean percentage change in LDL</w:t>
      </w:r>
      <w:r w:rsidR="00CD0449" w:rsidRPr="00DB3FE7">
        <w:t>-C</w:t>
      </w:r>
      <w:r w:rsidRPr="00DB3FE7">
        <w:t>) as well as drug and administration costs (evolocumab price, script duration and administration costs).</w:t>
      </w:r>
      <w:r w:rsidR="006C7A03" w:rsidRPr="00DB3FE7">
        <w:t xml:space="preserve"> The ESC noted that the multivariate sensitivity analysis which made the following changes to the evolocumab component (i) use</w:t>
      </w:r>
      <w:r w:rsidR="008E2289" w:rsidRPr="00DB3FE7">
        <w:t>d</w:t>
      </w:r>
      <w:r w:rsidR="006C7A03" w:rsidRPr="00DB3FE7">
        <w:t xml:space="preserve"> the updated DPMQ, (ii) applied 12 prescriptions per year, and (iii</w:t>
      </w:r>
      <w:r w:rsidR="003F6325" w:rsidRPr="00DB3FE7">
        <w:t>) </w:t>
      </w:r>
      <w:r w:rsidR="008E2289" w:rsidRPr="00DB3FE7">
        <w:t>removed the</w:t>
      </w:r>
      <w:r w:rsidR="006C7A03" w:rsidRPr="00DB3FE7">
        <w:t xml:space="preserve"> administration costs, increased the ICER by over 1,000%.</w:t>
      </w:r>
    </w:p>
    <w:p w14:paraId="6EF09EF3" w14:textId="7D34C06D" w:rsidR="00DD6E32" w:rsidRPr="00D2286B" w:rsidRDefault="00773BF1" w:rsidP="00773BF1">
      <w:pPr>
        <w:pStyle w:val="COMtablefigcaption"/>
        <w:rPr>
          <w:rStyle w:val="CommentReference"/>
          <w:sz w:val="20"/>
        </w:rPr>
      </w:pPr>
      <w:bookmarkStart w:id="41" w:name="_Ref126857115"/>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11</w:t>
      </w:r>
      <w:r w:rsidR="00E1209D" w:rsidRPr="00D2286B">
        <w:rPr>
          <w:noProof/>
        </w:rPr>
        <w:fldChar w:fldCharType="end"/>
      </w:r>
      <w:bookmarkEnd w:id="41"/>
      <w:r w:rsidR="00DD6E32" w:rsidRPr="0042765C">
        <w:rPr>
          <w:rStyle w:val="CommentReference"/>
          <w:sz w:val="20"/>
        </w:rPr>
        <w:t xml:space="preserve">: Results of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69"/>
        <w:gridCol w:w="1265"/>
        <w:gridCol w:w="1266"/>
        <w:gridCol w:w="1353"/>
        <w:gridCol w:w="1376"/>
      </w:tblGrid>
      <w:tr w:rsidR="00DD6E32" w:rsidRPr="00DB3FE7" w14:paraId="7AEF3CB6" w14:textId="77777777" w:rsidTr="00544295">
        <w:trPr>
          <w:tblHeader/>
        </w:trPr>
        <w:tc>
          <w:tcPr>
            <w:tcW w:w="3824" w:type="dxa"/>
            <w:tcMar>
              <w:top w:w="0" w:type="dxa"/>
              <w:left w:w="108" w:type="dxa"/>
              <w:bottom w:w="0" w:type="dxa"/>
              <w:right w:w="108" w:type="dxa"/>
            </w:tcMar>
            <w:vAlign w:val="center"/>
            <w:hideMark/>
          </w:tcPr>
          <w:p w14:paraId="200EB7E8" w14:textId="77777777" w:rsidR="00DD6E32" w:rsidRPr="00352E1C" w:rsidRDefault="00DD6E32" w:rsidP="00035F43">
            <w:pPr>
              <w:pStyle w:val="Tabletext0"/>
              <w:rPr>
                <w:szCs w:val="20"/>
              </w:rPr>
            </w:pPr>
            <w:r w:rsidRPr="00352E1C">
              <w:rPr>
                <w:b/>
                <w:bCs/>
                <w:szCs w:val="20"/>
              </w:rPr>
              <w:t>Analyses</w:t>
            </w:r>
          </w:p>
        </w:tc>
        <w:tc>
          <w:tcPr>
            <w:tcW w:w="1269" w:type="dxa"/>
            <w:tcBorders>
              <w:bottom w:val="single" w:sz="4" w:space="0" w:color="auto"/>
            </w:tcBorders>
            <w:tcMar>
              <w:top w:w="0" w:type="dxa"/>
              <w:left w:w="108" w:type="dxa"/>
              <w:bottom w:w="0" w:type="dxa"/>
              <w:right w:w="108" w:type="dxa"/>
            </w:tcMar>
            <w:vAlign w:val="center"/>
            <w:hideMark/>
          </w:tcPr>
          <w:p w14:paraId="6FB1FAD9" w14:textId="5FFC0A12" w:rsidR="00DD6E32" w:rsidRPr="00DB3FE7" w:rsidRDefault="00DD6E32" w:rsidP="00035F43">
            <w:pPr>
              <w:pStyle w:val="Tabletext0"/>
              <w:jc w:val="center"/>
              <w:rPr>
                <w:b/>
                <w:bCs/>
                <w:szCs w:val="20"/>
              </w:rPr>
            </w:pPr>
            <w:r w:rsidRPr="00DB3FE7">
              <w:rPr>
                <w:b/>
                <w:bCs/>
                <w:szCs w:val="20"/>
              </w:rPr>
              <w:t>Incremental cost</w:t>
            </w:r>
            <w:r w:rsidR="00D37B6A" w:rsidRPr="00DB3FE7">
              <w:rPr>
                <w:b/>
                <w:bCs/>
                <w:szCs w:val="20"/>
              </w:rPr>
              <w:t xml:space="preserve"> ($)</w:t>
            </w:r>
          </w:p>
        </w:tc>
        <w:tc>
          <w:tcPr>
            <w:tcW w:w="1270" w:type="dxa"/>
            <w:tcMar>
              <w:top w:w="0" w:type="dxa"/>
              <w:left w:w="108" w:type="dxa"/>
              <w:bottom w:w="0" w:type="dxa"/>
              <w:right w:w="108" w:type="dxa"/>
            </w:tcMar>
            <w:vAlign w:val="center"/>
            <w:hideMark/>
          </w:tcPr>
          <w:p w14:paraId="19F1402F" w14:textId="77777777" w:rsidR="00DD6E32" w:rsidRPr="00DB3FE7" w:rsidRDefault="00DD6E32" w:rsidP="00035F43">
            <w:pPr>
              <w:pStyle w:val="Tabletext0"/>
              <w:jc w:val="center"/>
              <w:rPr>
                <w:b/>
                <w:bCs/>
                <w:szCs w:val="20"/>
              </w:rPr>
            </w:pPr>
            <w:r w:rsidRPr="00DB3FE7">
              <w:rPr>
                <w:b/>
                <w:bCs/>
                <w:szCs w:val="20"/>
              </w:rPr>
              <w:t>Incremental QALY</w:t>
            </w:r>
          </w:p>
        </w:tc>
        <w:tc>
          <w:tcPr>
            <w:tcW w:w="1270" w:type="dxa"/>
            <w:tcMar>
              <w:top w:w="0" w:type="dxa"/>
              <w:left w:w="108" w:type="dxa"/>
              <w:bottom w:w="0" w:type="dxa"/>
              <w:right w:w="108" w:type="dxa"/>
            </w:tcMar>
            <w:vAlign w:val="center"/>
            <w:hideMark/>
          </w:tcPr>
          <w:p w14:paraId="57380D89" w14:textId="61B83366" w:rsidR="00DD6E32" w:rsidRPr="00DB3FE7" w:rsidRDefault="00DD6E32" w:rsidP="00035F43">
            <w:pPr>
              <w:pStyle w:val="Tabletext0"/>
              <w:jc w:val="center"/>
              <w:rPr>
                <w:b/>
                <w:bCs/>
                <w:szCs w:val="20"/>
              </w:rPr>
            </w:pPr>
            <w:r w:rsidRPr="00DB3FE7">
              <w:rPr>
                <w:b/>
                <w:bCs/>
                <w:szCs w:val="20"/>
              </w:rPr>
              <w:t>ICER</w:t>
            </w:r>
            <w:r w:rsidR="00D37B6A" w:rsidRPr="00DB3FE7">
              <w:rPr>
                <w:b/>
                <w:bCs/>
                <w:szCs w:val="20"/>
              </w:rPr>
              <w:t xml:space="preserve"> ($)</w:t>
            </w:r>
          </w:p>
        </w:tc>
        <w:tc>
          <w:tcPr>
            <w:tcW w:w="1396" w:type="dxa"/>
            <w:vAlign w:val="center"/>
          </w:tcPr>
          <w:p w14:paraId="1C6C1F08" w14:textId="77777777" w:rsidR="00DD6E32" w:rsidRPr="00DB3FE7" w:rsidRDefault="00DD6E32" w:rsidP="00035F43">
            <w:pPr>
              <w:pStyle w:val="Tabletext0"/>
              <w:jc w:val="center"/>
              <w:rPr>
                <w:b/>
                <w:bCs/>
                <w:szCs w:val="20"/>
              </w:rPr>
            </w:pPr>
            <w:r w:rsidRPr="00DB3FE7">
              <w:rPr>
                <w:b/>
                <w:bCs/>
              </w:rPr>
              <w:t>Change from base case ICER</w:t>
            </w:r>
          </w:p>
        </w:tc>
      </w:tr>
      <w:tr w:rsidR="00DD6E32" w:rsidRPr="00DB3FE7" w14:paraId="21A15AAB" w14:textId="77777777" w:rsidTr="00544295">
        <w:trPr>
          <w:tblHeader/>
        </w:trPr>
        <w:tc>
          <w:tcPr>
            <w:tcW w:w="3824" w:type="dxa"/>
            <w:tcMar>
              <w:top w:w="0" w:type="dxa"/>
              <w:left w:w="108" w:type="dxa"/>
              <w:bottom w:w="0" w:type="dxa"/>
              <w:right w:w="108" w:type="dxa"/>
            </w:tcMar>
            <w:hideMark/>
          </w:tcPr>
          <w:p w14:paraId="46F904E8" w14:textId="77777777" w:rsidR="00DD6E32" w:rsidRPr="00DB3FE7" w:rsidRDefault="00DD6E32" w:rsidP="00035F43">
            <w:pPr>
              <w:pStyle w:val="Tabletext0"/>
              <w:rPr>
                <w:b/>
                <w:bCs/>
                <w:szCs w:val="20"/>
                <w:vertAlign w:val="superscript"/>
              </w:rPr>
            </w:pPr>
            <w:r w:rsidRPr="00DB3FE7">
              <w:rPr>
                <w:b/>
                <w:bCs/>
                <w:szCs w:val="20"/>
              </w:rPr>
              <w:t>Base case</w:t>
            </w:r>
          </w:p>
        </w:tc>
        <w:tc>
          <w:tcPr>
            <w:tcW w:w="1269" w:type="dxa"/>
            <w:shd w:val="solid" w:color="000000" w:fill="000000"/>
            <w:tcMar>
              <w:top w:w="0" w:type="dxa"/>
              <w:left w:w="108" w:type="dxa"/>
              <w:bottom w:w="0" w:type="dxa"/>
              <w:right w:w="108" w:type="dxa"/>
            </w:tcMar>
          </w:tcPr>
          <w:p w14:paraId="5A3E1C9C" w14:textId="6459928E" w:rsidR="00DD6E32" w:rsidRPr="00DB3FE7" w:rsidRDefault="00544295" w:rsidP="00035F43">
            <w:pPr>
              <w:pStyle w:val="Tabletext0"/>
              <w:jc w:val="center"/>
              <w:rPr>
                <w:b/>
                <w:bCs/>
                <w:szCs w:val="20"/>
              </w:rPr>
            </w:pPr>
            <w:r w:rsidRPr="00C91ADA">
              <w:rPr>
                <w:b/>
                <w:bCs/>
                <w:color w:val="000000"/>
                <w:spacing w:val="30"/>
                <w:szCs w:val="20"/>
                <w:fitText w:val="428" w:id="-1233410803"/>
                <w14:textFill>
                  <w14:solidFill>
                    <w14:srgbClr w14:val="000000">
                      <w14:alpha w14:val="100000"/>
                    </w14:srgbClr>
                  </w14:solidFill>
                </w14:textFill>
              </w:rPr>
              <w:t>|||||</w:t>
            </w:r>
            <w:r w:rsidRPr="00C91ADA">
              <w:rPr>
                <w:b/>
                <w:bCs/>
                <w:color w:val="000000"/>
                <w:spacing w:val="3"/>
                <w:szCs w:val="20"/>
                <w:fitText w:val="428" w:id="-1233410803"/>
                <w14:textFill>
                  <w14:solidFill>
                    <w14:srgbClr w14:val="000000">
                      <w14:alpha w14:val="100000"/>
                    </w14:srgbClr>
                  </w14:solidFill>
                </w14:textFill>
              </w:rPr>
              <w:t>|</w:t>
            </w:r>
          </w:p>
        </w:tc>
        <w:tc>
          <w:tcPr>
            <w:tcW w:w="1270" w:type="dxa"/>
            <w:tcMar>
              <w:top w:w="0" w:type="dxa"/>
              <w:left w:w="108" w:type="dxa"/>
              <w:bottom w:w="0" w:type="dxa"/>
              <w:right w:w="108" w:type="dxa"/>
            </w:tcMar>
          </w:tcPr>
          <w:p w14:paraId="1BDC6ED5" w14:textId="77777777" w:rsidR="00DD6E32" w:rsidRPr="00DB3FE7" w:rsidRDefault="00DD6E32" w:rsidP="00035F43">
            <w:pPr>
              <w:pStyle w:val="Tabletext0"/>
              <w:jc w:val="center"/>
              <w:rPr>
                <w:b/>
                <w:bCs/>
                <w:szCs w:val="20"/>
              </w:rPr>
            </w:pPr>
            <w:r w:rsidRPr="00DB3FE7">
              <w:rPr>
                <w:b/>
                <w:bCs/>
                <w:szCs w:val="20"/>
              </w:rPr>
              <w:t>0.0355</w:t>
            </w:r>
          </w:p>
        </w:tc>
        <w:tc>
          <w:tcPr>
            <w:tcW w:w="1270" w:type="dxa"/>
            <w:tcMar>
              <w:top w:w="0" w:type="dxa"/>
              <w:left w:w="108" w:type="dxa"/>
              <w:bottom w:w="0" w:type="dxa"/>
              <w:right w:w="108" w:type="dxa"/>
            </w:tcMar>
          </w:tcPr>
          <w:p w14:paraId="729492E7" w14:textId="0A5719A7" w:rsidR="00DD6E32" w:rsidRPr="00DB3FE7" w:rsidRDefault="00544295" w:rsidP="00035F43">
            <w:pPr>
              <w:pStyle w:val="Tabletext0"/>
              <w:jc w:val="center"/>
              <w:rPr>
                <w:b/>
                <w:bCs/>
                <w:szCs w:val="20"/>
              </w:rPr>
            </w:pPr>
            <w:r w:rsidRPr="00C91ADA">
              <w:rPr>
                <w:b/>
                <w:bCs/>
                <w:color w:val="000000"/>
                <w:spacing w:val="200"/>
                <w:szCs w:val="20"/>
                <w:shd w:val="solid" w:color="000000" w:fill="000000"/>
                <w:fitText w:val="292" w:id="-1233410802"/>
                <w14:textFill>
                  <w14:solidFill>
                    <w14:srgbClr w14:val="000000">
                      <w14:alpha w14:val="100000"/>
                    </w14:srgbClr>
                  </w14:solidFill>
                </w14:textFill>
              </w:rPr>
              <w:t>|</w:t>
            </w:r>
            <w:r w:rsidRPr="00C91ADA">
              <w:rPr>
                <w:b/>
                <w:bCs/>
                <w:color w:val="000000"/>
                <w:szCs w:val="20"/>
                <w:shd w:val="solid" w:color="000000" w:fill="000000"/>
                <w:fitText w:val="292" w:id="-1233410802"/>
                <w14:textFill>
                  <w14:solidFill>
                    <w14:srgbClr w14:val="000000">
                      <w14:alpha w14:val="100000"/>
                    </w14:srgbClr>
                  </w14:solidFill>
                </w14:textFill>
              </w:rPr>
              <w:t>|</w:t>
            </w:r>
            <w:r w:rsidR="00D37B6A" w:rsidRPr="00DB3FE7">
              <w:rPr>
                <w:b/>
                <w:bCs/>
                <w:szCs w:val="20"/>
                <w:vertAlign w:val="superscript"/>
              </w:rPr>
              <w:t>1</w:t>
            </w:r>
          </w:p>
        </w:tc>
        <w:tc>
          <w:tcPr>
            <w:tcW w:w="1396" w:type="dxa"/>
          </w:tcPr>
          <w:p w14:paraId="48D4AA98" w14:textId="77777777" w:rsidR="00DD6E32" w:rsidRPr="00DB3FE7" w:rsidRDefault="00DD6E32" w:rsidP="00035F43">
            <w:pPr>
              <w:pStyle w:val="Tabletext0"/>
              <w:jc w:val="center"/>
              <w:rPr>
                <w:b/>
                <w:bCs/>
                <w:szCs w:val="20"/>
              </w:rPr>
            </w:pPr>
            <w:r w:rsidRPr="00DB3FE7">
              <w:rPr>
                <w:b/>
                <w:bCs/>
                <w:szCs w:val="20"/>
              </w:rPr>
              <w:t>-</w:t>
            </w:r>
          </w:p>
        </w:tc>
      </w:tr>
      <w:tr w:rsidR="00DD6E32" w:rsidRPr="00DB3FE7" w14:paraId="581012E5" w14:textId="77777777" w:rsidTr="00035F43">
        <w:tc>
          <w:tcPr>
            <w:tcW w:w="9029" w:type="dxa"/>
            <w:gridSpan w:val="5"/>
            <w:tcMar>
              <w:top w:w="0" w:type="dxa"/>
              <w:left w:w="108" w:type="dxa"/>
              <w:bottom w:w="0" w:type="dxa"/>
              <w:right w:w="108" w:type="dxa"/>
            </w:tcMar>
            <w:hideMark/>
          </w:tcPr>
          <w:p w14:paraId="4620169B" w14:textId="77777777" w:rsidR="00DD6E32" w:rsidRPr="00DB3FE7" w:rsidRDefault="00DD6E32" w:rsidP="00035F43">
            <w:pPr>
              <w:pStyle w:val="Tabletext0"/>
              <w:rPr>
                <w:szCs w:val="20"/>
              </w:rPr>
            </w:pPr>
            <w:r w:rsidRPr="00DB3FE7">
              <w:rPr>
                <w:b/>
                <w:bCs/>
                <w:szCs w:val="20"/>
              </w:rPr>
              <w:t>Discount rate (base case: 5% for benefits and costs)</w:t>
            </w:r>
          </w:p>
        </w:tc>
      </w:tr>
      <w:tr w:rsidR="00DD6E32" w:rsidRPr="00DB3FE7" w14:paraId="4A46C977" w14:textId="77777777" w:rsidTr="00544295">
        <w:tc>
          <w:tcPr>
            <w:tcW w:w="3824" w:type="dxa"/>
            <w:tcMar>
              <w:top w:w="0" w:type="dxa"/>
              <w:left w:w="108" w:type="dxa"/>
              <w:bottom w:w="0" w:type="dxa"/>
              <w:right w:w="108" w:type="dxa"/>
            </w:tcMar>
          </w:tcPr>
          <w:p w14:paraId="7BB1CC2E" w14:textId="77777777" w:rsidR="00DD6E32" w:rsidRPr="00DB3FE7" w:rsidRDefault="00DD6E32" w:rsidP="00035F43">
            <w:pPr>
              <w:pStyle w:val="Tabletext0"/>
              <w:rPr>
                <w:szCs w:val="20"/>
              </w:rPr>
            </w:pPr>
            <w:r w:rsidRPr="00DB3FE7">
              <w:rPr>
                <w:szCs w:val="20"/>
              </w:rPr>
              <w:t>3.5% discount rate</w:t>
            </w:r>
          </w:p>
        </w:tc>
        <w:tc>
          <w:tcPr>
            <w:tcW w:w="1269" w:type="dxa"/>
            <w:tcBorders>
              <w:bottom w:val="single" w:sz="4" w:space="0" w:color="auto"/>
            </w:tcBorders>
            <w:shd w:val="solid" w:color="000000" w:fill="000000"/>
            <w:tcMar>
              <w:top w:w="0" w:type="dxa"/>
              <w:left w:w="108" w:type="dxa"/>
              <w:bottom w:w="0" w:type="dxa"/>
              <w:right w:w="108" w:type="dxa"/>
            </w:tcMar>
          </w:tcPr>
          <w:p w14:paraId="6EF2FD9D" w14:textId="39856BBD" w:rsidR="00DD6E32" w:rsidRPr="00DB3FE7" w:rsidRDefault="00544295" w:rsidP="00035F43">
            <w:pPr>
              <w:pStyle w:val="Tabletext0"/>
              <w:jc w:val="center"/>
              <w:rPr>
                <w:szCs w:val="20"/>
              </w:rPr>
            </w:pPr>
            <w:r w:rsidRPr="00C91ADA">
              <w:rPr>
                <w:color w:val="000000"/>
                <w:spacing w:val="61"/>
                <w:szCs w:val="20"/>
                <w:fitText w:val="356" w:id="-1233410801"/>
                <w14:textFill>
                  <w14:solidFill>
                    <w14:srgbClr w14:val="000000">
                      <w14:alpha w14:val="100000"/>
                    </w14:srgbClr>
                  </w14:solidFill>
                </w14:textFill>
              </w:rPr>
              <w:t>|||</w:t>
            </w:r>
            <w:r w:rsidRPr="00C91ADA">
              <w:rPr>
                <w:color w:val="000000"/>
                <w:spacing w:val="3"/>
                <w:szCs w:val="20"/>
                <w:fitText w:val="356" w:id="-1233410801"/>
                <w14:textFill>
                  <w14:solidFill>
                    <w14:srgbClr w14:val="000000">
                      <w14:alpha w14:val="100000"/>
                    </w14:srgbClr>
                  </w14:solidFill>
                </w14:textFill>
              </w:rPr>
              <w:t>|</w:t>
            </w:r>
          </w:p>
        </w:tc>
        <w:tc>
          <w:tcPr>
            <w:tcW w:w="1270" w:type="dxa"/>
            <w:tcMar>
              <w:top w:w="0" w:type="dxa"/>
              <w:left w:w="108" w:type="dxa"/>
              <w:bottom w:w="0" w:type="dxa"/>
              <w:right w:w="108" w:type="dxa"/>
            </w:tcMar>
          </w:tcPr>
          <w:p w14:paraId="7AF86871" w14:textId="77777777" w:rsidR="00DD6E32" w:rsidRPr="00DB3FE7" w:rsidRDefault="00DD6E32" w:rsidP="00035F43">
            <w:pPr>
              <w:pStyle w:val="Tabletext0"/>
              <w:jc w:val="center"/>
              <w:rPr>
                <w:szCs w:val="20"/>
              </w:rPr>
            </w:pPr>
            <w:r w:rsidRPr="00DB3FE7">
              <w:rPr>
                <w:szCs w:val="20"/>
              </w:rPr>
              <w:t>0.0437</w:t>
            </w:r>
          </w:p>
        </w:tc>
        <w:tc>
          <w:tcPr>
            <w:tcW w:w="1270" w:type="dxa"/>
            <w:tcMar>
              <w:top w:w="0" w:type="dxa"/>
              <w:left w:w="108" w:type="dxa"/>
              <w:bottom w:w="0" w:type="dxa"/>
              <w:right w:w="108" w:type="dxa"/>
            </w:tcMar>
          </w:tcPr>
          <w:p w14:paraId="26CBB35C" w14:textId="7C8AB7AF" w:rsidR="00DD6E32" w:rsidRPr="00DB3FE7" w:rsidRDefault="00544295" w:rsidP="00035F43">
            <w:pPr>
              <w:pStyle w:val="Tabletext0"/>
              <w:jc w:val="center"/>
              <w:rPr>
                <w:szCs w:val="20"/>
              </w:rPr>
            </w:pPr>
            <w:r w:rsidRPr="00C91ADA">
              <w:rPr>
                <w:color w:val="000000"/>
                <w:spacing w:val="45"/>
                <w:szCs w:val="20"/>
                <w:shd w:val="solid" w:color="000000" w:fill="000000"/>
                <w:fitText w:val="219" w:id="-1233410800"/>
                <w14:textFill>
                  <w14:solidFill>
                    <w14:srgbClr w14:val="000000">
                      <w14:alpha w14:val="100000"/>
                    </w14:srgbClr>
                  </w14:solidFill>
                </w14:textFill>
              </w:rPr>
              <w:t>||</w:t>
            </w:r>
            <w:r w:rsidRPr="00C91ADA">
              <w:rPr>
                <w:color w:val="000000"/>
                <w:spacing w:val="2"/>
                <w:szCs w:val="20"/>
                <w:shd w:val="solid" w:color="000000" w:fill="000000"/>
                <w:fitText w:val="219" w:id="-1233410800"/>
                <w14:textFill>
                  <w14:solidFill>
                    <w14:srgbClr w14:val="000000">
                      <w14:alpha w14:val="100000"/>
                    </w14:srgbClr>
                  </w14:solidFill>
                </w14:textFill>
              </w:rPr>
              <w:t>|</w:t>
            </w:r>
            <w:r w:rsidR="00D37B6A" w:rsidRPr="00DB3FE7">
              <w:rPr>
                <w:b/>
                <w:bCs/>
                <w:szCs w:val="20"/>
                <w:vertAlign w:val="superscript"/>
              </w:rPr>
              <w:t>2</w:t>
            </w:r>
          </w:p>
        </w:tc>
        <w:tc>
          <w:tcPr>
            <w:tcW w:w="1396" w:type="dxa"/>
          </w:tcPr>
          <w:p w14:paraId="6FAC9115" w14:textId="77777777" w:rsidR="00DD6E32" w:rsidRPr="00DB3FE7" w:rsidRDefault="00DD6E32" w:rsidP="00035F43">
            <w:pPr>
              <w:pStyle w:val="Tabletext0"/>
              <w:jc w:val="center"/>
              <w:rPr>
                <w:szCs w:val="20"/>
              </w:rPr>
            </w:pPr>
            <w:r w:rsidRPr="00DB3FE7">
              <w:rPr>
                <w:szCs w:val="20"/>
              </w:rPr>
              <w:t>-30%</w:t>
            </w:r>
          </w:p>
        </w:tc>
      </w:tr>
      <w:tr w:rsidR="00DD6E32" w:rsidRPr="00DB3FE7" w14:paraId="345E618E" w14:textId="77777777" w:rsidTr="00544295">
        <w:tc>
          <w:tcPr>
            <w:tcW w:w="3824" w:type="dxa"/>
            <w:tcMar>
              <w:top w:w="0" w:type="dxa"/>
              <w:left w:w="108" w:type="dxa"/>
              <w:bottom w:w="0" w:type="dxa"/>
              <w:right w:w="108" w:type="dxa"/>
            </w:tcMar>
            <w:hideMark/>
          </w:tcPr>
          <w:p w14:paraId="18ABB75E" w14:textId="77777777" w:rsidR="00DD6E32" w:rsidRPr="00DB3FE7" w:rsidRDefault="00DD6E32" w:rsidP="00035F43">
            <w:pPr>
              <w:pStyle w:val="Tabletext0"/>
              <w:rPr>
                <w:szCs w:val="20"/>
              </w:rPr>
            </w:pPr>
            <w:r w:rsidRPr="00DB3FE7">
              <w:rPr>
                <w:szCs w:val="20"/>
              </w:rPr>
              <w:t>0% discount rate</w:t>
            </w:r>
          </w:p>
        </w:tc>
        <w:tc>
          <w:tcPr>
            <w:tcW w:w="1269" w:type="dxa"/>
            <w:shd w:val="solid" w:color="000000" w:fill="000000"/>
            <w:tcMar>
              <w:top w:w="0" w:type="dxa"/>
              <w:left w:w="108" w:type="dxa"/>
              <w:bottom w:w="0" w:type="dxa"/>
              <w:right w:w="108" w:type="dxa"/>
            </w:tcMar>
          </w:tcPr>
          <w:p w14:paraId="0EA66286" w14:textId="18804FEF" w:rsidR="00DD6E32" w:rsidRPr="00DB3FE7" w:rsidRDefault="00544295" w:rsidP="00035F43">
            <w:pPr>
              <w:pStyle w:val="Tabletext0"/>
              <w:jc w:val="center"/>
              <w:rPr>
                <w:szCs w:val="20"/>
              </w:rPr>
            </w:pPr>
            <w:r w:rsidRPr="00C91ADA">
              <w:rPr>
                <w:color w:val="000000"/>
                <w:spacing w:val="61"/>
                <w:szCs w:val="20"/>
                <w:fitText w:val="356" w:id="-1233410816"/>
                <w14:textFill>
                  <w14:solidFill>
                    <w14:srgbClr w14:val="000000">
                      <w14:alpha w14:val="100000"/>
                    </w14:srgbClr>
                  </w14:solidFill>
                </w14:textFill>
              </w:rPr>
              <w:t>|||</w:t>
            </w:r>
            <w:r w:rsidRPr="00C91ADA">
              <w:rPr>
                <w:color w:val="000000"/>
                <w:spacing w:val="3"/>
                <w:szCs w:val="20"/>
                <w:fitText w:val="356" w:id="-1233410816"/>
                <w14:textFill>
                  <w14:solidFill>
                    <w14:srgbClr w14:val="000000">
                      <w14:alpha w14:val="100000"/>
                    </w14:srgbClr>
                  </w14:solidFill>
                </w14:textFill>
              </w:rPr>
              <w:t>|</w:t>
            </w:r>
          </w:p>
        </w:tc>
        <w:tc>
          <w:tcPr>
            <w:tcW w:w="1270" w:type="dxa"/>
            <w:tcMar>
              <w:top w:w="0" w:type="dxa"/>
              <w:left w:w="108" w:type="dxa"/>
              <w:bottom w:w="0" w:type="dxa"/>
              <w:right w:w="108" w:type="dxa"/>
            </w:tcMar>
          </w:tcPr>
          <w:p w14:paraId="201E6C33" w14:textId="77777777" w:rsidR="00DD6E32" w:rsidRPr="00DB3FE7" w:rsidRDefault="00DD6E32" w:rsidP="00035F43">
            <w:pPr>
              <w:pStyle w:val="Tabletext0"/>
              <w:jc w:val="center"/>
              <w:rPr>
                <w:szCs w:val="20"/>
              </w:rPr>
            </w:pPr>
            <w:r w:rsidRPr="00DB3FE7">
              <w:rPr>
                <w:szCs w:val="20"/>
              </w:rPr>
              <w:t>0.0757</w:t>
            </w:r>
          </w:p>
        </w:tc>
        <w:tc>
          <w:tcPr>
            <w:tcW w:w="1270" w:type="dxa"/>
            <w:tcMar>
              <w:top w:w="0" w:type="dxa"/>
              <w:left w:w="108" w:type="dxa"/>
              <w:bottom w:w="0" w:type="dxa"/>
              <w:right w:w="108" w:type="dxa"/>
            </w:tcMar>
          </w:tcPr>
          <w:p w14:paraId="4A2998E0" w14:textId="32E74C93" w:rsidR="00DD6E32" w:rsidRPr="00DB3FE7" w:rsidRDefault="00544295" w:rsidP="00035F43">
            <w:pPr>
              <w:pStyle w:val="Tabletext0"/>
              <w:jc w:val="center"/>
              <w:rPr>
                <w:szCs w:val="20"/>
              </w:rPr>
            </w:pPr>
            <w:r w:rsidRPr="00C91ADA">
              <w:rPr>
                <w:color w:val="000000"/>
                <w:spacing w:val="45"/>
                <w:szCs w:val="20"/>
                <w:shd w:val="solid" w:color="000000" w:fill="000000"/>
                <w:fitText w:val="219" w:id="-1233410815"/>
                <w14:textFill>
                  <w14:solidFill>
                    <w14:srgbClr w14:val="000000">
                      <w14:alpha w14:val="100000"/>
                    </w14:srgbClr>
                  </w14:solidFill>
                </w14:textFill>
              </w:rPr>
              <w:t>||</w:t>
            </w:r>
            <w:r w:rsidRPr="00C91ADA">
              <w:rPr>
                <w:color w:val="000000"/>
                <w:spacing w:val="2"/>
                <w:szCs w:val="20"/>
                <w:shd w:val="solid" w:color="000000" w:fill="000000"/>
                <w:fitText w:val="219" w:id="-1233410815"/>
                <w14:textFill>
                  <w14:solidFill>
                    <w14:srgbClr w14:val="000000">
                      <w14:alpha w14:val="100000"/>
                    </w14:srgbClr>
                  </w14:solidFill>
                </w14:textFill>
              </w:rPr>
              <w:t>|</w:t>
            </w:r>
            <w:r w:rsidR="00D37B6A" w:rsidRPr="00DB3FE7">
              <w:rPr>
                <w:b/>
                <w:bCs/>
                <w:szCs w:val="20"/>
                <w:vertAlign w:val="superscript"/>
              </w:rPr>
              <w:t>3</w:t>
            </w:r>
          </w:p>
        </w:tc>
        <w:tc>
          <w:tcPr>
            <w:tcW w:w="1396" w:type="dxa"/>
          </w:tcPr>
          <w:p w14:paraId="38DA93A1" w14:textId="77777777" w:rsidR="00DD6E32" w:rsidRPr="00DB3FE7" w:rsidRDefault="00DD6E32" w:rsidP="00035F43">
            <w:pPr>
              <w:pStyle w:val="Tabletext0"/>
              <w:jc w:val="center"/>
              <w:rPr>
                <w:szCs w:val="20"/>
              </w:rPr>
            </w:pPr>
            <w:r w:rsidRPr="00DB3FE7">
              <w:rPr>
                <w:szCs w:val="20"/>
              </w:rPr>
              <w:t>-82%</w:t>
            </w:r>
          </w:p>
        </w:tc>
      </w:tr>
      <w:tr w:rsidR="00DD6E32" w:rsidRPr="00DB3FE7" w14:paraId="2E493980" w14:textId="77777777" w:rsidTr="00035F43">
        <w:tc>
          <w:tcPr>
            <w:tcW w:w="9029" w:type="dxa"/>
            <w:gridSpan w:val="5"/>
            <w:tcMar>
              <w:top w:w="0" w:type="dxa"/>
              <w:left w:w="108" w:type="dxa"/>
              <w:bottom w:w="0" w:type="dxa"/>
              <w:right w:w="108" w:type="dxa"/>
            </w:tcMar>
            <w:hideMark/>
          </w:tcPr>
          <w:p w14:paraId="23D144CD" w14:textId="77777777" w:rsidR="00DD6E32" w:rsidRPr="00DB3FE7" w:rsidRDefault="00DD6E32" w:rsidP="00035F43">
            <w:pPr>
              <w:pStyle w:val="Tabletext0"/>
              <w:rPr>
                <w:szCs w:val="20"/>
              </w:rPr>
            </w:pPr>
            <w:r w:rsidRPr="00DB3FE7">
              <w:rPr>
                <w:b/>
                <w:bCs/>
                <w:szCs w:val="20"/>
              </w:rPr>
              <w:t>Time horizon (base case: lifetime)</w:t>
            </w:r>
          </w:p>
        </w:tc>
      </w:tr>
      <w:tr w:rsidR="00DD6E32" w:rsidRPr="00DB3FE7" w14:paraId="4ACF8BA5" w14:textId="77777777" w:rsidTr="00544295">
        <w:tc>
          <w:tcPr>
            <w:tcW w:w="3824" w:type="dxa"/>
            <w:tcMar>
              <w:top w:w="0" w:type="dxa"/>
              <w:left w:w="108" w:type="dxa"/>
              <w:bottom w:w="0" w:type="dxa"/>
              <w:right w:w="108" w:type="dxa"/>
            </w:tcMar>
            <w:hideMark/>
          </w:tcPr>
          <w:p w14:paraId="4A2FB2D9" w14:textId="77777777" w:rsidR="00DD6E32" w:rsidRPr="00DB3FE7" w:rsidRDefault="00DD6E32" w:rsidP="00035F43">
            <w:pPr>
              <w:pStyle w:val="Tabletext0"/>
              <w:rPr>
                <w:szCs w:val="20"/>
              </w:rPr>
            </w:pPr>
            <w:r w:rsidRPr="00DB3FE7">
              <w:rPr>
                <w:szCs w:val="20"/>
              </w:rPr>
              <w:t>10 years</w:t>
            </w:r>
          </w:p>
        </w:tc>
        <w:tc>
          <w:tcPr>
            <w:tcW w:w="1269" w:type="dxa"/>
            <w:tcBorders>
              <w:bottom w:val="single" w:sz="4" w:space="0" w:color="auto"/>
            </w:tcBorders>
            <w:shd w:val="solid" w:color="000000" w:fill="000000"/>
            <w:tcMar>
              <w:top w:w="0" w:type="dxa"/>
              <w:left w:w="108" w:type="dxa"/>
              <w:bottom w:w="0" w:type="dxa"/>
              <w:right w:w="108" w:type="dxa"/>
            </w:tcMar>
          </w:tcPr>
          <w:p w14:paraId="22ED1663" w14:textId="27E9773D" w:rsidR="00DD6E32" w:rsidRPr="00DB3FE7" w:rsidRDefault="00544295" w:rsidP="00035F43">
            <w:pPr>
              <w:pStyle w:val="Tabletext0"/>
              <w:jc w:val="center"/>
              <w:rPr>
                <w:szCs w:val="20"/>
              </w:rPr>
            </w:pPr>
            <w:r w:rsidRPr="00C91ADA">
              <w:rPr>
                <w:color w:val="000000"/>
                <w:spacing w:val="61"/>
                <w:szCs w:val="20"/>
                <w:fitText w:val="356" w:id="-1233410814"/>
                <w14:textFill>
                  <w14:solidFill>
                    <w14:srgbClr w14:val="000000">
                      <w14:alpha w14:val="100000"/>
                    </w14:srgbClr>
                  </w14:solidFill>
                </w14:textFill>
              </w:rPr>
              <w:t>|||</w:t>
            </w:r>
            <w:r w:rsidRPr="00C91ADA">
              <w:rPr>
                <w:color w:val="000000"/>
                <w:spacing w:val="3"/>
                <w:szCs w:val="20"/>
                <w:fitText w:val="356" w:id="-1233410814"/>
                <w14:textFill>
                  <w14:solidFill>
                    <w14:srgbClr w14:val="000000">
                      <w14:alpha w14:val="100000"/>
                    </w14:srgbClr>
                  </w14:solidFill>
                </w14:textFill>
              </w:rPr>
              <w:t>|</w:t>
            </w:r>
          </w:p>
        </w:tc>
        <w:tc>
          <w:tcPr>
            <w:tcW w:w="1270" w:type="dxa"/>
            <w:tcMar>
              <w:top w:w="0" w:type="dxa"/>
              <w:left w:w="108" w:type="dxa"/>
              <w:bottom w:w="0" w:type="dxa"/>
              <w:right w:w="108" w:type="dxa"/>
            </w:tcMar>
          </w:tcPr>
          <w:p w14:paraId="7C80887C" w14:textId="77777777" w:rsidR="00DD6E32" w:rsidRPr="00DB3FE7" w:rsidRDefault="00DD6E32" w:rsidP="00035F43">
            <w:pPr>
              <w:pStyle w:val="Tabletext0"/>
              <w:jc w:val="center"/>
              <w:rPr>
                <w:szCs w:val="20"/>
              </w:rPr>
            </w:pPr>
            <w:r w:rsidRPr="00DB3FE7">
              <w:rPr>
                <w:szCs w:val="20"/>
              </w:rPr>
              <w:t>0.0116</w:t>
            </w:r>
          </w:p>
        </w:tc>
        <w:tc>
          <w:tcPr>
            <w:tcW w:w="1270" w:type="dxa"/>
            <w:tcMar>
              <w:top w:w="0" w:type="dxa"/>
              <w:left w:w="108" w:type="dxa"/>
              <w:bottom w:w="0" w:type="dxa"/>
              <w:right w:w="108" w:type="dxa"/>
            </w:tcMar>
          </w:tcPr>
          <w:p w14:paraId="6A0109E9" w14:textId="3E79D208" w:rsidR="00DD6E32" w:rsidRPr="00DB3FE7" w:rsidRDefault="00544295" w:rsidP="00035F43">
            <w:pPr>
              <w:pStyle w:val="Tabletext0"/>
              <w:jc w:val="center"/>
              <w:rPr>
                <w:szCs w:val="20"/>
              </w:rPr>
            </w:pPr>
            <w:r w:rsidRPr="00C91ADA">
              <w:rPr>
                <w:color w:val="000000"/>
                <w:spacing w:val="45"/>
                <w:szCs w:val="20"/>
                <w:shd w:val="solid" w:color="000000" w:fill="000000"/>
                <w:fitText w:val="219" w:id="-1233410813"/>
                <w14:textFill>
                  <w14:solidFill>
                    <w14:srgbClr w14:val="000000">
                      <w14:alpha w14:val="100000"/>
                    </w14:srgbClr>
                  </w14:solidFill>
                </w14:textFill>
              </w:rPr>
              <w:t>||</w:t>
            </w:r>
            <w:r w:rsidRPr="00C91ADA">
              <w:rPr>
                <w:color w:val="000000"/>
                <w:spacing w:val="2"/>
                <w:szCs w:val="20"/>
                <w:shd w:val="solid" w:color="000000" w:fill="000000"/>
                <w:fitText w:val="219" w:id="-1233410813"/>
                <w14:textFill>
                  <w14:solidFill>
                    <w14:srgbClr w14:val="000000">
                      <w14:alpha w14:val="100000"/>
                    </w14:srgbClr>
                  </w14:solidFill>
                </w14:textFill>
              </w:rPr>
              <w:t>|</w:t>
            </w:r>
            <w:r w:rsidR="00D37B6A" w:rsidRPr="00DB3FE7">
              <w:rPr>
                <w:b/>
                <w:bCs/>
                <w:szCs w:val="20"/>
                <w:vertAlign w:val="superscript"/>
              </w:rPr>
              <w:t>4</w:t>
            </w:r>
          </w:p>
        </w:tc>
        <w:tc>
          <w:tcPr>
            <w:tcW w:w="1396" w:type="dxa"/>
          </w:tcPr>
          <w:p w14:paraId="44E61C11" w14:textId="77777777" w:rsidR="00DD6E32" w:rsidRPr="00DB3FE7" w:rsidRDefault="00DD6E32" w:rsidP="00035F43">
            <w:pPr>
              <w:pStyle w:val="Tabletext0"/>
              <w:jc w:val="center"/>
              <w:rPr>
                <w:szCs w:val="20"/>
              </w:rPr>
            </w:pPr>
            <w:r w:rsidRPr="00DB3FE7">
              <w:rPr>
                <w:szCs w:val="20"/>
              </w:rPr>
              <w:t>+315%</w:t>
            </w:r>
          </w:p>
        </w:tc>
      </w:tr>
      <w:tr w:rsidR="00DD6E32" w:rsidRPr="00DB3FE7" w14:paraId="4EEBBD82" w14:textId="77777777" w:rsidTr="00544295">
        <w:tc>
          <w:tcPr>
            <w:tcW w:w="3824" w:type="dxa"/>
            <w:tcMar>
              <w:top w:w="0" w:type="dxa"/>
              <w:left w:w="108" w:type="dxa"/>
              <w:bottom w:w="0" w:type="dxa"/>
              <w:right w:w="108" w:type="dxa"/>
            </w:tcMar>
            <w:hideMark/>
          </w:tcPr>
          <w:p w14:paraId="172D201F" w14:textId="77777777" w:rsidR="00DD6E32" w:rsidRPr="00DB3FE7" w:rsidRDefault="00DD6E32" w:rsidP="00035F43">
            <w:pPr>
              <w:pStyle w:val="Tabletext0"/>
              <w:rPr>
                <w:szCs w:val="20"/>
              </w:rPr>
            </w:pPr>
            <w:r w:rsidRPr="00DB3FE7">
              <w:rPr>
                <w:szCs w:val="20"/>
              </w:rPr>
              <w:t>20 years</w:t>
            </w:r>
          </w:p>
        </w:tc>
        <w:tc>
          <w:tcPr>
            <w:tcW w:w="1269" w:type="dxa"/>
            <w:shd w:val="solid" w:color="000000" w:fill="000000"/>
            <w:tcMar>
              <w:top w:w="0" w:type="dxa"/>
              <w:left w:w="108" w:type="dxa"/>
              <w:bottom w:w="0" w:type="dxa"/>
              <w:right w:w="108" w:type="dxa"/>
            </w:tcMar>
          </w:tcPr>
          <w:p w14:paraId="3935FD4F" w14:textId="56E7C231" w:rsidR="00DD6E32" w:rsidRPr="00DB3FE7" w:rsidRDefault="00544295" w:rsidP="00035F43">
            <w:pPr>
              <w:pStyle w:val="Tabletext0"/>
              <w:jc w:val="center"/>
              <w:rPr>
                <w:szCs w:val="20"/>
              </w:rPr>
            </w:pPr>
            <w:r w:rsidRPr="00C91ADA">
              <w:rPr>
                <w:color w:val="000000"/>
                <w:spacing w:val="61"/>
                <w:szCs w:val="20"/>
                <w:fitText w:val="356" w:id="-1233410812"/>
                <w14:textFill>
                  <w14:solidFill>
                    <w14:srgbClr w14:val="000000">
                      <w14:alpha w14:val="100000"/>
                    </w14:srgbClr>
                  </w14:solidFill>
                </w14:textFill>
              </w:rPr>
              <w:t>|||</w:t>
            </w:r>
            <w:r w:rsidRPr="00C91ADA">
              <w:rPr>
                <w:color w:val="000000"/>
                <w:spacing w:val="3"/>
                <w:szCs w:val="20"/>
                <w:fitText w:val="356" w:id="-1233410812"/>
                <w14:textFill>
                  <w14:solidFill>
                    <w14:srgbClr w14:val="000000">
                      <w14:alpha w14:val="100000"/>
                    </w14:srgbClr>
                  </w14:solidFill>
                </w14:textFill>
              </w:rPr>
              <w:t>|</w:t>
            </w:r>
          </w:p>
        </w:tc>
        <w:tc>
          <w:tcPr>
            <w:tcW w:w="1270" w:type="dxa"/>
            <w:tcMar>
              <w:top w:w="0" w:type="dxa"/>
              <w:left w:w="108" w:type="dxa"/>
              <w:bottom w:w="0" w:type="dxa"/>
              <w:right w:w="108" w:type="dxa"/>
            </w:tcMar>
          </w:tcPr>
          <w:p w14:paraId="67439471" w14:textId="77777777" w:rsidR="00DD6E32" w:rsidRPr="00DB3FE7" w:rsidRDefault="00DD6E32" w:rsidP="00035F43">
            <w:pPr>
              <w:pStyle w:val="Tabletext0"/>
              <w:jc w:val="center"/>
              <w:rPr>
                <w:szCs w:val="20"/>
              </w:rPr>
            </w:pPr>
            <w:r w:rsidRPr="00DB3FE7">
              <w:rPr>
                <w:szCs w:val="20"/>
              </w:rPr>
              <w:t>0.0278</w:t>
            </w:r>
          </w:p>
        </w:tc>
        <w:tc>
          <w:tcPr>
            <w:tcW w:w="1270" w:type="dxa"/>
            <w:tcMar>
              <w:top w:w="0" w:type="dxa"/>
              <w:left w:w="108" w:type="dxa"/>
              <w:bottom w:w="0" w:type="dxa"/>
              <w:right w:w="108" w:type="dxa"/>
            </w:tcMar>
          </w:tcPr>
          <w:p w14:paraId="26A29D9A" w14:textId="6D460061" w:rsidR="00DD6E32" w:rsidRPr="00DB3FE7" w:rsidRDefault="00544295" w:rsidP="00035F43">
            <w:pPr>
              <w:pStyle w:val="Tabletext0"/>
              <w:jc w:val="center"/>
              <w:rPr>
                <w:szCs w:val="20"/>
              </w:rPr>
            </w:pPr>
            <w:r w:rsidRPr="00C91ADA">
              <w:rPr>
                <w:color w:val="000000"/>
                <w:spacing w:val="45"/>
                <w:szCs w:val="20"/>
                <w:shd w:val="solid" w:color="000000" w:fill="000000"/>
                <w:fitText w:val="219" w:id="-1233410811"/>
                <w14:textFill>
                  <w14:solidFill>
                    <w14:srgbClr w14:val="000000">
                      <w14:alpha w14:val="100000"/>
                    </w14:srgbClr>
                  </w14:solidFill>
                </w14:textFill>
              </w:rPr>
              <w:t>||</w:t>
            </w:r>
            <w:r w:rsidRPr="00C91ADA">
              <w:rPr>
                <w:color w:val="000000"/>
                <w:spacing w:val="2"/>
                <w:szCs w:val="20"/>
                <w:shd w:val="solid" w:color="000000" w:fill="000000"/>
                <w:fitText w:val="219" w:id="-1233410811"/>
                <w14:textFill>
                  <w14:solidFill>
                    <w14:srgbClr w14:val="000000">
                      <w14:alpha w14:val="100000"/>
                    </w14:srgbClr>
                  </w14:solidFill>
                </w14:textFill>
              </w:rPr>
              <w:t>|</w:t>
            </w:r>
            <w:r w:rsidR="00D37B6A" w:rsidRPr="00DB3FE7">
              <w:rPr>
                <w:b/>
                <w:bCs/>
                <w:szCs w:val="20"/>
                <w:vertAlign w:val="superscript"/>
              </w:rPr>
              <w:t>6</w:t>
            </w:r>
          </w:p>
        </w:tc>
        <w:tc>
          <w:tcPr>
            <w:tcW w:w="1396" w:type="dxa"/>
          </w:tcPr>
          <w:p w14:paraId="4784DBA9" w14:textId="77777777" w:rsidR="00DD6E32" w:rsidRPr="00DB3FE7" w:rsidRDefault="00DD6E32" w:rsidP="00035F43">
            <w:pPr>
              <w:pStyle w:val="Tabletext0"/>
              <w:jc w:val="center"/>
              <w:rPr>
                <w:szCs w:val="20"/>
              </w:rPr>
            </w:pPr>
            <w:r w:rsidRPr="00DB3FE7">
              <w:rPr>
                <w:szCs w:val="20"/>
              </w:rPr>
              <w:t>+38%</w:t>
            </w:r>
          </w:p>
        </w:tc>
      </w:tr>
      <w:tr w:rsidR="00DD6E32" w:rsidRPr="00DB3FE7" w14:paraId="4654AC20" w14:textId="77777777" w:rsidTr="00035F43">
        <w:tc>
          <w:tcPr>
            <w:tcW w:w="9029" w:type="dxa"/>
            <w:gridSpan w:val="5"/>
            <w:tcMar>
              <w:top w:w="0" w:type="dxa"/>
              <w:left w:w="108" w:type="dxa"/>
              <w:bottom w:w="0" w:type="dxa"/>
              <w:right w:w="108" w:type="dxa"/>
            </w:tcMar>
          </w:tcPr>
          <w:p w14:paraId="44D1F945" w14:textId="77777777" w:rsidR="00DD6E32" w:rsidRPr="00DB3FE7" w:rsidRDefault="00DD6E32" w:rsidP="00035F43">
            <w:pPr>
              <w:pStyle w:val="Tabletext0"/>
              <w:rPr>
                <w:b/>
                <w:bCs/>
                <w:szCs w:val="20"/>
              </w:rPr>
            </w:pPr>
            <w:r w:rsidRPr="00DB3FE7">
              <w:rPr>
                <w:b/>
                <w:bCs/>
                <w:szCs w:val="20"/>
              </w:rPr>
              <w:t>Circumstances of use (base case: discontinuation rate for all treatments based on inclisiran discontinuation from the ORION 10/11 subgroup with ASCVD; assumed 100% annual uptake of evolocumab in PCSK9 eligible patients; assumed all patients discontinued ezetimibe after switching to evolocumab)</w:t>
            </w:r>
          </w:p>
        </w:tc>
      </w:tr>
      <w:tr w:rsidR="00DD6E32" w:rsidRPr="00DB3FE7" w14:paraId="4A2608B9" w14:textId="77777777" w:rsidTr="00544295">
        <w:tc>
          <w:tcPr>
            <w:tcW w:w="3824" w:type="dxa"/>
            <w:tcMar>
              <w:top w:w="0" w:type="dxa"/>
              <w:left w:w="108" w:type="dxa"/>
              <w:bottom w:w="0" w:type="dxa"/>
              <w:right w:w="108" w:type="dxa"/>
            </w:tcMar>
          </w:tcPr>
          <w:p w14:paraId="395C1C38" w14:textId="77777777" w:rsidR="00DD6E32" w:rsidRPr="00DB3FE7" w:rsidRDefault="00DD6E32" w:rsidP="00035F43">
            <w:pPr>
              <w:pStyle w:val="Tabletext0"/>
              <w:rPr>
                <w:szCs w:val="20"/>
              </w:rPr>
            </w:pPr>
            <w:r w:rsidRPr="00DB3FE7">
              <w:rPr>
                <w:szCs w:val="20"/>
              </w:rPr>
              <w:t xml:space="preserve">No discontinuation from any treatment </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1DB36CF5" w14:textId="70912182" w:rsidR="00DD6E32" w:rsidRPr="00DB3FE7" w:rsidRDefault="00544295" w:rsidP="00035F43">
            <w:pPr>
              <w:pStyle w:val="Tabletext0"/>
              <w:jc w:val="center"/>
              <w:rPr>
                <w:szCs w:val="20"/>
              </w:rPr>
            </w:pPr>
            <w:r w:rsidRPr="00C91ADA">
              <w:rPr>
                <w:color w:val="000000"/>
                <w:spacing w:val="61"/>
                <w:szCs w:val="20"/>
                <w:fitText w:val="356" w:id="-1233410810"/>
                <w14:textFill>
                  <w14:solidFill>
                    <w14:srgbClr w14:val="000000">
                      <w14:alpha w14:val="100000"/>
                    </w14:srgbClr>
                  </w14:solidFill>
                </w14:textFill>
              </w:rPr>
              <w:t>|||</w:t>
            </w:r>
            <w:r w:rsidRPr="00C91ADA">
              <w:rPr>
                <w:color w:val="000000"/>
                <w:spacing w:val="3"/>
                <w:szCs w:val="20"/>
                <w:fitText w:val="356" w:id="-1233410810"/>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0767B9F7" w14:textId="77777777" w:rsidR="00DD6E32" w:rsidRPr="00DB3FE7" w:rsidRDefault="00DD6E32" w:rsidP="00035F43">
            <w:pPr>
              <w:pStyle w:val="Tabletext0"/>
              <w:jc w:val="center"/>
              <w:rPr>
                <w:szCs w:val="20"/>
              </w:rPr>
            </w:pPr>
            <w:r w:rsidRPr="00DB3FE7">
              <w:rPr>
                <w:szCs w:val="20"/>
              </w:rPr>
              <w:t>0.0554</w:t>
            </w:r>
          </w:p>
        </w:tc>
        <w:tc>
          <w:tcPr>
            <w:tcW w:w="1270" w:type="dxa"/>
            <w:tcMar>
              <w:top w:w="0" w:type="dxa"/>
              <w:left w:w="108" w:type="dxa"/>
              <w:bottom w:w="0" w:type="dxa"/>
              <w:right w:w="108" w:type="dxa"/>
            </w:tcMar>
            <w:vAlign w:val="center"/>
          </w:tcPr>
          <w:p w14:paraId="3155ECBB" w14:textId="05515541" w:rsidR="00DD6E32" w:rsidRPr="00DB3FE7" w:rsidRDefault="00544295" w:rsidP="00035F43">
            <w:pPr>
              <w:pStyle w:val="Tabletext0"/>
              <w:jc w:val="center"/>
              <w:rPr>
                <w:szCs w:val="20"/>
                <w:highlight w:val="darkGray"/>
              </w:rPr>
            </w:pPr>
            <w:r w:rsidRPr="00C91ADA">
              <w:rPr>
                <w:color w:val="000000"/>
                <w:spacing w:val="45"/>
                <w:szCs w:val="20"/>
                <w:shd w:val="solid" w:color="000000" w:fill="000000"/>
                <w:fitText w:val="219" w:id="-1233410809"/>
                <w14:textFill>
                  <w14:solidFill>
                    <w14:srgbClr w14:val="000000">
                      <w14:alpha w14:val="100000"/>
                    </w14:srgbClr>
                  </w14:solidFill>
                </w14:textFill>
              </w:rPr>
              <w:t>||</w:t>
            </w:r>
            <w:r w:rsidRPr="00C91ADA">
              <w:rPr>
                <w:color w:val="000000"/>
                <w:spacing w:val="2"/>
                <w:szCs w:val="20"/>
                <w:shd w:val="solid" w:color="000000" w:fill="000000"/>
                <w:fitText w:val="219" w:id="-1233410809"/>
                <w14:textFill>
                  <w14:solidFill>
                    <w14:srgbClr w14:val="000000">
                      <w14:alpha w14:val="100000"/>
                    </w14:srgbClr>
                  </w14:solidFill>
                </w14:textFill>
              </w:rPr>
              <w:t>|</w:t>
            </w:r>
            <w:r w:rsidR="00D37B6A" w:rsidRPr="00DB3FE7">
              <w:rPr>
                <w:b/>
                <w:bCs/>
                <w:szCs w:val="20"/>
                <w:vertAlign w:val="superscript"/>
              </w:rPr>
              <w:t>1</w:t>
            </w:r>
          </w:p>
        </w:tc>
        <w:tc>
          <w:tcPr>
            <w:tcW w:w="1396" w:type="dxa"/>
            <w:vAlign w:val="center"/>
          </w:tcPr>
          <w:p w14:paraId="48679E05" w14:textId="77777777" w:rsidR="00DD6E32" w:rsidRPr="00DB3FE7" w:rsidRDefault="00DD6E32" w:rsidP="00035F43">
            <w:pPr>
              <w:pStyle w:val="Tabletext0"/>
              <w:jc w:val="center"/>
              <w:rPr>
                <w:szCs w:val="20"/>
              </w:rPr>
            </w:pPr>
            <w:r w:rsidRPr="00DB3FE7">
              <w:rPr>
                <w:szCs w:val="20"/>
              </w:rPr>
              <w:t>-6%</w:t>
            </w:r>
          </w:p>
        </w:tc>
      </w:tr>
      <w:tr w:rsidR="00DD6E32" w:rsidRPr="00DB3FE7" w14:paraId="28585258" w14:textId="77777777" w:rsidTr="00544295">
        <w:tc>
          <w:tcPr>
            <w:tcW w:w="3824" w:type="dxa"/>
            <w:tcMar>
              <w:top w:w="0" w:type="dxa"/>
              <w:left w:w="108" w:type="dxa"/>
              <w:bottom w:w="0" w:type="dxa"/>
              <w:right w:w="108" w:type="dxa"/>
            </w:tcMar>
          </w:tcPr>
          <w:p w14:paraId="3029720E" w14:textId="77777777" w:rsidR="00DD6E32" w:rsidRPr="00DB3FE7" w:rsidRDefault="00DD6E32" w:rsidP="00035F43">
            <w:pPr>
              <w:pStyle w:val="Tabletext0"/>
              <w:rPr>
                <w:szCs w:val="20"/>
              </w:rPr>
            </w:pPr>
            <w:r w:rsidRPr="00DB3FE7">
              <w:rPr>
                <w:szCs w:val="20"/>
              </w:rPr>
              <w:t>Discontinuation rate halved for all treatments</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41095C8D" w14:textId="524A6FE6" w:rsidR="00DD6E32" w:rsidRPr="00DB3FE7" w:rsidRDefault="00544295" w:rsidP="00035F43">
            <w:pPr>
              <w:pStyle w:val="Tabletext0"/>
              <w:jc w:val="center"/>
              <w:rPr>
                <w:szCs w:val="20"/>
              </w:rPr>
            </w:pPr>
            <w:r w:rsidRPr="00C91ADA">
              <w:rPr>
                <w:color w:val="000000"/>
                <w:spacing w:val="61"/>
                <w:szCs w:val="20"/>
                <w:fitText w:val="356" w:id="-1233410808"/>
                <w14:textFill>
                  <w14:solidFill>
                    <w14:srgbClr w14:val="000000">
                      <w14:alpha w14:val="100000"/>
                    </w14:srgbClr>
                  </w14:solidFill>
                </w14:textFill>
              </w:rPr>
              <w:t>|||</w:t>
            </w:r>
            <w:r w:rsidRPr="00C91ADA">
              <w:rPr>
                <w:color w:val="000000"/>
                <w:spacing w:val="3"/>
                <w:szCs w:val="20"/>
                <w:fitText w:val="356" w:id="-1233410808"/>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1F30626B" w14:textId="77777777" w:rsidR="00DD6E32" w:rsidRPr="00DB3FE7" w:rsidRDefault="00DD6E32" w:rsidP="00035F43">
            <w:pPr>
              <w:pStyle w:val="Tabletext0"/>
              <w:jc w:val="center"/>
              <w:rPr>
                <w:szCs w:val="20"/>
              </w:rPr>
            </w:pPr>
            <w:r w:rsidRPr="00DB3FE7">
              <w:rPr>
                <w:szCs w:val="20"/>
              </w:rPr>
              <w:t>0.0442</w:t>
            </w:r>
          </w:p>
        </w:tc>
        <w:tc>
          <w:tcPr>
            <w:tcW w:w="1270" w:type="dxa"/>
            <w:tcMar>
              <w:top w:w="0" w:type="dxa"/>
              <w:left w:w="108" w:type="dxa"/>
              <w:bottom w:w="0" w:type="dxa"/>
              <w:right w:w="108" w:type="dxa"/>
            </w:tcMar>
            <w:vAlign w:val="center"/>
          </w:tcPr>
          <w:p w14:paraId="1E3C6A81" w14:textId="186E5214" w:rsidR="00DD6E32" w:rsidRPr="00DB3FE7" w:rsidRDefault="00544295" w:rsidP="00035F43">
            <w:pPr>
              <w:pStyle w:val="Tabletext0"/>
              <w:jc w:val="center"/>
              <w:rPr>
                <w:szCs w:val="20"/>
                <w:highlight w:val="darkGray"/>
              </w:rPr>
            </w:pPr>
            <w:r w:rsidRPr="00C91ADA">
              <w:rPr>
                <w:color w:val="000000"/>
                <w:spacing w:val="45"/>
                <w:szCs w:val="20"/>
                <w:shd w:val="solid" w:color="000000" w:fill="000000"/>
                <w:fitText w:val="219" w:id="-1233410807"/>
                <w14:textFill>
                  <w14:solidFill>
                    <w14:srgbClr w14:val="000000">
                      <w14:alpha w14:val="100000"/>
                    </w14:srgbClr>
                  </w14:solidFill>
                </w14:textFill>
              </w:rPr>
              <w:t>||</w:t>
            </w:r>
            <w:r w:rsidRPr="00C91ADA">
              <w:rPr>
                <w:color w:val="000000"/>
                <w:spacing w:val="2"/>
                <w:szCs w:val="20"/>
                <w:shd w:val="solid" w:color="000000" w:fill="000000"/>
                <w:fitText w:val="219" w:id="-1233410807"/>
                <w14:textFill>
                  <w14:solidFill>
                    <w14:srgbClr w14:val="000000">
                      <w14:alpha w14:val="100000"/>
                    </w14:srgbClr>
                  </w14:solidFill>
                </w14:textFill>
              </w:rPr>
              <w:t>|</w:t>
            </w:r>
            <w:r w:rsidR="00D37B6A" w:rsidRPr="00DB3FE7">
              <w:rPr>
                <w:b/>
                <w:bCs/>
                <w:szCs w:val="20"/>
                <w:vertAlign w:val="superscript"/>
              </w:rPr>
              <w:t>1</w:t>
            </w:r>
          </w:p>
        </w:tc>
        <w:tc>
          <w:tcPr>
            <w:tcW w:w="1396" w:type="dxa"/>
            <w:vAlign w:val="center"/>
          </w:tcPr>
          <w:p w14:paraId="0ECEA338" w14:textId="77777777" w:rsidR="00DD6E32" w:rsidRPr="00DB3FE7" w:rsidRDefault="00DD6E32" w:rsidP="00035F43">
            <w:pPr>
              <w:pStyle w:val="Tabletext0"/>
              <w:jc w:val="center"/>
              <w:rPr>
                <w:szCs w:val="20"/>
              </w:rPr>
            </w:pPr>
            <w:r w:rsidRPr="00DB3FE7">
              <w:rPr>
                <w:szCs w:val="20"/>
              </w:rPr>
              <w:t>-3%</w:t>
            </w:r>
          </w:p>
        </w:tc>
      </w:tr>
      <w:tr w:rsidR="00DD6E32" w:rsidRPr="00DB3FE7" w14:paraId="4066A203" w14:textId="77777777" w:rsidTr="00544295">
        <w:tc>
          <w:tcPr>
            <w:tcW w:w="3824" w:type="dxa"/>
            <w:tcMar>
              <w:top w:w="0" w:type="dxa"/>
              <w:left w:w="108" w:type="dxa"/>
              <w:bottom w:w="0" w:type="dxa"/>
              <w:right w:w="108" w:type="dxa"/>
            </w:tcMar>
          </w:tcPr>
          <w:p w14:paraId="5F5BB9E2" w14:textId="77777777" w:rsidR="00DD6E32" w:rsidRPr="00DB3FE7" w:rsidRDefault="00DD6E32" w:rsidP="00035F43">
            <w:pPr>
              <w:pStyle w:val="Tabletext0"/>
              <w:rPr>
                <w:szCs w:val="20"/>
              </w:rPr>
            </w:pPr>
            <w:r w:rsidRPr="00DB3FE7">
              <w:rPr>
                <w:szCs w:val="20"/>
              </w:rPr>
              <w:t>Discontinuation rate doubled for all treatments</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5CF6EA9E" w14:textId="567CB1E2" w:rsidR="00DD6E32" w:rsidRPr="00DB3FE7" w:rsidRDefault="00544295" w:rsidP="00035F43">
            <w:pPr>
              <w:pStyle w:val="Tabletext0"/>
              <w:jc w:val="center"/>
              <w:rPr>
                <w:szCs w:val="20"/>
              </w:rPr>
            </w:pPr>
            <w:r w:rsidRPr="00C91ADA">
              <w:rPr>
                <w:color w:val="000000"/>
                <w:spacing w:val="61"/>
                <w:szCs w:val="20"/>
                <w:fitText w:val="356" w:id="-1233410806"/>
                <w14:textFill>
                  <w14:solidFill>
                    <w14:srgbClr w14:val="000000">
                      <w14:alpha w14:val="100000"/>
                    </w14:srgbClr>
                  </w14:solidFill>
                </w14:textFill>
              </w:rPr>
              <w:t>|||</w:t>
            </w:r>
            <w:r w:rsidRPr="00C91ADA">
              <w:rPr>
                <w:color w:val="000000"/>
                <w:spacing w:val="3"/>
                <w:szCs w:val="20"/>
                <w:fitText w:val="356" w:id="-1233410806"/>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07938F3C" w14:textId="77777777" w:rsidR="00DD6E32" w:rsidRPr="00DB3FE7" w:rsidRDefault="00DD6E32" w:rsidP="00035F43">
            <w:pPr>
              <w:pStyle w:val="Tabletext0"/>
              <w:jc w:val="center"/>
              <w:rPr>
                <w:szCs w:val="20"/>
              </w:rPr>
            </w:pPr>
            <w:r w:rsidRPr="00DB3FE7">
              <w:rPr>
                <w:szCs w:val="20"/>
              </w:rPr>
              <w:t>0.0229</w:t>
            </w:r>
          </w:p>
        </w:tc>
        <w:tc>
          <w:tcPr>
            <w:tcW w:w="1270" w:type="dxa"/>
            <w:tcMar>
              <w:top w:w="0" w:type="dxa"/>
              <w:left w:w="108" w:type="dxa"/>
              <w:bottom w:w="0" w:type="dxa"/>
              <w:right w:w="108" w:type="dxa"/>
            </w:tcMar>
            <w:vAlign w:val="center"/>
          </w:tcPr>
          <w:p w14:paraId="42EAB07C" w14:textId="3467111F" w:rsidR="00DD6E32" w:rsidRPr="00DB3FE7" w:rsidRDefault="00544295" w:rsidP="00035F43">
            <w:pPr>
              <w:pStyle w:val="Tabletext0"/>
              <w:jc w:val="center"/>
              <w:rPr>
                <w:szCs w:val="20"/>
                <w:highlight w:val="darkGray"/>
              </w:rPr>
            </w:pPr>
            <w:r w:rsidRPr="00C91ADA">
              <w:rPr>
                <w:color w:val="000000"/>
                <w:spacing w:val="160"/>
                <w:szCs w:val="20"/>
                <w:shd w:val="solid" w:color="000000" w:fill="000000"/>
                <w:fitText w:val="246" w:id="-1233410805"/>
                <w14:textFill>
                  <w14:solidFill>
                    <w14:srgbClr w14:val="000000">
                      <w14:alpha w14:val="100000"/>
                    </w14:srgbClr>
                  </w14:solidFill>
                </w14:textFill>
              </w:rPr>
              <w:t>|</w:t>
            </w:r>
            <w:r w:rsidRPr="00C91ADA">
              <w:rPr>
                <w:color w:val="000000"/>
                <w:szCs w:val="20"/>
                <w:shd w:val="solid" w:color="000000" w:fill="000000"/>
                <w:fitText w:val="246" w:id="-1233410805"/>
                <w14:textFill>
                  <w14:solidFill>
                    <w14:srgbClr w14:val="000000">
                      <w14:alpha w14:val="100000"/>
                    </w14:srgbClr>
                  </w14:solidFill>
                </w14:textFill>
              </w:rPr>
              <w:t>|</w:t>
            </w:r>
            <w:r w:rsidR="00D37B6A" w:rsidRPr="00DB3FE7">
              <w:rPr>
                <w:b/>
                <w:bCs/>
                <w:szCs w:val="20"/>
                <w:vertAlign w:val="superscript"/>
              </w:rPr>
              <w:t>1</w:t>
            </w:r>
            <w:r w:rsidR="0083060E" w:rsidRPr="00DB3FE7">
              <w:rPr>
                <w:b/>
                <w:bCs/>
                <w:szCs w:val="20"/>
                <w:vertAlign w:val="superscript"/>
              </w:rPr>
              <w:t>3</w:t>
            </w:r>
          </w:p>
        </w:tc>
        <w:tc>
          <w:tcPr>
            <w:tcW w:w="1396" w:type="dxa"/>
            <w:vAlign w:val="center"/>
          </w:tcPr>
          <w:p w14:paraId="40816E06" w14:textId="77777777" w:rsidR="00DD6E32" w:rsidRPr="00DB3FE7" w:rsidRDefault="00DD6E32" w:rsidP="00035F43">
            <w:pPr>
              <w:pStyle w:val="Tabletext0"/>
              <w:jc w:val="center"/>
              <w:rPr>
                <w:szCs w:val="20"/>
              </w:rPr>
            </w:pPr>
            <w:r w:rsidRPr="00DB3FE7">
              <w:rPr>
                <w:szCs w:val="20"/>
              </w:rPr>
              <w:t>+6%</w:t>
            </w:r>
          </w:p>
        </w:tc>
      </w:tr>
      <w:tr w:rsidR="00DD6E32" w:rsidRPr="00DB3FE7" w14:paraId="17B3757F" w14:textId="77777777" w:rsidTr="00544295">
        <w:tc>
          <w:tcPr>
            <w:tcW w:w="3824" w:type="dxa"/>
            <w:tcMar>
              <w:top w:w="0" w:type="dxa"/>
              <w:left w:w="108" w:type="dxa"/>
              <w:bottom w:w="0" w:type="dxa"/>
              <w:right w:w="108" w:type="dxa"/>
            </w:tcMar>
          </w:tcPr>
          <w:p w14:paraId="3C623205" w14:textId="77777777" w:rsidR="00DD6E32" w:rsidRPr="00DB3FE7" w:rsidRDefault="00DD6E32" w:rsidP="00035F43">
            <w:pPr>
              <w:pStyle w:val="Tabletext0"/>
              <w:rPr>
                <w:szCs w:val="20"/>
              </w:rPr>
            </w:pPr>
            <w:r w:rsidRPr="00DB3FE7">
              <w:rPr>
                <w:szCs w:val="20"/>
              </w:rPr>
              <w:t>Discontinuation rate halved for inclisiran only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1E25B6FF" w14:textId="7429D8F5" w:rsidR="00DD6E32" w:rsidRPr="00DB3FE7" w:rsidRDefault="00544295" w:rsidP="00035F43">
            <w:pPr>
              <w:pStyle w:val="Tabletext0"/>
              <w:jc w:val="center"/>
              <w:rPr>
                <w:szCs w:val="20"/>
              </w:rPr>
            </w:pPr>
            <w:r w:rsidRPr="00C91ADA">
              <w:rPr>
                <w:color w:val="000000"/>
                <w:spacing w:val="61"/>
                <w:szCs w:val="20"/>
                <w:fitText w:val="356" w:id="-1233410804"/>
                <w14:textFill>
                  <w14:solidFill>
                    <w14:srgbClr w14:val="000000">
                      <w14:alpha w14:val="100000"/>
                    </w14:srgbClr>
                  </w14:solidFill>
                </w14:textFill>
              </w:rPr>
              <w:t>|||</w:t>
            </w:r>
            <w:r w:rsidRPr="00C91ADA">
              <w:rPr>
                <w:color w:val="000000"/>
                <w:spacing w:val="3"/>
                <w:szCs w:val="20"/>
                <w:fitText w:val="356" w:id="-1233410804"/>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27EA0B90" w14:textId="77777777" w:rsidR="00DD6E32" w:rsidRPr="00DB3FE7" w:rsidRDefault="00DD6E32" w:rsidP="00035F43">
            <w:pPr>
              <w:pStyle w:val="Tabletext0"/>
              <w:jc w:val="center"/>
              <w:rPr>
                <w:szCs w:val="20"/>
              </w:rPr>
            </w:pPr>
            <w:r w:rsidRPr="00DB3FE7">
              <w:rPr>
                <w:szCs w:val="20"/>
              </w:rPr>
              <w:t>0.0775</w:t>
            </w:r>
          </w:p>
        </w:tc>
        <w:tc>
          <w:tcPr>
            <w:tcW w:w="1270" w:type="dxa"/>
            <w:tcMar>
              <w:top w:w="0" w:type="dxa"/>
              <w:left w:w="108" w:type="dxa"/>
              <w:bottom w:w="0" w:type="dxa"/>
              <w:right w:w="108" w:type="dxa"/>
            </w:tcMar>
            <w:vAlign w:val="center"/>
          </w:tcPr>
          <w:p w14:paraId="58CA4C42" w14:textId="5FB86094" w:rsidR="00DD6E32" w:rsidRPr="00DB3FE7" w:rsidRDefault="00544295" w:rsidP="00035F43">
            <w:pPr>
              <w:pStyle w:val="Tabletext0"/>
              <w:jc w:val="center"/>
              <w:rPr>
                <w:szCs w:val="20"/>
                <w:highlight w:val="darkGray"/>
              </w:rPr>
            </w:pPr>
            <w:r w:rsidRPr="00C91ADA">
              <w:rPr>
                <w:color w:val="000000"/>
                <w:spacing w:val="45"/>
                <w:szCs w:val="20"/>
                <w:shd w:val="solid" w:color="000000" w:fill="000000"/>
                <w:fitText w:val="219" w:id="-1233410803"/>
                <w14:textFill>
                  <w14:solidFill>
                    <w14:srgbClr w14:val="000000">
                      <w14:alpha w14:val="100000"/>
                    </w14:srgbClr>
                  </w14:solidFill>
                </w14:textFill>
              </w:rPr>
              <w:t>||</w:t>
            </w:r>
            <w:r w:rsidRPr="00C91ADA">
              <w:rPr>
                <w:color w:val="000000"/>
                <w:spacing w:val="2"/>
                <w:szCs w:val="20"/>
                <w:shd w:val="solid" w:color="000000" w:fill="000000"/>
                <w:fitText w:val="219" w:id="-1233410803"/>
                <w14:textFill>
                  <w14:solidFill>
                    <w14:srgbClr w14:val="000000">
                      <w14:alpha w14:val="100000"/>
                    </w14:srgbClr>
                  </w14:solidFill>
                </w14:textFill>
              </w:rPr>
              <w:t>|</w:t>
            </w:r>
            <w:r w:rsidR="008452AF" w:rsidRPr="00DB3FE7">
              <w:rPr>
                <w:b/>
                <w:bCs/>
                <w:szCs w:val="20"/>
                <w:vertAlign w:val="superscript"/>
              </w:rPr>
              <w:t>5</w:t>
            </w:r>
          </w:p>
        </w:tc>
        <w:tc>
          <w:tcPr>
            <w:tcW w:w="1396" w:type="dxa"/>
            <w:vAlign w:val="center"/>
          </w:tcPr>
          <w:p w14:paraId="63DC5B9D" w14:textId="77777777" w:rsidR="00DD6E32" w:rsidRPr="00DB3FE7" w:rsidRDefault="00DD6E32" w:rsidP="00035F43">
            <w:pPr>
              <w:pStyle w:val="Tabletext0"/>
              <w:jc w:val="center"/>
              <w:rPr>
                <w:szCs w:val="20"/>
              </w:rPr>
            </w:pPr>
            <w:r w:rsidRPr="00DB3FE7">
              <w:rPr>
                <w:szCs w:val="20"/>
              </w:rPr>
              <w:t>+61%</w:t>
            </w:r>
          </w:p>
        </w:tc>
      </w:tr>
      <w:tr w:rsidR="00DD6E32" w:rsidRPr="00DB3FE7" w14:paraId="75B340B4" w14:textId="77777777" w:rsidTr="00544295">
        <w:tc>
          <w:tcPr>
            <w:tcW w:w="3824" w:type="dxa"/>
            <w:tcMar>
              <w:top w:w="0" w:type="dxa"/>
              <w:left w:w="108" w:type="dxa"/>
              <w:bottom w:w="0" w:type="dxa"/>
              <w:right w:w="108" w:type="dxa"/>
            </w:tcMar>
          </w:tcPr>
          <w:p w14:paraId="5AAF4C59" w14:textId="77777777" w:rsidR="00DD6E32" w:rsidRPr="00DB3FE7" w:rsidRDefault="00DD6E32" w:rsidP="00035F43">
            <w:pPr>
              <w:pStyle w:val="Tabletext0"/>
              <w:rPr>
                <w:szCs w:val="20"/>
              </w:rPr>
            </w:pPr>
            <w:r w:rsidRPr="00DB3FE7">
              <w:rPr>
                <w:szCs w:val="20"/>
              </w:rPr>
              <w:t>Discontinuation rate doubled for inclisiran only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1210C98D" w14:textId="14B94CAC" w:rsidR="00DD6E32" w:rsidRPr="00DB3FE7" w:rsidRDefault="00544295" w:rsidP="00035F43">
            <w:pPr>
              <w:pStyle w:val="Tabletext0"/>
              <w:jc w:val="center"/>
              <w:rPr>
                <w:szCs w:val="20"/>
              </w:rPr>
            </w:pPr>
            <w:r w:rsidRPr="00C91ADA">
              <w:rPr>
                <w:color w:val="000000"/>
                <w:spacing w:val="61"/>
                <w:szCs w:val="20"/>
                <w:fitText w:val="356" w:id="-1233410802"/>
                <w14:textFill>
                  <w14:solidFill>
                    <w14:srgbClr w14:val="000000">
                      <w14:alpha w14:val="100000"/>
                    </w14:srgbClr>
                  </w14:solidFill>
                </w14:textFill>
              </w:rPr>
              <w:t>|||</w:t>
            </w:r>
            <w:r w:rsidRPr="00C91ADA">
              <w:rPr>
                <w:color w:val="000000"/>
                <w:spacing w:val="3"/>
                <w:szCs w:val="20"/>
                <w:fitText w:val="356" w:id="-1233410802"/>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2910EA2F" w14:textId="77777777" w:rsidR="00DD6E32" w:rsidRPr="00DB3FE7" w:rsidRDefault="00DD6E32" w:rsidP="00035F43">
            <w:pPr>
              <w:pStyle w:val="Tabletext0"/>
              <w:jc w:val="center"/>
              <w:rPr>
                <w:szCs w:val="20"/>
              </w:rPr>
            </w:pPr>
            <w:r w:rsidRPr="00DB3FE7">
              <w:rPr>
                <w:szCs w:val="20"/>
              </w:rPr>
              <w:t>-0.0266</w:t>
            </w:r>
          </w:p>
        </w:tc>
        <w:tc>
          <w:tcPr>
            <w:tcW w:w="1270" w:type="dxa"/>
            <w:tcMar>
              <w:top w:w="0" w:type="dxa"/>
              <w:left w:w="108" w:type="dxa"/>
              <w:bottom w:w="0" w:type="dxa"/>
              <w:right w:w="108" w:type="dxa"/>
            </w:tcMar>
            <w:vAlign w:val="center"/>
          </w:tcPr>
          <w:p w14:paraId="08F4DD40" w14:textId="427C3281" w:rsidR="00DD6E32" w:rsidRPr="00DB3FE7" w:rsidRDefault="00DD6E32" w:rsidP="00035F43">
            <w:pPr>
              <w:pStyle w:val="Tabletext0"/>
              <w:jc w:val="center"/>
              <w:rPr>
                <w:szCs w:val="20"/>
                <w:highlight w:val="darkGray"/>
              </w:rPr>
            </w:pPr>
            <w:r w:rsidRPr="00DB3FE7">
              <w:rPr>
                <w:szCs w:val="20"/>
              </w:rPr>
              <w:t>-</w:t>
            </w:r>
            <w:r w:rsidR="00544295" w:rsidRPr="00C91ADA">
              <w:rPr>
                <w:color w:val="000000"/>
                <w:spacing w:val="56"/>
                <w:szCs w:val="20"/>
                <w:shd w:val="solid" w:color="000000" w:fill="000000"/>
                <w:fitText w:val="538" w:id="-1233410801"/>
                <w14:textFill>
                  <w14:solidFill>
                    <w14:srgbClr w14:val="000000">
                      <w14:alpha w14:val="100000"/>
                    </w14:srgbClr>
                  </w14:solidFill>
                </w14:textFill>
              </w:rPr>
              <w:t>|||||</w:t>
            </w:r>
            <w:r w:rsidR="00544295" w:rsidRPr="00C91ADA">
              <w:rPr>
                <w:color w:val="000000"/>
                <w:spacing w:val="3"/>
                <w:szCs w:val="20"/>
                <w:shd w:val="solid" w:color="000000" w:fill="000000"/>
                <w:fitText w:val="538" w:id="-1233410801"/>
                <w14:textFill>
                  <w14:solidFill>
                    <w14:srgbClr w14:val="000000">
                      <w14:alpha w14:val="100000"/>
                    </w14:srgbClr>
                  </w14:solidFill>
                </w14:textFill>
              </w:rPr>
              <w:t>|</w:t>
            </w:r>
            <w:r w:rsidR="008452AF" w:rsidRPr="00DB3FE7">
              <w:rPr>
                <w:b/>
                <w:bCs/>
                <w:szCs w:val="20"/>
                <w:vertAlign w:val="superscript"/>
              </w:rPr>
              <w:t>4</w:t>
            </w:r>
            <w:r w:rsidR="00544295" w:rsidRPr="00C91ADA">
              <w:rPr>
                <w:color w:val="000000"/>
                <w:spacing w:val="56"/>
                <w:szCs w:val="20"/>
                <w:shd w:val="solid" w:color="000000" w:fill="000000"/>
                <w:fitText w:val="538" w:id="-1233410800"/>
                <w14:textFill>
                  <w14:solidFill>
                    <w14:srgbClr w14:val="000000">
                      <w14:alpha w14:val="100000"/>
                    </w14:srgbClr>
                  </w14:solidFill>
                </w14:textFill>
              </w:rPr>
              <w:t>|||||</w:t>
            </w:r>
            <w:r w:rsidR="00544295" w:rsidRPr="00C91ADA">
              <w:rPr>
                <w:color w:val="000000"/>
                <w:spacing w:val="3"/>
                <w:szCs w:val="20"/>
                <w:shd w:val="solid" w:color="000000" w:fill="000000"/>
                <w:fitText w:val="538" w:id="-1233410800"/>
                <w14:textFill>
                  <w14:solidFill>
                    <w14:srgbClr w14:val="000000">
                      <w14:alpha w14:val="100000"/>
                    </w14:srgbClr>
                  </w14:solidFill>
                </w14:textFill>
              </w:rPr>
              <w:t>|</w:t>
            </w:r>
          </w:p>
        </w:tc>
        <w:tc>
          <w:tcPr>
            <w:tcW w:w="1396" w:type="dxa"/>
            <w:vAlign w:val="center"/>
          </w:tcPr>
          <w:p w14:paraId="34D8A15D" w14:textId="77777777" w:rsidR="00DD6E32" w:rsidRPr="00DB3FE7" w:rsidRDefault="00DD6E32" w:rsidP="00035F43">
            <w:pPr>
              <w:pStyle w:val="Tabletext0"/>
              <w:jc w:val="center"/>
              <w:rPr>
                <w:szCs w:val="20"/>
              </w:rPr>
            </w:pPr>
            <w:r w:rsidRPr="00DB3FE7">
              <w:rPr>
                <w:szCs w:val="20"/>
              </w:rPr>
              <w:t>NE</w:t>
            </w:r>
          </w:p>
        </w:tc>
      </w:tr>
      <w:tr w:rsidR="00DD6E32" w:rsidRPr="00DB3FE7" w14:paraId="135CC93E" w14:textId="77777777" w:rsidTr="00544295">
        <w:tc>
          <w:tcPr>
            <w:tcW w:w="3824" w:type="dxa"/>
            <w:tcMar>
              <w:top w:w="0" w:type="dxa"/>
              <w:left w:w="108" w:type="dxa"/>
              <w:bottom w:w="0" w:type="dxa"/>
              <w:right w:w="108" w:type="dxa"/>
            </w:tcMar>
          </w:tcPr>
          <w:p w14:paraId="78C62403" w14:textId="77777777" w:rsidR="00DD6E32" w:rsidRPr="00DB3FE7" w:rsidRDefault="00DD6E32" w:rsidP="00035F43">
            <w:pPr>
              <w:pStyle w:val="Tabletext0"/>
              <w:rPr>
                <w:szCs w:val="20"/>
              </w:rPr>
            </w:pPr>
            <w:r w:rsidRPr="00DB3FE7">
              <w:rPr>
                <w:szCs w:val="20"/>
              </w:rPr>
              <w:t>Discontinuation rate halved for comparator therapies only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64607336" w14:textId="7BE08063" w:rsidR="00DD6E32" w:rsidRPr="00DB3FE7" w:rsidRDefault="00544295" w:rsidP="00035F43">
            <w:pPr>
              <w:pStyle w:val="Tabletext0"/>
              <w:jc w:val="center"/>
              <w:rPr>
                <w:szCs w:val="20"/>
              </w:rPr>
            </w:pPr>
            <w:r w:rsidRPr="00C91ADA">
              <w:rPr>
                <w:color w:val="000000"/>
                <w:spacing w:val="58"/>
                <w:szCs w:val="20"/>
                <w:fitText w:val="347" w:id="-1233410816"/>
                <w14:textFill>
                  <w14:solidFill>
                    <w14:srgbClr w14:val="000000">
                      <w14:alpha w14:val="100000"/>
                    </w14:srgbClr>
                  </w14:solidFill>
                </w14:textFill>
              </w:rPr>
              <w:t>|||</w:t>
            </w:r>
            <w:r w:rsidRPr="00C91ADA">
              <w:rPr>
                <w:color w:val="000000"/>
                <w:spacing w:val="3"/>
                <w:szCs w:val="20"/>
                <w:fitText w:val="347" w:id="-1233410816"/>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6330BCA6" w14:textId="77777777" w:rsidR="00DD6E32" w:rsidRPr="00DB3FE7" w:rsidRDefault="00DD6E32" w:rsidP="00035F43">
            <w:pPr>
              <w:pStyle w:val="Tabletext0"/>
              <w:jc w:val="center"/>
              <w:rPr>
                <w:szCs w:val="20"/>
              </w:rPr>
            </w:pPr>
            <w:r w:rsidRPr="00DB3FE7">
              <w:rPr>
                <w:szCs w:val="20"/>
              </w:rPr>
              <w:t>0.0023</w:t>
            </w:r>
          </w:p>
        </w:tc>
        <w:tc>
          <w:tcPr>
            <w:tcW w:w="1270" w:type="dxa"/>
            <w:tcMar>
              <w:top w:w="0" w:type="dxa"/>
              <w:left w:w="108" w:type="dxa"/>
              <w:bottom w:w="0" w:type="dxa"/>
              <w:right w:w="108" w:type="dxa"/>
            </w:tcMar>
            <w:vAlign w:val="center"/>
          </w:tcPr>
          <w:p w14:paraId="5FC22AEF" w14:textId="77777777" w:rsidR="00DD6E32" w:rsidRPr="00DB3FE7" w:rsidRDefault="00DD6E32" w:rsidP="00035F43">
            <w:pPr>
              <w:pStyle w:val="Tabletext0"/>
              <w:jc w:val="center"/>
              <w:rPr>
                <w:szCs w:val="20"/>
              </w:rPr>
            </w:pPr>
            <w:r w:rsidRPr="00DB3FE7">
              <w:rPr>
                <w:szCs w:val="20"/>
              </w:rPr>
              <w:t>Dominant</w:t>
            </w:r>
          </w:p>
        </w:tc>
        <w:tc>
          <w:tcPr>
            <w:tcW w:w="1396" w:type="dxa"/>
            <w:vAlign w:val="center"/>
          </w:tcPr>
          <w:p w14:paraId="36F5EB9D" w14:textId="77777777" w:rsidR="00DD6E32" w:rsidRPr="00DB3FE7" w:rsidRDefault="00DD6E32" w:rsidP="00035F43">
            <w:pPr>
              <w:pStyle w:val="Tabletext0"/>
              <w:jc w:val="center"/>
              <w:rPr>
                <w:szCs w:val="20"/>
              </w:rPr>
            </w:pPr>
            <w:r w:rsidRPr="00DB3FE7">
              <w:rPr>
                <w:szCs w:val="20"/>
              </w:rPr>
              <w:t>NE</w:t>
            </w:r>
          </w:p>
        </w:tc>
      </w:tr>
      <w:tr w:rsidR="00DD6E32" w:rsidRPr="00DB3FE7" w14:paraId="3449986E" w14:textId="77777777" w:rsidTr="00544295">
        <w:tc>
          <w:tcPr>
            <w:tcW w:w="3824" w:type="dxa"/>
            <w:tcMar>
              <w:top w:w="0" w:type="dxa"/>
              <w:left w:w="108" w:type="dxa"/>
              <w:bottom w:w="0" w:type="dxa"/>
              <w:right w:w="108" w:type="dxa"/>
            </w:tcMar>
          </w:tcPr>
          <w:p w14:paraId="69A115E1" w14:textId="77777777" w:rsidR="00DD6E32" w:rsidRPr="00DB3FE7" w:rsidRDefault="00DD6E32" w:rsidP="00035F43">
            <w:pPr>
              <w:pStyle w:val="Tabletext0"/>
              <w:rPr>
                <w:szCs w:val="20"/>
              </w:rPr>
            </w:pPr>
            <w:r w:rsidRPr="00DB3FE7">
              <w:rPr>
                <w:szCs w:val="20"/>
              </w:rPr>
              <w:t>Discontinuation rate doubled for comparator therapies only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63D14814" w14:textId="69008868" w:rsidR="00DD6E32" w:rsidRPr="00DB3FE7" w:rsidRDefault="00544295" w:rsidP="00035F43">
            <w:pPr>
              <w:pStyle w:val="Tabletext0"/>
              <w:jc w:val="center"/>
              <w:rPr>
                <w:szCs w:val="20"/>
              </w:rPr>
            </w:pPr>
            <w:r w:rsidRPr="00C91ADA">
              <w:rPr>
                <w:color w:val="000000"/>
                <w:spacing w:val="58"/>
                <w:szCs w:val="20"/>
                <w:fitText w:val="347" w:id="-1233410815"/>
                <w14:textFill>
                  <w14:solidFill>
                    <w14:srgbClr w14:val="000000">
                      <w14:alpha w14:val="100000"/>
                    </w14:srgbClr>
                  </w14:solidFill>
                </w14:textFill>
              </w:rPr>
              <w:t>|||</w:t>
            </w:r>
            <w:r w:rsidRPr="00C91ADA">
              <w:rPr>
                <w:color w:val="000000"/>
                <w:spacing w:val="3"/>
                <w:szCs w:val="20"/>
                <w:fitText w:val="347" w:id="-1233410815"/>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6EC72452" w14:textId="77777777" w:rsidR="00DD6E32" w:rsidRPr="00DB3FE7" w:rsidRDefault="00DD6E32" w:rsidP="00035F43">
            <w:pPr>
              <w:pStyle w:val="Tabletext0"/>
              <w:jc w:val="center"/>
              <w:rPr>
                <w:szCs w:val="20"/>
              </w:rPr>
            </w:pPr>
            <w:r w:rsidRPr="00DB3FE7">
              <w:rPr>
                <w:szCs w:val="20"/>
              </w:rPr>
              <w:t>0.0849</w:t>
            </w:r>
          </w:p>
        </w:tc>
        <w:tc>
          <w:tcPr>
            <w:tcW w:w="1270" w:type="dxa"/>
            <w:tcMar>
              <w:top w:w="0" w:type="dxa"/>
              <w:left w:w="108" w:type="dxa"/>
              <w:bottom w:w="0" w:type="dxa"/>
              <w:right w:w="108" w:type="dxa"/>
            </w:tcMar>
            <w:vAlign w:val="center"/>
          </w:tcPr>
          <w:p w14:paraId="68C93DB2" w14:textId="211FDE0B" w:rsidR="00DD6E32" w:rsidRPr="00DB3FE7" w:rsidRDefault="00544295" w:rsidP="00035F43">
            <w:pPr>
              <w:pStyle w:val="Tabletext0"/>
              <w:jc w:val="center"/>
              <w:rPr>
                <w:szCs w:val="20"/>
                <w:highlight w:val="darkGray"/>
              </w:rPr>
            </w:pPr>
            <w:r w:rsidRPr="00C91ADA">
              <w:rPr>
                <w:color w:val="000000"/>
                <w:spacing w:val="55"/>
                <w:szCs w:val="20"/>
                <w:shd w:val="solid" w:color="000000" w:fill="000000"/>
                <w:fitText w:val="337" w:id="-1233410814"/>
                <w14:textFill>
                  <w14:solidFill>
                    <w14:srgbClr w14:val="000000">
                      <w14:alpha w14:val="100000"/>
                    </w14:srgbClr>
                  </w14:solidFill>
                </w14:textFill>
              </w:rPr>
              <w:t>|||</w:t>
            </w:r>
            <w:r w:rsidRPr="00C91ADA">
              <w:rPr>
                <w:color w:val="000000"/>
                <w:spacing w:val="2"/>
                <w:szCs w:val="20"/>
                <w:shd w:val="solid" w:color="000000" w:fill="000000"/>
                <w:fitText w:val="337" w:id="-1233410814"/>
                <w14:textFill>
                  <w14:solidFill>
                    <w14:srgbClr w14:val="000000">
                      <w14:alpha w14:val="100000"/>
                    </w14:srgbClr>
                  </w14:solidFill>
                </w14:textFill>
              </w:rPr>
              <w:t>|</w:t>
            </w:r>
            <w:r w:rsidR="008452AF" w:rsidRPr="00DB3FE7">
              <w:rPr>
                <w:b/>
                <w:bCs/>
                <w:szCs w:val="20"/>
                <w:vertAlign w:val="superscript"/>
              </w:rPr>
              <w:t>6</w:t>
            </w:r>
          </w:p>
        </w:tc>
        <w:tc>
          <w:tcPr>
            <w:tcW w:w="1396" w:type="dxa"/>
            <w:vAlign w:val="center"/>
          </w:tcPr>
          <w:p w14:paraId="0B50C2B0" w14:textId="77777777" w:rsidR="00DD6E32" w:rsidRPr="00DB3FE7" w:rsidRDefault="00DD6E32" w:rsidP="00035F43">
            <w:pPr>
              <w:pStyle w:val="Tabletext0"/>
              <w:jc w:val="center"/>
              <w:rPr>
                <w:szCs w:val="20"/>
              </w:rPr>
            </w:pPr>
            <w:r w:rsidRPr="00DB3FE7">
              <w:rPr>
                <w:szCs w:val="20"/>
              </w:rPr>
              <w:t>+89%</w:t>
            </w:r>
          </w:p>
        </w:tc>
      </w:tr>
      <w:tr w:rsidR="00DD6E32" w:rsidRPr="00DB3FE7" w14:paraId="26E44E4E" w14:textId="77777777" w:rsidTr="00544295">
        <w:tc>
          <w:tcPr>
            <w:tcW w:w="3824" w:type="dxa"/>
            <w:tcMar>
              <w:top w:w="0" w:type="dxa"/>
              <w:left w:w="108" w:type="dxa"/>
              <w:bottom w:w="0" w:type="dxa"/>
              <w:right w:w="108" w:type="dxa"/>
            </w:tcMar>
          </w:tcPr>
          <w:p w14:paraId="06697A2C" w14:textId="77777777" w:rsidR="00DD6E32" w:rsidRPr="00DB3FE7" w:rsidRDefault="00DD6E32" w:rsidP="00035F43">
            <w:pPr>
              <w:pStyle w:val="Tabletext0"/>
              <w:rPr>
                <w:szCs w:val="20"/>
              </w:rPr>
            </w:pPr>
            <w:r w:rsidRPr="00DB3FE7">
              <w:rPr>
                <w:szCs w:val="20"/>
              </w:rPr>
              <w:t>75% annual uptake of evolocumab in PCSK9 eligible patients</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1780A508" w14:textId="24D96743" w:rsidR="00DD6E32" w:rsidRPr="00DB3FE7" w:rsidRDefault="00544295" w:rsidP="00035F43">
            <w:pPr>
              <w:pStyle w:val="Tabletext0"/>
              <w:jc w:val="center"/>
              <w:rPr>
                <w:szCs w:val="20"/>
              </w:rPr>
            </w:pPr>
            <w:r w:rsidRPr="00C91ADA">
              <w:rPr>
                <w:color w:val="000000"/>
                <w:spacing w:val="58"/>
                <w:szCs w:val="20"/>
                <w:fitText w:val="347" w:id="-1233410813"/>
                <w14:textFill>
                  <w14:solidFill>
                    <w14:srgbClr w14:val="000000">
                      <w14:alpha w14:val="100000"/>
                    </w14:srgbClr>
                  </w14:solidFill>
                </w14:textFill>
              </w:rPr>
              <w:t>|||</w:t>
            </w:r>
            <w:r w:rsidRPr="00C91ADA">
              <w:rPr>
                <w:color w:val="000000"/>
                <w:spacing w:val="3"/>
                <w:szCs w:val="20"/>
                <w:fitText w:val="347" w:id="-1233410813"/>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3D47DC7A" w14:textId="77777777" w:rsidR="00DD6E32" w:rsidRPr="00DB3FE7" w:rsidRDefault="00DD6E32" w:rsidP="00035F43">
            <w:pPr>
              <w:pStyle w:val="Tabletext0"/>
              <w:jc w:val="center"/>
              <w:rPr>
                <w:szCs w:val="20"/>
              </w:rPr>
            </w:pPr>
            <w:r w:rsidRPr="00DB3FE7">
              <w:rPr>
                <w:szCs w:val="20"/>
              </w:rPr>
              <w:t>0.0379</w:t>
            </w:r>
          </w:p>
        </w:tc>
        <w:tc>
          <w:tcPr>
            <w:tcW w:w="1270" w:type="dxa"/>
            <w:tcMar>
              <w:top w:w="0" w:type="dxa"/>
              <w:left w:w="108" w:type="dxa"/>
              <w:bottom w:w="0" w:type="dxa"/>
              <w:right w:w="108" w:type="dxa"/>
            </w:tcMar>
            <w:vAlign w:val="center"/>
          </w:tcPr>
          <w:p w14:paraId="08E2137C" w14:textId="711F6AD3" w:rsidR="00DD6E32" w:rsidRPr="00DB3FE7" w:rsidRDefault="00544295" w:rsidP="00035F43">
            <w:pPr>
              <w:pStyle w:val="Tabletext0"/>
              <w:jc w:val="center"/>
              <w:rPr>
                <w:szCs w:val="20"/>
                <w:highlight w:val="darkGray"/>
              </w:rPr>
            </w:pPr>
            <w:r w:rsidRPr="00C91ADA">
              <w:rPr>
                <w:color w:val="000000"/>
                <w:spacing w:val="55"/>
                <w:szCs w:val="20"/>
                <w:shd w:val="solid" w:color="000000" w:fill="000000"/>
                <w:fitText w:val="337" w:id="-1233410812"/>
                <w14:textFill>
                  <w14:solidFill>
                    <w14:srgbClr w14:val="000000">
                      <w14:alpha w14:val="100000"/>
                    </w14:srgbClr>
                  </w14:solidFill>
                </w14:textFill>
              </w:rPr>
              <w:t>|||</w:t>
            </w:r>
            <w:r w:rsidRPr="00C91ADA">
              <w:rPr>
                <w:color w:val="000000"/>
                <w:spacing w:val="2"/>
                <w:szCs w:val="20"/>
                <w:shd w:val="solid" w:color="000000" w:fill="000000"/>
                <w:fitText w:val="337" w:id="-1233410812"/>
                <w14:textFill>
                  <w14:solidFill>
                    <w14:srgbClr w14:val="000000">
                      <w14:alpha w14:val="100000"/>
                    </w14:srgbClr>
                  </w14:solidFill>
                </w14:textFill>
              </w:rPr>
              <w:t>|</w:t>
            </w:r>
            <w:r w:rsidR="008452AF" w:rsidRPr="00DB3FE7">
              <w:rPr>
                <w:b/>
                <w:bCs/>
                <w:szCs w:val="20"/>
                <w:vertAlign w:val="superscript"/>
              </w:rPr>
              <w:t>5</w:t>
            </w:r>
          </w:p>
        </w:tc>
        <w:tc>
          <w:tcPr>
            <w:tcW w:w="1396" w:type="dxa"/>
            <w:vAlign w:val="center"/>
          </w:tcPr>
          <w:p w14:paraId="64122362" w14:textId="77777777" w:rsidR="00DD6E32" w:rsidRPr="00DB3FE7" w:rsidRDefault="00DD6E32" w:rsidP="00035F43">
            <w:pPr>
              <w:pStyle w:val="Tabletext0"/>
              <w:jc w:val="center"/>
              <w:rPr>
                <w:szCs w:val="20"/>
              </w:rPr>
            </w:pPr>
            <w:r w:rsidRPr="00DB3FE7">
              <w:rPr>
                <w:szCs w:val="20"/>
              </w:rPr>
              <w:t>+61%</w:t>
            </w:r>
          </w:p>
        </w:tc>
      </w:tr>
      <w:tr w:rsidR="00DD6E32" w:rsidRPr="00DB3FE7" w14:paraId="652CFFDA" w14:textId="77777777" w:rsidTr="00544295">
        <w:tc>
          <w:tcPr>
            <w:tcW w:w="3824" w:type="dxa"/>
            <w:tcMar>
              <w:top w:w="0" w:type="dxa"/>
              <w:left w:w="108" w:type="dxa"/>
              <w:bottom w:w="0" w:type="dxa"/>
              <w:right w:w="108" w:type="dxa"/>
            </w:tcMar>
          </w:tcPr>
          <w:p w14:paraId="1F9CC8CD" w14:textId="77777777" w:rsidR="00DD6E32" w:rsidRPr="00DB3FE7" w:rsidRDefault="00DD6E32" w:rsidP="00035F43">
            <w:pPr>
              <w:pStyle w:val="Tabletext0"/>
              <w:rPr>
                <w:szCs w:val="20"/>
              </w:rPr>
            </w:pPr>
            <w:r w:rsidRPr="00DB3FE7">
              <w:rPr>
                <w:szCs w:val="20"/>
              </w:rPr>
              <w:t>50% annual uptake of evolocumab in PCSK9 eligible patients</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5CD0185E" w14:textId="3A724294" w:rsidR="00DD6E32" w:rsidRPr="00DB3FE7" w:rsidRDefault="00544295" w:rsidP="00035F43">
            <w:pPr>
              <w:pStyle w:val="Tabletext0"/>
              <w:jc w:val="center"/>
              <w:rPr>
                <w:szCs w:val="20"/>
              </w:rPr>
            </w:pPr>
            <w:r w:rsidRPr="00C91ADA">
              <w:rPr>
                <w:color w:val="000000"/>
                <w:spacing w:val="58"/>
                <w:szCs w:val="20"/>
                <w:fitText w:val="347" w:id="-1233410811"/>
                <w14:textFill>
                  <w14:solidFill>
                    <w14:srgbClr w14:val="000000">
                      <w14:alpha w14:val="100000"/>
                    </w14:srgbClr>
                  </w14:solidFill>
                </w14:textFill>
              </w:rPr>
              <w:t>|||</w:t>
            </w:r>
            <w:r w:rsidRPr="00C91ADA">
              <w:rPr>
                <w:color w:val="000000"/>
                <w:spacing w:val="3"/>
                <w:szCs w:val="20"/>
                <w:fitText w:val="347" w:id="-1233410811"/>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3643BB52" w14:textId="77777777" w:rsidR="00DD6E32" w:rsidRPr="00DB3FE7" w:rsidRDefault="00DD6E32" w:rsidP="00035F43">
            <w:pPr>
              <w:pStyle w:val="Tabletext0"/>
              <w:jc w:val="center"/>
              <w:rPr>
                <w:szCs w:val="20"/>
              </w:rPr>
            </w:pPr>
            <w:r w:rsidRPr="00DB3FE7">
              <w:rPr>
                <w:szCs w:val="20"/>
              </w:rPr>
              <w:t>0.0430</w:t>
            </w:r>
          </w:p>
        </w:tc>
        <w:tc>
          <w:tcPr>
            <w:tcW w:w="1270" w:type="dxa"/>
            <w:tcMar>
              <w:top w:w="0" w:type="dxa"/>
              <w:left w:w="108" w:type="dxa"/>
              <w:bottom w:w="0" w:type="dxa"/>
              <w:right w:w="108" w:type="dxa"/>
            </w:tcMar>
            <w:vAlign w:val="center"/>
          </w:tcPr>
          <w:p w14:paraId="5F760537" w14:textId="62D91A8B" w:rsidR="00DD6E32" w:rsidRPr="00DB3FE7" w:rsidRDefault="00544295" w:rsidP="00035F43">
            <w:pPr>
              <w:pStyle w:val="Tabletext0"/>
              <w:jc w:val="center"/>
              <w:rPr>
                <w:szCs w:val="20"/>
                <w:highlight w:val="darkGray"/>
              </w:rPr>
            </w:pPr>
            <w:r w:rsidRPr="00C91ADA">
              <w:rPr>
                <w:color w:val="000000"/>
                <w:spacing w:val="55"/>
                <w:szCs w:val="20"/>
                <w:shd w:val="solid" w:color="000000" w:fill="000000"/>
                <w:fitText w:val="337" w:id="-1233410810"/>
                <w14:textFill>
                  <w14:solidFill>
                    <w14:srgbClr w14:val="000000">
                      <w14:alpha w14:val="100000"/>
                    </w14:srgbClr>
                  </w14:solidFill>
                </w14:textFill>
              </w:rPr>
              <w:t>|||</w:t>
            </w:r>
            <w:r w:rsidRPr="00C91ADA">
              <w:rPr>
                <w:color w:val="000000"/>
                <w:spacing w:val="2"/>
                <w:szCs w:val="20"/>
                <w:shd w:val="solid" w:color="000000" w:fill="000000"/>
                <w:fitText w:val="337" w:id="-1233410810"/>
                <w14:textFill>
                  <w14:solidFill>
                    <w14:srgbClr w14:val="000000">
                      <w14:alpha w14:val="100000"/>
                    </w14:srgbClr>
                  </w14:solidFill>
                </w14:textFill>
              </w:rPr>
              <w:t>|</w:t>
            </w:r>
            <w:r w:rsidR="008452AF" w:rsidRPr="00DB3FE7">
              <w:rPr>
                <w:szCs w:val="20"/>
                <w:vertAlign w:val="superscript"/>
              </w:rPr>
              <w:t>7</w:t>
            </w:r>
          </w:p>
        </w:tc>
        <w:tc>
          <w:tcPr>
            <w:tcW w:w="1396" w:type="dxa"/>
            <w:vAlign w:val="center"/>
          </w:tcPr>
          <w:p w14:paraId="4DB2F34F" w14:textId="77777777" w:rsidR="00DD6E32" w:rsidRPr="00DB3FE7" w:rsidRDefault="00DD6E32" w:rsidP="00035F43">
            <w:pPr>
              <w:pStyle w:val="Tabletext0"/>
              <w:jc w:val="center"/>
              <w:rPr>
                <w:szCs w:val="20"/>
              </w:rPr>
            </w:pPr>
            <w:r w:rsidRPr="00DB3FE7">
              <w:rPr>
                <w:szCs w:val="20"/>
              </w:rPr>
              <w:t>+149%</w:t>
            </w:r>
          </w:p>
        </w:tc>
      </w:tr>
      <w:tr w:rsidR="00DD6E32" w:rsidRPr="00DB3FE7" w14:paraId="0708A5DF" w14:textId="77777777" w:rsidTr="00544295">
        <w:tc>
          <w:tcPr>
            <w:tcW w:w="3824" w:type="dxa"/>
            <w:tcMar>
              <w:top w:w="0" w:type="dxa"/>
              <w:left w:w="108" w:type="dxa"/>
              <w:bottom w:w="0" w:type="dxa"/>
              <w:right w:w="108" w:type="dxa"/>
            </w:tcMar>
          </w:tcPr>
          <w:p w14:paraId="0A604C74" w14:textId="77777777" w:rsidR="00DD6E32" w:rsidRPr="00DB3FE7" w:rsidRDefault="00DD6E32" w:rsidP="00035F43">
            <w:pPr>
              <w:pStyle w:val="Tabletext0"/>
              <w:rPr>
                <w:szCs w:val="20"/>
              </w:rPr>
            </w:pPr>
            <w:r w:rsidRPr="00DB3FE7">
              <w:rPr>
                <w:szCs w:val="20"/>
              </w:rPr>
              <w:t>25% annual uptake of evolocumab in PCSK9 eligible patients</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2B61B417" w14:textId="042BFD38" w:rsidR="00DD6E32" w:rsidRPr="00DB3FE7" w:rsidRDefault="00544295" w:rsidP="00035F43">
            <w:pPr>
              <w:pStyle w:val="Tabletext0"/>
              <w:jc w:val="center"/>
              <w:rPr>
                <w:szCs w:val="20"/>
              </w:rPr>
            </w:pPr>
            <w:r w:rsidRPr="00C91ADA">
              <w:rPr>
                <w:color w:val="000000"/>
                <w:spacing w:val="58"/>
                <w:szCs w:val="20"/>
                <w:fitText w:val="347" w:id="-1233410809"/>
                <w14:textFill>
                  <w14:solidFill>
                    <w14:srgbClr w14:val="000000">
                      <w14:alpha w14:val="100000"/>
                    </w14:srgbClr>
                  </w14:solidFill>
                </w14:textFill>
              </w:rPr>
              <w:t>|||</w:t>
            </w:r>
            <w:r w:rsidRPr="00C91ADA">
              <w:rPr>
                <w:color w:val="000000"/>
                <w:spacing w:val="3"/>
                <w:szCs w:val="20"/>
                <w:fitText w:val="347" w:id="-1233410809"/>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E46A7CD" w14:textId="77777777" w:rsidR="00DD6E32" w:rsidRPr="00DB3FE7" w:rsidRDefault="00DD6E32" w:rsidP="00035F43">
            <w:pPr>
              <w:pStyle w:val="Tabletext0"/>
              <w:jc w:val="center"/>
              <w:rPr>
                <w:szCs w:val="20"/>
              </w:rPr>
            </w:pPr>
            <w:r w:rsidRPr="00DB3FE7">
              <w:rPr>
                <w:szCs w:val="20"/>
              </w:rPr>
              <w:t>0.0573</w:t>
            </w:r>
          </w:p>
        </w:tc>
        <w:tc>
          <w:tcPr>
            <w:tcW w:w="1270" w:type="dxa"/>
            <w:tcMar>
              <w:top w:w="0" w:type="dxa"/>
              <w:left w:w="108" w:type="dxa"/>
              <w:bottom w:w="0" w:type="dxa"/>
              <w:right w:w="108" w:type="dxa"/>
            </w:tcMar>
            <w:vAlign w:val="center"/>
          </w:tcPr>
          <w:p w14:paraId="57A04E52" w14:textId="29C1FDE5" w:rsidR="00DD6E32" w:rsidRPr="00DB3FE7" w:rsidRDefault="00544295" w:rsidP="00035F43">
            <w:pPr>
              <w:pStyle w:val="Tabletext0"/>
              <w:jc w:val="center"/>
              <w:rPr>
                <w:szCs w:val="20"/>
                <w:highlight w:val="darkGray"/>
              </w:rPr>
            </w:pPr>
            <w:r w:rsidRPr="00C91ADA">
              <w:rPr>
                <w:color w:val="000000"/>
                <w:spacing w:val="55"/>
                <w:szCs w:val="20"/>
                <w:shd w:val="solid" w:color="000000" w:fill="000000"/>
                <w:fitText w:val="337" w:id="-1233410808"/>
                <w14:textFill>
                  <w14:solidFill>
                    <w14:srgbClr w14:val="000000">
                      <w14:alpha w14:val="100000"/>
                    </w14:srgbClr>
                  </w14:solidFill>
                </w14:textFill>
              </w:rPr>
              <w:t>|||</w:t>
            </w:r>
            <w:r w:rsidRPr="00C91ADA">
              <w:rPr>
                <w:color w:val="000000"/>
                <w:spacing w:val="2"/>
                <w:szCs w:val="20"/>
                <w:shd w:val="solid" w:color="000000" w:fill="000000"/>
                <w:fitText w:val="337" w:id="-1233410808"/>
                <w14:textFill>
                  <w14:solidFill>
                    <w14:srgbClr w14:val="000000">
                      <w14:alpha w14:val="100000"/>
                    </w14:srgbClr>
                  </w14:solidFill>
                </w14:textFill>
              </w:rPr>
              <w:t>|</w:t>
            </w:r>
            <w:r w:rsidR="008452AF" w:rsidRPr="00DB3FE7">
              <w:rPr>
                <w:b/>
                <w:bCs/>
                <w:szCs w:val="20"/>
                <w:vertAlign w:val="superscript"/>
              </w:rPr>
              <w:t>4</w:t>
            </w:r>
          </w:p>
        </w:tc>
        <w:tc>
          <w:tcPr>
            <w:tcW w:w="1396" w:type="dxa"/>
            <w:vAlign w:val="center"/>
          </w:tcPr>
          <w:p w14:paraId="3BE97A61" w14:textId="77777777" w:rsidR="00DD6E32" w:rsidRPr="00DB3FE7" w:rsidRDefault="00DD6E32" w:rsidP="00035F43">
            <w:pPr>
              <w:pStyle w:val="Tabletext0"/>
              <w:jc w:val="center"/>
              <w:rPr>
                <w:szCs w:val="20"/>
              </w:rPr>
            </w:pPr>
            <w:r w:rsidRPr="00DB3FE7">
              <w:rPr>
                <w:szCs w:val="20"/>
              </w:rPr>
              <w:t>+278%</w:t>
            </w:r>
          </w:p>
        </w:tc>
      </w:tr>
      <w:tr w:rsidR="00DD6E32" w:rsidRPr="00DB3FE7" w14:paraId="5F55383F" w14:textId="77777777" w:rsidTr="00544295">
        <w:tc>
          <w:tcPr>
            <w:tcW w:w="3824" w:type="dxa"/>
            <w:tcMar>
              <w:top w:w="0" w:type="dxa"/>
              <w:left w:w="108" w:type="dxa"/>
              <w:bottom w:w="0" w:type="dxa"/>
              <w:right w:w="108" w:type="dxa"/>
            </w:tcMar>
          </w:tcPr>
          <w:p w14:paraId="71D00C30" w14:textId="77777777" w:rsidR="00DD6E32" w:rsidRPr="00DB3FE7" w:rsidRDefault="00DD6E32" w:rsidP="00035F43">
            <w:pPr>
              <w:pStyle w:val="Tabletext0"/>
              <w:rPr>
                <w:szCs w:val="20"/>
              </w:rPr>
            </w:pPr>
            <w:r w:rsidRPr="00DB3FE7">
              <w:rPr>
                <w:szCs w:val="20"/>
              </w:rPr>
              <w:t>Assume all patients switching to evolocumab continue ezetimibe with drug costs and 100% of ezetimibe efficacy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557085C5" w14:textId="77B5BB44" w:rsidR="00DD6E32" w:rsidRPr="00DB3FE7" w:rsidRDefault="00544295" w:rsidP="00035F43">
            <w:pPr>
              <w:pStyle w:val="Tabletext0"/>
              <w:jc w:val="center"/>
              <w:rPr>
                <w:szCs w:val="20"/>
              </w:rPr>
            </w:pPr>
            <w:r w:rsidRPr="00C91ADA">
              <w:rPr>
                <w:color w:val="000000"/>
                <w:spacing w:val="58"/>
                <w:szCs w:val="20"/>
                <w:fitText w:val="347" w:id="-1233410807"/>
                <w14:textFill>
                  <w14:solidFill>
                    <w14:srgbClr w14:val="000000">
                      <w14:alpha w14:val="100000"/>
                    </w14:srgbClr>
                  </w14:solidFill>
                </w14:textFill>
              </w:rPr>
              <w:t>|||</w:t>
            </w:r>
            <w:r w:rsidRPr="00C91ADA">
              <w:rPr>
                <w:color w:val="000000"/>
                <w:spacing w:val="3"/>
                <w:szCs w:val="20"/>
                <w:fitText w:val="347" w:id="-1233410807"/>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8C8CBFA" w14:textId="77777777" w:rsidR="00DD6E32" w:rsidRPr="00DB3FE7" w:rsidRDefault="00DD6E32" w:rsidP="00035F43">
            <w:pPr>
              <w:pStyle w:val="Tabletext0"/>
              <w:jc w:val="center"/>
              <w:rPr>
                <w:szCs w:val="20"/>
              </w:rPr>
            </w:pPr>
            <w:r w:rsidRPr="00DB3FE7">
              <w:rPr>
                <w:szCs w:val="20"/>
              </w:rPr>
              <w:t>-0.0156</w:t>
            </w:r>
          </w:p>
        </w:tc>
        <w:tc>
          <w:tcPr>
            <w:tcW w:w="1270" w:type="dxa"/>
            <w:tcMar>
              <w:top w:w="0" w:type="dxa"/>
              <w:left w:w="108" w:type="dxa"/>
              <w:bottom w:w="0" w:type="dxa"/>
              <w:right w:w="108" w:type="dxa"/>
            </w:tcMar>
            <w:vAlign w:val="center"/>
          </w:tcPr>
          <w:p w14:paraId="2A4627DD" w14:textId="77777777" w:rsidR="00DD6E32" w:rsidRPr="00DB3FE7" w:rsidRDefault="00DD6E32" w:rsidP="00035F43">
            <w:pPr>
              <w:pStyle w:val="Tabletext0"/>
              <w:jc w:val="center"/>
              <w:rPr>
                <w:szCs w:val="20"/>
              </w:rPr>
            </w:pPr>
            <w:r w:rsidRPr="00DB3FE7">
              <w:rPr>
                <w:szCs w:val="20"/>
              </w:rPr>
              <w:t>Dominated</w:t>
            </w:r>
          </w:p>
        </w:tc>
        <w:tc>
          <w:tcPr>
            <w:tcW w:w="1396" w:type="dxa"/>
            <w:vAlign w:val="center"/>
          </w:tcPr>
          <w:p w14:paraId="60740E4B" w14:textId="77777777" w:rsidR="00DD6E32" w:rsidRPr="00DB3FE7" w:rsidRDefault="00DD6E32" w:rsidP="00035F43">
            <w:pPr>
              <w:pStyle w:val="Tabletext0"/>
              <w:jc w:val="center"/>
              <w:rPr>
                <w:szCs w:val="20"/>
              </w:rPr>
            </w:pPr>
            <w:r w:rsidRPr="00DB3FE7">
              <w:rPr>
                <w:szCs w:val="20"/>
              </w:rPr>
              <w:t>NE</w:t>
            </w:r>
          </w:p>
        </w:tc>
      </w:tr>
      <w:tr w:rsidR="00DD6E32" w:rsidRPr="00DB3FE7" w14:paraId="47482668" w14:textId="77777777" w:rsidTr="00544295">
        <w:tc>
          <w:tcPr>
            <w:tcW w:w="3824" w:type="dxa"/>
            <w:tcMar>
              <w:top w:w="0" w:type="dxa"/>
              <w:left w:w="108" w:type="dxa"/>
              <w:bottom w:w="0" w:type="dxa"/>
              <w:right w:w="108" w:type="dxa"/>
            </w:tcMar>
          </w:tcPr>
          <w:p w14:paraId="635BC365" w14:textId="77777777" w:rsidR="00DD6E32" w:rsidRPr="00DB3FE7" w:rsidRDefault="00DD6E32" w:rsidP="00035F43">
            <w:pPr>
              <w:pStyle w:val="Tabletext0"/>
              <w:rPr>
                <w:szCs w:val="20"/>
              </w:rPr>
            </w:pPr>
            <w:r w:rsidRPr="00DB3FE7">
              <w:rPr>
                <w:szCs w:val="20"/>
              </w:rPr>
              <w:t>Assume all patients switching to evolocumab continue ezetimibe with drug costs and 75% of ezetimibe efficacy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5263D2DB" w14:textId="2F6B2AE1" w:rsidR="00DD6E32" w:rsidRPr="00DB3FE7" w:rsidRDefault="00544295" w:rsidP="00035F43">
            <w:pPr>
              <w:pStyle w:val="Tabletext0"/>
              <w:jc w:val="center"/>
              <w:rPr>
                <w:szCs w:val="20"/>
              </w:rPr>
            </w:pPr>
            <w:r w:rsidRPr="00B650E1">
              <w:rPr>
                <w:color w:val="000000"/>
                <w:spacing w:val="58"/>
                <w:szCs w:val="20"/>
                <w:fitText w:val="347" w:id="-1233410806"/>
                <w14:textFill>
                  <w14:solidFill>
                    <w14:srgbClr w14:val="000000">
                      <w14:alpha w14:val="100000"/>
                    </w14:srgbClr>
                  </w14:solidFill>
                </w14:textFill>
              </w:rPr>
              <w:t>|||</w:t>
            </w:r>
            <w:r w:rsidRPr="00B650E1">
              <w:rPr>
                <w:color w:val="000000"/>
                <w:spacing w:val="3"/>
                <w:szCs w:val="20"/>
                <w:fitText w:val="347" w:id="-1233410806"/>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A9CFB3E" w14:textId="77777777" w:rsidR="00DD6E32" w:rsidRPr="00DB3FE7" w:rsidRDefault="00DD6E32" w:rsidP="00035F43">
            <w:pPr>
              <w:pStyle w:val="Tabletext0"/>
              <w:jc w:val="center"/>
              <w:rPr>
                <w:szCs w:val="20"/>
              </w:rPr>
            </w:pPr>
            <w:r w:rsidRPr="00DB3FE7">
              <w:rPr>
                <w:szCs w:val="20"/>
              </w:rPr>
              <w:t>-0.0034</w:t>
            </w:r>
          </w:p>
        </w:tc>
        <w:tc>
          <w:tcPr>
            <w:tcW w:w="1270" w:type="dxa"/>
            <w:tcMar>
              <w:top w:w="0" w:type="dxa"/>
              <w:left w:w="108" w:type="dxa"/>
              <w:bottom w:w="0" w:type="dxa"/>
              <w:right w:w="108" w:type="dxa"/>
            </w:tcMar>
            <w:vAlign w:val="center"/>
          </w:tcPr>
          <w:p w14:paraId="535F51A3" w14:textId="77777777" w:rsidR="00DD6E32" w:rsidRPr="00DB3FE7" w:rsidRDefault="00DD6E32" w:rsidP="00035F43">
            <w:pPr>
              <w:pStyle w:val="Tabletext0"/>
              <w:jc w:val="center"/>
              <w:rPr>
                <w:szCs w:val="20"/>
              </w:rPr>
            </w:pPr>
            <w:r w:rsidRPr="00DB3FE7">
              <w:rPr>
                <w:szCs w:val="20"/>
              </w:rPr>
              <w:t>Dominated</w:t>
            </w:r>
          </w:p>
        </w:tc>
        <w:tc>
          <w:tcPr>
            <w:tcW w:w="1396" w:type="dxa"/>
            <w:vAlign w:val="center"/>
          </w:tcPr>
          <w:p w14:paraId="0ACBCB6F" w14:textId="77777777" w:rsidR="00DD6E32" w:rsidRPr="00DB3FE7" w:rsidRDefault="00DD6E32" w:rsidP="00035F43">
            <w:pPr>
              <w:pStyle w:val="Tabletext0"/>
              <w:jc w:val="center"/>
              <w:rPr>
                <w:szCs w:val="20"/>
              </w:rPr>
            </w:pPr>
            <w:r w:rsidRPr="00DB3FE7">
              <w:rPr>
                <w:szCs w:val="20"/>
              </w:rPr>
              <w:t>NE</w:t>
            </w:r>
          </w:p>
        </w:tc>
      </w:tr>
      <w:tr w:rsidR="00DD6E32" w:rsidRPr="00DB3FE7" w14:paraId="59510490" w14:textId="77777777" w:rsidTr="00544295">
        <w:tc>
          <w:tcPr>
            <w:tcW w:w="3824" w:type="dxa"/>
            <w:tcMar>
              <w:top w:w="0" w:type="dxa"/>
              <w:left w:w="108" w:type="dxa"/>
              <w:bottom w:w="0" w:type="dxa"/>
              <w:right w:w="108" w:type="dxa"/>
            </w:tcMar>
          </w:tcPr>
          <w:p w14:paraId="35F64FC1" w14:textId="77777777" w:rsidR="00DD6E32" w:rsidRPr="00DB3FE7" w:rsidRDefault="00DD6E32" w:rsidP="00035F43">
            <w:pPr>
              <w:pStyle w:val="Tabletext0"/>
              <w:rPr>
                <w:szCs w:val="20"/>
              </w:rPr>
            </w:pPr>
            <w:r w:rsidRPr="00DB3FE7">
              <w:rPr>
                <w:szCs w:val="20"/>
              </w:rPr>
              <w:t>Assume all patients switching to evolocumab continue ezetimibe with drug costs and 50% of ezetimibe efficacy</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455E6F23" w14:textId="1FC34DBE" w:rsidR="00DD6E32" w:rsidRPr="00DB3FE7" w:rsidRDefault="00544295" w:rsidP="00035F43">
            <w:pPr>
              <w:pStyle w:val="Tabletext0"/>
              <w:jc w:val="center"/>
              <w:rPr>
                <w:szCs w:val="20"/>
              </w:rPr>
            </w:pPr>
            <w:r w:rsidRPr="00B650E1">
              <w:rPr>
                <w:color w:val="000000"/>
                <w:spacing w:val="58"/>
                <w:szCs w:val="20"/>
                <w:fitText w:val="347" w:id="-1233410805"/>
                <w14:textFill>
                  <w14:solidFill>
                    <w14:srgbClr w14:val="000000">
                      <w14:alpha w14:val="100000"/>
                    </w14:srgbClr>
                  </w14:solidFill>
                </w14:textFill>
              </w:rPr>
              <w:t>|||</w:t>
            </w:r>
            <w:r w:rsidRPr="00B650E1">
              <w:rPr>
                <w:color w:val="000000"/>
                <w:spacing w:val="3"/>
                <w:szCs w:val="20"/>
                <w:fitText w:val="347" w:id="-1233410805"/>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2DA6B41" w14:textId="77777777" w:rsidR="00DD6E32" w:rsidRPr="00DB3FE7" w:rsidRDefault="00DD6E32" w:rsidP="00035F43">
            <w:pPr>
              <w:pStyle w:val="Tabletext0"/>
              <w:jc w:val="center"/>
              <w:rPr>
                <w:szCs w:val="20"/>
              </w:rPr>
            </w:pPr>
            <w:r w:rsidRPr="00DB3FE7">
              <w:rPr>
                <w:szCs w:val="20"/>
              </w:rPr>
              <w:t>0.0092</w:t>
            </w:r>
          </w:p>
        </w:tc>
        <w:tc>
          <w:tcPr>
            <w:tcW w:w="1270" w:type="dxa"/>
            <w:tcMar>
              <w:top w:w="0" w:type="dxa"/>
              <w:left w:w="108" w:type="dxa"/>
              <w:bottom w:w="0" w:type="dxa"/>
              <w:right w:w="108" w:type="dxa"/>
            </w:tcMar>
            <w:vAlign w:val="center"/>
          </w:tcPr>
          <w:p w14:paraId="205178C7" w14:textId="134CD7B2" w:rsidR="00DD6E32" w:rsidRPr="00DB3FE7" w:rsidRDefault="00544295" w:rsidP="00035F43">
            <w:pPr>
              <w:pStyle w:val="Tabletext0"/>
              <w:jc w:val="center"/>
              <w:rPr>
                <w:szCs w:val="20"/>
                <w:highlight w:val="darkGray"/>
              </w:rPr>
            </w:pPr>
            <w:r w:rsidRPr="00B650E1">
              <w:rPr>
                <w:color w:val="000000"/>
                <w:spacing w:val="55"/>
                <w:szCs w:val="20"/>
                <w:shd w:val="solid" w:color="000000" w:fill="000000"/>
                <w:fitText w:val="337" w:id="-1233410804"/>
                <w14:textFill>
                  <w14:solidFill>
                    <w14:srgbClr w14:val="000000">
                      <w14:alpha w14:val="100000"/>
                    </w14:srgbClr>
                  </w14:solidFill>
                </w14:textFill>
              </w:rPr>
              <w:t>|||</w:t>
            </w:r>
            <w:r w:rsidRPr="00B650E1">
              <w:rPr>
                <w:color w:val="000000"/>
                <w:spacing w:val="2"/>
                <w:szCs w:val="20"/>
                <w:shd w:val="solid" w:color="000000" w:fill="000000"/>
                <w:fitText w:val="337" w:id="-1233410804"/>
                <w14:textFill>
                  <w14:solidFill>
                    <w14:srgbClr w14:val="000000">
                      <w14:alpha w14:val="100000"/>
                    </w14:srgbClr>
                  </w14:solidFill>
                </w14:textFill>
              </w:rPr>
              <w:t>|</w:t>
            </w:r>
            <w:r w:rsidR="008452AF" w:rsidRPr="00DB3FE7">
              <w:rPr>
                <w:b/>
                <w:bCs/>
                <w:szCs w:val="20"/>
                <w:vertAlign w:val="superscript"/>
              </w:rPr>
              <w:t>5</w:t>
            </w:r>
          </w:p>
        </w:tc>
        <w:tc>
          <w:tcPr>
            <w:tcW w:w="1396" w:type="dxa"/>
            <w:vAlign w:val="center"/>
          </w:tcPr>
          <w:p w14:paraId="70932DCD" w14:textId="77777777" w:rsidR="00DD6E32" w:rsidRPr="00DB3FE7" w:rsidRDefault="00DD6E32" w:rsidP="00035F43">
            <w:pPr>
              <w:pStyle w:val="Tabletext0"/>
              <w:jc w:val="center"/>
              <w:rPr>
                <w:szCs w:val="20"/>
              </w:rPr>
            </w:pPr>
            <w:r w:rsidRPr="00DB3FE7">
              <w:rPr>
                <w:szCs w:val="20"/>
              </w:rPr>
              <w:t>+30%</w:t>
            </w:r>
          </w:p>
        </w:tc>
      </w:tr>
      <w:tr w:rsidR="00DD6E32" w:rsidRPr="00DB3FE7" w14:paraId="19126101" w14:textId="77777777" w:rsidTr="00544295">
        <w:tc>
          <w:tcPr>
            <w:tcW w:w="3824" w:type="dxa"/>
            <w:tcMar>
              <w:top w:w="0" w:type="dxa"/>
              <w:left w:w="108" w:type="dxa"/>
              <w:bottom w:w="0" w:type="dxa"/>
              <w:right w:w="108" w:type="dxa"/>
            </w:tcMar>
          </w:tcPr>
          <w:p w14:paraId="1428E228" w14:textId="77777777" w:rsidR="00DD6E32" w:rsidRPr="00DB3FE7" w:rsidRDefault="00DD6E32" w:rsidP="00035F43">
            <w:pPr>
              <w:pStyle w:val="Tabletext0"/>
              <w:rPr>
                <w:szCs w:val="20"/>
              </w:rPr>
            </w:pPr>
            <w:r w:rsidRPr="00DB3FE7">
              <w:rPr>
                <w:szCs w:val="20"/>
              </w:rPr>
              <w:t>Assume all patients switching to evolocumab continue ezetimibe with drug costs and 25% of ezetimibe efficacy</w:t>
            </w:r>
          </w:p>
        </w:tc>
        <w:tc>
          <w:tcPr>
            <w:tcW w:w="1269" w:type="dxa"/>
            <w:shd w:val="solid" w:color="000000" w:fill="000000"/>
            <w:tcMar>
              <w:top w:w="0" w:type="dxa"/>
              <w:left w:w="108" w:type="dxa"/>
              <w:bottom w:w="0" w:type="dxa"/>
              <w:right w:w="108" w:type="dxa"/>
            </w:tcMar>
            <w:vAlign w:val="center"/>
          </w:tcPr>
          <w:p w14:paraId="7F78C3D6" w14:textId="7D27AD9E" w:rsidR="00DD6E32" w:rsidRPr="00DB3FE7" w:rsidRDefault="00544295" w:rsidP="00035F43">
            <w:pPr>
              <w:pStyle w:val="Tabletext0"/>
              <w:jc w:val="center"/>
              <w:rPr>
                <w:szCs w:val="20"/>
              </w:rPr>
            </w:pPr>
            <w:r w:rsidRPr="00B650E1">
              <w:rPr>
                <w:color w:val="000000"/>
                <w:spacing w:val="58"/>
                <w:szCs w:val="20"/>
                <w:fitText w:val="347" w:id="-1233410803"/>
                <w14:textFill>
                  <w14:solidFill>
                    <w14:srgbClr w14:val="000000">
                      <w14:alpha w14:val="100000"/>
                    </w14:srgbClr>
                  </w14:solidFill>
                </w14:textFill>
              </w:rPr>
              <w:t>|||</w:t>
            </w:r>
            <w:r w:rsidRPr="00B650E1">
              <w:rPr>
                <w:color w:val="000000"/>
                <w:spacing w:val="3"/>
                <w:szCs w:val="20"/>
                <w:fitText w:val="347" w:id="-1233410803"/>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6FDE87E" w14:textId="77777777" w:rsidR="00DD6E32" w:rsidRPr="00DB3FE7" w:rsidRDefault="00DD6E32" w:rsidP="00035F43">
            <w:pPr>
              <w:pStyle w:val="Tabletext0"/>
              <w:jc w:val="center"/>
              <w:rPr>
                <w:szCs w:val="20"/>
              </w:rPr>
            </w:pPr>
            <w:r w:rsidRPr="00DB3FE7">
              <w:rPr>
                <w:szCs w:val="20"/>
              </w:rPr>
              <w:t>0.0220</w:t>
            </w:r>
          </w:p>
        </w:tc>
        <w:tc>
          <w:tcPr>
            <w:tcW w:w="1270" w:type="dxa"/>
            <w:tcMar>
              <w:top w:w="0" w:type="dxa"/>
              <w:left w:w="108" w:type="dxa"/>
              <w:bottom w:w="0" w:type="dxa"/>
              <w:right w:w="108" w:type="dxa"/>
            </w:tcMar>
            <w:vAlign w:val="center"/>
          </w:tcPr>
          <w:p w14:paraId="65CD1E6F" w14:textId="3206208E" w:rsidR="00DD6E32" w:rsidRPr="00DB3FE7" w:rsidRDefault="00544295" w:rsidP="00035F43">
            <w:pPr>
              <w:pStyle w:val="Tabletext0"/>
              <w:jc w:val="center"/>
              <w:rPr>
                <w:szCs w:val="20"/>
                <w:highlight w:val="darkGray"/>
              </w:rPr>
            </w:pPr>
            <w:r w:rsidRPr="00B650E1">
              <w:rPr>
                <w:color w:val="000000"/>
                <w:spacing w:val="55"/>
                <w:szCs w:val="20"/>
                <w:shd w:val="solid" w:color="000000" w:fill="000000"/>
                <w:fitText w:val="337" w:id="-1233410802"/>
                <w14:textFill>
                  <w14:solidFill>
                    <w14:srgbClr w14:val="000000">
                      <w14:alpha w14:val="100000"/>
                    </w14:srgbClr>
                  </w14:solidFill>
                </w14:textFill>
              </w:rPr>
              <w:t>|||</w:t>
            </w:r>
            <w:r w:rsidRPr="00B650E1">
              <w:rPr>
                <w:color w:val="000000"/>
                <w:spacing w:val="2"/>
                <w:szCs w:val="20"/>
                <w:shd w:val="solid" w:color="000000" w:fill="000000"/>
                <w:fitText w:val="337" w:id="-1233410802"/>
                <w14:textFill>
                  <w14:solidFill>
                    <w14:srgbClr w14:val="000000">
                      <w14:alpha w14:val="100000"/>
                    </w14:srgbClr>
                  </w14:solidFill>
                </w14:textFill>
              </w:rPr>
              <w:t>|</w:t>
            </w:r>
            <w:r w:rsidR="008452AF" w:rsidRPr="00DB3FE7">
              <w:rPr>
                <w:b/>
                <w:bCs/>
                <w:szCs w:val="20"/>
                <w:vertAlign w:val="superscript"/>
              </w:rPr>
              <w:t>8</w:t>
            </w:r>
          </w:p>
        </w:tc>
        <w:tc>
          <w:tcPr>
            <w:tcW w:w="1396" w:type="dxa"/>
            <w:vAlign w:val="center"/>
          </w:tcPr>
          <w:p w14:paraId="09158169" w14:textId="77777777" w:rsidR="00DD6E32" w:rsidRPr="00DB3FE7" w:rsidRDefault="00DD6E32" w:rsidP="00035F43">
            <w:pPr>
              <w:pStyle w:val="Tabletext0"/>
              <w:jc w:val="center"/>
              <w:rPr>
                <w:szCs w:val="20"/>
              </w:rPr>
            </w:pPr>
            <w:r w:rsidRPr="00DB3FE7">
              <w:rPr>
                <w:szCs w:val="20"/>
              </w:rPr>
              <w:t>-53%</w:t>
            </w:r>
          </w:p>
        </w:tc>
      </w:tr>
      <w:tr w:rsidR="00DD6E32" w:rsidRPr="00DB3FE7" w14:paraId="78359AF9" w14:textId="77777777" w:rsidTr="00035F43">
        <w:tc>
          <w:tcPr>
            <w:tcW w:w="9029" w:type="dxa"/>
            <w:gridSpan w:val="5"/>
            <w:tcMar>
              <w:top w:w="0" w:type="dxa"/>
              <w:left w:w="108" w:type="dxa"/>
              <w:bottom w:w="0" w:type="dxa"/>
              <w:right w:w="108" w:type="dxa"/>
            </w:tcMar>
          </w:tcPr>
          <w:p w14:paraId="71201E41" w14:textId="7BB475E3" w:rsidR="00DD6E32" w:rsidRPr="00DB3FE7" w:rsidRDefault="00DD6E32" w:rsidP="00DA3B7A">
            <w:pPr>
              <w:pStyle w:val="Tabletext0"/>
              <w:keepNext/>
              <w:keepLines/>
              <w:rPr>
                <w:szCs w:val="20"/>
              </w:rPr>
            </w:pPr>
            <w:r w:rsidRPr="00DB3FE7">
              <w:rPr>
                <w:b/>
                <w:bCs/>
                <w:szCs w:val="20"/>
              </w:rPr>
              <w:t>Mean percentage change in LDL</w:t>
            </w:r>
            <w:r w:rsidR="00CD0449" w:rsidRPr="00DB3FE7">
              <w:rPr>
                <w:b/>
                <w:bCs/>
                <w:szCs w:val="20"/>
              </w:rPr>
              <w:t>-C</w:t>
            </w:r>
            <w:r w:rsidRPr="00DB3FE7">
              <w:rPr>
                <w:b/>
                <w:bCs/>
                <w:szCs w:val="20"/>
              </w:rPr>
              <w:t xml:space="preserve"> (base case: based on ORION 10 MMRM results for inclisiran and EASE results for ezetimibe; assumed evolocumab has same efficacy has inclisiran</w:t>
            </w:r>
          </w:p>
        </w:tc>
      </w:tr>
      <w:tr w:rsidR="00DD6E32" w:rsidRPr="00DB3FE7" w14:paraId="39355FB5" w14:textId="77777777" w:rsidTr="00544295">
        <w:tc>
          <w:tcPr>
            <w:tcW w:w="3824" w:type="dxa"/>
            <w:tcMar>
              <w:top w:w="0" w:type="dxa"/>
              <w:left w:w="108" w:type="dxa"/>
              <w:bottom w:w="0" w:type="dxa"/>
              <w:right w:w="108" w:type="dxa"/>
            </w:tcMar>
          </w:tcPr>
          <w:p w14:paraId="3B8729EF" w14:textId="77777777" w:rsidR="00DD6E32" w:rsidRPr="00DB3FE7" w:rsidRDefault="00DD6E32" w:rsidP="00DA3B7A">
            <w:pPr>
              <w:pStyle w:val="Tabletext0"/>
              <w:keepNext/>
              <w:keepLines/>
              <w:rPr>
                <w:szCs w:val="20"/>
              </w:rPr>
            </w:pPr>
            <w:r w:rsidRPr="00DB3FE7">
              <w:rPr>
                <w:szCs w:val="20"/>
              </w:rPr>
              <w:t>Inclisiran based on ORION 10/11 MIWM results</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4B6089D2" w14:textId="5B038768" w:rsidR="00DD6E32" w:rsidRPr="00DB3FE7" w:rsidRDefault="00544295" w:rsidP="00DA3B7A">
            <w:pPr>
              <w:pStyle w:val="Tabletext0"/>
              <w:keepNext/>
              <w:keepLines/>
              <w:jc w:val="center"/>
              <w:rPr>
                <w:szCs w:val="20"/>
              </w:rPr>
            </w:pPr>
            <w:r w:rsidRPr="00B650E1">
              <w:rPr>
                <w:color w:val="000000"/>
                <w:spacing w:val="58"/>
                <w:szCs w:val="20"/>
                <w:fitText w:val="347" w:id="-1233410801"/>
                <w14:textFill>
                  <w14:solidFill>
                    <w14:srgbClr w14:val="000000">
                      <w14:alpha w14:val="100000"/>
                    </w14:srgbClr>
                  </w14:solidFill>
                </w14:textFill>
              </w:rPr>
              <w:t>|||</w:t>
            </w:r>
            <w:r w:rsidRPr="00B650E1">
              <w:rPr>
                <w:color w:val="000000"/>
                <w:spacing w:val="3"/>
                <w:szCs w:val="20"/>
                <w:fitText w:val="347" w:id="-1233410801"/>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1940884" w14:textId="77777777" w:rsidR="00DD6E32" w:rsidRPr="00DB3FE7" w:rsidRDefault="00DD6E32" w:rsidP="00DA3B7A">
            <w:pPr>
              <w:pStyle w:val="Tabletext0"/>
              <w:keepNext/>
              <w:keepLines/>
              <w:jc w:val="center"/>
              <w:rPr>
                <w:szCs w:val="20"/>
              </w:rPr>
            </w:pPr>
            <w:r w:rsidRPr="00DB3FE7">
              <w:rPr>
                <w:szCs w:val="20"/>
              </w:rPr>
              <w:t>0.0285</w:t>
            </w:r>
          </w:p>
        </w:tc>
        <w:tc>
          <w:tcPr>
            <w:tcW w:w="1270" w:type="dxa"/>
            <w:tcMar>
              <w:top w:w="0" w:type="dxa"/>
              <w:left w:w="108" w:type="dxa"/>
              <w:bottom w:w="0" w:type="dxa"/>
              <w:right w:w="108" w:type="dxa"/>
            </w:tcMar>
            <w:vAlign w:val="center"/>
          </w:tcPr>
          <w:p w14:paraId="371797E1" w14:textId="4813BF94" w:rsidR="00DD6E32" w:rsidRPr="00DB3FE7" w:rsidRDefault="00544295" w:rsidP="00DA3B7A">
            <w:pPr>
              <w:pStyle w:val="Tabletext0"/>
              <w:keepNext/>
              <w:keepLines/>
              <w:jc w:val="center"/>
              <w:rPr>
                <w:szCs w:val="20"/>
                <w:highlight w:val="darkGray"/>
              </w:rPr>
            </w:pPr>
            <w:r w:rsidRPr="00B650E1">
              <w:rPr>
                <w:color w:val="000000"/>
                <w:spacing w:val="55"/>
                <w:szCs w:val="20"/>
                <w:shd w:val="solid" w:color="000000" w:fill="000000"/>
                <w:fitText w:val="337" w:id="-1233410800"/>
                <w14:textFill>
                  <w14:solidFill>
                    <w14:srgbClr w14:val="000000">
                      <w14:alpha w14:val="100000"/>
                    </w14:srgbClr>
                  </w14:solidFill>
                </w14:textFill>
              </w:rPr>
              <w:t>|||</w:t>
            </w:r>
            <w:r w:rsidRPr="00B650E1">
              <w:rPr>
                <w:color w:val="000000"/>
                <w:spacing w:val="2"/>
                <w:szCs w:val="20"/>
                <w:shd w:val="solid" w:color="000000" w:fill="000000"/>
                <w:fitText w:val="337" w:id="-1233410800"/>
                <w14:textFill>
                  <w14:solidFill>
                    <w14:srgbClr w14:val="000000">
                      <w14:alpha w14:val="100000"/>
                    </w14:srgbClr>
                  </w14:solidFill>
                </w14:textFill>
              </w:rPr>
              <w:t>|</w:t>
            </w:r>
            <w:r w:rsidR="008452AF" w:rsidRPr="00DB3FE7">
              <w:rPr>
                <w:b/>
                <w:bCs/>
                <w:szCs w:val="20"/>
                <w:vertAlign w:val="superscript"/>
              </w:rPr>
              <w:t>5</w:t>
            </w:r>
          </w:p>
        </w:tc>
        <w:tc>
          <w:tcPr>
            <w:tcW w:w="1396" w:type="dxa"/>
            <w:vAlign w:val="center"/>
          </w:tcPr>
          <w:p w14:paraId="1F2A6A1B" w14:textId="77777777" w:rsidR="00DD6E32" w:rsidRPr="00DB3FE7" w:rsidRDefault="00DD6E32" w:rsidP="00DA3B7A">
            <w:pPr>
              <w:pStyle w:val="Tabletext0"/>
              <w:keepNext/>
              <w:keepLines/>
              <w:jc w:val="center"/>
              <w:rPr>
                <w:szCs w:val="20"/>
              </w:rPr>
            </w:pPr>
            <w:r w:rsidRPr="00DB3FE7">
              <w:rPr>
                <w:szCs w:val="20"/>
              </w:rPr>
              <w:t>+33%</w:t>
            </w:r>
          </w:p>
        </w:tc>
      </w:tr>
      <w:tr w:rsidR="00DD6E32" w:rsidRPr="00DB3FE7" w14:paraId="50E77715" w14:textId="77777777" w:rsidTr="00544295">
        <w:tc>
          <w:tcPr>
            <w:tcW w:w="3824" w:type="dxa"/>
            <w:tcMar>
              <w:top w:w="0" w:type="dxa"/>
              <w:left w:w="108" w:type="dxa"/>
              <w:bottom w:w="0" w:type="dxa"/>
              <w:right w:w="108" w:type="dxa"/>
            </w:tcMar>
          </w:tcPr>
          <w:p w14:paraId="4FA56AAF" w14:textId="77777777" w:rsidR="00DD6E32" w:rsidRPr="00DB3FE7" w:rsidRDefault="00DD6E32" w:rsidP="00DA3B7A">
            <w:pPr>
              <w:pStyle w:val="Tabletext0"/>
              <w:keepNext/>
              <w:keepLines/>
              <w:rPr>
                <w:szCs w:val="20"/>
              </w:rPr>
            </w:pPr>
            <w:r w:rsidRPr="00DB3FE7">
              <w:rPr>
                <w:szCs w:val="20"/>
              </w:rPr>
              <w:t>Ezetimibe based on EASE/ACCENTUATE results</w:t>
            </w:r>
            <w:r w:rsidRPr="00DB3FE7">
              <w:rPr>
                <w:szCs w:val="20"/>
                <w:vertAlign w:val="superscript"/>
              </w:rPr>
              <w:t>a</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17FAA3CD" w14:textId="1F8FE5C0" w:rsidR="00DD6E32" w:rsidRPr="00DB3FE7" w:rsidRDefault="00544295" w:rsidP="00DA3B7A">
            <w:pPr>
              <w:pStyle w:val="Tabletext0"/>
              <w:keepNext/>
              <w:keepLines/>
              <w:jc w:val="center"/>
              <w:rPr>
                <w:szCs w:val="20"/>
              </w:rPr>
            </w:pPr>
            <w:r w:rsidRPr="00B650E1">
              <w:rPr>
                <w:color w:val="000000"/>
                <w:spacing w:val="58"/>
                <w:szCs w:val="20"/>
                <w:fitText w:val="347" w:id="-1233410816"/>
                <w14:textFill>
                  <w14:solidFill>
                    <w14:srgbClr w14:val="000000">
                      <w14:alpha w14:val="100000"/>
                    </w14:srgbClr>
                  </w14:solidFill>
                </w14:textFill>
              </w:rPr>
              <w:t>|||</w:t>
            </w:r>
            <w:r w:rsidRPr="00B650E1">
              <w:rPr>
                <w:color w:val="000000"/>
                <w:spacing w:val="3"/>
                <w:szCs w:val="20"/>
                <w:fitText w:val="347" w:id="-1233410816"/>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056ABC5A" w14:textId="77777777" w:rsidR="00DD6E32" w:rsidRPr="00DB3FE7" w:rsidRDefault="00DD6E32" w:rsidP="00DA3B7A">
            <w:pPr>
              <w:pStyle w:val="Tabletext0"/>
              <w:keepNext/>
              <w:keepLines/>
              <w:jc w:val="center"/>
              <w:rPr>
                <w:szCs w:val="20"/>
              </w:rPr>
            </w:pPr>
            <w:r w:rsidRPr="00DB3FE7">
              <w:rPr>
                <w:szCs w:val="20"/>
              </w:rPr>
              <w:t>0.0352</w:t>
            </w:r>
          </w:p>
        </w:tc>
        <w:tc>
          <w:tcPr>
            <w:tcW w:w="1270" w:type="dxa"/>
            <w:tcMar>
              <w:top w:w="0" w:type="dxa"/>
              <w:left w:w="108" w:type="dxa"/>
              <w:bottom w:w="0" w:type="dxa"/>
              <w:right w:w="108" w:type="dxa"/>
            </w:tcMar>
            <w:vAlign w:val="center"/>
          </w:tcPr>
          <w:p w14:paraId="6AC88A1B" w14:textId="67F646E4" w:rsidR="00DD6E32" w:rsidRPr="00DB3FE7" w:rsidRDefault="00544295" w:rsidP="00DA3B7A">
            <w:pPr>
              <w:pStyle w:val="Tabletext0"/>
              <w:keepNext/>
              <w:keepLines/>
              <w:jc w:val="center"/>
              <w:rPr>
                <w:szCs w:val="20"/>
                <w:highlight w:val="darkGray"/>
              </w:rPr>
            </w:pPr>
            <w:r w:rsidRPr="00B650E1">
              <w:rPr>
                <w:color w:val="000000"/>
                <w:spacing w:val="55"/>
                <w:szCs w:val="20"/>
                <w:shd w:val="solid" w:color="000000" w:fill="000000"/>
                <w:fitText w:val="337" w:id="-1233410815"/>
                <w14:textFill>
                  <w14:solidFill>
                    <w14:srgbClr w14:val="000000">
                      <w14:alpha w14:val="100000"/>
                    </w14:srgbClr>
                  </w14:solidFill>
                </w14:textFill>
              </w:rPr>
              <w:t>|||</w:t>
            </w:r>
            <w:r w:rsidRPr="00B650E1">
              <w:rPr>
                <w:color w:val="000000"/>
                <w:spacing w:val="2"/>
                <w:szCs w:val="20"/>
                <w:shd w:val="solid" w:color="000000" w:fill="000000"/>
                <w:fitText w:val="337" w:id="-1233410815"/>
                <w14:textFill>
                  <w14:solidFill>
                    <w14:srgbClr w14:val="000000">
                      <w14:alpha w14:val="100000"/>
                    </w14:srgbClr>
                  </w14:solidFill>
                </w14:textFill>
              </w:rPr>
              <w:t>|</w:t>
            </w:r>
            <w:r w:rsidR="008452AF" w:rsidRPr="00DB3FE7">
              <w:rPr>
                <w:b/>
                <w:bCs/>
                <w:szCs w:val="20"/>
                <w:vertAlign w:val="superscript"/>
              </w:rPr>
              <w:t>6</w:t>
            </w:r>
          </w:p>
        </w:tc>
        <w:tc>
          <w:tcPr>
            <w:tcW w:w="1396" w:type="dxa"/>
            <w:vAlign w:val="center"/>
          </w:tcPr>
          <w:p w14:paraId="2A671D9A" w14:textId="77777777" w:rsidR="00DD6E32" w:rsidRPr="00DB3FE7" w:rsidRDefault="00DD6E32" w:rsidP="00DA3B7A">
            <w:pPr>
              <w:pStyle w:val="Tabletext0"/>
              <w:keepNext/>
              <w:keepLines/>
              <w:jc w:val="center"/>
              <w:rPr>
                <w:szCs w:val="20"/>
              </w:rPr>
            </w:pPr>
            <w:r w:rsidRPr="00DB3FE7">
              <w:rPr>
                <w:szCs w:val="20"/>
              </w:rPr>
              <w:t>+91%</w:t>
            </w:r>
          </w:p>
        </w:tc>
      </w:tr>
      <w:tr w:rsidR="00DD6E32" w:rsidRPr="00DB3FE7" w14:paraId="71B0F2A4" w14:textId="77777777" w:rsidTr="00544295">
        <w:tc>
          <w:tcPr>
            <w:tcW w:w="3824" w:type="dxa"/>
            <w:tcMar>
              <w:top w:w="0" w:type="dxa"/>
              <w:left w:w="108" w:type="dxa"/>
              <w:bottom w:w="0" w:type="dxa"/>
              <w:right w:w="108" w:type="dxa"/>
            </w:tcMar>
          </w:tcPr>
          <w:p w14:paraId="5AD04E2C" w14:textId="77777777" w:rsidR="00DD6E32" w:rsidRPr="00DB3FE7" w:rsidRDefault="00DD6E32" w:rsidP="00035F43">
            <w:pPr>
              <w:pStyle w:val="Tabletext0"/>
              <w:rPr>
                <w:szCs w:val="20"/>
              </w:rPr>
            </w:pPr>
            <w:r w:rsidRPr="00DB3FE7">
              <w:rPr>
                <w:szCs w:val="20"/>
              </w:rPr>
              <w:t>Inclisiran based on ORION 10/11 MIWM results and ezetimibe based on EASE/ACCENTUATE results</w:t>
            </w:r>
            <w:r w:rsidRPr="00DB3FE7">
              <w:rPr>
                <w:szCs w:val="20"/>
                <w:vertAlign w:val="superscript"/>
              </w:rPr>
              <w:t>a</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0453DD42" w14:textId="496C2E9C" w:rsidR="00DD6E32" w:rsidRPr="00DB3FE7" w:rsidRDefault="00544295" w:rsidP="00035F43">
            <w:pPr>
              <w:pStyle w:val="Tabletext0"/>
              <w:jc w:val="center"/>
              <w:rPr>
                <w:szCs w:val="20"/>
              </w:rPr>
            </w:pPr>
            <w:r w:rsidRPr="00B650E1">
              <w:rPr>
                <w:color w:val="000000"/>
                <w:spacing w:val="58"/>
                <w:szCs w:val="20"/>
                <w:fitText w:val="347" w:id="-1233410814"/>
                <w14:textFill>
                  <w14:solidFill>
                    <w14:srgbClr w14:val="000000">
                      <w14:alpha w14:val="100000"/>
                    </w14:srgbClr>
                  </w14:solidFill>
                </w14:textFill>
              </w:rPr>
              <w:t>|||</w:t>
            </w:r>
            <w:r w:rsidRPr="00B650E1">
              <w:rPr>
                <w:color w:val="000000"/>
                <w:spacing w:val="3"/>
                <w:szCs w:val="20"/>
                <w:fitText w:val="347" w:id="-1233410814"/>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205BD657" w14:textId="77777777" w:rsidR="00DD6E32" w:rsidRPr="00DB3FE7" w:rsidRDefault="00DD6E32" w:rsidP="00035F43">
            <w:pPr>
              <w:pStyle w:val="Tabletext0"/>
              <w:jc w:val="center"/>
              <w:rPr>
                <w:szCs w:val="20"/>
              </w:rPr>
            </w:pPr>
            <w:r w:rsidRPr="00DB3FE7">
              <w:rPr>
                <w:szCs w:val="20"/>
              </w:rPr>
              <w:t>0.0277</w:t>
            </w:r>
          </w:p>
        </w:tc>
        <w:tc>
          <w:tcPr>
            <w:tcW w:w="1270" w:type="dxa"/>
            <w:tcMar>
              <w:top w:w="0" w:type="dxa"/>
              <w:left w:w="108" w:type="dxa"/>
              <w:bottom w:w="0" w:type="dxa"/>
              <w:right w:w="108" w:type="dxa"/>
            </w:tcMar>
            <w:vAlign w:val="center"/>
          </w:tcPr>
          <w:p w14:paraId="7E3A8545" w14:textId="3CBA2421" w:rsidR="00DD6E32" w:rsidRPr="00DB3FE7" w:rsidRDefault="00544295" w:rsidP="00035F43">
            <w:pPr>
              <w:pStyle w:val="Tabletext0"/>
              <w:jc w:val="center"/>
              <w:rPr>
                <w:szCs w:val="20"/>
                <w:highlight w:val="darkGray"/>
              </w:rPr>
            </w:pPr>
            <w:r w:rsidRPr="00B650E1">
              <w:rPr>
                <w:color w:val="000000"/>
                <w:spacing w:val="55"/>
                <w:szCs w:val="20"/>
                <w:shd w:val="solid" w:color="000000" w:fill="000000"/>
                <w:fitText w:val="337" w:id="-1233410813"/>
                <w14:textFill>
                  <w14:solidFill>
                    <w14:srgbClr w14:val="000000">
                      <w14:alpha w14:val="100000"/>
                    </w14:srgbClr>
                  </w14:solidFill>
                </w14:textFill>
              </w:rPr>
              <w:t>|||</w:t>
            </w:r>
            <w:r w:rsidRPr="00B650E1">
              <w:rPr>
                <w:color w:val="000000"/>
                <w:spacing w:val="2"/>
                <w:szCs w:val="20"/>
                <w:shd w:val="solid" w:color="000000" w:fill="000000"/>
                <w:fitText w:val="337" w:id="-1233410813"/>
                <w14:textFill>
                  <w14:solidFill>
                    <w14:srgbClr w14:val="000000">
                      <w14:alpha w14:val="100000"/>
                    </w14:srgbClr>
                  </w14:solidFill>
                </w14:textFill>
              </w:rPr>
              <w:t>|</w:t>
            </w:r>
            <w:r w:rsidR="008452AF" w:rsidRPr="00DB3FE7">
              <w:rPr>
                <w:szCs w:val="20"/>
                <w:vertAlign w:val="superscript"/>
              </w:rPr>
              <w:t>7</w:t>
            </w:r>
          </w:p>
        </w:tc>
        <w:tc>
          <w:tcPr>
            <w:tcW w:w="1396" w:type="dxa"/>
            <w:vAlign w:val="center"/>
          </w:tcPr>
          <w:p w14:paraId="261794B7" w14:textId="77777777" w:rsidR="00DD6E32" w:rsidRPr="00DB3FE7" w:rsidRDefault="00DD6E32" w:rsidP="00035F43">
            <w:pPr>
              <w:pStyle w:val="Tabletext0"/>
              <w:jc w:val="center"/>
              <w:rPr>
                <w:szCs w:val="20"/>
              </w:rPr>
            </w:pPr>
            <w:r w:rsidRPr="00DB3FE7">
              <w:rPr>
                <w:szCs w:val="20"/>
              </w:rPr>
              <w:t>+151%</w:t>
            </w:r>
          </w:p>
        </w:tc>
      </w:tr>
      <w:tr w:rsidR="00DD6E32" w:rsidRPr="00DB3FE7" w14:paraId="4F4AFC1D" w14:textId="77777777" w:rsidTr="00544295">
        <w:tc>
          <w:tcPr>
            <w:tcW w:w="3824" w:type="dxa"/>
            <w:tcMar>
              <w:top w:w="0" w:type="dxa"/>
              <w:left w:w="108" w:type="dxa"/>
              <w:bottom w:w="0" w:type="dxa"/>
              <w:right w:w="108" w:type="dxa"/>
            </w:tcMar>
          </w:tcPr>
          <w:p w14:paraId="2C596654" w14:textId="441F37A1" w:rsidR="00DD6E32" w:rsidRPr="00DB3FE7" w:rsidRDefault="00DD6E32" w:rsidP="00035F43">
            <w:pPr>
              <w:pStyle w:val="Tabletext0"/>
              <w:rPr>
                <w:szCs w:val="20"/>
              </w:rPr>
            </w:pPr>
            <w:r w:rsidRPr="00DB3FE7">
              <w:rPr>
                <w:szCs w:val="20"/>
              </w:rPr>
              <w:t>All treatments have separate efficacy estimates</w:t>
            </w:r>
            <w:r w:rsidR="008F392E" w:rsidRPr="00DB3FE7">
              <w:rPr>
                <w:szCs w:val="20"/>
              </w:rPr>
              <w:t xml:space="preserve"> (i.e. does not assume the same efficacy for inclisiran and evolocumab)</w:t>
            </w:r>
            <w:r w:rsidRPr="00DB3FE7">
              <w:rPr>
                <w:szCs w:val="20"/>
              </w:rPr>
              <w:t xml:space="preserve"> based on Burnett 2022 NMA</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7CB77BF4" w14:textId="03411C55" w:rsidR="00DD6E32" w:rsidRPr="00DB3FE7" w:rsidRDefault="00544295" w:rsidP="00035F43">
            <w:pPr>
              <w:pStyle w:val="Tabletext0"/>
              <w:jc w:val="center"/>
              <w:rPr>
                <w:szCs w:val="20"/>
              </w:rPr>
            </w:pPr>
            <w:r w:rsidRPr="00B650E1">
              <w:rPr>
                <w:color w:val="000000"/>
                <w:spacing w:val="58"/>
                <w:szCs w:val="20"/>
                <w:fitText w:val="347" w:id="-1233410812"/>
                <w14:textFill>
                  <w14:solidFill>
                    <w14:srgbClr w14:val="000000">
                      <w14:alpha w14:val="100000"/>
                    </w14:srgbClr>
                  </w14:solidFill>
                </w14:textFill>
              </w:rPr>
              <w:t>|||</w:t>
            </w:r>
            <w:r w:rsidRPr="00B650E1">
              <w:rPr>
                <w:color w:val="000000"/>
                <w:spacing w:val="3"/>
                <w:szCs w:val="20"/>
                <w:fitText w:val="347" w:id="-1233410812"/>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261B3EDF" w14:textId="77777777" w:rsidR="00DD6E32" w:rsidRPr="00DB3FE7" w:rsidRDefault="00DD6E32" w:rsidP="00035F43">
            <w:pPr>
              <w:pStyle w:val="Tabletext0"/>
              <w:jc w:val="center"/>
              <w:rPr>
                <w:szCs w:val="20"/>
              </w:rPr>
            </w:pPr>
            <w:r w:rsidRPr="00DB3FE7">
              <w:rPr>
                <w:szCs w:val="20"/>
              </w:rPr>
              <w:t>0.0171</w:t>
            </w:r>
          </w:p>
        </w:tc>
        <w:tc>
          <w:tcPr>
            <w:tcW w:w="1270" w:type="dxa"/>
            <w:tcMar>
              <w:top w:w="0" w:type="dxa"/>
              <w:left w:w="108" w:type="dxa"/>
              <w:bottom w:w="0" w:type="dxa"/>
              <w:right w:w="108" w:type="dxa"/>
            </w:tcMar>
            <w:vAlign w:val="center"/>
          </w:tcPr>
          <w:p w14:paraId="7E47B4F8" w14:textId="2D90AA77" w:rsidR="00DD6E32" w:rsidRPr="00DB3FE7" w:rsidRDefault="00544295" w:rsidP="00035F43">
            <w:pPr>
              <w:pStyle w:val="Tabletext0"/>
              <w:jc w:val="center"/>
              <w:rPr>
                <w:szCs w:val="20"/>
                <w:highlight w:val="darkGray"/>
              </w:rPr>
            </w:pPr>
            <w:r w:rsidRPr="00B650E1">
              <w:rPr>
                <w:color w:val="000000"/>
                <w:spacing w:val="55"/>
                <w:szCs w:val="20"/>
                <w:shd w:val="solid" w:color="000000" w:fill="000000"/>
                <w:fitText w:val="337" w:id="-1233410811"/>
                <w14:textFill>
                  <w14:solidFill>
                    <w14:srgbClr w14:val="000000">
                      <w14:alpha w14:val="100000"/>
                    </w14:srgbClr>
                  </w14:solidFill>
                </w14:textFill>
              </w:rPr>
              <w:t>|||</w:t>
            </w:r>
            <w:r w:rsidRPr="00B650E1">
              <w:rPr>
                <w:color w:val="000000"/>
                <w:spacing w:val="2"/>
                <w:szCs w:val="20"/>
                <w:shd w:val="solid" w:color="000000" w:fill="000000"/>
                <w:fitText w:val="337" w:id="-1233410811"/>
                <w14:textFill>
                  <w14:solidFill>
                    <w14:srgbClr w14:val="000000">
                      <w14:alpha w14:val="100000"/>
                    </w14:srgbClr>
                  </w14:solidFill>
                </w14:textFill>
              </w:rPr>
              <w:t>|</w:t>
            </w:r>
            <w:r w:rsidR="008452AF" w:rsidRPr="00DB3FE7">
              <w:rPr>
                <w:szCs w:val="20"/>
                <w:vertAlign w:val="superscript"/>
              </w:rPr>
              <w:t>9</w:t>
            </w:r>
          </w:p>
        </w:tc>
        <w:tc>
          <w:tcPr>
            <w:tcW w:w="1396" w:type="dxa"/>
            <w:vAlign w:val="center"/>
          </w:tcPr>
          <w:p w14:paraId="1FF684A2" w14:textId="77777777" w:rsidR="00DD6E32" w:rsidRPr="00DB3FE7" w:rsidRDefault="00DD6E32" w:rsidP="00035F43">
            <w:pPr>
              <w:pStyle w:val="Tabletext0"/>
              <w:jc w:val="center"/>
              <w:rPr>
                <w:szCs w:val="20"/>
              </w:rPr>
            </w:pPr>
            <w:r w:rsidRPr="00DB3FE7">
              <w:rPr>
                <w:szCs w:val="20"/>
              </w:rPr>
              <w:t>+203%</w:t>
            </w:r>
          </w:p>
        </w:tc>
      </w:tr>
      <w:tr w:rsidR="00DD6E32" w:rsidRPr="00DB3FE7" w14:paraId="0456AADF" w14:textId="77777777" w:rsidTr="00544295">
        <w:tc>
          <w:tcPr>
            <w:tcW w:w="3824" w:type="dxa"/>
            <w:tcMar>
              <w:top w:w="0" w:type="dxa"/>
              <w:left w:w="108" w:type="dxa"/>
              <w:bottom w:w="0" w:type="dxa"/>
              <w:right w:w="108" w:type="dxa"/>
            </w:tcMar>
          </w:tcPr>
          <w:p w14:paraId="0AB6C665" w14:textId="77D77EA6" w:rsidR="00DD6E32" w:rsidRPr="00DB3FE7" w:rsidRDefault="00DD6E32" w:rsidP="00035F43">
            <w:pPr>
              <w:pStyle w:val="Tabletext0"/>
              <w:rPr>
                <w:szCs w:val="20"/>
              </w:rPr>
            </w:pPr>
            <w:r w:rsidRPr="00DB3FE7">
              <w:rPr>
                <w:szCs w:val="20"/>
              </w:rPr>
              <w:t xml:space="preserve">All treatments have separate efficacy estimates </w:t>
            </w:r>
            <w:r w:rsidR="008F392E" w:rsidRPr="00DB3FE7">
              <w:rPr>
                <w:szCs w:val="20"/>
              </w:rPr>
              <w:t xml:space="preserve">(i.e. does not assume the same efficacy for inclisiran and evolocumab) </w:t>
            </w:r>
            <w:r w:rsidRPr="00DB3FE7">
              <w:rPr>
                <w:szCs w:val="20"/>
              </w:rPr>
              <w:t>based on Huang 2022 NMA</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20E5CCB6" w14:textId="5664B396" w:rsidR="00DD6E32" w:rsidRPr="00DB3FE7" w:rsidRDefault="00544295" w:rsidP="00035F43">
            <w:pPr>
              <w:pStyle w:val="Tabletext0"/>
              <w:jc w:val="center"/>
              <w:rPr>
                <w:szCs w:val="20"/>
              </w:rPr>
            </w:pPr>
            <w:r w:rsidRPr="00B650E1">
              <w:rPr>
                <w:color w:val="000000"/>
                <w:spacing w:val="58"/>
                <w:szCs w:val="20"/>
                <w:fitText w:val="347" w:id="-1233410810"/>
                <w14:textFill>
                  <w14:solidFill>
                    <w14:srgbClr w14:val="000000">
                      <w14:alpha w14:val="100000"/>
                    </w14:srgbClr>
                  </w14:solidFill>
                </w14:textFill>
              </w:rPr>
              <w:t>|||</w:t>
            </w:r>
            <w:r w:rsidRPr="00B650E1">
              <w:rPr>
                <w:color w:val="000000"/>
                <w:spacing w:val="3"/>
                <w:szCs w:val="20"/>
                <w:fitText w:val="347" w:id="-1233410810"/>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2AEB288D" w14:textId="77777777" w:rsidR="00DD6E32" w:rsidRPr="00DB3FE7" w:rsidRDefault="00DD6E32" w:rsidP="00035F43">
            <w:pPr>
              <w:pStyle w:val="Tabletext0"/>
              <w:jc w:val="center"/>
              <w:rPr>
                <w:szCs w:val="20"/>
              </w:rPr>
            </w:pPr>
            <w:r w:rsidRPr="00DB3FE7">
              <w:rPr>
                <w:szCs w:val="20"/>
              </w:rPr>
              <w:t>-0.0031</w:t>
            </w:r>
          </w:p>
        </w:tc>
        <w:tc>
          <w:tcPr>
            <w:tcW w:w="1270" w:type="dxa"/>
            <w:tcMar>
              <w:top w:w="0" w:type="dxa"/>
              <w:left w:w="108" w:type="dxa"/>
              <w:bottom w:w="0" w:type="dxa"/>
              <w:right w:w="108" w:type="dxa"/>
            </w:tcMar>
            <w:vAlign w:val="center"/>
          </w:tcPr>
          <w:p w14:paraId="1A7F792C" w14:textId="77777777" w:rsidR="00DD6E32" w:rsidRPr="00DB3FE7" w:rsidRDefault="00DD6E32" w:rsidP="00035F43">
            <w:pPr>
              <w:pStyle w:val="Tabletext0"/>
              <w:jc w:val="center"/>
              <w:rPr>
                <w:szCs w:val="20"/>
              </w:rPr>
            </w:pPr>
            <w:r w:rsidRPr="00DB3FE7">
              <w:rPr>
                <w:szCs w:val="20"/>
              </w:rPr>
              <w:t>Dominated</w:t>
            </w:r>
          </w:p>
        </w:tc>
        <w:tc>
          <w:tcPr>
            <w:tcW w:w="1396" w:type="dxa"/>
            <w:vAlign w:val="center"/>
          </w:tcPr>
          <w:p w14:paraId="27585F8F" w14:textId="77777777" w:rsidR="00DD6E32" w:rsidRPr="00DB3FE7" w:rsidRDefault="00DD6E32" w:rsidP="00035F43">
            <w:pPr>
              <w:pStyle w:val="Tabletext0"/>
              <w:jc w:val="center"/>
              <w:rPr>
                <w:szCs w:val="20"/>
              </w:rPr>
            </w:pPr>
            <w:r w:rsidRPr="00DB3FE7">
              <w:rPr>
                <w:szCs w:val="20"/>
              </w:rPr>
              <w:t>NE</w:t>
            </w:r>
          </w:p>
        </w:tc>
      </w:tr>
      <w:tr w:rsidR="00DD6E32" w:rsidRPr="00DB3FE7" w14:paraId="1F7B342D" w14:textId="77777777" w:rsidTr="00544295">
        <w:tc>
          <w:tcPr>
            <w:tcW w:w="3824" w:type="dxa"/>
            <w:tcMar>
              <w:top w:w="0" w:type="dxa"/>
              <w:left w:w="108" w:type="dxa"/>
              <w:bottom w:w="0" w:type="dxa"/>
              <w:right w:w="108" w:type="dxa"/>
            </w:tcMar>
          </w:tcPr>
          <w:p w14:paraId="0BE5F027" w14:textId="10A6FC1F" w:rsidR="00DD6E32" w:rsidRPr="00DB3FE7" w:rsidRDefault="00DD6E32" w:rsidP="00035F43">
            <w:pPr>
              <w:pStyle w:val="Tabletext0"/>
              <w:rPr>
                <w:szCs w:val="20"/>
              </w:rPr>
            </w:pPr>
            <w:r w:rsidRPr="00DB3FE7">
              <w:rPr>
                <w:szCs w:val="20"/>
              </w:rPr>
              <w:t>All treatments have separate efficacy estimates</w:t>
            </w:r>
            <w:r w:rsidR="008F392E" w:rsidRPr="00DB3FE7">
              <w:rPr>
                <w:szCs w:val="20"/>
              </w:rPr>
              <w:t xml:space="preserve"> (i.e. does not assume the same efficacy for inclisiran and evolocumab)</w:t>
            </w:r>
            <w:r w:rsidRPr="00DB3FE7">
              <w:rPr>
                <w:szCs w:val="20"/>
              </w:rPr>
              <w:t xml:space="preserve"> based on Toth 2022 NMA</w:t>
            </w:r>
          </w:p>
        </w:tc>
        <w:tc>
          <w:tcPr>
            <w:tcW w:w="1269" w:type="dxa"/>
            <w:shd w:val="solid" w:color="000000" w:fill="000000"/>
            <w:tcMar>
              <w:top w:w="0" w:type="dxa"/>
              <w:left w:w="108" w:type="dxa"/>
              <w:bottom w:w="0" w:type="dxa"/>
              <w:right w:w="108" w:type="dxa"/>
            </w:tcMar>
            <w:vAlign w:val="center"/>
          </w:tcPr>
          <w:p w14:paraId="0F3AB20E" w14:textId="336EA3F5" w:rsidR="00DD6E32" w:rsidRPr="00DB3FE7" w:rsidRDefault="00544295" w:rsidP="00035F43">
            <w:pPr>
              <w:pStyle w:val="Tabletext0"/>
              <w:jc w:val="center"/>
              <w:rPr>
                <w:szCs w:val="20"/>
              </w:rPr>
            </w:pPr>
            <w:r w:rsidRPr="00B650E1">
              <w:rPr>
                <w:color w:val="000000"/>
                <w:spacing w:val="58"/>
                <w:szCs w:val="20"/>
                <w:fitText w:val="347" w:id="-1233410809"/>
                <w14:textFill>
                  <w14:solidFill>
                    <w14:srgbClr w14:val="000000">
                      <w14:alpha w14:val="100000"/>
                    </w14:srgbClr>
                  </w14:solidFill>
                </w14:textFill>
              </w:rPr>
              <w:t>|||</w:t>
            </w:r>
            <w:r w:rsidRPr="00B650E1">
              <w:rPr>
                <w:color w:val="000000"/>
                <w:spacing w:val="3"/>
                <w:szCs w:val="20"/>
                <w:fitText w:val="347" w:id="-1233410809"/>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9CD8B2A" w14:textId="77777777" w:rsidR="00DD6E32" w:rsidRPr="00DB3FE7" w:rsidRDefault="00DD6E32" w:rsidP="00035F43">
            <w:pPr>
              <w:pStyle w:val="Tabletext0"/>
              <w:jc w:val="center"/>
              <w:rPr>
                <w:szCs w:val="20"/>
              </w:rPr>
            </w:pPr>
            <w:r w:rsidRPr="00DB3FE7">
              <w:rPr>
                <w:szCs w:val="20"/>
              </w:rPr>
              <w:t>-0.0062</w:t>
            </w:r>
          </w:p>
        </w:tc>
        <w:tc>
          <w:tcPr>
            <w:tcW w:w="1270" w:type="dxa"/>
            <w:tcMar>
              <w:top w:w="0" w:type="dxa"/>
              <w:left w:w="108" w:type="dxa"/>
              <w:bottom w:w="0" w:type="dxa"/>
              <w:right w:w="108" w:type="dxa"/>
            </w:tcMar>
            <w:vAlign w:val="center"/>
          </w:tcPr>
          <w:p w14:paraId="3D60C06C" w14:textId="77777777" w:rsidR="00DD6E32" w:rsidRPr="00DB3FE7" w:rsidRDefault="00DD6E32" w:rsidP="00035F43">
            <w:pPr>
              <w:pStyle w:val="Tabletext0"/>
              <w:jc w:val="center"/>
              <w:rPr>
                <w:szCs w:val="20"/>
              </w:rPr>
            </w:pPr>
            <w:r w:rsidRPr="00DB3FE7">
              <w:rPr>
                <w:szCs w:val="20"/>
              </w:rPr>
              <w:t>Dominated</w:t>
            </w:r>
          </w:p>
        </w:tc>
        <w:tc>
          <w:tcPr>
            <w:tcW w:w="1396" w:type="dxa"/>
            <w:vAlign w:val="center"/>
          </w:tcPr>
          <w:p w14:paraId="43C2B3DE" w14:textId="77777777" w:rsidR="00DD6E32" w:rsidRPr="00DB3FE7" w:rsidRDefault="00DD6E32" w:rsidP="00035F43">
            <w:pPr>
              <w:pStyle w:val="Tabletext0"/>
              <w:jc w:val="center"/>
              <w:rPr>
                <w:szCs w:val="20"/>
              </w:rPr>
            </w:pPr>
            <w:r w:rsidRPr="00DB3FE7">
              <w:rPr>
                <w:szCs w:val="20"/>
              </w:rPr>
              <w:t>NE</w:t>
            </w:r>
          </w:p>
        </w:tc>
      </w:tr>
      <w:tr w:rsidR="00DD6E32" w:rsidRPr="00DB3FE7" w14:paraId="6D224178" w14:textId="77777777" w:rsidTr="00035F43">
        <w:tc>
          <w:tcPr>
            <w:tcW w:w="9029" w:type="dxa"/>
            <w:gridSpan w:val="5"/>
            <w:tcMar>
              <w:top w:w="0" w:type="dxa"/>
              <w:left w:w="108" w:type="dxa"/>
              <w:bottom w:w="0" w:type="dxa"/>
              <w:right w:w="108" w:type="dxa"/>
            </w:tcMar>
          </w:tcPr>
          <w:p w14:paraId="1BECF93C" w14:textId="5054C2CE" w:rsidR="00DD6E32" w:rsidRPr="00DB3FE7" w:rsidRDefault="00DD6E32" w:rsidP="00035F43">
            <w:pPr>
              <w:pStyle w:val="Tabletext0"/>
              <w:rPr>
                <w:b/>
                <w:bCs/>
                <w:szCs w:val="20"/>
              </w:rPr>
            </w:pPr>
            <w:r w:rsidRPr="00DB3FE7">
              <w:rPr>
                <w:b/>
                <w:bCs/>
                <w:szCs w:val="20"/>
              </w:rPr>
              <w:t xml:space="preserve">Drug and administration costs (base case: inclisiran costs based on placeholder effective DPMQ with 3 scripts first year and 2 scripts subsequent years, ezetimibe costs based on single agent DPMQ with 12.175 scripts per year, evolocumab costs based on published DPMQ for 420 mg dose with 13.04 scripts per year; statin costs based on atorvastatin DPMQ with 12.175 scripts per year; assumed inclisiran and </w:t>
            </w:r>
            <w:r w:rsidR="008F392E" w:rsidRPr="00DB3FE7">
              <w:rPr>
                <w:b/>
                <w:bCs/>
                <w:szCs w:val="20"/>
              </w:rPr>
              <w:t xml:space="preserve">PCSK9 inhibitor therapies </w:t>
            </w:r>
            <w:r w:rsidRPr="00DB3FE7">
              <w:rPr>
                <w:b/>
                <w:bCs/>
                <w:szCs w:val="20"/>
              </w:rPr>
              <w:t>required administration by a medical professional)</w:t>
            </w:r>
          </w:p>
        </w:tc>
      </w:tr>
      <w:tr w:rsidR="00DD6E32" w:rsidRPr="00DB3FE7" w14:paraId="4AACF485" w14:textId="77777777" w:rsidTr="00544295">
        <w:tc>
          <w:tcPr>
            <w:tcW w:w="3824" w:type="dxa"/>
            <w:tcMar>
              <w:top w:w="0" w:type="dxa"/>
              <w:left w:w="108" w:type="dxa"/>
              <w:bottom w:w="0" w:type="dxa"/>
              <w:right w:w="108" w:type="dxa"/>
            </w:tcMar>
          </w:tcPr>
          <w:p w14:paraId="56368E28" w14:textId="77777777" w:rsidR="00DD6E32" w:rsidRPr="00DB3FE7" w:rsidRDefault="00DD6E32" w:rsidP="00035F43">
            <w:pPr>
              <w:pStyle w:val="Tabletext0"/>
              <w:rPr>
                <w:szCs w:val="20"/>
              </w:rPr>
            </w:pPr>
            <w:r w:rsidRPr="00DB3FE7">
              <w:rPr>
                <w:szCs w:val="20"/>
              </w:rPr>
              <w:t>Replace statin and ezetimibe in comparator arm with ezetimibe/statin FDC</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05F86E39" w14:textId="59655805" w:rsidR="00DD6E32" w:rsidRPr="00DB3FE7" w:rsidRDefault="00544295" w:rsidP="00035F43">
            <w:pPr>
              <w:pStyle w:val="Tabletext0"/>
              <w:jc w:val="center"/>
              <w:rPr>
                <w:szCs w:val="20"/>
              </w:rPr>
            </w:pPr>
            <w:r w:rsidRPr="00B650E1">
              <w:rPr>
                <w:color w:val="000000"/>
                <w:spacing w:val="58"/>
                <w:szCs w:val="20"/>
                <w:fitText w:val="347" w:id="-1233410808"/>
                <w14:textFill>
                  <w14:solidFill>
                    <w14:srgbClr w14:val="000000">
                      <w14:alpha w14:val="100000"/>
                    </w14:srgbClr>
                  </w14:solidFill>
                </w14:textFill>
              </w:rPr>
              <w:t>|||</w:t>
            </w:r>
            <w:r w:rsidRPr="00B650E1">
              <w:rPr>
                <w:color w:val="000000"/>
                <w:spacing w:val="3"/>
                <w:szCs w:val="20"/>
                <w:fitText w:val="347" w:id="-1233410808"/>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26A94472" w14:textId="77777777" w:rsidR="00DD6E32" w:rsidRPr="00DB3FE7" w:rsidRDefault="00DD6E32" w:rsidP="00035F43">
            <w:pPr>
              <w:pStyle w:val="Tabletext0"/>
              <w:jc w:val="center"/>
              <w:rPr>
                <w:szCs w:val="20"/>
              </w:rPr>
            </w:pPr>
            <w:r w:rsidRPr="00DB3FE7">
              <w:rPr>
                <w:szCs w:val="20"/>
              </w:rPr>
              <w:t>0.0355</w:t>
            </w:r>
          </w:p>
        </w:tc>
        <w:tc>
          <w:tcPr>
            <w:tcW w:w="1270" w:type="dxa"/>
            <w:tcMar>
              <w:top w:w="0" w:type="dxa"/>
              <w:left w:w="108" w:type="dxa"/>
              <w:bottom w:w="0" w:type="dxa"/>
              <w:right w:w="108" w:type="dxa"/>
            </w:tcMar>
            <w:vAlign w:val="center"/>
          </w:tcPr>
          <w:p w14:paraId="46B384AF" w14:textId="1544463E" w:rsidR="00DD6E32" w:rsidRPr="00DB3FE7" w:rsidRDefault="00544295" w:rsidP="00035F43">
            <w:pPr>
              <w:pStyle w:val="Tabletext0"/>
              <w:jc w:val="center"/>
              <w:rPr>
                <w:szCs w:val="20"/>
                <w:highlight w:val="darkGray"/>
              </w:rPr>
            </w:pPr>
            <w:r w:rsidRPr="00B650E1">
              <w:rPr>
                <w:color w:val="000000"/>
                <w:spacing w:val="55"/>
                <w:szCs w:val="20"/>
                <w:shd w:val="solid" w:color="000000" w:fill="000000"/>
                <w:fitText w:val="337" w:id="-1233410807"/>
                <w14:textFill>
                  <w14:solidFill>
                    <w14:srgbClr w14:val="000000">
                      <w14:alpha w14:val="100000"/>
                    </w14:srgbClr>
                  </w14:solidFill>
                </w14:textFill>
              </w:rPr>
              <w:t>|||</w:t>
            </w:r>
            <w:r w:rsidRPr="00B650E1">
              <w:rPr>
                <w:color w:val="000000"/>
                <w:spacing w:val="2"/>
                <w:szCs w:val="20"/>
                <w:shd w:val="solid" w:color="000000" w:fill="000000"/>
                <w:fitText w:val="337" w:id="-1233410807"/>
                <w14:textFill>
                  <w14:solidFill>
                    <w14:srgbClr w14:val="000000">
                      <w14:alpha w14:val="100000"/>
                    </w14:srgbClr>
                  </w14:solidFill>
                </w14:textFill>
              </w:rPr>
              <w:t>|</w:t>
            </w:r>
            <w:r w:rsidR="008452AF" w:rsidRPr="00DB3FE7">
              <w:rPr>
                <w:b/>
                <w:bCs/>
                <w:szCs w:val="20"/>
                <w:vertAlign w:val="superscript"/>
              </w:rPr>
              <w:t>5</w:t>
            </w:r>
          </w:p>
        </w:tc>
        <w:tc>
          <w:tcPr>
            <w:tcW w:w="1396" w:type="dxa"/>
            <w:vAlign w:val="center"/>
          </w:tcPr>
          <w:p w14:paraId="6FF5FB0C" w14:textId="77777777" w:rsidR="00DD6E32" w:rsidRPr="00DB3FE7" w:rsidRDefault="00DD6E32" w:rsidP="00035F43">
            <w:pPr>
              <w:pStyle w:val="Tabletext0"/>
              <w:jc w:val="center"/>
              <w:rPr>
                <w:szCs w:val="20"/>
              </w:rPr>
            </w:pPr>
            <w:r w:rsidRPr="00DB3FE7">
              <w:rPr>
                <w:szCs w:val="20"/>
              </w:rPr>
              <w:t>+33%</w:t>
            </w:r>
          </w:p>
        </w:tc>
      </w:tr>
      <w:tr w:rsidR="00DD6E32" w:rsidRPr="00DB3FE7" w14:paraId="0BB44DC6" w14:textId="77777777" w:rsidTr="00544295">
        <w:tc>
          <w:tcPr>
            <w:tcW w:w="3824" w:type="dxa"/>
            <w:tcMar>
              <w:top w:w="0" w:type="dxa"/>
              <w:left w:w="108" w:type="dxa"/>
              <w:bottom w:w="0" w:type="dxa"/>
              <w:right w:w="108" w:type="dxa"/>
            </w:tcMar>
          </w:tcPr>
          <w:p w14:paraId="682D6137" w14:textId="77777777" w:rsidR="00DD6E32" w:rsidRPr="00DB3FE7" w:rsidRDefault="00DD6E32" w:rsidP="00035F43">
            <w:pPr>
              <w:pStyle w:val="Tabletext0"/>
              <w:rPr>
                <w:szCs w:val="20"/>
              </w:rPr>
            </w:pPr>
            <w:r w:rsidRPr="00DB3FE7">
              <w:rPr>
                <w:szCs w:val="20"/>
              </w:rPr>
              <w:t>Use updated published DPMQ for evolocumab [changed 1 December]</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2FF75F16" w14:textId="710D6DD5" w:rsidR="00DD6E32" w:rsidRPr="00DB3FE7" w:rsidRDefault="00544295" w:rsidP="00035F43">
            <w:pPr>
              <w:pStyle w:val="Tabletext0"/>
              <w:jc w:val="center"/>
              <w:rPr>
                <w:szCs w:val="20"/>
              </w:rPr>
            </w:pPr>
            <w:r w:rsidRPr="00B650E1">
              <w:rPr>
                <w:color w:val="000000"/>
                <w:spacing w:val="58"/>
                <w:szCs w:val="20"/>
                <w:fitText w:val="347" w:id="-1233410806"/>
                <w14:textFill>
                  <w14:solidFill>
                    <w14:srgbClr w14:val="000000">
                      <w14:alpha w14:val="100000"/>
                    </w14:srgbClr>
                  </w14:solidFill>
                </w14:textFill>
              </w:rPr>
              <w:t>|||</w:t>
            </w:r>
            <w:r w:rsidRPr="00B650E1">
              <w:rPr>
                <w:color w:val="000000"/>
                <w:spacing w:val="3"/>
                <w:szCs w:val="20"/>
                <w:fitText w:val="347" w:id="-1233410806"/>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40079C3E" w14:textId="77777777" w:rsidR="00DD6E32" w:rsidRPr="00DB3FE7" w:rsidRDefault="00DD6E32" w:rsidP="00035F43">
            <w:pPr>
              <w:pStyle w:val="Tabletext0"/>
              <w:jc w:val="center"/>
              <w:rPr>
                <w:szCs w:val="20"/>
              </w:rPr>
            </w:pPr>
            <w:r w:rsidRPr="00DB3FE7">
              <w:rPr>
                <w:szCs w:val="20"/>
              </w:rPr>
              <w:t>0.0355</w:t>
            </w:r>
          </w:p>
        </w:tc>
        <w:tc>
          <w:tcPr>
            <w:tcW w:w="1270" w:type="dxa"/>
            <w:tcMar>
              <w:top w:w="0" w:type="dxa"/>
              <w:left w:w="108" w:type="dxa"/>
              <w:bottom w:w="0" w:type="dxa"/>
              <w:right w:w="108" w:type="dxa"/>
            </w:tcMar>
            <w:vAlign w:val="center"/>
          </w:tcPr>
          <w:p w14:paraId="7F01DAC6" w14:textId="6384EB9F" w:rsidR="00DD6E32" w:rsidRPr="00DB3FE7" w:rsidRDefault="00544295" w:rsidP="00035F43">
            <w:pPr>
              <w:pStyle w:val="Tabletext0"/>
              <w:jc w:val="center"/>
              <w:rPr>
                <w:szCs w:val="20"/>
                <w:highlight w:val="darkGray"/>
              </w:rPr>
            </w:pPr>
            <w:r w:rsidRPr="00C91ADA">
              <w:rPr>
                <w:color w:val="000000"/>
                <w:spacing w:val="64"/>
                <w:szCs w:val="20"/>
                <w:shd w:val="solid" w:color="000000" w:fill="000000"/>
                <w:fitText w:val="364" w:id="-1233410805"/>
                <w14:textFill>
                  <w14:solidFill>
                    <w14:srgbClr w14:val="000000">
                      <w14:alpha w14:val="100000"/>
                    </w14:srgbClr>
                  </w14:solidFill>
                </w14:textFill>
              </w:rPr>
              <w:t>|||</w:t>
            </w:r>
            <w:r w:rsidRPr="00C91ADA">
              <w:rPr>
                <w:color w:val="000000"/>
                <w:spacing w:val="2"/>
                <w:szCs w:val="20"/>
                <w:shd w:val="solid" w:color="000000" w:fill="000000"/>
                <w:fitText w:val="364" w:id="-1233410805"/>
                <w14:textFill>
                  <w14:solidFill>
                    <w14:srgbClr w14:val="000000">
                      <w14:alpha w14:val="100000"/>
                    </w14:srgbClr>
                  </w14:solidFill>
                </w14:textFill>
              </w:rPr>
              <w:t>|</w:t>
            </w:r>
            <w:r w:rsidR="00662918" w:rsidRPr="00DB3FE7">
              <w:rPr>
                <w:szCs w:val="20"/>
                <w:vertAlign w:val="superscript"/>
              </w:rPr>
              <w:t>10</w:t>
            </w:r>
          </w:p>
        </w:tc>
        <w:tc>
          <w:tcPr>
            <w:tcW w:w="1396" w:type="dxa"/>
            <w:vAlign w:val="center"/>
          </w:tcPr>
          <w:p w14:paraId="0532DF7C" w14:textId="77777777" w:rsidR="00DD6E32" w:rsidRPr="00DB3FE7" w:rsidRDefault="00DD6E32" w:rsidP="00035F43">
            <w:pPr>
              <w:pStyle w:val="Tabletext0"/>
              <w:jc w:val="center"/>
              <w:rPr>
                <w:szCs w:val="20"/>
              </w:rPr>
            </w:pPr>
            <w:r w:rsidRPr="00DB3FE7">
              <w:rPr>
                <w:szCs w:val="20"/>
              </w:rPr>
              <w:t>+567%</w:t>
            </w:r>
          </w:p>
        </w:tc>
      </w:tr>
      <w:tr w:rsidR="00DD6E32" w:rsidRPr="00DB3FE7" w14:paraId="3ED7CCF7" w14:textId="77777777" w:rsidTr="00544295">
        <w:tc>
          <w:tcPr>
            <w:tcW w:w="3824" w:type="dxa"/>
            <w:tcMar>
              <w:top w:w="0" w:type="dxa"/>
              <w:left w:w="108" w:type="dxa"/>
              <w:bottom w:w="0" w:type="dxa"/>
              <w:right w:w="108" w:type="dxa"/>
            </w:tcMar>
          </w:tcPr>
          <w:p w14:paraId="1F186179" w14:textId="77777777" w:rsidR="00DD6E32" w:rsidRPr="00DB3FE7" w:rsidRDefault="00DD6E32" w:rsidP="00035F43">
            <w:pPr>
              <w:pStyle w:val="Tabletext0"/>
              <w:rPr>
                <w:szCs w:val="20"/>
              </w:rPr>
            </w:pPr>
            <w:r w:rsidRPr="00DB3FE7">
              <w:rPr>
                <w:szCs w:val="20"/>
              </w:rPr>
              <w:t>Use 12 scripts per year for evolocumab 420 mg dose (same as CMA)</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05602FCF" w14:textId="5150E341" w:rsidR="00DD6E32" w:rsidRPr="00DB3FE7" w:rsidRDefault="00544295" w:rsidP="00035F43">
            <w:pPr>
              <w:pStyle w:val="Tabletext0"/>
              <w:jc w:val="center"/>
              <w:rPr>
                <w:szCs w:val="20"/>
              </w:rPr>
            </w:pPr>
            <w:r w:rsidRPr="00B650E1">
              <w:rPr>
                <w:color w:val="000000"/>
                <w:spacing w:val="58"/>
                <w:szCs w:val="20"/>
                <w:fitText w:val="347" w:id="-1233410804"/>
                <w14:textFill>
                  <w14:solidFill>
                    <w14:srgbClr w14:val="000000">
                      <w14:alpha w14:val="100000"/>
                    </w14:srgbClr>
                  </w14:solidFill>
                </w14:textFill>
              </w:rPr>
              <w:t>|||</w:t>
            </w:r>
            <w:r w:rsidRPr="00B650E1">
              <w:rPr>
                <w:color w:val="000000"/>
                <w:spacing w:val="3"/>
                <w:szCs w:val="20"/>
                <w:fitText w:val="347" w:id="-1233410804"/>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5616CB4D" w14:textId="77777777" w:rsidR="00DD6E32" w:rsidRPr="00DB3FE7" w:rsidRDefault="00DD6E32" w:rsidP="00035F43">
            <w:pPr>
              <w:pStyle w:val="Tabletext0"/>
              <w:jc w:val="center"/>
              <w:rPr>
                <w:szCs w:val="20"/>
              </w:rPr>
            </w:pPr>
            <w:r w:rsidRPr="00DB3FE7">
              <w:rPr>
                <w:szCs w:val="20"/>
              </w:rPr>
              <w:t>0.0355</w:t>
            </w:r>
          </w:p>
        </w:tc>
        <w:tc>
          <w:tcPr>
            <w:tcW w:w="1270" w:type="dxa"/>
            <w:tcMar>
              <w:top w:w="0" w:type="dxa"/>
              <w:left w:w="108" w:type="dxa"/>
              <w:bottom w:w="0" w:type="dxa"/>
              <w:right w:w="108" w:type="dxa"/>
            </w:tcMar>
            <w:vAlign w:val="center"/>
          </w:tcPr>
          <w:p w14:paraId="43821E2B" w14:textId="48B33FB5" w:rsidR="00DD6E32" w:rsidRPr="00DB3FE7" w:rsidRDefault="00544295" w:rsidP="00035F43">
            <w:pPr>
              <w:pStyle w:val="Tabletext0"/>
              <w:jc w:val="center"/>
              <w:rPr>
                <w:szCs w:val="20"/>
                <w:highlight w:val="darkGray"/>
              </w:rPr>
            </w:pPr>
            <w:r w:rsidRPr="00C91ADA">
              <w:rPr>
                <w:color w:val="000000"/>
                <w:spacing w:val="64"/>
                <w:szCs w:val="20"/>
                <w:shd w:val="solid" w:color="000000" w:fill="000000"/>
                <w:fitText w:val="364" w:id="-1233410803"/>
                <w14:textFill>
                  <w14:solidFill>
                    <w14:srgbClr w14:val="000000">
                      <w14:alpha w14:val="100000"/>
                    </w14:srgbClr>
                  </w14:solidFill>
                </w14:textFill>
              </w:rPr>
              <w:t>|||</w:t>
            </w:r>
            <w:r w:rsidRPr="00C91ADA">
              <w:rPr>
                <w:color w:val="000000"/>
                <w:spacing w:val="2"/>
                <w:szCs w:val="20"/>
                <w:shd w:val="solid" w:color="000000" w:fill="000000"/>
                <w:fitText w:val="364" w:id="-1233410803"/>
                <w14:textFill>
                  <w14:solidFill>
                    <w14:srgbClr w14:val="000000">
                      <w14:alpha w14:val="100000"/>
                    </w14:srgbClr>
                  </w14:solidFill>
                </w14:textFill>
              </w:rPr>
              <w:t>|</w:t>
            </w:r>
            <w:r w:rsidR="00662918" w:rsidRPr="00DB3FE7">
              <w:rPr>
                <w:szCs w:val="20"/>
                <w:vertAlign w:val="superscript"/>
              </w:rPr>
              <w:t>11</w:t>
            </w:r>
          </w:p>
        </w:tc>
        <w:tc>
          <w:tcPr>
            <w:tcW w:w="1396" w:type="dxa"/>
            <w:vAlign w:val="center"/>
          </w:tcPr>
          <w:p w14:paraId="71CC1F40" w14:textId="77777777" w:rsidR="00DD6E32" w:rsidRPr="00DB3FE7" w:rsidRDefault="00DD6E32" w:rsidP="00035F43">
            <w:pPr>
              <w:pStyle w:val="Tabletext0"/>
              <w:jc w:val="center"/>
              <w:rPr>
                <w:szCs w:val="20"/>
              </w:rPr>
            </w:pPr>
            <w:r w:rsidRPr="00DB3FE7">
              <w:rPr>
                <w:szCs w:val="20"/>
              </w:rPr>
              <w:t>+158%</w:t>
            </w:r>
          </w:p>
        </w:tc>
      </w:tr>
      <w:tr w:rsidR="00DD6E32" w:rsidRPr="00DB3FE7" w14:paraId="63116515" w14:textId="77777777" w:rsidTr="00544295">
        <w:tc>
          <w:tcPr>
            <w:tcW w:w="3824" w:type="dxa"/>
            <w:tcMar>
              <w:top w:w="0" w:type="dxa"/>
              <w:left w:w="108" w:type="dxa"/>
              <w:bottom w:w="0" w:type="dxa"/>
              <w:right w:w="108" w:type="dxa"/>
            </w:tcMar>
            <w:vAlign w:val="center"/>
          </w:tcPr>
          <w:p w14:paraId="77DEFD2A" w14:textId="77777777" w:rsidR="00DD6E32" w:rsidRPr="00DB3FE7" w:rsidRDefault="00DD6E32" w:rsidP="00035F43">
            <w:pPr>
              <w:pStyle w:val="Tabletext0"/>
              <w:rPr>
                <w:szCs w:val="20"/>
              </w:rPr>
            </w:pPr>
            <w:r w:rsidRPr="00DB3FE7">
              <w:rPr>
                <w:szCs w:val="20"/>
              </w:rPr>
              <w:t>Assume no administration costs for evolocumab (same as CMA)</w:t>
            </w:r>
          </w:p>
        </w:tc>
        <w:tc>
          <w:tcPr>
            <w:tcW w:w="1269" w:type="dxa"/>
            <w:tcBorders>
              <w:bottom w:val="single" w:sz="4" w:space="0" w:color="auto"/>
            </w:tcBorders>
            <w:shd w:val="solid" w:color="000000" w:fill="000000"/>
            <w:tcMar>
              <w:top w:w="0" w:type="dxa"/>
              <w:left w:w="108" w:type="dxa"/>
              <w:bottom w:w="0" w:type="dxa"/>
              <w:right w:w="108" w:type="dxa"/>
            </w:tcMar>
            <w:vAlign w:val="center"/>
          </w:tcPr>
          <w:p w14:paraId="40A32181" w14:textId="6A69762E" w:rsidR="00DD6E32" w:rsidRPr="00DB3FE7" w:rsidRDefault="00544295" w:rsidP="00035F43">
            <w:pPr>
              <w:pStyle w:val="Tabletext0"/>
              <w:jc w:val="center"/>
              <w:rPr>
                <w:szCs w:val="20"/>
              </w:rPr>
            </w:pPr>
            <w:r w:rsidRPr="00B650E1">
              <w:rPr>
                <w:color w:val="000000"/>
                <w:spacing w:val="58"/>
                <w:szCs w:val="20"/>
                <w:fitText w:val="347" w:id="-1233410802"/>
                <w14:textFill>
                  <w14:solidFill>
                    <w14:srgbClr w14:val="000000">
                      <w14:alpha w14:val="100000"/>
                    </w14:srgbClr>
                  </w14:solidFill>
                </w14:textFill>
              </w:rPr>
              <w:t>|||</w:t>
            </w:r>
            <w:r w:rsidRPr="00B650E1">
              <w:rPr>
                <w:color w:val="000000"/>
                <w:spacing w:val="3"/>
                <w:szCs w:val="20"/>
                <w:fitText w:val="347" w:id="-1233410802"/>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4D492568" w14:textId="77777777" w:rsidR="00DD6E32" w:rsidRPr="00DB3FE7" w:rsidRDefault="00DD6E32" w:rsidP="00035F43">
            <w:pPr>
              <w:pStyle w:val="Tabletext0"/>
              <w:jc w:val="center"/>
              <w:rPr>
                <w:szCs w:val="20"/>
              </w:rPr>
            </w:pPr>
            <w:r w:rsidRPr="00DB3FE7">
              <w:rPr>
                <w:szCs w:val="20"/>
              </w:rPr>
              <w:t>0.0355</w:t>
            </w:r>
          </w:p>
        </w:tc>
        <w:tc>
          <w:tcPr>
            <w:tcW w:w="1270" w:type="dxa"/>
            <w:tcMar>
              <w:top w:w="0" w:type="dxa"/>
              <w:left w:w="108" w:type="dxa"/>
              <w:bottom w:w="0" w:type="dxa"/>
              <w:right w:w="108" w:type="dxa"/>
            </w:tcMar>
            <w:vAlign w:val="center"/>
          </w:tcPr>
          <w:p w14:paraId="0A2CF4EE" w14:textId="69BC0F96" w:rsidR="00DD6E32" w:rsidRPr="00DB3FE7" w:rsidRDefault="00544295" w:rsidP="00035F43">
            <w:pPr>
              <w:pStyle w:val="Tabletext0"/>
              <w:jc w:val="center"/>
              <w:rPr>
                <w:szCs w:val="20"/>
                <w:highlight w:val="darkGray"/>
              </w:rPr>
            </w:pPr>
            <w:r w:rsidRPr="00B650E1">
              <w:rPr>
                <w:color w:val="000000"/>
                <w:spacing w:val="55"/>
                <w:szCs w:val="20"/>
                <w:shd w:val="solid" w:color="000000" w:fill="000000"/>
                <w:fitText w:val="337" w:id="-1233410801"/>
                <w14:textFill>
                  <w14:solidFill>
                    <w14:srgbClr w14:val="000000">
                      <w14:alpha w14:val="100000"/>
                    </w14:srgbClr>
                  </w14:solidFill>
                </w14:textFill>
              </w:rPr>
              <w:t>|||</w:t>
            </w:r>
            <w:r w:rsidRPr="00B650E1">
              <w:rPr>
                <w:color w:val="000000"/>
                <w:spacing w:val="2"/>
                <w:szCs w:val="20"/>
                <w:shd w:val="solid" w:color="000000" w:fill="000000"/>
                <w:fitText w:val="337" w:id="-1233410801"/>
                <w14:textFill>
                  <w14:solidFill>
                    <w14:srgbClr w14:val="000000">
                      <w14:alpha w14:val="100000"/>
                    </w14:srgbClr>
                  </w14:solidFill>
                </w14:textFill>
              </w:rPr>
              <w:t>|</w:t>
            </w:r>
            <w:r w:rsidR="008452AF" w:rsidRPr="00DB3FE7">
              <w:rPr>
                <w:b/>
                <w:bCs/>
                <w:szCs w:val="20"/>
                <w:vertAlign w:val="superscript"/>
              </w:rPr>
              <w:t>6</w:t>
            </w:r>
          </w:p>
        </w:tc>
        <w:tc>
          <w:tcPr>
            <w:tcW w:w="1396" w:type="dxa"/>
            <w:vAlign w:val="center"/>
          </w:tcPr>
          <w:p w14:paraId="79BD0262" w14:textId="77777777" w:rsidR="00DD6E32" w:rsidRPr="00DB3FE7" w:rsidRDefault="00DD6E32" w:rsidP="00035F43">
            <w:pPr>
              <w:pStyle w:val="Tabletext0"/>
              <w:jc w:val="center"/>
              <w:rPr>
                <w:szCs w:val="20"/>
              </w:rPr>
            </w:pPr>
            <w:r w:rsidRPr="00DB3FE7">
              <w:rPr>
                <w:szCs w:val="20"/>
              </w:rPr>
              <w:t>+70%</w:t>
            </w:r>
          </w:p>
        </w:tc>
      </w:tr>
      <w:tr w:rsidR="00DD6E32" w:rsidRPr="00DB3FE7" w14:paraId="546873A2" w14:textId="77777777" w:rsidTr="00544295">
        <w:tc>
          <w:tcPr>
            <w:tcW w:w="3824" w:type="dxa"/>
            <w:tcMar>
              <w:top w:w="0" w:type="dxa"/>
              <w:left w:w="108" w:type="dxa"/>
              <w:bottom w:w="0" w:type="dxa"/>
              <w:right w:w="108" w:type="dxa"/>
            </w:tcMar>
          </w:tcPr>
          <w:p w14:paraId="2D5FBDA8" w14:textId="77777777" w:rsidR="00DD6E32" w:rsidRPr="00DB3FE7" w:rsidRDefault="00DD6E32" w:rsidP="00035F43">
            <w:pPr>
              <w:pStyle w:val="Tabletext0"/>
              <w:rPr>
                <w:szCs w:val="20"/>
              </w:rPr>
            </w:pPr>
            <w:r w:rsidRPr="00DB3FE7">
              <w:rPr>
                <w:szCs w:val="20"/>
              </w:rPr>
              <w:t>Use updated evolocumab costs, 12 scripts per year and no administration costs</w:t>
            </w:r>
          </w:p>
        </w:tc>
        <w:tc>
          <w:tcPr>
            <w:tcW w:w="1269" w:type="dxa"/>
            <w:shd w:val="solid" w:color="000000" w:fill="000000"/>
            <w:tcMar>
              <w:top w:w="0" w:type="dxa"/>
              <w:left w:w="108" w:type="dxa"/>
              <w:bottom w:w="0" w:type="dxa"/>
              <w:right w:w="108" w:type="dxa"/>
            </w:tcMar>
            <w:vAlign w:val="center"/>
          </w:tcPr>
          <w:p w14:paraId="4CFBA681" w14:textId="428105CD" w:rsidR="00DD6E32" w:rsidRPr="00DB3FE7" w:rsidRDefault="00544295" w:rsidP="00035F43">
            <w:pPr>
              <w:pStyle w:val="Tabletext0"/>
              <w:jc w:val="center"/>
              <w:rPr>
                <w:szCs w:val="20"/>
              </w:rPr>
            </w:pPr>
            <w:r w:rsidRPr="00B650E1">
              <w:rPr>
                <w:color w:val="000000"/>
                <w:spacing w:val="58"/>
                <w:szCs w:val="20"/>
                <w:fitText w:val="347" w:id="-1233410800"/>
                <w14:textFill>
                  <w14:solidFill>
                    <w14:srgbClr w14:val="000000">
                      <w14:alpha w14:val="100000"/>
                    </w14:srgbClr>
                  </w14:solidFill>
                </w14:textFill>
              </w:rPr>
              <w:t>|||</w:t>
            </w:r>
            <w:r w:rsidRPr="00B650E1">
              <w:rPr>
                <w:color w:val="000000"/>
                <w:spacing w:val="3"/>
                <w:szCs w:val="20"/>
                <w:fitText w:val="347" w:id="-1233410800"/>
                <w14:textFill>
                  <w14:solidFill>
                    <w14:srgbClr w14:val="000000">
                      <w14:alpha w14:val="100000"/>
                    </w14:srgbClr>
                  </w14:solidFill>
                </w14:textFill>
              </w:rPr>
              <w:t>|</w:t>
            </w:r>
          </w:p>
        </w:tc>
        <w:tc>
          <w:tcPr>
            <w:tcW w:w="1270" w:type="dxa"/>
            <w:tcMar>
              <w:top w:w="0" w:type="dxa"/>
              <w:left w:w="108" w:type="dxa"/>
              <w:bottom w:w="0" w:type="dxa"/>
              <w:right w:w="108" w:type="dxa"/>
            </w:tcMar>
            <w:vAlign w:val="center"/>
          </w:tcPr>
          <w:p w14:paraId="6D2F7FD9" w14:textId="77777777" w:rsidR="00DD6E32" w:rsidRPr="00DB3FE7" w:rsidRDefault="00DD6E32" w:rsidP="00035F43">
            <w:pPr>
              <w:pStyle w:val="Tabletext0"/>
              <w:jc w:val="center"/>
              <w:rPr>
                <w:szCs w:val="20"/>
              </w:rPr>
            </w:pPr>
            <w:r w:rsidRPr="00DB3FE7">
              <w:rPr>
                <w:szCs w:val="20"/>
              </w:rPr>
              <w:t>0.0355</w:t>
            </w:r>
          </w:p>
        </w:tc>
        <w:tc>
          <w:tcPr>
            <w:tcW w:w="1270" w:type="dxa"/>
            <w:tcMar>
              <w:top w:w="0" w:type="dxa"/>
              <w:left w:w="108" w:type="dxa"/>
              <w:bottom w:w="0" w:type="dxa"/>
              <w:right w:w="108" w:type="dxa"/>
            </w:tcMar>
            <w:vAlign w:val="center"/>
          </w:tcPr>
          <w:p w14:paraId="524891A1" w14:textId="1C5E5C99" w:rsidR="00DD6E32" w:rsidRPr="00DB3FE7" w:rsidRDefault="00544295" w:rsidP="00035F43">
            <w:pPr>
              <w:pStyle w:val="Tabletext0"/>
              <w:jc w:val="center"/>
              <w:rPr>
                <w:szCs w:val="20"/>
                <w:highlight w:val="darkGray"/>
              </w:rPr>
            </w:pPr>
            <w:r w:rsidRPr="00C91ADA">
              <w:rPr>
                <w:color w:val="000000"/>
                <w:spacing w:val="64"/>
                <w:szCs w:val="20"/>
                <w:shd w:val="solid" w:color="000000" w:fill="000000"/>
                <w:fitText w:val="364" w:id="-1233410816"/>
                <w14:textFill>
                  <w14:solidFill>
                    <w14:srgbClr w14:val="000000">
                      <w14:alpha w14:val="100000"/>
                    </w14:srgbClr>
                  </w14:solidFill>
                </w14:textFill>
              </w:rPr>
              <w:t>|||</w:t>
            </w:r>
            <w:r w:rsidRPr="00C91ADA">
              <w:rPr>
                <w:color w:val="000000"/>
                <w:spacing w:val="2"/>
                <w:szCs w:val="20"/>
                <w:shd w:val="solid" w:color="000000" w:fill="000000"/>
                <w:fitText w:val="364" w:id="-1233410816"/>
                <w14:textFill>
                  <w14:solidFill>
                    <w14:srgbClr w14:val="000000">
                      <w14:alpha w14:val="100000"/>
                    </w14:srgbClr>
                  </w14:solidFill>
                </w14:textFill>
              </w:rPr>
              <w:t>|</w:t>
            </w:r>
            <w:r w:rsidR="00662918" w:rsidRPr="00DB3FE7">
              <w:rPr>
                <w:szCs w:val="20"/>
                <w:vertAlign w:val="superscript"/>
              </w:rPr>
              <w:t>12</w:t>
            </w:r>
          </w:p>
        </w:tc>
        <w:tc>
          <w:tcPr>
            <w:tcW w:w="1396" w:type="dxa"/>
            <w:vAlign w:val="center"/>
          </w:tcPr>
          <w:p w14:paraId="4507B99C" w14:textId="77777777" w:rsidR="00DD6E32" w:rsidRPr="00DB3FE7" w:rsidRDefault="00DD6E32" w:rsidP="00035F43">
            <w:pPr>
              <w:pStyle w:val="Tabletext0"/>
              <w:jc w:val="center"/>
              <w:rPr>
                <w:szCs w:val="20"/>
              </w:rPr>
            </w:pPr>
            <w:r w:rsidRPr="00DB3FE7">
              <w:rPr>
                <w:szCs w:val="20"/>
              </w:rPr>
              <w:t>+1,235%</w:t>
            </w:r>
          </w:p>
        </w:tc>
      </w:tr>
    </w:tbl>
    <w:p w14:paraId="0EE7FF85" w14:textId="72789BAA" w:rsidR="00DD6E32" w:rsidRPr="00DB3FE7" w:rsidRDefault="00DD6E32" w:rsidP="00DD6E32">
      <w:pPr>
        <w:pStyle w:val="COMTablefooter"/>
      </w:pPr>
      <w:r w:rsidRPr="00DB3FE7">
        <w:t>Source: Table 83 of the submission; additional analyses conducted during the evaluation based on the ‘Section 3 model 24.10.2022 clean’ TreeAge file</w:t>
      </w:r>
    </w:p>
    <w:p w14:paraId="75423880" w14:textId="55317E9B" w:rsidR="00DD6E32" w:rsidRPr="00DB3FE7" w:rsidRDefault="00DD6E32" w:rsidP="00DD6E32">
      <w:pPr>
        <w:pStyle w:val="COMTablefooter"/>
      </w:pPr>
      <w:r w:rsidRPr="00DB3FE7">
        <w:t>Abbreviations: ASCVD, atherosclerotic cardiovascular disease; CI, confidence interval; CMA, cost minimisation analysis; CTTC, Cholesterol Treatment Trialists Collaboration; DPMQ, dispensed price per maximum quantity; FDC, fixed dose combination; ICER, incremental cost effectiveness ratio; LDL</w:t>
      </w:r>
      <w:r w:rsidR="00CD0449" w:rsidRPr="00DB3FE7">
        <w:t>-C</w:t>
      </w:r>
      <w:r w:rsidRPr="00DB3FE7">
        <w:t>, low-density lipoprotein cholesterol; MIWM, multiple imputation washout model; MMRM, mixed effect model for repeated measures; NE, not estimable; NMA, network meta-analyses; QALY, quality-adjusted life year</w:t>
      </w:r>
    </w:p>
    <w:p w14:paraId="7AC19150" w14:textId="49B437FC" w:rsidR="00DD6E32" w:rsidRPr="00DB3FE7" w:rsidRDefault="00DD6E32" w:rsidP="00282EC9">
      <w:pPr>
        <w:pStyle w:val="COMTablefooter"/>
        <w:spacing w:after="0"/>
      </w:pPr>
      <w:r w:rsidRPr="00DB3FE7">
        <w:rPr>
          <w:vertAlign w:val="superscript"/>
        </w:rPr>
        <w:t>a</w:t>
      </w:r>
      <w:r w:rsidRPr="00DB3FE7">
        <w:t xml:space="preserve"> There was an error in the calculation of this sensitivity analysis in the submission which used an LDL</w:t>
      </w:r>
      <w:r w:rsidR="00CD0449" w:rsidRPr="00DB3FE7">
        <w:t>-C</w:t>
      </w:r>
      <w:r w:rsidRPr="00DB3FE7">
        <w:t xml:space="preserve"> reduction of -25.93% for ezetimibe instead of -25.46%. This error was not corrected during the evaluation.</w:t>
      </w:r>
    </w:p>
    <w:p w14:paraId="73B8E1B4" w14:textId="77777777" w:rsidR="00D37B6A" w:rsidRPr="00DB3FE7" w:rsidRDefault="00D37B6A" w:rsidP="00D37B6A">
      <w:pPr>
        <w:rPr>
          <w:rFonts w:ascii="Arial Narrow" w:hAnsi="Arial Narrow"/>
          <w:i/>
          <w:sz w:val="18"/>
          <w:szCs w:val="18"/>
        </w:rPr>
      </w:pPr>
      <w:r w:rsidRPr="00DB3FE7">
        <w:rPr>
          <w:rFonts w:ascii="Arial Narrow" w:hAnsi="Arial Narrow"/>
          <w:i/>
          <w:sz w:val="18"/>
          <w:szCs w:val="18"/>
        </w:rPr>
        <w:t xml:space="preserve">The redacted values correspond to the following ranges: </w:t>
      </w:r>
    </w:p>
    <w:p w14:paraId="1B985ED6" w14:textId="77777777" w:rsidR="008452AF" w:rsidRPr="00DB3FE7" w:rsidRDefault="008452AF" w:rsidP="00D37B6A">
      <w:pPr>
        <w:rPr>
          <w:rFonts w:ascii="Arial Narrow" w:hAnsi="Arial Narrow"/>
          <w:i/>
          <w:sz w:val="18"/>
          <w:szCs w:val="18"/>
          <w:vertAlign w:val="superscript"/>
        </w:rPr>
        <w:sectPr w:rsidR="008452AF" w:rsidRPr="00DB3FE7" w:rsidSect="003B07E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1440" w:footer="1440" w:gutter="0"/>
          <w:pgNumType w:start="1"/>
          <w:cols w:space="708"/>
          <w:docGrid w:linePitch="360"/>
        </w:sectPr>
      </w:pPr>
    </w:p>
    <w:p w14:paraId="16B7AB5B" w14:textId="372020B5" w:rsidR="00D37B6A" w:rsidRPr="00352E1C" w:rsidRDefault="00D37B6A" w:rsidP="00D37B6A">
      <w:pPr>
        <w:rPr>
          <w:rFonts w:ascii="Arial Narrow" w:hAnsi="Arial Narrow"/>
          <w:i/>
          <w:sz w:val="18"/>
          <w:szCs w:val="18"/>
        </w:rPr>
      </w:pPr>
      <w:r w:rsidRPr="0042765C">
        <w:rPr>
          <w:rFonts w:ascii="Arial Narrow" w:hAnsi="Arial Narrow"/>
          <w:i/>
          <w:sz w:val="18"/>
          <w:szCs w:val="18"/>
          <w:vertAlign w:val="superscript"/>
        </w:rPr>
        <w:t>1</w:t>
      </w:r>
      <w:r w:rsidRPr="00352E1C">
        <w:rPr>
          <w:rFonts w:ascii="Arial Narrow" w:hAnsi="Arial Narrow"/>
          <w:i/>
          <w:sz w:val="18"/>
          <w:szCs w:val="18"/>
        </w:rPr>
        <w:t xml:space="preserve"> $</w:t>
      </w:r>
      <w:r w:rsidR="0083060E" w:rsidRPr="00352E1C">
        <w:rPr>
          <w:rFonts w:ascii="Arial Narrow" w:hAnsi="Arial Narrow"/>
          <w:i/>
          <w:sz w:val="18"/>
          <w:szCs w:val="18"/>
        </w:rPr>
        <w:t>3</w:t>
      </w:r>
      <w:r w:rsidRPr="00352E1C">
        <w:rPr>
          <w:rFonts w:ascii="Arial Narrow" w:hAnsi="Arial Narrow"/>
          <w:i/>
          <w:sz w:val="18"/>
          <w:szCs w:val="18"/>
        </w:rPr>
        <w:t>5,000 to &lt; $</w:t>
      </w:r>
      <w:r w:rsidR="0083060E" w:rsidRPr="00352E1C">
        <w:rPr>
          <w:rFonts w:ascii="Arial Narrow" w:hAnsi="Arial Narrow"/>
          <w:i/>
          <w:sz w:val="18"/>
          <w:szCs w:val="18"/>
        </w:rPr>
        <w:t>4</w:t>
      </w:r>
      <w:r w:rsidRPr="00352E1C">
        <w:rPr>
          <w:rFonts w:ascii="Arial Narrow" w:hAnsi="Arial Narrow"/>
          <w:i/>
          <w:sz w:val="18"/>
          <w:szCs w:val="18"/>
        </w:rPr>
        <w:t>5,000</w:t>
      </w:r>
    </w:p>
    <w:p w14:paraId="1F358A5E" w14:textId="7CF2BF62" w:rsidR="00D37B6A" w:rsidRPr="00DB3FE7" w:rsidRDefault="00D37B6A" w:rsidP="00D37B6A">
      <w:pPr>
        <w:rPr>
          <w:rFonts w:ascii="Arial Narrow" w:hAnsi="Arial Narrow"/>
          <w:i/>
          <w:sz w:val="18"/>
          <w:szCs w:val="18"/>
        </w:rPr>
      </w:pPr>
      <w:r w:rsidRPr="00DB3FE7">
        <w:rPr>
          <w:rFonts w:ascii="Arial Narrow" w:hAnsi="Arial Narrow"/>
          <w:i/>
          <w:sz w:val="18"/>
          <w:szCs w:val="18"/>
          <w:vertAlign w:val="superscript"/>
        </w:rPr>
        <w:t>2</w:t>
      </w:r>
      <w:r w:rsidRPr="00DB3FE7">
        <w:rPr>
          <w:rFonts w:ascii="Arial Narrow" w:hAnsi="Arial Narrow"/>
          <w:i/>
          <w:sz w:val="18"/>
          <w:szCs w:val="18"/>
        </w:rPr>
        <w:t xml:space="preserve"> $25,000 to &lt; $35,000</w:t>
      </w:r>
    </w:p>
    <w:p w14:paraId="6409F67D" w14:textId="08BAF409" w:rsidR="00D37B6A" w:rsidRPr="00DB3FE7" w:rsidRDefault="00D37B6A" w:rsidP="00D37B6A">
      <w:pPr>
        <w:rPr>
          <w:rFonts w:ascii="Arial Narrow" w:hAnsi="Arial Narrow"/>
          <w:i/>
          <w:sz w:val="18"/>
          <w:szCs w:val="18"/>
        </w:rPr>
      </w:pPr>
      <w:r w:rsidRPr="00DB3FE7">
        <w:rPr>
          <w:rFonts w:ascii="Arial Narrow" w:hAnsi="Arial Narrow"/>
          <w:i/>
          <w:sz w:val="18"/>
          <w:szCs w:val="18"/>
          <w:vertAlign w:val="superscript"/>
        </w:rPr>
        <w:t>3</w:t>
      </w:r>
      <w:r w:rsidRPr="00DB3FE7">
        <w:rPr>
          <w:rFonts w:ascii="Arial Narrow" w:hAnsi="Arial Narrow"/>
          <w:i/>
          <w:sz w:val="18"/>
          <w:szCs w:val="18"/>
        </w:rPr>
        <w:t xml:space="preserve"> $5,000 to &lt; $15,000</w:t>
      </w:r>
    </w:p>
    <w:p w14:paraId="1578D001" w14:textId="0313D125" w:rsidR="00D37B6A" w:rsidRPr="00DB3FE7" w:rsidRDefault="00D37B6A" w:rsidP="00D37B6A">
      <w:pPr>
        <w:rPr>
          <w:rFonts w:ascii="Arial Narrow" w:hAnsi="Arial Narrow"/>
          <w:i/>
          <w:sz w:val="18"/>
          <w:szCs w:val="18"/>
        </w:rPr>
      </w:pPr>
      <w:r w:rsidRPr="00DB3FE7">
        <w:rPr>
          <w:rFonts w:ascii="Arial Narrow" w:hAnsi="Arial Narrow"/>
          <w:i/>
          <w:sz w:val="18"/>
          <w:szCs w:val="18"/>
          <w:vertAlign w:val="superscript"/>
        </w:rPr>
        <w:t>4</w:t>
      </w:r>
      <w:r w:rsidRPr="00DB3FE7">
        <w:rPr>
          <w:rFonts w:ascii="Arial Narrow" w:hAnsi="Arial Narrow"/>
          <w:i/>
          <w:sz w:val="18"/>
          <w:szCs w:val="18"/>
        </w:rPr>
        <w:t xml:space="preserve"> $155,000 to &lt; $255,000</w:t>
      </w:r>
    </w:p>
    <w:p w14:paraId="56D08257" w14:textId="2DF4E7DA" w:rsidR="00D37B6A" w:rsidRPr="00DB3FE7" w:rsidRDefault="00D37B6A" w:rsidP="00D37B6A">
      <w:pPr>
        <w:rPr>
          <w:rFonts w:ascii="Arial Narrow" w:hAnsi="Arial Narrow"/>
          <w:i/>
          <w:sz w:val="18"/>
          <w:szCs w:val="18"/>
        </w:rPr>
      </w:pPr>
      <w:r w:rsidRPr="00DB3FE7">
        <w:rPr>
          <w:rFonts w:ascii="Arial Narrow" w:hAnsi="Arial Narrow"/>
          <w:i/>
          <w:sz w:val="18"/>
          <w:szCs w:val="18"/>
          <w:vertAlign w:val="superscript"/>
        </w:rPr>
        <w:t>5</w:t>
      </w:r>
      <w:r w:rsidRPr="00DB3FE7">
        <w:rPr>
          <w:rFonts w:ascii="Arial Narrow" w:hAnsi="Arial Narrow"/>
          <w:i/>
          <w:sz w:val="18"/>
          <w:szCs w:val="18"/>
        </w:rPr>
        <w:t xml:space="preserve"> $55,000 to &lt; $75,000</w:t>
      </w:r>
    </w:p>
    <w:p w14:paraId="1825247E" w14:textId="598110F9" w:rsidR="00D37B6A" w:rsidRPr="00DB3FE7" w:rsidRDefault="00D37B6A" w:rsidP="00D37B6A">
      <w:pPr>
        <w:rPr>
          <w:rFonts w:ascii="Arial Narrow" w:hAnsi="Arial Narrow"/>
          <w:i/>
          <w:sz w:val="18"/>
          <w:szCs w:val="18"/>
        </w:rPr>
      </w:pPr>
      <w:r w:rsidRPr="00DB3FE7">
        <w:rPr>
          <w:rFonts w:ascii="Arial Narrow" w:hAnsi="Arial Narrow"/>
          <w:i/>
          <w:sz w:val="18"/>
          <w:szCs w:val="18"/>
          <w:vertAlign w:val="superscript"/>
        </w:rPr>
        <w:t>6</w:t>
      </w:r>
      <w:r w:rsidRPr="00DB3FE7">
        <w:rPr>
          <w:rFonts w:ascii="Arial Narrow" w:hAnsi="Arial Narrow"/>
          <w:i/>
          <w:sz w:val="18"/>
          <w:szCs w:val="18"/>
        </w:rPr>
        <w:t xml:space="preserve"> </w:t>
      </w:r>
      <w:r w:rsidR="008452AF" w:rsidRPr="00DB3FE7">
        <w:rPr>
          <w:rFonts w:ascii="Arial Narrow" w:hAnsi="Arial Narrow"/>
          <w:i/>
          <w:sz w:val="18"/>
          <w:szCs w:val="18"/>
        </w:rPr>
        <w:t>$75,000 to &lt; $95,000</w:t>
      </w:r>
    </w:p>
    <w:p w14:paraId="47750DC7" w14:textId="4315F888" w:rsidR="008452AF" w:rsidRPr="00DB3FE7" w:rsidRDefault="008452AF" w:rsidP="00D37B6A">
      <w:pPr>
        <w:rPr>
          <w:rFonts w:ascii="Arial Narrow" w:hAnsi="Arial Narrow"/>
          <w:i/>
          <w:sz w:val="18"/>
          <w:szCs w:val="18"/>
        </w:rPr>
      </w:pPr>
      <w:r w:rsidRPr="00DB3FE7">
        <w:rPr>
          <w:rFonts w:ascii="Arial Narrow" w:hAnsi="Arial Narrow"/>
          <w:i/>
          <w:sz w:val="18"/>
          <w:szCs w:val="18"/>
          <w:vertAlign w:val="superscript"/>
        </w:rPr>
        <w:t>7</w:t>
      </w:r>
      <w:r w:rsidRPr="00DB3FE7">
        <w:rPr>
          <w:rFonts w:ascii="Arial Narrow" w:hAnsi="Arial Narrow"/>
          <w:i/>
          <w:sz w:val="18"/>
          <w:szCs w:val="18"/>
        </w:rPr>
        <w:t xml:space="preserve"> $95,000 to &lt; $115,000</w:t>
      </w:r>
    </w:p>
    <w:p w14:paraId="2623279C" w14:textId="77777777" w:rsidR="008452AF" w:rsidRPr="00DB3FE7" w:rsidRDefault="008452AF" w:rsidP="00D37B6A">
      <w:pPr>
        <w:rPr>
          <w:rFonts w:ascii="Arial Narrow" w:hAnsi="Arial Narrow"/>
          <w:i/>
          <w:sz w:val="18"/>
          <w:szCs w:val="18"/>
        </w:rPr>
      </w:pPr>
      <w:r w:rsidRPr="00DB3FE7">
        <w:rPr>
          <w:rFonts w:ascii="Arial Narrow" w:hAnsi="Arial Narrow"/>
          <w:i/>
          <w:sz w:val="18"/>
          <w:szCs w:val="18"/>
          <w:vertAlign w:val="superscript"/>
        </w:rPr>
        <w:t>8</w:t>
      </w:r>
      <w:r w:rsidRPr="00DB3FE7">
        <w:rPr>
          <w:rFonts w:ascii="Arial Narrow" w:hAnsi="Arial Narrow"/>
          <w:i/>
          <w:sz w:val="18"/>
          <w:szCs w:val="18"/>
        </w:rPr>
        <w:t xml:space="preserve"> $15,000 to &lt; $25,000</w:t>
      </w:r>
    </w:p>
    <w:p w14:paraId="5A67C98E" w14:textId="4306DC8F" w:rsidR="008452AF" w:rsidRPr="00DB3FE7" w:rsidRDefault="008452AF" w:rsidP="00662918">
      <w:pPr>
        <w:rPr>
          <w:rFonts w:ascii="Arial Narrow" w:hAnsi="Arial Narrow"/>
          <w:i/>
          <w:sz w:val="18"/>
          <w:szCs w:val="18"/>
        </w:rPr>
      </w:pPr>
      <w:r w:rsidRPr="00DB3FE7">
        <w:rPr>
          <w:rFonts w:ascii="Arial Narrow" w:hAnsi="Arial Narrow"/>
          <w:i/>
          <w:sz w:val="18"/>
          <w:szCs w:val="18"/>
          <w:vertAlign w:val="superscript"/>
        </w:rPr>
        <w:t>9</w:t>
      </w:r>
      <w:r w:rsidRPr="00DB3FE7">
        <w:rPr>
          <w:rFonts w:ascii="Arial Narrow" w:hAnsi="Arial Narrow"/>
          <w:i/>
          <w:sz w:val="18"/>
          <w:szCs w:val="18"/>
        </w:rPr>
        <w:t xml:space="preserve"> $135,000 to &lt; $155,000</w:t>
      </w:r>
    </w:p>
    <w:p w14:paraId="616504A6" w14:textId="6B8FAE00" w:rsidR="008452AF" w:rsidRPr="00DB3FE7" w:rsidRDefault="008452AF" w:rsidP="008452AF">
      <w:pPr>
        <w:rPr>
          <w:rFonts w:ascii="Arial Narrow" w:hAnsi="Arial Narrow"/>
          <w:i/>
          <w:sz w:val="18"/>
          <w:szCs w:val="18"/>
        </w:rPr>
      </w:pPr>
      <w:r w:rsidRPr="00DB3FE7">
        <w:rPr>
          <w:rFonts w:ascii="Arial Narrow" w:hAnsi="Arial Narrow"/>
          <w:i/>
          <w:sz w:val="18"/>
          <w:szCs w:val="18"/>
          <w:vertAlign w:val="superscript"/>
        </w:rPr>
        <w:t>10</w:t>
      </w:r>
      <w:r w:rsidRPr="00DB3FE7">
        <w:rPr>
          <w:rFonts w:ascii="Arial Narrow" w:hAnsi="Arial Narrow"/>
          <w:i/>
          <w:sz w:val="18"/>
          <w:szCs w:val="18"/>
        </w:rPr>
        <w:t xml:space="preserve"> </w:t>
      </w:r>
      <w:r w:rsidR="00662918" w:rsidRPr="00DB3FE7">
        <w:rPr>
          <w:rFonts w:ascii="Arial Narrow" w:hAnsi="Arial Narrow"/>
          <w:i/>
          <w:sz w:val="18"/>
          <w:szCs w:val="18"/>
        </w:rPr>
        <w:t>$255,000 to &lt; $355,000</w:t>
      </w:r>
    </w:p>
    <w:p w14:paraId="50B73E49" w14:textId="77777777" w:rsidR="008452AF" w:rsidRPr="00DB3FE7" w:rsidRDefault="008452AF" w:rsidP="00662918">
      <w:pPr>
        <w:rPr>
          <w:rFonts w:ascii="Arial Narrow" w:hAnsi="Arial Narrow"/>
          <w:i/>
          <w:sz w:val="18"/>
          <w:szCs w:val="18"/>
        </w:rPr>
      </w:pPr>
      <w:r w:rsidRPr="00DB3FE7">
        <w:rPr>
          <w:rFonts w:ascii="Arial Narrow" w:hAnsi="Arial Narrow"/>
          <w:i/>
          <w:sz w:val="18"/>
          <w:szCs w:val="18"/>
          <w:vertAlign w:val="superscript"/>
        </w:rPr>
        <w:t>11</w:t>
      </w:r>
      <w:r w:rsidR="00662918" w:rsidRPr="00DB3FE7">
        <w:rPr>
          <w:rFonts w:ascii="Arial Narrow" w:hAnsi="Arial Narrow"/>
          <w:i/>
          <w:sz w:val="18"/>
          <w:szCs w:val="18"/>
        </w:rPr>
        <w:t>$115,000 to &lt; $135,000</w:t>
      </w:r>
    </w:p>
    <w:p w14:paraId="419B62DA" w14:textId="4AB0521D" w:rsidR="00662918" w:rsidRPr="00DB3FE7" w:rsidRDefault="00662918" w:rsidP="00662918">
      <w:pPr>
        <w:rPr>
          <w:rFonts w:ascii="Arial Narrow" w:hAnsi="Arial Narrow"/>
          <w:i/>
          <w:sz w:val="18"/>
          <w:szCs w:val="18"/>
        </w:rPr>
      </w:pPr>
      <w:r w:rsidRPr="00DB3FE7">
        <w:rPr>
          <w:rFonts w:ascii="Arial Narrow" w:hAnsi="Arial Narrow"/>
          <w:i/>
          <w:sz w:val="18"/>
          <w:szCs w:val="18"/>
          <w:vertAlign w:val="superscript"/>
        </w:rPr>
        <w:t>12</w:t>
      </w:r>
      <w:r w:rsidRPr="00DB3FE7">
        <w:rPr>
          <w:rFonts w:ascii="Arial Narrow" w:hAnsi="Arial Narrow"/>
          <w:i/>
          <w:sz w:val="18"/>
          <w:szCs w:val="18"/>
        </w:rPr>
        <w:t>$555,000 to &lt; $655,000</w:t>
      </w:r>
    </w:p>
    <w:p w14:paraId="694B0224" w14:textId="53B8B821" w:rsidR="0083060E" w:rsidRPr="00DB3FE7" w:rsidRDefault="0083060E" w:rsidP="00662918">
      <w:pPr>
        <w:rPr>
          <w:rFonts w:ascii="Arial Narrow" w:hAnsi="Arial Narrow"/>
          <w:i/>
          <w:sz w:val="18"/>
          <w:szCs w:val="18"/>
        </w:rPr>
      </w:pPr>
      <w:r w:rsidRPr="00DB3FE7">
        <w:rPr>
          <w:rFonts w:ascii="Arial Narrow" w:hAnsi="Arial Narrow"/>
          <w:i/>
          <w:sz w:val="18"/>
          <w:szCs w:val="18"/>
          <w:vertAlign w:val="superscript"/>
        </w:rPr>
        <w:t>13</w:t>
      </w:r>
      <w:r w:rsidRPr="00DB3FE7">
        <w:rPr>
          <w:rFonts w:ascii="Arial Narrow" w:hAnsi="Arial Narrow"/>
          <w:i/>
          <w:sz w:val="18"/>
          <w:szCs w:val="18"/>
        </w:rPr>
        <w:t xml:space="preserve"> $45,000 to &lt; $55,000</w:t>
      </w:r>
    </w:p>
    <w:p w14:paraId="64CB31D1" w14:textId="77777777" w:rsidR="00662918" w:rsidRPr="00DB3FE7" w:rsidRDefault="00662918" w:rsidP="00662918">
      <w:pPr>
        <w:rPr>
          <w:rFonts w:ascii="Arial Narrow" w:hAnsi="Arial Narrow"/>
          <w:i/>
          <w:sz w:val="18"/>
          <w:szCs w:val="18"/>
        </w:rPr>
      </w:pPr>
    </w:p>
    <w:p w14:paraId="3F7AFABA" w14:textId="20DD4C77" w:rsidR="00662918" w:rsidRPr="00DB3FE7" w:rsidRDefault="00662918" w:rsidP="00662918">
      <w:pPr>
        <w:rPr>
          <w:rFonts w:ascii="Arial Narrow" w:hAnsi="Arial Narrow"/>
          <w:i/>
          <w:sz w:val="18"/>
          <w:szCs w:val="18"/>
        </w:rPr>
        <w:sectPr w:rsidR="00662918" w:rsidRPr="00DB3FE7" w:rsidSect="00544295">
          <w:type w:val="continuous"/>
          <w:pgSz w:w="11907" w:h="16840" w:code="9"/>
          <w:pgMar w:top="1440" w:right="1440" w:bottom="1440" w:left="1440" w:header="1440" w:footer="1440" w:gutter="0"/>
          <w:pgNumType w:start="1"/>
          <w:cols w:num="2" w:space="708"/>
          <w:docGrid w:linePitch="360"/>
        </w:sectPr>
      </w:pPr>
    </w:p>
    <w:p w14:paraId="79482FF7" w14:textId="77777777" w:rsidR="008452AF" w:rsidRPr="0042765C" w:rsidRDefault="008452AF" w:rsidP="00662918">
      <w:pPr>
        <w:rPr>
          <w:rFonts w:ascii="Arial Narrow" w:hAnsi="Arial Narrow"/>
          <w:i/>
          <w:sz w:val="18"/>
          <w:szCs w:val="18"/>
        </w:rPr>
      </w:pPr>
    </w:p>
    <w:p w14:paraId="13B67B5E" w14:textId="025D6613" w:rsidR="00F00548" w:rsidRPr="00D2286B" w:rsidRDefault="002E0590" w:rsidP="00282EC9">
      <w:pPr>
        <w:pStyle w:val="COMH3"/>
        <w:spacing w:after="120"/>
      </w:pPr>
      <w:r w:rsidRPr="00D2286B">
        <w:t>CMA</w:t>
      </w:r>
      <w:r w:rsidR="00F00548" w:rsidRPr="00D2286B">
        <w:t xml:space="preserve"> of inclisiran compared to </w:t>
      </w:r>
      <w:r w:rsidR="008F392E" w:rsidRPr="00D2286B">
        <w:t>PCSK9 inhibitor therapies</w:t>
      </w:r>
    </w:p>
    <w:p w14:paraId="663CF880" w14:textId="6CB43410" w:rsidR="00DD6E32" w:rsidRPr="00DB3FE7" w:rsidRDefault="00DD6E32" w:rsidP="00980E94">
      <w:pPr>
        <w:pStyle w:val="COMexecsumnumberedpara"/>
      </w:pPr>
      <w:r w:rsidRPr="00D2286B">
        <w:t xml:space="preserve">The submission also presented a supportive </w:t>
      </w:r>
      <w:r w:rsidR="0086244E" w:rsidRPr="00DB3FE7">
        <w:t xml:space="preserve">CMA </w:t>
      </w:r>
      <w:r w:rsidRPr="00DB3FE7">
        <w:t xml:space="preserve">of inclisiran compared to </w:t>
      </w:r>
      <w:r w:rsidR="008F392E" w:rsidRPr="00DB3FE7">
        <w:t xml:space="preserve">PCSK9 inhibitor therapies </w:t>
      </w:r>
      <w:r w:rsidRPr="00DB3FE7">
        <w:t xml:space="preserve">in the subsequent-line setting. </w:t>
      </w:r>
      <w:r w:rsidR="00C11201" w:rsidRPr="00DB3FE7">
        <w:t xml:space="preserve">The ESC considered that a </w:t>
      </w:r>
      <w:r w:rsidR="00A85CDF" w:rsidRPr="00DB3FE7">
        <w:t xml:space="preserve">revised </w:t>
      </w:r>
      <w:r w:rsidR="0086244E" w:rsidRPr="00DB3FE7">
        <w:t xml:space="preserve">CMA </w:t>
      </w:r>
      <w:r w:rsidR="00C11201" w:rsidRPr="00DB3FE7">
        <w:t>would be reasonable if inclisiran was positioned as an alternative to the PCSK9 inhibitor therapies.</w:t>
      </w:r>
    </w:p>
    <w:p w14:paraId="509C52A8" w14:textId="00E4F40D" w:rsidR="00DD6E32" w:rsidRPr="00DB3FE7" w:rsidRDefault="00DD6E32" w:rsidP="00980E94">
      <w:pPr>
        <w:pStyle w:val="COMexecsumnumberedpara"/>
      </w:pPr>
      <w:r w:rsidRPr="00DB3FE7">
        <w:t xml:space="preserve">The </w:t>
      </w:r>
      <w:r w:rsidR="0086244E" w:rsidRPr="00DB3FE7">
        <w:t xml:space="preserve">CMA </w:t>
      </w:r>
      <w:r w:rsidRPr="00DB3FE7">
        <w:t xml:space="preserve">was presented on the basis that 284 mg inclisiran administered at month 0, at 3 months and then every 6 months is equivalent to evolocumab 140 mg once fortnightly or 420 mg once monthly </w:t>
      </w:r>
      <w:r w:rsidR="00F1749F" w:rsidRPr="00DB3FE7">
        <w:t xml:space="preserve">(the PSCR acknowledged that the </w:t>
      </w:r>
      <w:r w:rsidR="0064154E" w:rsidRPr="00DB3FE7">
        <w:t xml:space="preserve">administration of the </w:t>
      </w:r>
      <w:r w:rsidR="00F1749F" w:rsidRPr="00DB3FE7">
        <w:t xml:space="preserve">420 mg dose </w:t>
      </w:r>
      <w:r w:rsidR="0064154E" w:rsidRPr="00DB3FE7">
        <w:t xml:space="preserve">in the </w:t>
      </w:r>
      <w:r w:rsidR="002E0590" w:rsidRPr="00DB3FE7">
        <w:t>CMA</w:t>
      </w:r>
      <w:r w:rsidR="0064154E" w:rsidRPr="00DB3FE7">
        <w:t xml:space="preserve"> (monthly) differed to that applied in the cost effectiveness analysis (every four weeks)) </w:t>
      </w:r>
      <w:r w:rsidRPr="00DB3FE7">
        <w:t>based on the submission’s claim of non-inferior efficacy and safety between treatments. Th</w:t>
      </w:r>
      <w:r w:rsidR="00A85CDF" w:rsidRPr="00DB3FE7">
        <w:t>e</w:t>
      </w:r>
      <w:r w:rsidRPr="00DB3FE7">
        <w:t xml:space="preserve"> </w:t>
      </w:r>
      <w:r w:rsidR="00A85CDF" w:rsidRPr="00DB3FE7">
        <w:t xml:space="preserve">ESC considered that this </w:t>
      </w:r>
      <w:r w:rsidRPr="00DB3FE7">
        <w:t>claim may not be appropriate as the clinical data consistently showed that treatment with evolocumab was associated with greater reductions in LDL</w:t>
      </w:r>
      <w:r w:rsidR="00CD0449" w:rsidRPr="00DB3FE7">
        <w:t>-C</w:t>
      </w:r>
      <w:r w:rsidRPr="00DB3FE7">
        <w:t xml:space="preserve"> compared to inclisiran.</w:t>
      </w:r>
    </w:p>
    <w:p w14:paraId="4ABED1B6" w14:textId="202B3DC6" w:rsidR="00DD6E32" w:rsidRPr="00DB3FE7" w:rsidRDefault="00DD6E32" w:rsidP="008949D2">
      <w:pPr>
        <w:pStyle w:val="COMexecsumnumberedpara"/>
      </w:pPr>
      <w:r w:rsidRPr="00DB3FE7">
        <w:t xml:space="preserve">The </w:t>
      </w:r>
      <w:r w:rsidR="00A85CDF" w:rsidRPr="00DB3FE7">
        <w:t xml:space="preserve">ESC also noted that the </w:t>
      </w:r>
      <w:r w:rsidRPr="00DB3FE7">
        <w:t xml:space="preserve">submission did not estimate equi-effective dosing between inclisiran and alirocumab. </w:t>
      </w:r>
      <w:r w:rsidR="008F392E" w:rsidRPr="00DB3FE7">
        <w:t>This was not appropriate as the PBAC has previously considered that alirocumab was less efficacious at the lower strength (75</w:t>
      </w:r>
      <w:r w:rsidR="00282EC9" w:rsidRPr="00DB3FE7">
        <w:t> </w:t>
      </w:r>
      <w:r w:rsidR="008F392E" w:rsidRPr="00DB3FE7">
        <w:t>mg fortnightly) and that non-inferiority had not been established with the higher strength of alirocumab (150 mg fortnightly) nor with evolocumab (para</w:t>
      </w:r>
      <w:r w:rsidR="00C11201" w:rsidRPr="00DB3FE7">
        <w:t>graph</w:t>
      </w:r>
      <w:r w:rsidR="008F392E" w:rsidRPr="00DB3FE7">
        <w:t xml:space="preserve"> 6.8, alirocumab </w:t>
      </w:r>
      <w:r w:rsidR="00C11201" w:rsidRPr="00DB3FE7">
        <w:t>PSD</w:t>
      </w:r>
      <w:r w:rsidR="008F392E" w:rsidRPr="00DB3FE7">
        <w:t>, March 2020 PBAC meeting).</w:t>
      </w:r>
      <w:r w:rsidR="008874BD" w:rsidRPr="00DB3FE7">
        <w:t xml:space="preserve"> </w:t>
      </w:r>
      <w:r w:rsidRPr="00DB3FE7">
        <w:t>The submission did not provide an indirect comparison of inclisiran versus low dose alirocumab</w:t>
      </w:r>
      <w:r w:rsidR="007B78F1" w:rsidRPr="00DB3FE7">
        <w:t>,</w:t>
      </w:r>
      <w:r w:rsidRPr="00DB3FE7">
        <w:t xml:space="preserve"> however published network meta-analyses suggest similar LDL</w:t>
      </w:r>
      <w:r w:rsidR="00CD0449" w:rsidRPr="00DB3FE7">
        <w:t>-C</w:t>
      </w:r>
      <w:r w:rsidRPr="00DB3FE7">
        <w:t xml:space="preserve"> reductions between these two treatment options.</w:t>
      </w:r>
      <w:r w:rsidR="005645AF" w:rsidRPr="00DB3FE7">
        <w:t xml:space="preserve"> The PSCR stated that the conclusion of non-inferiority of inclisiran </w:t>
      </w:r>
      <w:r w:rsidR="00DE29B6" w:rsidRPr="00DB3FE7">
        <w:t>relative to alirocumab was based on the overall alirocumab dosing algorithm. Further</w:t>
      </w:r>
      <w:r w:rsidR="003F6325" w:rsidRPr="00DB3FE7">
        <w:t>, </w:t>
      </w:r>
      <w:r w:rsidR="00DE29B6" w:rsidRPr="00DB3FE7">
        <w:t>the PSCR stated that the comparison between inclisiran and alirocumab 75 mg was confounded by the measurement period for the primary outcomes in the ORION studies (baseline to Day 510) relative to the alirocumab 75 mg dose (which is from the end of the 12-week (84 day) titration phase in which non-responders were up-titrated to 150 mg).</w:t>
      </w:r>
      <w:r w:rsidR="00A85CDF" w:rsidRPr="00DB3FE7">
        <w:t xml:space="preserve"> The ESC </w:t>
      </w:r>
      <w:r w:rsidR="00473552" w:rsidRPr="00DB3FE7">
        <w:t xml:space="preserve">noted the PBAC did not previously accept the overall alirocumab dosing algorithm in its March 2020 recommendation, and it was </w:t>
      </w:r>
      <w:r w:rsidR="00A85CDF" w:rsidRPr="00DB3FE7">
        <w:t>considered that the equi-effective doses should be adjusted to reflect the ITC</w:t>
      </w:r>
      <w:r w:rsidR="00C0718D" w:rsidRPr="00DB3FE7">
        <w:t xml:space="preserve"> with</w:t>
      </w:r>
      <w:r w:rsidR="00A85CDF" w:rsidRPr="00DB3FE7">
        <w:t xml:space="preserve"> low dose alirocumab.</w:t>
      </w:r>
    </w:p>
    <w:p w14:paraId="06F00D01" w14:textId="7906ADE9" w:rsidR="00DD6E32" w:rsidRPr="00DB3FE7" w:rsidRDefault="00DD6E32" w:rsidP="00DD6E32">
      <w:pPr>
        <w:pStyle w:val="COMexecsumnumberedpara"/>
      </w:pPr>
      <w:r w:rsidRPr="00DB3FE7">
        <w:t>The submission did not include any differences in compliance between treatments despite the differences in frequency of administration for inclisiran (two initial doses at Day 1 and Month 3 and then dosed every 6 months</w:t>
      </w:r>
      <w:r w:rsidR="0033126D" w:rsidRPr="00DB3FE7">
        <w:t>, all requiring administration by a health professional</w:t>
      </w:r>
      <w:r w:rsidRPr="00DB3FE7">
        <w:t xml:space="preserve">) and </w:t>
      </w:r>
      <w:r w:rsidR="008F392E" w:rsidRPr="00DB3FE7">
        <w:t xml:space="preserve">PCSK9 inhibitor therapies </w:t>
      </w:r>
      <w:r w:rsidRPr="00DB3FE7">
        <w:t>(fortnightly or monthly dosing</w:t>
      </w:r>
      <w:r w:rsidR="0033126D" w:rsidRPr="00DB3FE7">
        <w:t>, self-administered</w:t>
      </w:r>
      <w:r w:rsidRPr="00DB3FE7">
        <w:t>). Th</w:t>
      </w:r>
      <w:r w:rsidR="00F00548" w:rsidRPr="00DB3FE7">
        <w:t>is may be reasonable as there are</w:t>
      </w:r>
      <w:r w:rsidRPr="00DB3FE7">
        <w:t xml:space="preserve"> currently no clinical data to support a compliance advantage with inclisiran compared to other </w:t>
      </w:r>
      <w:r w:rsidR="008F392E" w:rsidRPr="00DB3FE7">
        <w:t>PCSK9 inhibitor therapies</w:t>
      </w:r>
      <w:r w:rsidR="00F00548" w:rsidRPr="00DB3FE7">
        <w:t>. Additionally, there are</w:t>
      </w:r>
      <w:r w:rsidRPr="00DB3FE7">
        <w:t xml:space="preserve"> no comparative data on the impact of incli</w:t>
      </w:r>
      <w:r w:rsidR="00F00548" w:rsidRPr="00DB3FE7">
        <w:t xml:space="preserve">siran and </w:t>
      </w:r>
      <w:r w:rsidR="008F392E" w:rsidRPr="00DB3FE7">
        <w:t xml:space="preserve">PCSK9 inhibitor therapies </w:t>
      </w:r>
      <w:r w:rsidR="00F00548" w:rsidRPr="00DB3FE7">
        <w:t>on</w:t>
      </w:r>
      <w:r w:rsidRPr="00DB3FE7">
        <w:t xml:space="preserve"> compliance to background oral hypercholesterolaemia treatments. However, it remains clinically plausible that there may be important differences in compliance between therapies.</w:t>
      </w:r>
    </w:p>
    <w:p w14:paraId="7A23365F" w14:textId="77874671" w:rsidR="00602CE6" w:rsidRPr="00D2286B" w:rsidRDefault="00602CE6" w:rsidP="00980E94">
      <w:pPr>
        <w:pStyle w:val="COMexecsumnumberedpara"/>
      </w:pPr>
      <w:r w:rsidRPr="00DB3FE7">
        <w:t xml:space="preserve">The results of the </w:t>
      </w:r>
      <w:r w:rsidR="00352E1C">
        <w:t>CMA</w:t>
      </w:r>
      <w:r w:rsidR="00110338" w:rsidRPr="00352E1C">
        <w:t>,</w:t>
      </w:r>
      <w:r w:rsidRPr="00352E1C">
        <w:t xml:space="preserve"> </w:t>
      </w:r>
      <w:r w:rsidR="006D6A6E" w:rsidRPr="00352E1C">
        <w:t>based on published prices</w:t>
      </w:r>
      <w:r w:rsidR="00110338" w:rsidRPr="00352E1C">
        <w:t>,</w:t>
      </w:r>
      <w:r w:rsidR="006D6A6E" w:rsidRPr="00352E1C">
        <w:t xml:space="preserve"> </w:t>
      </w:r>
      <w:r w:rsidRPr="00352E1C">
        <w:t xml:space="preserve">are summarised in </w:t>
      </w:r>
      <w:r w:rsidR="002A689B" w:rsidRPr="00D2286B">
        <w:fldChar w:fldCharType="begin" w:fldLock="1"/>
      </w:r>
      <w:r w:rsidR="002A689B" w:rsidRPr="00DB3FE7">
        <w:instrText xml:space="preserve"> REF _Ref124101681 \h </w:instrText>
      </w:r>
      <w:r w:rsidR="009B541B" w:rsidRPr="00DB3FE7">
        <w:instrText xml:space="preserve"> \* MERGEFORMAT </w:instrText>
      </w:r>
      <w:r w:rsidR="002A689B" w:rsidRPr="00D2286B">
        <w:fldChar w:fldCharType="separate"/>
      </w:r>
      <w:r w:rsidR="00424520" w:rsidRPr="00D2286B">
        <w:t xml:space="preserve">Table </w:t>
      </w:r>
      <w:r w:rsidR="00424520" w:rsidRPr="00D2286B">
        <w:rPr>
          <w:noProof/>
        </w:rPr>
        <w:t>12</w:t>
      </w:r>
      <w:r w:rsidR="002A689B" w:rsidRPr="00D2286B">
        <w:fldChar w:fldCharType="end"/>
      </w:r>
      <w:r w:rsidRPr="0042765C">
        <w:t>.</w:t>
      </w:r>
      <w:r w:rsidR="00E076C1" w:rsidRPr="00D2286B">
        <w:t xml:space="preserve"> </w:t>
      </w:r>
    </w:p>
    <w:p w14:paraId="4B62B282" w14:textId="6C1CB7A7" w:rsidR="00602CE6" w:rsidRPr="00D2286B" w:rsidRDefault="00773BF1" w:rsidP="00773BF1">
      <w:pPr>
        <w:pStyle w:val="COMtablefigcaption"/>
      </w:pPr>
      <w:bookmarkStart w:id="42" w:name="_Ref124101681"/>
      <w:r w:rsidRPr="00D2286B">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12</w:t>
      </w:r>
      <w:r w:rsidR="00E1209D" w:rsidRPr="00D2286B">
        <w:rPr>
          <w:noProof/>
        </w:rPr>
        <w:fldChar w:fldCharType="end"/>
      </w:r>
      <w:bookmarkEnd w:id="42"/>
      <w:r w:rsidR="00602CE6" w:rsidRPr="0042765C">
        <w:t xml:space="preserve">: Results of the </w:t>
      </w:r>
      <w:r w:rsidR="00352E1C">
        <w:t>CMA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5"/>
        <w:gridCol w:w="2400"/>
        <w:gridCol w:w="2302"/>
      </w:tblGrid>
      <w:tr w:rsidR="00602CE6" w:rsidRPr="00DB3FE7" w14:paraId="5EF83463" w14:textId="77777777" w:rsidTr="00311CB5">
        <w:tc>
          <w:tcPr>
            <w:tcW w:w="4315" w:type="dxa"/>
          </w:tcPr>
          <w:p w14:paraId="2466FB2C" w14:textId="77777777" w:rsidR="00602CE6" w:rsidRPr="00352E1C" w:rsidRDefault="00602CE6" w:rsidP="00035F43">
            <w:pPr>
              <w:pStyle w:val="Tableheadingrow"/>
              <w:rPr>
                <w:lang w:val="en-AU"/>
              </w:rPr>
            </w:pPr>
            <w:r w:rsidRPr="00352E1C">
              <w:rPr>
                <w:lang w:val="en-AU"/>
              </w:rPr>
              <w:t>Evolocumab</w:t>
            </w:r>
          </w:p>
        </w:tc>
        <w:tc>
          <w:tcPr>
            <w:tcW w:w="2400" w:type="dxa"/>
          </w:tcPr>
          <w:p w14:paraId="1DBE8793" w14:textId="77777777" w:rsidR="00602CE6" w:rsidRPr="00DB3FE7" w:rsidRDefault="00602CE6" w:rsidP="00035F43">
            <w:pPr>
              <w:pStyle w:val="Tableheadingrow"/>
              <w:jc w:val="center"/>
              <w:rPr>
                <w:lang w:val="en-AU"/>
              </w:rPr>
            </w:pPr>
            <w:r w:rsidRPr="00DB3FE7">
              <w:rPr>
                <w:lang w:val="en-AU"/>
              </w:rPr>
              <w:t>140 mg once fortnightly</w:t>
            </w:r>
          </w:p>
        </w:tc>
        <w:tc>
          <w:tcPr>
            <w:tcW w:w="2302" w:type="dxa"/>
          </w:tcPr>
          <w:p w14:paraId="3163DBE9" w14:textId="77777777" w:rsidR="00602CE6" w:rsidRPr="00DB3FE7" w:rsidRDefault="00602CE6" w:rsidP="00035F43">
            <w:pPr>
              <w:pStyle w:val="Tableheadingrow"/>
              <w:jc w:val="center"/>
              <w:rPr>
                <w:lang w:val="en-AU"/>
              </w:rPr>
            </w:pPr>
            <w:r w:rsidRPr="00DB3FE7">
              <w:rPr>
                <w:lang w:val="en-AU"/>
              </w:rPr>
              <w:t>420 mg once monthly</w:t>
            </w:r>
          </w:p>
        </w:tc>
      </w:tr>
      <w:tr w:rsidR="00602CE6" w:rsidRPr="00DB3FE7" w14:paraId="216FF88B" w14:textId="77777777" w:rsidTr="00311CB5">
        <w:tc>
          <w:tcPr>
            <w:tcW w:w="4315" w:type="dxa"/>
          </w:tcPr>
          <w:p w14:paraId="72FEA363" w14:textId="77777777" w:rsidR="00602CE6" w:rsidRPr="00DB3FE7" w:rsidRDefault="00602CE6" w:rsidP="00035F43">
            <w:pPr>
              <w:pStyle w:val="TableText"/>
            </w:pPr>
            <w:r w:rsidRPr="00DB3FE7">
              <w:t>Cost per dose (published AEMP)</w:t>
            </w:r>
          </w:p>
        </w:tc>
        <w:tc>
          <w:tcPr>
            <w:tcW w:w="2400" w:type="dxa"/>
          </w:tcPr>
          <w:p w14:paraId="2DCEFC9C" w14:textId="77777777" w:rsidR="00602CE6" w:rsidRPr="00DB3FE7" w:rsidRDefault="00602CE6" w:rsidP="00035F43">
            <w:pPr>
              <w:pStyle w:val="TableText"/>
              <w:jc w:val="center"/>
            </w:pPr>
            <w:r w:rsidRPr="00DB3FE7">
              <w:t>$206.49</w:t>
            </w:r>
          </w:p>
        </w:tc>
        <w:tc>
          <w:tcPr>
            <w:tcW w:w="2302" w:type="dxa"/>
          </w:tcPr>
          <w:p w14:paraId="78BDB905" w14:textId="77777777" w:rsidR="00602CE6" w:rsidRPr="00DB3FE7" w:rsidRDefault="00602CE6" w:rsidP="00035F43">
            <w:pPr>
              <w:pStyle w:val="TableText"/>
              <w:jc w:val="center"/>
            </w:pPr>
            <w:r w:rsidRPr="00DB3FE7">
              <w:t>$447.75</w:t>
            </w:r>
          </w:p>
        </w:tc>
      </w:tr>
      <w:tr w:rsidR="00602CE6" w:rsidRPr="00DB3FE7" w14:paraId="51908587" w14:textId="77777777" w:rsidTr="00311CB5">
        <w:tc>
          <w:tcPr>
            <w:tcW w:w="4315" w:type="dxa"/>
          </w:tcPr>
          <w:p w14:paraId="5F9EAC8F" w14:textId="77777777" w:rsidR="00602CE6" w:rsidRPr="00DB3FE7" w:rsidRDefault="00602CE6" w:rsidP="00035F43">
            <w:pPr>
              <w:pStyle w:val="TableText"/>
            </w:pPr>
            <w:r w:rsidRPr="00DB3FE7">
              <w:t>Dose duration</w:t>
            </w:r>
          </w:p>
        </w:tc>
        <w:tc>
          <w:tcPr>
            <w:tcW w:w="2400" w:type="dxa"/>
            <w:vAlign w:val="center"/>
          </w:tcPr>
          <w:p w14:paraId="654ECF66" w14:textId="77777777" w:rsidR="00602CE6" w:rsidRPr="00DB3FE7" w:rsidRDefault="00602CE6" w:rsidP="00035F43">
            <w:pPr>
              <w:pStyle w:val="TableText"/>
              <w:jc w:val="center"/>
            </w:pPr>
            <w:r w:rsidRPr="00DB3FE7">
              <w:t>2 weeks</w:t>
            </w:r>
          </w:p>
        </w:tc>
        <w:tc>
          <w:tcPr>
            <w:tcW w:w="2302" w:type="dxa"/>
            <w:vAlign w:val="center"/>
          </w:tcPr>
          <w:p w14:paraId="1B777A03" w14:textId="77777777" w:rsidR="00602CE6" w:rsidRPr="00DB3FE7" w:rsidRDefault="00602CE6" w:rsidP="00035F43">
            <w:pPr>
              <w:pStyle w:val="TableText"/>
              <w:jc w:val="center"/>
            </w:pPr>
            <w:r w:rsidRPr="00DB3FE7">
              <w:t>1 month</w:t>
            </w:r>
          </w:p>
        </w:tc>
      </w:tr>
      <w:tr w:rsidR="00602CE6" w:rsidRPr="00DB3FE7" w14:paraId="451A9EEA" w14:textId="77777777" w:rsidTr="00311CB5">
        <w:tc>
          <w:tcPr>
            <w:tcW w:w="4315" w:type="dxa"/>
          </w:tcPr>
          <w:p w14:paraId="305F6DFA" w14:textId="77777777" w:rsidR="00602CE6" w:rsidRPr="00DB3FE7" w:rsidRDefault="00602CE6" w:rsidP="00035F43">
            <w:pPr>
              <w:pStyle w:val="TableText"/>
            </w:pPr>
            <w:r w:rsidRPr="00DB3FE7">
              <w:t>Total doses (over 27 months)</w:t>
            </w:r>
          </w:p>
        </w:tc>
        <w:tc>
          <w:tcPr>
            <w:tcW w:w="2400" w:type="dxa"/>
          </w:tcPr>
          <w:p w14:paraId="580AD2CE" w14:textId="77777777" w:rsidR="00602CE6" w:rsidRPr="00DB3FE7" w:rsidRDefault="00602CE6" w:rsidP="00035F43">
            <w:pPr>
              <w:pStyle w:val="TableText"/>
              <w:jc w:val="center"/>
            </w:pPr>
            <w:r w:rsidRPr="00DB3FE7">
              <w:t>58.7</w:t>
            </w:r>
          </w:p>
        </w:tc>
        <w:tc>
          <w:tcPr>
            <w:tcW w:w="2302" w:type="dxa"/>
          </w:tcPr>
          <w:p w14:paraId="32461183" w14:textId="77777777" w:rsidR="00602CE6" w:rsidRPr="00DB3FE7" w:rsidRDefault="00602CE6" w:rsidP="00035F43">
            <w:pPr>
              <w:pStyle w:val="TableText"/>
              <w:jc w:val="center"/>
            </w:pPr>
            <w:r w:rsidRPr="00DB3FE7">
              <w:t>27.0</w:t>
            </w:r>
          </w:p>
        </w:tc>
      </w:tr>
      <w:tr w:rsidR="00602CE6" w:rsidRPr="00DB3FE7" w14:paraId="0FD13AA5" w14:textId="77777777" w:rsidTr="00311CB5">
        <w:tc>
          <w:tcPr>
            <w:tcW w:w="4315" w:type="dxa"/>
          </w:tcPr>
          <w:p w14:paraId="294F460F" w14:textId="77777777" w:rsidR="00602CE6" w:rsidRPr="00DB3FE7" w:rsidRDefault="00602CE6" w:rsidP="00035F43">
            <w:pPr>
              <w:pStyle w:val="TableText"/>
            </w:pPr>
            <w:r w:rsidRPr="00DB3FE7">
              <w:t>Total medicine cost 27 months</w:t>
            </w:r>
          </w:p>
        </w:tc>
        <w:tc>
          <w:tcPr>
            <w:tcW w:w="2400" w:type="dxa"/>
          </w:tcPr>
          <w:p w14:paraId="613F7920" w14:textId="77777777" w:rsidR="00602CE6" w:rsidRPr="00DB3FE7" w:rsidRDefault="00602CE6" w:rsidP="00035F43">
            <w:pPr>
              <w:pStyle w:val="TableText"/>
              <w:jc w:val="center"/>
            </w:pPr>
            <w:r w:rsidRPr="00DB3FE7">
              <w:t>$12,121.15</w:t>
            </w:r>
          </w:p>
        </w:tc>
        <w:tc>
          <w:tcPr>
            <w:tcW w:w="2302" w:type="dxa"/>
          </w:tcPr>
          <w:p w14:paraId="5B16ABFF" w14:textId="77777777" w:rsidR="00602CE6" w:rsidRPr="00DB3FE7" w:rsidRDefault="00602CE6" w:rsidP="00035F43">
            <w:pPr>
              <w:pStyle w:val="TableText"/>
              <w:jc w:val="center"/>
            </w:pPr>
            <w:r w:rsidRPr="00DB3FE7">
              <w:t>$12,089.25</w:t>
            </w:r>
          </w:p>
        </w:tc>
      </w:tr>
      <w:tr w:rsidR="00602CE6" w:rsidRPr="00DB3FE7" w14:paraId="2C138148" w14:textId="77777777" w:rsidTr="00311CB5">
        <w:tc>
          <w:tcPr>
            <w:tcW w:w="4315" w:type="dxa"/>
          </w:tcPr>
          <w:p w14:paraId="68C379B8" w14:textId="77777777" w:rsidR="00602CE6" w:rsidRPr="00DB3FE7" w:rsidRDefault="00602CE6" w:rsidP="00035F43">
            <w:pPr>
              <w:pStyle w:val="TableText"/>
            </w:pPr>
            <w:r w:rsidRPr="00DB3FE7">
              <w:t>Total administration cost</w:t>
            </w:r>
          </w:p>
        </w:tc>
        <w:tc>
          <w:tcPr>
            <w:tcW w:w="2400" w:type="dxa"/>
          </w:tcPr>
          <w:p w14:paraId="2E218760" w14:textId="77777777" w:rsidR="00602CE6" w:rsidRPr="00DB3FE7" w:rsidRDefault="00602CE6" w:rsidP="00035F43">
            <w:pPr>
              <w:pStyle w:val="TableText"/>
              <w:jc w:val="center"/>
            </w:pPr>
            <w:r w:rsidRPr="00DB3FE7">
              <w:t>$0</w:t>
            </w:r>
          </w:p>
        </w:tc>
        <w:tc>
          <w:tcPr>
            <w:tcW w:w="2302" w:type="dxa"/>
          </w:tcPr>
          <w:p w14:paraId="57532732" w14:textId="77777777" w:rsidR="00602CE6" w:rsidRPr="00DB3FE7" w:rsidRDefault="00602CE6" w:rsidP="00035F43">
            <w:pPr>
              <w:pStyle w:val="TableText"/>
              <w:jc w:val="center"/>
            </w:pPr>
            <w:r w:rsidRPr="00DB3FE7">
              <w:t>$0</w:t>
            </w:r>
          </w:p>
        </w:tc>
      </w:tr>
      <w:tr w:rsidR="00602CE6" w:rsidRPr="00DB3FE7" w14:paraId="56246707" w14:textId="77777777" w:rsidTr="00311CB5">
        <w:tc>
          <w:tcPr>
            <w:tcW w:w="4315" w:type="dxa"/>
          </w:tcPr>
          <w:p w14:paraId="03537203" w14:textId="77777777" w:rsidR="00602CE6" w:rsidRPr="00DB3FE7" w:rsidRDefault="00602CE6" w:rsidP="00035F43">
            <w:pPr>
              <w:pStyle w:val="TableText"/>
            </w:pPr>
            <w:r w:rsidRPr="00DB3FE7">
              <w:t>Total drug + administration costs</w:t>
            </w:r>
          </w:p>
        </w:tc>
        <w:tc>
          <w:tcPr>
            <w:tcW w:w="2400" w:type="dxa"/>
          </w:tcPr>
          <w:p w14:paraId="3349A22D" w14:textId="77777777" w:rsidR="00602CE6" w:rsidRPr="00DB3FE7" w:rsidRDefault="00602CE6" w:rsidP="00035F43">
            <w:pPr>
              <w:pStyle w:val="TableText"/>
              <w:jc w:val="center"/>
            </w:pPr>
            <w:r w:rsidRPr="00DB3FE7">
              <w:t>$12,121.15</w:t>
            </w:r>
          </w:p>
        </w:tc>
        <w:tc>
          <w:tcPr>
            <w:tcW w:w="2302" w:type="dxa"/>
          </w:tcPr>
          <w:p w14:paraId="2ADF5DF6" w14:textId="77777777" w:rsidR="00602CE6" w:rsidRPr="00DB3FE7" w:rsidRDefault="00602CE6" w:rsidP="00035F43">
            <w:pPr>
              <w:pStyle w:val="TableText"/>
              <w:jc w:val="center"/>
            </w:pPr>
            <w:r w:rsidRPr="00DB3FE7">
              <w:t>$12,089.25</w:t>
            </w:r>
          </w:p>
        </w:tc>
      </w:tr>
      <w:tr w:rsidR="00602CE6" w:rsidRPr="00DB3FE7" w14:paraId="09BBA0FD" w14:textId="77777777" w:rsidTr="00311CB5">
        <w:tc>
          <w:tcPr>
            <w:tcW w:w="4315" w:type="dxa"/>
          </w:tcPr>
          <w:p w14:paraId="4D916E61" w14:textId="77777777" w:rsidR="00602CE6" w:rsidRPr="00DB3FE7" w:rsidRDefault="00602CE6" w:rsidP="00035F43">
            <w:pPr>
              <w:pStyle w:val="TableText"/>
            </w:pPr>
            <w:r w:rsidRPr="00DB3FE7">
              <w:t>PBS usage (evolocumab)</w:t>
            </w:r>
          </w:p>
        </w:tc>
        <w:tc>
          <w:tcPr>
            <w:tcW w:w="2400" w:type="dxa"/>
          </w:tcPr>
          <w:p w14:paraId="5F445C39" w14:textId="77777777" w:rsidR="00602CE6" w:rsidRPr="00DB3FE7" w:rsidRDefault="00602CE6" w:rsidP="00035F43">
            <w:pPr>
              <w:pStyle w:val="TableText"/>
              <w:jc w:val="center"/>
            </w:pPr>
            <w:r w:rsidRPr="00DB3FE7">
              <w:t>84.6%</w:t>
            </w:r>
          </w:p>
        </w:tc>
        <w:tc>
          <w:tcPr>
            <w:tcW w:w="2302" w:type="dxa"/>
          </w:tcPr>
          <w:p w14:paraId="5C92E081" w14:textId="77777777" w:rsidR="00602CE6" w:rsidRPr="00DB3FE7" w:rsidRDefault="00602CE6" w:rsidP="00035F43">
            <w:pPr>
              <w:pStyle w:val="TableText"/>
              <w:jc w:val="center"/>
            </w:pPr>
            <w:r w:rsidRPr="00DB3FE7">
              <w:t>15.4%</w:t>
            </w:r>
          </w:p>
        </w:tc>
      </w:tr>
      <w:tr w:rsidR="00602CE6" w:rsidRPr="00DB3FE7" w14:paraId="416C16AA" w14:textId="77777777" w:rsidTr="00311CB5">
        <w:tc>
          <w:tcPr>
            <w:tcW w:w="4315" w:type="dxa"/>
            <w:tcBorders>
              <w:bottom w:val="single" w:sz="4" w:space="0" w:color="auto"/>
            </w:tcBorders>
          </w:tcPr>
          <w:p w14:paraId="7E1BC181" w14:textId="77777777" w:rsidR="00602CE6" w:rsidRPr="00DB3FE7" w:rsidRDefault="00602CE6" w:rsidP="00035F43">
            <w:pPr>
              <w:pStyle w:val="TableText"/>
            </w:pPr>
            <w:r w:rsidRPr="00DB3FE7">
              <w:t>Weighted average cost of evolocumab</w:t>
            </w:r>
          </w:p>
        </w:tc>
        <w:tc>
          <w:tcPr>
            <w:tcW w:w="4702" w:type="dxa"/>
            <w:gridSpan w:val="2"/>
            <w:tcBorders>
              <w:bottom w:val="single" w:sz="4" w:space="0" w:color="auto"/>
            </w:tcBorders>
          </w:tcPr>
          <w:p w14:paraId="09DB6987" w14:textId="77777777" w:rsidR="00602CE6" w:rsidRPr="00DB3FE7" w:rsidRDefault="00602CE6" w:rsidP="00035F43">
            <w:pPr>
              <w:pStyle w:val="TableText"/>
              <w:jc w:val="center"/>
            </w:pPr>
            <w:r w:rsidRPr="00DB3FE7">
              <w:t>$12,116.23</w:t>
            </w:r>
          </w:p>
        </w:tc>
      </w:tr>
      <w:tr w:rsidR="00311CB5" w:rsidRPr="00DB3FE7" w14:paraId="59A78841" w14:textId="77777777" w:rsidTr="00311CB5">
        <w:tc>
          <w:tcPr>
            <w:tcW w:w="4315" w:type="dxa"/>
            <w:tcBorders>
              <w:bottom w:val="double" w:sz="4" w:space="0" w:color="auto"/>
            </w:tcBorders>
          </w:tcPr>
          <w:p w14:paraId="3A16460B" w14:textId="21A226A3" w:rsidR="00311CB5" w:rsidRPr="00D2286B" w:rsidRDefault="00311CB5" w:rsidP="00035F43">
            <w:pPr>
              <w:pStyle w:val="TableText"/>
            </w:pPr>
            <w:r w:rsidRPr="00DB3FE7">
              <w:t xml:space="preserve">Weighted average cost of evolocumab using December 2022 schedule prices (see para </w:t>
            </w:r>
            <w:r w:rsidRPr="00D2286B">
              <w:fldChar w:fldCharType="begin" w:fldLock="1"/>
            </w:r>
            <w:r w:rsidRPr="00DB3FE7">
              <w:instrText xml:space="preserve"> REF _Ref132096797 \r \h </w:instrText>
            </w:r>
            <w:r w:rsidRPr="00D2286B">
              <w:fldChar w:fldCharType="separate"/>
            </w:r>
            <w:r w:rsidR="00424520" w:rsidRPr="00D2286B">
              <w:t>6.56</w:t>
            </w:r>
            <w:r w:rsidRPr="00D2286B">
              <w:fldChar w:fldCharType="end"/>
            </w:r>
            <w:r w:rsidRPr="0042765C">
              <w:t>)</w:t>
            </w:r>
          </w:p>
        </w:tc>
        <w:tc>
          <w:tcPr>
            <w:tcW w:w="4702" w:type="dxa"/>
            <w:gridSpan w:val="2"/>
            <w:tcBorders>
              <w:bottom w:val="double" w:sz="4" w:space="0" w:color="auto"/>
            </w:tcBorders>
          </w:tcPr>
          <w:p w14:paraId="0389D470" w14:textId="09BBC4FE" w:rsidR="00311CB5" w:rsidRPr="00352E1C" w:rsidRDefault="00311CB5" w:rsidP="00035F43">
            <w:pPr>
              <w:pStyle w:val="TableText"/>
              <w:jc w:val="center"/>
            </w:pPr>
            <w:r w:rsidRPr="00352E1C">
              <w:t>$8.594.55</w:t>
            </w:r>
          </w:p>
        </w:tc>
      </w:tr>
      <w:tr w:rsidR="00602CE6" w:rsidRPr="00DB3FE7" w14:paraId="69ADADB6" w14:textId="77777777" w:rsidTr="00311CB5">
        <w:tc>
          <w:tcPr>
            <w:tcW w:w="4315" w:type="dxa"/>
            <w:tcBorders>
              <w:top w:val="double" w:sz="4" w:space="0" w:color="auto"/>
            </w:tcBorders>
          </w:tcPr>
          <w:p w14:paraId="6AAE618E" w14:textId="77777777" w:rsidR="00602CE6" w:rsidRPr="00DB3FE7" w:rsidRDefault="00602CE6" w:rsidP="00035F43">
            <w:pPr>
              <w:pStyle w:val="TableText"/>
              <w:rPr>
                <w:b/>
                <w:bCs w:val="0"/>
              </w:rPr>
            </w:pPr>
            <w:r w:rsidRPr="00DB3FE7">
              <w:rPr>
                <w:b/>
                <w:bCs w:val="0"/>
              </w:rPr>
              <w:t>Inclisiran</w:t>
            </w:r>
          </w:p>
        </w:tc>
        <w:tc>
          <w:tcPr>
            <w:tcW w:w="4702" w:type="dxa"/>
            <w:gridSpan w:val="2"/>
            <w:tcBorders>
              <w:top w:val="double" w:sz="4" w:space="0" w:color="auto"/>
            </w:tcBorders>
          </w:tcPr>
          <w:p w14:paraId="3EE170B5" w14:textId="77777777" w:rsidR="00602CE6" w:rsidRPr="00DB3FE7" w:rsidRDefault="00602CE6" w:rsidP="00035F43">
            <w:pPr>
              <w:pStyle w:val="TableText"/>
              <w:jc w:val="center"/>
              <w:rPr>
                <w:b/>
                <w:bCs w:val="0"/>
              </w:rPr>
            </w:pPr>
            <w:r w:rsidRPr="00DB3FE7">
              <w:rPr>
                <w:b/>
                <w:bCs w:val="0"/>
              </w:rPr>
              <w:t>284 mg (at 0 months, 3 months and then every 6 months)</w:t>
            </w:r>
          </w:p>
        </w:tc>
      </w:tr>
      <w:tr w:rsidR="00602CE6" w:rsidRPr="00DB3FE7" w14:paraId="30BD86B9" w14:textId="77777777" w:rsidTr="00311CB5">
        <w:tc>
          <w:tcPr>
            <w:tcW w:w="4315" w:type="dxa"/>
          </w:tcPr>
          <w:p w14:paraId="46EE16C7" w14:textId="77777777" w:rsidR="00602CE6" w:rsidRPr="00DB3FE7" w:rsidRDefault="00602CE6" w:rsidP="00035F43">
            <w:pPr>
              <w:pStyle w:val="TableText"/>
            </w:pPr>
            <w:r w:rsidRPr="00DB3FE7">
              <w:t>Total doses (over 27 months)</w:t>
            </w:r>
          </w:p>
        </w:tc>
        <w:tc>
          <w:tcPr>
            <w:tcW w:w="4702" w:type="dxa"/>
            <w:gridSpan w:val="2"/>
          </w:tcPr>
          <w:p w14:paraId="36ECAD34" w14:textId="77777777" w:rsidR="00602CE6" w:rsidRPr="00DB3FE7" w:rsidRDefault="00602CE6" w:rsidP="00035F43">
            <w:pPr>
              <w:pStyle w:val="TableText"/>
              <w:jc w:val="center"/>
            </w:pPr>
            <w:r w:rsidRPr="00DB3FE7">
              <w:t>5</w:t>
            </w:r>
          </w:p>
        </w:tc>
      </w:tr>
      <w:tr w:rsidR="00602CE6" w:rsidRPr="00DB3FE7" w14:paraId="450160A9" w14:textId="77777777" w:rsidTr="00311CB5">
        <w:tc>
          <w:tcPr>
            <w:tcW w:w="4315" w:type="dxa"/>
          </w:tcPr>
          <w:p w14:paraId="71E63115" w14:textId="77777777" w:rsidR="00602CE6" w:rsidRPr="00DB3FE7" w:rsidRDefault="00602CE6" w:rsidP="00035F43">
            <w:pPr>
              <w:pStyle w:val="TableText"/>
            </w:pPr>
            <w:r w:rsidRPr="00DB3FE7">
              <w:t>Total drug + administration costs</w:t>
            </w:r>
          </w:p>
        </w:tc>
        <w:tc>
          <w:tcPr>
            <w:tcW w:w="4702" w:type="dxa"/>
            <w:gridSpan w:val="2"/>
          </w:tcPr>
          <w:p w14:paraId="26F5F694" w14:textId="77777777" w:rsidR="00602CE6" w:rsidRPr="00DB3FE7" w:rsidRDefault="00602CE6" w:rsidP="00035F43">
            <w:pPr>
              <w:pStyle w:val="TableText"/>
              <w:jc w:val="center"/>
            </w:pPr>
            <w:r w:rsidRPr="00DB3FE7">
              <w:t>$12,116.23</w:t>
            </w:r>
          </w:p>
        </w:tc>
      </w:tr>
      <w:tr w:rsidR="00602CE6" w:rsidRPr="00DB3FE7" w14:paraId="6FA9A23E" w14:textId="77777777" w:rsidTr="00311CB5">
        <w:tc>
          <w:tcPr>
            <w:tcW w:w="4315" w:type="dxa"/>
          </w:tcPr>
          <w:p w14:paraId="60E60584" w14:textId="77777777" w:rsidR="00602CE6" w:rsidRPr="00DB3FE7" w:rsidRDefault="00602CE6" w:rsidP="00035F43">
            <w:pPr>
              <w:pStyle w:val="TableText"/>
            </w:pPr>
            <w:r w:rsidRPr="00DB3FE7">
              <w:t>Total administration costs</w:t>
            </w:r>
          </w:p>
        </w:tc>
        <w:tc>
          <w:tcPr>
            <w:tcW w:w="4702" w:type="dxa"/>
            <w:gridSpan w:val="2"/>
          </w:tcPr>
          <w:p w14:paraId="736E75C9" w14:textId="77777777" w:rsidR="00602CE6" w:rsidRPr="00DB3FE7" w:rsidRDefault="00602CE6" w:rsidP="00035F43">
            <w:pPr>
              <w:pStyle w:val="TableText"/>
              <w:jc w:val="center"/>
            </w:pPr>
            <w:r w:rsidRPr="00DB3FE7">
              <w:t>$91.00 (= 5 x $18.20; MBS item 3)</w:t>
            </w:r>
          </w:p>
        </w:tc>
      </w:tr>
      <w:tr w:rsidR="00602CE6" w:rsidRPr="00DB3FE7" w14:paraId="7A410DD6" w14:textId="77777777" w:rsidTr="00311CB5">
        <w:tc>
          <w:tcPr>
            <w:tcW w:w="4315" w:type="dxa"/>
          </w:tcPr>
          <w:p w14:paraId="59C21909" w14:textId="77777777" w:rsidR="00602CE6" w:rsidRPr="00DB3FE7" w:rsidRDefault="00602CE6" w:rsidP="00035F43">
            <w:pPr>
              <w:pStyle w:val="TableText"/>
            </w:pPr>
            <w:r w:rsidRPr="00DB3FE7">
              <w:t>Total drug costs</w:t>
            </w:r>
          </w:p>
        </w:tc>
        <w:tc>
          <w:tcPr>
            <w:tcW w:w="4702" w:type="dxa"/>
            <w:gridSpan w:val="2"/>
          </w:tcPr>
          <w:p w14:paraId="0647597F" w14:textId="77777777" w:rsidR="00602CE6" w:rsidRPr="00DB3FE7" w:rsidRDefault="00602CE6" w:rsidP="00035F43">
            <w:pPr>
              <w:pStyle w:val="TableText"/>
              <w:jc w:val="center"/>
            </w:pPr>
            <w:r w:rsidRPr="00DB3FE7">
              <w:t>$12,025.23 (= $12,116.23 - $91.00)</w:t>
            </w:r>
          </w:p>
        </w:tc>
      </w:tr>
      <w:tr w:rsidR="00602CE6" w:rsidRPr="00DB3FE7" w14:paraId="21CF7F09" w14:textId="77777777" w:rsidTr="00311CB5">
        <w:tc>
          <w:tcPr>
            <w:tcW w:w="4315" w:type="dxa"/>
          </w:tcPr>
          <w:p w14:paraId="2CBCCD7E" w14:textId="77777777" w:rsidR="00602CE6" w:rsidRPr="00DB3FE7" w:rsidRDefault="00602CE6" w:rsidP="00035F43">
            <w:pPr>
              <w:pStyle w:val="TableText"/>
            </w:pPr>
            <w:r w:rsidRPr="00DB3FE7">
              <w:t>Effective AEMP</w:t>
            </w:r>
          </w:p>
        </w:tc>
        <w:tc>
          <w:tcPr>
            <w:tcW w:w="4702" w:type="dxa"/>
            <w:gridSpan w:val="2"/>
          </w:tcPr>
          <w:p w14:paraId="62243343" w14:textId="77777777" w:rsidR="00602CE6" w:rsidRPr="00DB3FE7" w:rsidRDefault="00602CE6" w:rsidP="00035F43">
            <w:pPr>
              <w:pStyle w:val="TableText"/>
              <w:jc w:val="center"/>
            </w:pPr>
            <w:r w:rsidRPr="00DB3FE7">
              <w:t>$2,405.05 (= $12,025.23 / 5)</w:t>
            </w:r>
          </w:p>
        </w:tc>
      </w:tr>
      <w:tr w:rsidR="00602CE6" w:rsidRPr="00DB3FE7" w14:paraId="73DF493B" w14:textId="77777777" w:rsidTr="00311CB5">
        <w:tc>
          <w:tcPr>
            <w:tcW w:w="4315" w:type="dxa"/>
          </w:tcPr>
          <w:p w14:paraId="3049531D" w14:textId="77777777" w:rsidR="00602CE6" w:rsidRPr="00DB3FE7" w:rsidRDefault="00602CE6" w:rsidP="00035F43">
            <w:pPr>
              <w:pStyle w:val="TableText"/>
            </w:pPr>
            <w:r w:rsidRPr="00DB3FE7">
              <w:t>Effective DPMQ</w:t>
            </w:r>
          </w:p>
        </w:tc>
        <w:tc>
          <w:tcPr>
            <w:tcW w:w="4702" w:type="dxa"/>
            <w:gridSpan w:val="2"/>
          </w:tcPr>
          <w:p w14:paraId="08064705" w14:textId="77777777" w:rsidR="00602CE6" w:rsidRPr="00DB3FE7" w:rsidRDefault="00602CE6" w:rsidP="00035F43">
            <w:pPr>
              <w:pStyle w:val="TableText"/>
              <w:jc w:val="center"/>
            </w:pPr>
            <w:r w:rsidRPr="00DB3FE7">
              <w:t>$2,566.33</w:t>
            </w:r>
          </w:p>
        </w:tc>
      </w:tr>
    </w:tbl>
    <w:p w14:paraId="58094209" w14:textId="41B46D6E" w:rsidR="00602CE6" w:rsidRPr="00DB3FE7" w:rsidRDefault="00602CE6" w:rsidP="00602CE6">
      <w:pPr>
        <w:pStyle w:val="COMTablefooter"/>
      </w:pPr>
      <w:r w:rsidRPr="00DB3FE7">
        <w:t>Source: Table 86; Table 87 of the submission.</w:t>
      </w:r>
    </w:p>
    <w:p w14:paraId="763738CB" w14:textId="77777777" w:rsidR="00602CE6" w:rsidRPr="00DB3FE7" w:rsidRDefault="00602CE6" w:rsidP="00602CE6">
      <w:pPr>
        <w:pStyle w:val="COMTablefooter"/>
      </w:pPr>
      <w:r w:rsidRPr="00DB3FE7">
        <w:t>Abbreviations: AEMP, approved ex-manufacturer price; DPMQ, dispensed price for maximum quantity (includes mark-ups and dispensing fees)</w:t>
      </w:r>
    </w:p>
    <w:p w14:paraId="2E5E65E2" w14:textId="46EE26F2" w:rsidR="00602CE6" w:rsidRPr="00DB3FE7" w:rsidRDefault="00602CE6" w:rsidP="00602CE6">
      <w:pPr>
        <w:pStyle w:val="COMTablefooter"/>
      </w:pPr>
      <w:r w:rsidRPr="00DB3FE7">
        <w:t>Note: A special pricing arrangement exists for evolocumab. A special pricing arrangement is requested for listing inclisiran on the PBS, to be discussed with the Pricing Section following PBAC recommendation.</w:t>
      </w:r>
    </w:p>
    <w:p w14:paraId="46DC6688" w14:textId="4F036969" w:rsidR="00602CE6" w:rsidRPr="00D307C2" w:rsidRDefault="00716A63" w:rsidP="00980E94">
      <w:pPr>
        <w:pStyle w:val="COMexecsumnumberedpara"/>
      </w:pPr>
      <w:r w:rsidRPr="00DB3FE7">
        <w:t xml:space="preserve">Based on a </w:t>
      </w:r>
      <w:r w:rsidR="00352E1C">
        <w:t>CMA</w:t>
      </w:r>
      <w:r w:rsidR="00602CE6" w:rsidRPr="00352E1C">
        <w:t xml:space="preserve">, the submission estimated a cost minimised price for inclisiran in the subsequent line treatment setting of $2,566.33 (DPMQ) per script. The </w:t>
      </w:r>
      <w:r w:rsidR="00602CE6" w:rsidRPr="00DB3FE7">
        <w:t>cost-minimised price of inclisiran in the subsequent-line setting was substantially higher than the proposed ‘placeholder’ effective price for inclisiran in the second-line treatment setting (DPMQ $</w:t>
      </w:r>
      <w:r w:rsidR="00544295" w:rsidRPr="00B650E1">
        <w:rPr>
          <w:color w:val="000000"/>
          <w:w w:val="24"/>
          <w:shd w:val="solid" w:color="000000" w:fill="000000"/>
          <w:fitText w:val="80" w:id="-1233410815"/>
          <w14:textFill>
            <w14:solidFill>
              <w14:srgbClr w14:val="000000">
                <w14:alpha w14:val="100000"/>
              </w14:srgbClr>
            </w14:solidFill>
          </w14:textFill>
        </w:rPr>
        <w:t xml:space="preserve">|  </w:t>
      </w:r>
      <w:r w:rsidR="00544295" w:rsidRPr="00B650E1">
        <w:rPr>
          <w:color w:val="000000"/>
          <w:spacing w:val="1"/>
          <w:w w:val="24"/>
          <w:shd w:val="solid" w:color="000000" w:fill="000000"/>
          <w:fitText w:val="80" w:id="-1233410815"/>
          <w14:textFill>
            <w14:solidFill>
              <w14:srgbClr w14:val="000000">
                <w14:alpha w14:val="100000"/>
              </w14:srgbClr>
            </w14:solidFill>
          </w14:textFill>
        </w:rPr>
        <w:t>|</w:t>
      </w:r>
      <w:r w:rsidR="00602CE6" w:rsidRPr="00D307C2">
        <w:t xml:space="preserve"> per script).</w:t>
      </w:r>
    </w:p>
    <w:p w14:paraId="6ECB6E10" w14:textId="1432AADD" w:rsidR="00602CE6" w:rsidRPr="00DB3FE7" w:rsidRDefault="00602CE6" w:rsidP="00980E94">
      <w:pPr>
        <w:pStyle w:val="COMexecsumnumberedpara"/>
      </w:pPr>
      <w:bookmarkStart w:id="43" w:name="_Ref132096797"/>
      <w:r w:rsidRPr="00D307C2">
        <w:t xml:space="preserve">The </w:t>
      </w:r>
      <w:r w:rsidR="0086244E" w:rsidRPr="00DB3FE7">
        <w:t xml:space="preserve">CMA </w:t>
      </w:r>
      <w:r w:rsidRPr="00DB3FE7">
        <w:t xml:space="preserve">was calculated based on the published AEMPs for the </w:t>
      </w:r>
      <w:r w:rsidR="00AC4141" w:rsidRPr="00DB3FE7">
        <w:t xml:space="preserve">evolocumab </w:t>
      </w:r>
      <w:r w:rsidRPr="00DB3FE7">
        <w:t>140 mg and 420 mg dose str</w:t>
      </w:r>
      <w:r w:rsidR="00AC4141" w:rsidRPr="00DB3FE7">
        <w:t>engths using the June 2022 PBS S</w:t>
      </w:r>
      <w:r w:rsidRPr="00DB3FE7">
        <w:t>chedule. Since the preparation of the submission, the published price of evolocumab decreased su</w:t>
      </w:r>
      <w:r w:rsidR="00AC4141" w:rsidRPr="00DB3FE7">
        <w:t>bstantially from the June 2022 S</w:t>
      </w:r>
      <w:r w:rsidRPr="00DB3FE7">
        <w:t>chedule (AEMP $206.49 per 140 mg fortnightly dose or $447.75 per 420 mg mont</w:t>
      </w:r>
      <w:r w:rsidR="00AC4141" w:rsidRPr="00DB3FE7">
        <w:t>hly dose) to the December 2022 S</w:t>
      </w:r>
      <w:r w:rsidRPr="00DB3FE7">
        <w:t xml:space="preserve">chedule (AEMP $146.50 per 140 mg fortnightly dose or $317.30 per 420 mg monthly dose). The submission also acknowledged that evolocumab is subject to a </w:t>
      </w:r>
      <w:r w:rsidR="002447A7" w:rsidRPr="00DB3FE7">
        <w:t xml:space="preserve">special pricing arrangement </w:t>
      </w:r>
      <w:r w:rsidRPr="00DB3FE7">
        <w:t xml:space="preserve">and therefore the published price </w:t>
      </w:r>
      <w:r w:rsidR="0033126D" w:rsidRPr="00DB3FE7">
        <w:t xml:space="preserve">is </w:t>
      </w:r>
      <w:r w:rsidRPr="00DB3FE7">
        <w:t>not reflective of the effective price subsid</w:t>
      </w:r>
      <w:r w:rsidR="00716A63" w:rsidRPr="00DB3FE7">
        <w:t>is</w:t>
      </w:r>
      <w:r w:rsidRPr="00DB3FE7">
        <w:t>ed under the PBS.</w:t>
      </w:r>
      <w:bookmarkEnd w:id="43"/>
      <w:r w:rsidR="009D7BAC" w:rsidRPr="00DB3FE7">
        <w:t xml:space="preserve"> </w:t>
      </w:r>
    </w:p>
    <w:p w14:paraId="3544F03F" w14:textId="77777777" w:rsidR="0011263C" w:rsidRPr="00DB3FE7" w:rsidRDefault="0011263C" w:rsidP="0011263C">
      <w:pPr>
        <w:pStyle w:val="COMH2-non-numbered"/>
      </w:pPr>
      <w:bookmarkStart w:id="44" w:name="_Toc107927632"/>
      <w:bookmarkStart w:id="45" w:name="_Toc124866150"/>
      <w:bookmarkStart w:id="46" w:name="_Toc22897646"/>
      <w:r w:rsidRPr="00DB3FE7">
        <w:t>Drug cost/patien</w:t>
      </w:r>
      <w:bookmarkEnd w:id="44"/>
      <w:r w:rsidRPr="00DB3FE7">
        <w:t>t/year</w:t>
      </w:r>
      <w:bookmarkEnd w:id="45"/>
    </w:p>
    <w:p w14:paraId="30C1794E" w14:textId="016243D9" w:rsidR="0011263C" w:rsidRPr="00D2286B" w:rsidRDefault="0011263C" w:rsidP="0011263C">
      <w:pPr>
        <w:pStyle w:val="COMtablefigcaption"/>
      </w:pPr>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13</w:t>
      </w:r>
      <w:r w:rsidR="00E1209D" w:rsidRPr="00D2286B">
        <w:rPr>
          <w:noProof/>
        </w:rPr>
        <w:fldChar w:fldCharType="end"/>
      </w:r>
      <w:r w:rsidRPr="0042765C">
        <w:t>: Drug cost per patient for inclisiran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4"/>
        <w:gridCol w:w="1886"/>
        <w:gridCol w:w="1886"/>
        <w:gridCol w:w="1886"/>
        <w:gridCol w:w="1885"/>
      </w:tblGrid>
      <w:tr w:rsidR="0011263C" w:rsidRPr="00DB3FE7" w14:paraId="68CD4B5D" w14:textId="77777777" w:rsidTr="00035F43">
        <w:trPr>
          <w:cantSplit/>
          <w:tblHeader/>
          <w:jc w:val="center"/>
        </w:trPr>
        <w:tc>
          <w:tcPr>
            <w:tcW w:w="817" w:type="pct"/>
            <w:shd w:val="clear" w:color="auto" w:fill="auto"/>
            <w:vAlign w:val="center"/>
          </w:tcPr>
          <w:p w14:paraId="095765B4" w14:textId="77777777" w:rsidR="0011263C" w:rsidRPr="00352E1C" w:rsidRDefault="0011263C" w:rsidP="00035F43">
            <w:pPr>
              <w:pStyle w:val="COMTableheadingrow"/>
              <w:jc w:val="center"/>
              <w:rPr>
                <w:lang w:val="en-AU"/>
              </w:rPr>
            </w:pPr>
          </w:p>
        </w:tc>
        <w:tc>
          <w:tcPr>
            <w:tcW w:w="1046" w:type="pct"/>
            <w:shd w:val="clear" w:color="auto" w:fill="auto"/>
            <w:vAlign w:val="center"/>
          </w:tcPr>
          <w:p w14:paraId="78E55EFD" w14:textId="77777777" w:rsidR="0011263C" w:rsidRPr="00DB3FE7" w:rsidRDefault="0011263C" w:rsidP="00035F43">
            <w:pPr>
              <w:pStyle w:val="COMTableheadingrow"/>
              <w:jc w:val="center"/>
              <w:rPr>
                <w:lang w:val="en-AU"/>
              </w:rPr>
            </w:pPr>
            <w:r w:rsidRPr="00DB3FE7">
              <w:rPr>
                <w:lang w:val="en-AU"/>
              </w:rPr>
              <w:t>ORION 9, 10 and 11</w:t>
            </w:r>
          </w:p>
        </w:tc>
        <w:tc>
          <w:tcPr>
            <w:tcW w:w="1046" w:type="pct"/>
            <w:shd w:val="clear" w:color="auto" w:fill="auto"/>
            <w:vAlign w:val="center"/>
          </w:tcPr>
          <w:p w14:paraId="1279FD62" w14:textId="77777777" w:rsidR="0011263C" w:rsidRPr="00DB3FE7" w:rsidRDefault="0011263C" w:rsidP="00035F43">
            <w:pPr>
              <w:pStyle w:val="COMTableheadingrow"/>
              <w:jc w:val="center"/>
              <w:rPr>
                <w:lang w:val="en-AU"/>
              </w:rPr>
            </w:pPr>
            <w:r w:rsidRPr="00DB3FE7">
              <w:rPr>
                <w:lang w:val="en-AU"/>
              </w:rPr>
              <w:t>CEA</w:t>
            </w:r>
          </w:p>
        </w:tc>
        <w:tc>
          <w:tcPr>
            <w:tcW w:w="1046" w:type="pct"/>
            <w:shd w:val="clear" w:color="auto" w:fill="auto"/>
            <w:vAlign w:val="center"/>
          </w:tcPr>
          <w:p w14:paraId="6CFA5A9C" w14:textId="77777777" w:rsidR="0011263C" w:rsidRPr="00DB3FE7" w:rsidRDefault="0011263C" w:rsidP="00035F43">
            <w:pPr>
              <w:pStyle w:val="COMTableheadingrow"/>
              <w:jc w:val="center"/>
              <w:rPr>
                <w:lang w:val="en-AU"/>
              </w:rPr>
            </w:pPr>
            <w:r w:rsidRPr="00DB3FE7">
              <w:rPr>
                <w:lang w:val="en-AU"/>
              </w:rPr>
              <w:t>CMA</w:t>
            </w:r>
          </w:p>
        </w:tc>
        <w:tc>
          <w:tcPr>
            <w:tcW w:w="1045" w:type="pct"/>
            <w:shd w:val="clear" w:color="auto" w:fill="auto"/>
            <w:vAlign w:val="center"/>
          </w:tcPr>
          <w:p w14:paraId="5B7313D9" w14:textId="77777777" w:rsidR="0011263C" w:rsidRPr="00DB3FE7" w:rsidRDefault="0011263C" w:rsidP="00035F43">
            <w:pPr>
              <w:pStyle w:val="COMTableheadingrow"/>
              <w:jc w:val="center"/>
              <w:rPr>
                <w:lang w:val="en-AU"/>
              </w:rPr>
            </w:pPr>
            <w:r w:rsidRPr="00DB3FE7">
              <w:rPr>
                <w:lang w:val="en-AU"/>
              </w:rPr>
              <w:t>Financials</w:t>
            </w:r>
          </w:p>
        </w:tc>
      </w:tr>
      <w:tr w:rsidR="0011263C" w:rsidRPr="00DB3FE7" w14:paraId="75EE4EAB" w14:textId="77777777" w:rsidTr="00035F43">
        <w:trPr>
          <w:cantSplit/>
          <w:jc w:val="center"/>
        </w:trPr>
        <w:tc>
          <w:tcPr>
            <w:tcW w:w="817" w:type="pct"/>
            <w:shd w:val="clear" w:color="auto" w:fill="auto"/>
            <w:vAlign w:val="center"/>
          </w:tcPr>
          <w:p w14:paraId="26D11F54" w14:textId="77777777" w:rsidR="0011263C" w:rsidRPr="00DB3FE7" w:rsidRDefault="0011263C" w:rsidP="00035F43">
            <w:pPr>
              <w:pStyle w:val="COMTabletext"/>
            </w:pPr>
            <w:r w:rsidRPr="00DB3FE7">
              <w:t>Cost per script</w:t>
            </w:r>
          </w:p>
        </w:tc>
        <w:tc>
          <w:tcPr>
            <w:tcW w:w="1046" w:type="pct"/>
            <w:shd w:val="clear" w:color="auto" w:fill="auto"/>
            <w:vAlign w:val="center"/>
          </w:tcPr>
          <w:p w14:paraId="3FABAC9D" w14:textId="77777777" w:rsidR="0011263C" w:rsidRPr="00DB3FE7" w:rsidRDefault="0011263C" w:rsidP="00035F43">
            <w:pPr>
              <w:pStyle w:val="COMTabletext"/>
              <w:jc w:val="center"/>
            </w:pPr>
            <w:r w:rsidRPr="00DB3FE7">
              <w:t>-</w:t>
            </w:r>
          </w:p>
        </w:tc>
        <w:tc>
          <w:tcPr>
            <w:tcW w:w="1046" w:type="pct"/>
            <w:shd w:val="clear" w:color="auto" w:fill="auto"/>
            <w:vAlign w:val="center"/>
          </w:tcPr>
          <w:p w14:paraId="3809C75F" w14:textId="7BF095E0" w:rsidR="0011263C" w:rsidRPr="00DB3FE7" w:rsidRDefault="0011263C" w:rsidP="00035F43">
            <w:pPr>
              <w:pStyle w:val="COMTabletext"/>
              <w:jc w:val="center"/>
            </w:pPr>
            <w:r w:rsidRPr="00DB3FE7">
              <w:t>‘Placeholder’ effective DPMQ $</w:t>
            </w:r>
            <w:r w:rsidR="00544295" w:rsidRPr="00C91ADA">
              <w:rPr>
                <w:color w:val="000000"/>
                <w:spacing w:val="187"/>
                <w:shd w:val="solid" w:color="000000" w:fill="000000"/>
                <w:fitText w:val="273" w:id="-1233410814"/>
                <w14:textFill>
                  <w14:solidFill>
                    <w14:srgbClr w14:val="000000">
                      <w14:alpha w14:val="100000"/>
                    </w14:srgbClr>
                  </w14:solidFill>
                </w14:textFill>
              </w:rPr>
              <w:t>|</w:t>
            </w:r>
            <w:r w:rsidR="00544295" w:rsidRPr="00C91ADA">
              <w:rPr>
                <w:color w:val="000000"/>
                <w:shd w:val="solid" w:color="000000" w:fill="000000"/>
                <w:fitText w:val="273" w:id="-1233410814"/>
                <w14:textFill>
                  <w14:solidFill>
                    <w14:srgbClr w14:val="000000">
                      <w14:alpha w14:val="100000"/>
                    </w14:srgbClr>
                  </w14:solidFill>
                </w14:textFill>
              </w:rPr>
              <w:t>|</w:t>
            </w:r>
          </w:p>
        </w:tc>
        <w:tc>
          <w:tcPr>
            <w:tcW w:w="1046" w:type="pct"/>
            <w:shd w:val="clear" w:color="auto" w:fill="auto"/>
            <w:vAlign w:val="center"/>
          </w:tcPr>
          <w:p w14:paraId="6A325429" w14:textId="77777777" w:rsidR="0011263C" w:rsidRPr="00DB3FE7" w:rsidRDefault="0011263C" w:rsidP="00035F43">
            <w:pPr>
              <w:pStyle w:val="COMTabletext"/>
              <w:jc w:val="center"/>
            </w:pPr>
            <w:r w:rsidRPr="00DB3FE7">
              <w:t xml:space="preserve">Cost-minimised </w:t>
            </w:r>
            <w:r w:rsidRPr="00DB3FE7">
              <w:br/>
              <w:t>DPMQ $2,566.33</w:t>
            </w:r>
          </w:p>
        </w:tc>
        <w:tc>
          <w:tcPr>
            <w:tcW w:w="1045" w:type="pct"/>
            <w:shd w:val="clear" w:color="auto" w:fill="auto"/>
            <w:vAlign w:val="center"/>
          </w:tcPr>
          <w:p w14:paraId="27D3A221" w14:textId="77777777" w:rsidR="0011263C" w:rsidRPr="00DB3FE7" w:rsidRDefault="0011263C" w:rsidP="00035F43">
            <w:pPr>
              <w:pStyle w:val="COMTabletext"/>
              <w:jc w:val="center"/>
            </w:pPr>
            <w:r w:rsidRPr="00DB3FE7">
              <w:t xml:space="preserve">Published </w:t>
            </w:r>
          </w:p>
          <w:p w14:paraId="7CFFA1C7" w14:textId="77777777" w:rsidR="0011263C" w:rsidRPr="00DB3FE7" w:rsidRDefault="0011263C" w:rsidP="00035F43">
            <w:pPr>
              <w:pStyle w:val="COMTabletext"/>
              <w:jc w:val="center"/>
            </w:pPr>
            <w:r w:rsidRPr="00DB3FE7">
              <w:t>DPMQ $2,847.78</w:t>
            </w:r>
          </w:p>
        </w:tc>
      </w:tr>
      <w:tr w:rsidR="0011263C" w:rsidRPr="00DB3FE7" w14:paraId="64CDF731" w14:textId="77777777" w:rsidTr="00035F43">
        <w:trPr>
          <w:cantSplit/>
          <w:jc w:val="center"/>
        </w:trPr>
        <w:tc>
          <w:tcPr>
            <w:tcW w:w="817" w:type="pct"/>
            <w:shd w:val="clear" w:color="auto" w:fill="auto"/>
            <w:vAlign w:val="center"/>
          </w:tcPr>
          <w:p w14:paraId="524CEE3B" w14:textId="77777777" w:rsidR="0011263C" w:rsidRPr="00DB3FE7" w:rsidRDefault="0011263C" w:rsidP="00035F43">
            <w:pPr>
              <w:pStyle w:val="COMTabletext"/>
            </w:pPr>
            <w:r w:rsidRPr="00DB3FE7">
              <w:t xml:space="preserve">Scripts </w:t>
            </w:r>
          </w:p>
        </w:tc>
        <w:tc>
          <w:tcPr>
            <w:tcW w:w="1046" w:type="pct"/>
            <w:shd w:val="clear" w:color="auto" w:fill="auto"/>
            <w:vAlign w:val="center"/>
          </w:tcPr>
          <w:p w14:paraId="6C5C2DDD" w14:textId="77777777" w:rsidR="0011263C" w:rsidRPr="00DB3FE7" w:rsidRDefault="0011263C" w:rsidP="00035F43">
            <w:pPr>
              <w:pStyle w:val="COMTabletext"/>
              <w:jc w:val="center"/>
            </w:pPr>
            <w:r w:rsidRPr="00DB3FE7">
              <w:t>-</w:t>
            </w:r>
          </w:p>
        </w:tc>
        <w:tc>
          <w:tcPr>
            <w:tcW w:w="1046" w:type="pct"/>
            <w:shd w:val="clear" w:color="auto" w:fill="auto"/>
            <w:vAlign w:val="center"/>
          </w:tcPr>
          <w:p w14:paraId="27586EB9" w14:textId="77777777" w:rsidR="0011263C" w:rsidRPr="00DB3FE7" w:rsidRDefault="0011263C" w:rsidP="00035F43">
            <w:pPr>
              <w:pStyle w:val="COMTabletext"/>
              <w:jc w:val="center"/>
              <w:rPr>
                <w:vertAlign w:val="superscript"/>
              </w:rPr>
            </w:pPr>
            <w:r w:rsidRPr="00DB3FE7">
              <w:t xml:space="preserve">Initial year: 3 </w:t>
            </w:r>
            <w:r w:rsidRPr="00DB3FE7">
              <w:rPr>
                <w:vertAlign w:val="superscript"/>
              </w:rPr>
              <w:t>a</w:t>
            </w:r>
          </w:p>
          <w:p w14:paraId="069C775E" w14:textId="77777777" w:rsidR="0011263C" w:rsidRPr="00DB3FE7" w:rsidRDefault="0011263C" w:rsidP="00035F43">
            <w:pPr>
              <w:pStyle w:val="COMTabletext"/>
              <w:jc w:val="center"/>
              <w:rPr>
                <w:vertAlign w:val="superscript"/>
              </w:rPr>
            </w:pPr>
            <w:r w:rsidRPr="00DB3FE7">
              <w:t xml:space="preserve">Subsequent year: 2 </w:t>
            </w:r>
            <w:r w:rsidRPr="00DB3FE7">
              <w:rPr>
                <w:vertAlign w:val="superscript"/>
              </w:rPr>
              <w:t>a</w:t>
            </w:r>
          </w:p>
        </w:tc>
        <w:tc>
          <w:tcPr>
            <w:tcW w:w="1046" w:type="pct"/>
            <w:shd w:val="clear" w:color="auto" w:fill="auto"/>
            <w:vAlign w:val="center"/>
          </w:tcPr>
          <w:p w14:paraId="3B9C018D" w14:textId="77777777" w:rsidR="0011263C" w:rsidRPr="00DB3FE7" w:rsidRDefault="0011263C" w:rsidP="00035F43">
            <w:pPr>
              <w:pStyle w:val="COMTabletext"/>
              <w:jc w:val="center"/>
              <w:rPr>
                <w:vertAlign w:val="superscript"/>
              </w:rPr>
            </w:pPr>
            <w:r w:rsidRPr="00DB3FE7">
              <w:t xml:space="preserve">Initial year: 3 </w:t>
            </w:r>
            <w:r w:rsidRPr="00DB3FE7">
              <w:rPr>
                <w:vertAlign w:val="superscript"/>
              </w:rPr>
              <w:t>a</w:t>
            </w:r>
          </w:p>
          <w:p w14:paraId="6AF46519" w14:textId="77777777" w:rsidR="0011263C" w:rsidRPr="00DB3FE7" w:rsidRDefault="0011263C" w:rsidP="00035F43">
            <w:pPr>
              <w:pStyle w:val="COMTabletext"/>
              <w:jc w:val="center"/>
              <w:rPr>
                <w:vertAlign w:val="superscript"/>
              </w:rPr>
            </w:pPr>
            <w:r w:rsidRPr="00DB3FE7">
              <w:t xml:space="preserve">Subsequent year: 2 </w:t>
            </w:r>
            <w:r w:rsidRPr="00DB3FE7">
              <w:rPr>
                <w:vertAlign w:val="superscript"/>
              </w:rPr>
              <w:t>a</w:t>
            </w:r>
          </w:p>
        </w:tc>
        <w:tc>
          <w:tcPr>
            <w:tcW w:w="1045" w:type="pct"/>
            <w:shd w:val="clear" w:color="auto" w:fill="auto"/>
            <w:vAlign w:val="center"/>
          </w:tcPr>
          <w:p w14:paraId="3CD758FB" w14:textId="77777777" w:rsidR="0011263C" w:rsidRPr="00DB3FE7" w:rsidRDefault="0011263C" w:rsidP="00035F43">
            <w:pPr>
              <w:pStyle w:val="COMTabletext"/>
              <w:jc w:val="center"/>
              <w:rPr>
                <w:vertAlign w:val="superscript"/>
              </w:rPr>
            </w:pPr>
            <w:r w:rsidRPr="00DB3FE7">
              <w:t xml:space="preserve">Initial year: 2.55 </w:t>
            </w:r>
            <w:r w:rsidRPr="00DB3FE7">
              <w:rPr>
                <w:vertAlign w:val="superscript"/>
              </w:rPr>
              <w:t>b</w:t>
            </w:r>
          </w:p>
          <w:p w14:paraId="2C7D7A6A" w14:textId="77777777" w:rsidR="0011263C" w:rsidRPr="00DB3FE7" w:rsidRDefault="0011263C" w:rsidP="00035F43">
            <w:pPr>
              <w:pStyle w:val="COMTabletext"/>
              <w:jc w:val="center"/>
              <w:rPr>
                <w:vertAlign w:val="superscript"/>
              </w:rPr>
            </w:pPr>
            <w:r w:rsidRPr="00DB3FE7">
              <w:t xml:space="preserve">Subsequent year: 1.7 </w:t>
            </w:r>
            <w:r w:rsidRPr="00DB3FE7">
              <w:rPr>
                <w:vertAlign w:val="superscript"/>
              </w:rPr>
              <w:t>b</w:t>
            </w:r>
          </w:p>
        </w:tc>
      </w:tr>
      <w:tr w:rsidR="002C46EC" w:rsidRPr="00DB3FE7" w14:paraId="08234C7C" w14:textId="77777777" w:rsidTr="00035F43">
        <w:trPr>
          <w:cantSplit/>
          <w:jc w:val="center"/>
        </w:trPr>
        <w:tc>
          <w:tcPr>
            <w:tcW w:w="817" w:type="pct"/>
            <w:shd w:val="clear" w:color="auto" w:fill="auto"/>
            <w:vAlign w:val="center"/>
          </w:tcPr>
          <w:p w14:paraId="33C0C79A" w14:textId="587D4C50" w:rsidR="002C46EC" w:rsidRPr="00DB3FE7" w:rsidRDefault="002C46EC" w:rsidP="00035F43">
            <w:pPr>
              <w:pStyle w:val="COMTabletext"/>
            </w:pPr>
            <w:r w:rsidRPr="00DB3FE7">
              <w:t>Cost per year</w:t>
            </w:r>
          </w:p>
        </w:tc>
        <w:tc>
          <w:tcPr>
            <w:tcW w:w="1046" w:type="pct"/>
            <w:shd w:val="clear" w:color="auto" w:fill="auto"/>
            <w:vAlign w:val="center"/>
          </w:tcPr>
          <w:p w14:paraId="05B631D2" w14:textId="59E58DE0" w:rsidR="002C46EC" w:rsidRPr="00DB3FE7" w:rsidRDefault="002C46EC" w:rsidP="00035F43">
            <w:pPr>
              <w:pStyle w:val="COMTabletext"/>
              <w:jc w:val="center"/>
            </w:pPr>
            <w:r w:rsidRPr="00DB3FE7">
              <w:t>-</w:t>
            </w:r>
          </w:p>
        </w:tc>
        <w:tc>
          <w:tcPr>
            <w:tcW w:w="1046" w:type="pct"/>
            <w:shd w:val="clear" w:color="auto" w:fill="auto"/>
            <w:vAlign w:val="center"/>
          </w:tcPr>
          <w:p w14:paraId="54714AB0" w14:textId="234BA65A" w:rsidR="002C46EC" w:rsidRPr="00DB3FE7" w:rsidRDefault="002C46EC" w:rsidP="00035F43">
            <w:pPr>
              <w:pStyle w:val="COMTabletext"/>
              <w:jc w:val="center"/>
            </w:pPr>
            <w:r w:rsidRPr="00DB3FE7">
              <w:t>Initial year: $</w:t>
            </w:r>
            <w:r w:rsidR="00544295" w:rsidRPr="00C91ADA">
              <w:rPr>
                <w:color w:val="000000"/>
                <w:spacing w:val="34"/>
                <w:shd w:val="solid" w:color="000000" w:fill="000000"/>
                <w:fitText w:val="428" w:id="-1233410813"/>
                <w14:textFill>
                  <w14:solidFill>
                    <w14:srgbClr w14:val="000000">
                      <w14:alpha w14:val="100000"/>
                    </w14:srgbClr>
                  </w14:solidFill>
                </w14:textFill>
              </w:rPr>
              <w:t>|||||</w:t>
            </w:r>
            <w:r w:rsidR="00544295" w:rsidRPr="00C91ADA">
              <w:rPr>
                <w:color w:val="000000"/>
                <w:spacing w:val="3"/>
                <w:shd w:val="solid" w:color="000000" w:fill="000000"/>
                <w:fitText w:val="428" w:id="-1233410813"/>
                <w14:textFill>
                  <w14:solidFill>
                    <w14:srgbClr w14:val="000000">
                      <w14:alpha w14:val="100000"/>
                    </w14:srgbClr>
                  </w14:solidFill>
                </w14:textFill>
              </w:rPr>
              <w:t>|</w:t>
            </w:r>
          </w:p>
          <w:p w14:paraId="39A1F4B8" w14:textId="4E6627D0" w:rsidR="002C46EC" w:rsidRPr="0042765C" w:rsidRDefault="002C46EC" w:rsidP="00035F43">
            <w:pPr>
              <w:pStyle w:val="COMTabletext"/>
              <w:jc w:val="center"/>
            </w:pPr>
            <w:r w:rsidRPr="00DB3FE7">
              <w:t>Subsequent year: $</w:t>
            </w:r>
            <w:r w:rsidR="00544295" w:rsidRPr="00B650E1">
              <w:rPr>
                <w:rFonts w:hint="eastAsia"/>
                <w:color w:val="000000"/>
                <w:spacing w:val="-191"/>
                <w:shd w:val="solid" w:color="000000" w:fill="000000"/>
                <w:fitText w:val="9" w:id="-1233410812"/>
                <w14:textFill>
                  <w14:solidFill>
                    <w14:srgbClr w14:val="000000">
                      <w14:alpha w14:val="100000"/>
                    </w14:srgbClr>
                  </w14:solidFill>
                </w14:textFill>
              </w:rPr>
              <w:t xml:space="preserve">　</w:t>
            </w:r>
            <w:r w:rsidR="00544295" w:rsidRPr="0042765C">
              <w:rPr>
                <w:color w:val="000000"/>
                <w:w w:val="15"/>
                <w:shd w:val="solid" w:color="000000" w:fill="000000"/>
                <w14:textFill>
                  <w14:solidFill>
                    <w14:srgbClr w14:val="000000">
                      <w14:alpha w14:val="100000"/>
                    </w14:srgbClr>
                  </w14:solidFill>
                </w14:textFill>
              </w:rPr>
              <w:t>|</w:t>
            </w:r>
            <w:r w:rsidR="00544295" w:rsidRPr="00C91ADA">
              <w:rPr>
                <w:rFonts w:hint="eastAsia"/>
                <w:color w:val="000000"/>
                <w:w w:val="15"/>
                <w:shd w:val="solid" w:color="000000" w:fill="000000"/>
                <w14:textFill>
                  <w14:solidFill>
                    <w14:srgbClr w14:val="000000">
                      <w14:alpha w14:val="100000"/>
                    </w14:srgbClr>
                  </w14:solidFill>
                </w14:textFill>
              </w:rPr>
              <w:t xml:space="preserve">　</w:t>
            </w:r>
          </w:p>
        </w:tc>
        <w:tc>
          <w:tcPr>
            <w:tcW w:w="1046" w:type="pct"/>
            <w:shd w:val="clear" w:color="auto" w:fill="auto"/>
            <w:vAlign w:val="center"/>
          </w:tcPr>
          <w:p w14:paraId="618BC6E3" w14:textId="77777777" w:rsidR="00E47A79" w:rsidRPr="00352E1C" w:rsidRDefault="002C46EC" w:rsidP="00035F43">
            <w:pPr>
              <w:pStyle w:val="COMTabletext"/>
              <w:jc w:val="center"/>
            </w:pPr>
            <w:r w:rsidRPr="00352E1C">
              <w:t xml:space="preserve">Initial year: </w:t>
            </w:r>
            <w:r w:rsidR="00E47A79" w:rsidRPr="00352E1C">
              <w:t>$7,698.99</w:t>
            </w:r>
          </w:p>
          <w:p w14:paraId="15360FDD" w14:textId="07E5C680" w:rsidR="002C46EC" w:rsidRPr="00DB3FE7" w:rsidRDefault="00E47A79" w:rsidP="00035F43">
            <w:pPr>
              <w:pStyle w:val="COMTabletext"/>
              <w:jc w:val="center"/>
            </w:pPr>
            <w:r w:rsidRPr="00DB3FE7">
              <w:t>Subsequent year: $5,132.66</w:t>
            </w:r>
          </w:p>
        </w:tc>
        <w:tc>
          <w:tcPr>
            <w:tcW w:w="1045" w:type="pct"/>
            <w:shd w:val="clear" w:color="auto" w:fill="auto"/>
            <w:vAlign w:val="center"/>
          </w:tcPr>
          <w:p w14:paraId="5997AAF8" w14:textId="77777777" w:rsidR="002C46EC" w:rsidRPr="00DB3FE7" w:rsidRDefault="00E47A79" w:rsidP="00035F43">
            <w:pPr>
              <w:pStyle w:val="COMTabletext"/>
              <w:jc w:val="center"/>
            </w:pPr>
            <w:r w:rsidRPr="00DB3FE7">
              <w:t>Initial year: $7,261.84</w:t>
            </w:r>
          </w:p>
          <w:p w14:paraId="560B3CAB" w14:textId="19F2906E" w:rsidR="00E47A79" w:rsidRPr="00DB3FE7" w:rsidRDefault="00E47A79" w:rsidP="00035F43">
            <w:pPr>
              <w:pStyle w:val="COMTabletext"/>
              <w:jc w:val="center"/>
            </w:pPr>
            <w:r w:rsidRPr="00DB3FE7">
              <w:t>Subsequent year: $4,841.23</w:t>
            </w:r>
          </w:p>
        </w:tc>
      </w:tr>
      <w:tr w:rsidR="00831AFA" w:rsidRPr="00DB3FE7" w14:paraId="2E12391A" w14:textId="77777777" w:rsidTr="00035F43">
        <w:trPr>
          <w:cantSplit/>
          <w:jc w:val="center"/>
        </w:trPr>
        <w:tc>
          <w:tcPr>
            <w:tcW w:w="817" w:type="pct"/>
            <w:shd w:val="clear" w:color="auto" w:fill="auto"/>
            <w:vAlign w:val="center"/>
          </w:tcPr>
          <w:p w14:paraId="4C9105F7" w14:textId="77777777" w:rsidR="00831AFA" w:rsidRPr="00DB3FE7" w:rsidRDefault="00831AFA" w:rsidP="00035F43">
            <w:pPr>
              <w:pStyle w:val="COMTabletext"/>
            </w:pPr>
            <w:r w:rsidRPr="00DB3FE7">
              <w:t>Year 1 persistence</w:t>
            </w:r>
          </w:p>
        </w:tc>
        <w:tc>
          <w:tcPr>
            <w:tcW w:w="1046" w:type="pct"/>
            <w:vMerge w:val="restart"/>
            <w:shd w:val="clear" w:color="auto" w:fill="auto"/>
            <w:vAlign w:val="center"/>
          </w:tcPr>
          <w:p w14:paraId="729EB589" w14:textId="018C60C4" w:rsidR="00831AFA" w:rsidRPr="00DB3FE7" w:rsidRDefault="00831AFA" w:rsidP="00831AFA">
            <w:pPr>
              <w:pStyle w:val="COMTabletext"/>
              <w:jc w:val="center"/>
            </w:pPr>
            <w:r w:rsidRPr="00DB3FE7">
              <w:t>92.3%-9</w:t>
            </w:r>
            <w:r w:rsidR="00653AE5" w:rsidRPr="00DB3FE7">
              <w:t>7.1</w:t>
            </w:r>
            <w:r w:rsidRPr="00DB3FE7">
              <w:t>% patients persistent at 18 months</w:t>
            </w:r>
          </w:p>
        </w:tc>
        <w:tc>
          <w:tcPr>
            <w:tcW w:w="1046" w:type="pct"/>
            <w:shd w:val="clear" w:color="auto" w:fill="auto"/>
            <w:vAlign w:val="center"/>
          </w:tcPr>
          <w:p w14:paraId="4DA73CAF" w14:textId="77777777" w:rsidR="00831AFA" w:rsidRPr="00DB3FE7" w:rsidRDefault="00831AFA" w:rsidP="00035F43">
            <w:pPr>
              <w:pStyle w:val="COMTabletext"/>
              <w:jc w:val="center"/>
              <w:rPr>
                <w:vertAlign w:val="superscript"/>
              </w:rPr>
            </w:pPr>
            <w:r w:rsidRPr="00DB3FE7">
              <w:t xml:space="preserve">96.8% </w:t>
            </w:r>
            <w:r w:rsidRPr="00DB3FE7">
              <w:rPr>
                <w:vertAlign w:val="superscript"/>
              </w:rPr>
              <w:t>c</w:t>
            </w:r>
          </w:p>
        </w:tc>
        <w:tc>
          <w:tcPr>
            <w:tcW w:w="1046" w:type="pct"/>
            <w:shd w:val="clear" w:color="auto" w:fill="auto"/>
            <w:vAlign w:val="center"/>
          </w:tcPr>
          <w:p w14:paraId="23CFDF6A" w14:textId="77777777" w:rsidR="00831AFA" w:rsidRPr="00DB3FE7" w:rsidRDefault="00831AFA" w:rsidP="00035F43">
            <w:pPr>
              <w:pStyle w:val="COMTabletext"/>
              <w:jc w:val="center"/>
              <w:rPr>
                <w:vertAlign w:val="superscript"/>
              </w:rPr>
            </w:pPr>
            <w:r w:rsidRPr="00DB3FE7">
              <w:t xml:space="preserve">100% </w:t>
            </w:r>
            <w:r w:rsidRPr="00DB3FE7">
              <w:rPr>
                <w:vertAlign w:val="superscript"/>
              </w:rPr>
              <w:t>d</w:t>
            </w:r>
          </w:p>
        </w:tc>
        <w:tc>
          <w:tcPr>
            <w:tcW w:w="1045" w:type="pct"/>
            <w:shd w:val="clear" w:color="auto" w:fill="auto"/>
            <w:vAlign w:val="center"/>
          </w:tcPr>
          <w:p w14:paraId="78BAB72D" w14:textId="77777777" w:rsidR="00831AFA" w:rsidRPr="00DB3FE7" w:rsidRDefault="00831AFA" w:rsidP="00035F43">
            <w:pPr>
              <w:pStyle w:val="COMTabletext"/>
              <w:jc w:val="center"/>
              <w:rPr>
                <w:vertAlign w:val="superscript"/>
              </w:rPr>
            </w:pPr>
            <w:r w:rsidRPr="00DB3FE7">
              <w:t xml:space="preserve">100% </w:t>
            </w:r>
            <w:r w:rsidRPr="00DB3FE7">
              <w:rPr>
                <w:vertAlign w:val="superscript"/>
              </w:rPr>
              <w:t>e</w:t>
            </w:r>
          </w:p>
        </w:tc>
      </w:tr>
      <w:tr w:rsidR="00831AFA" w:rsidRPr="00DB3FE7" w14:paraId="2287F8FF" w14:textId="77777777" w:rsidTr="00035F43">
        <w:trPr>
          <w:cantSplit/>
          <w:jc w:val="center"/>
        </w:trPr>
        <w:tc>
          <w:tcPr>
            <w:tcW w:w="817" w:type="pct"/>
            <w:shd w:val="clear" w:color="auto" w:fill="auto"/>
            <w:vAlign w:val="center"/>
          </w:tcPr>
          <w:p w14:paraId="0C2568C0" w14:textId="77777777" w:rsidR="00831AFA" w:rsidRPr="00DB3FE7" w:rsidRDefault="00831AFA" w:rsidP="00035F43">
            <w:pPr>
              <w:pStyle w:val="COMTabletext"/>
            </w:pPr>
            <w:r w:rsidRPr="00DB3FE7">
              <w:t>Year 2 persistence</w:t>
            </w:r>
          </w:p>
        </w:tc>
        <w:tc>
          <w:tcPr>
            <w:tcW w:w="1046" w:type="pct"/>
            <w:vMerge/>
            <w:shd w:val="clear" w:color="auto" w:fill="auto"/>
            <w:vAlign w:val="center"/>
          </w:tcPr>
          <w:p w14:paraId="12303A1C" w14:textId="1AA09135" w:rsidR="00831AFA" w:rsidRPr="00DB3FE7" w:rsidRDefault="00831AFA" w:rsidP="00035F43">
            <w:pPr>
              <w:pStyle w:val="COMTabletext"/>
              <w:jc w:val="center"/>
            </w:pPr>
          </w:p>
        </w:tc>
        <w:tc>
          <w:tcPr>
            <w:tcW w:w="1046" w:type="pct"/>
            <w:shd w:val="clear" w:color="auto" w:fill="auto"/>
            <w:vAlign w:val="center"/>
          </w:tcPr>
          <w:p w14:paraId="5F320C07" w14:textId="77777777" w:rsidR="00831AFA" w:rsidRPr="00DB3FE7" w:rsidRDefault="00831AFA" w:rsidP="00035F43">
            <w:pPr>
              <w:pStyle w:val="COMTabletext"/>
              <w:jc w:val="center"/>
              <w:rPr>
                <w:vertAlign w:val="superscript"/>
              </w:rPr>
            </w:pPr>
            <w:r w:rsidRPr="00DB3FE7">
              <w:t xml:space="preserve">93.7% </w:t>
            </w:r>
            <w:r w:rsidRPr="00DB3FE7">
              <w:rPr>
                <w:vertAlign w:val="superscript"/>
              </w:rPr>
              <w:t>c</w:t>
            </w:r>
          </w:p>
        </w:tc>
        <w:tc>
          <w:tcPr>
            <w:tcW w:w="1046" w:type="pct"/>
            <w:shd w:val="clear" w:color="auto" w:fill="auto"/>
            <w:vAlign w:val="center"/>
          </w:tcPr>
          <w:p w14:paraId="1E0449CD" w14:textId="77777777" w:rsidR="00831AFA" w:rsidRPr="00DB3FE7" w:rsidRDefault="00831AFA" w:rsidP="00035F43">
            <w:pPr>
              <w:pStyle w:val="COMTabletext"/>
              <w:jc w:val="center"/>
            </w:pPr>
            <w:r w:rsidRPr="00DB3FE7">
              <w:t xml:space="preserve">100% </w:t>
            </w:r>
            <w:r w:rsidRPr="00DB3FE7">
              <w:rPr>
                <w:vertAlign w:val="superscript"/>
              </w:rPr>
              <w:t>d</w:t>
            </w:r>
          </w:p>
        </w:tc>
        <w:tc>
          <w:tcPr>
            <w:tcW w:w="1045" w:type="pct"/>
            <w:shd w:val="clear" w:color="auto" w:fill="auto"/>
            <w:vAlign w:val="center"/>
          </w:tcPr>
          <w:p w14:paraId="25900E79" w14:textId="77777777" w:rsidR="00831AFA" w:rsidRPr="00DB3FE7" w:rsidRDefault="00831AFA" w:rsidP="00035F43">
            <w:pPr>
              <w:pStyle w:val="COMTabletext"/>
              <w:jc w:val="center"/>
              <w:rPr>
                <w:vertAlign w:val="superscript"/>
              </w:rPr>
            </w:pPr>
            <w:r w:rsidRPr="00DB3FE7">
              <w:t xml:space="preserve">92.3% </w:t>
            </w:r>
            <w:r w:rsidRPr="00DB3FE7">
              <w:rPr>
                <w:vertAlign w:val="superscript"/>
              </w:rPr>
              <w:t>f</w:t>
            </w:r>
          </w:p>
        </w:tc>
      </w:tr>
      <w:tr w:rsidR="00831AFA" w:rsidRPr="00DB3FE7" w14:paraId="44BA120B" w14:textId="77777777" w:rsidTr="00035F43">
        <w:trPr>
          <w:cantSplit/>
          <w:jc w:val="center"/>
        </w:trPr>
        <w:tc>
          <w:tcPr>
            <w:tcW w:w="817" w:type="pct"/>
            <w:shd w:val="clear" w:color="auto" w:fill="auto"/>
            <w:vAlign w:val="center"/>
          </w:tcPr>
          <w:p w14:paraId="55681B96" w14:textId="77777777" w:rsidR="00831AFA" w:rsidRPr="00DB3FE7" w:rsidRDefault="00831AFA" w:rsidP="00035F43">
            <w:pPr>
              <w:pStyle w:val="COMTabletext"/>
            </w:pPr>
            <w:r w:rsidRPr="00DB3FE7">
              <w:t>Year 3 persistence</w:t>
            </w:r>
          </w:p>
        </w:tc>
        <w:tc>
          <w:tcPr>
            <w:tcW w:w="1046" w:type="pct"/>
            <w:vMerge/>
            <w:shd w:val="clear" w:color="auto" w:fill="auto"/>
            <w:vAlign w:val="center"/>
          </w:tcPr>
          <w:p w14:paraId="15F7383D" w14:textId="4F4E13AB" w:rsidR="00831AFA" w:rsidRPr="00DB3FE7" w:rsidRDefault="00831AFA" w:rsidP="00035F43">
            <w:pPr>
              <w:pStyle w:val="COMTabletext"/>
              <w:jc w:val="center"/>
            </w:pPr>
          </w:p>
        </w:tc>
        <w:tc>
          <w:tcPr>
            <w:tcW w:w="1046" w:type="pct"/>
            <w:shd w:val="clear" w:color="auto" w:fill="auto"/>
            <w:vAlign w:val="center"/>
          </w:tcPr>
          <w:p w14:paraId="48354178" w14:textId="77777777" w:rsidR="00831AFA" w:rsidRPr="00DB3FE7" w:rsidRDefault="00831AFA" w:rsidP="00035F43">
            <w:pPr>
              <w:pStyle w:val="COMTabletext"/>
              <w:jc w:val="center"/>
              <w:rPr>
                <w:vertAlign w:val="superscript"/>
              </w:rPr>
            </w:pPr>
            <w:r w:rsidRPr="00DB3FE7">
              <w:t xml:space="preserve">90.7% </w:t>
            </w:r>
            <w:r w:rsidRPr="00DB3FE7">
              <w:rPr>
                <w:vertAlign w:val="superscript"/>
              </w:rPr>
              <w:t>c</w:t>
            </w:r>
          </w:p>
        </w:tc>
        <w:tc>
          <w:tcPr>
            <w:tcW w:w="1046" w:type="pct"/>
            <w:shd w:val="clear" w:color="auto" w:fill="auto"/>
            <w:vAlign w:val="center"/>
          </w:tcPr>
          <w:p w14:paraId="3E1D731C" w14:textId="77777777" w:rsidR="00831AFA" w:rsidRPr="00DB3FE7" w:rsidRDefault="00831AFA" w:rsidP="00035F43">
            <w:pPr>
              <w:pStyle w:val="COMTabletext"/>
              <w:jc w:val="center"/>
            </w:pPr>
            <w:r w:rsidRPr="00DB3FE7">
              <w:t>-</w:t>
            </w:r>
          </w:p>
        </w:tc>
        <w:tc>
          <w:tcPr>
            <w:tcW w:w="1045" w:type="pct"/>
            <w:shd w:val="clear" w:color="auto" w:fill="auto"/>
            <w:vAlign w:val="center"/>
          </w:tcPr>
          <w:p w14:paraId="0AD5BCD6" w14:textId="77777777" w:rsidR="00831AFA" w:rsidRPr="00DB3FE7" w:rsidRDefault="00831AFA" w:rsidP="00035F43">
            <w:pPr>
              <w:pStyle w:val="COMTabletext"/>
              <w:jc w:val="center"/>
              <w:rPr>
                <w:vertAlign w:val="superscript"/>
              </w:rPr>
            </w:pPr>
            <w:r w:rsidRPr="00DB3FE7">
              <w:t xml:space="preserve">85.2% </w:t>
            </w:r>
            <w:r w:rsidRPr="00DB3FE7">
              <w:rPr>
                <w:vertAlign w:val="superscript"/>
              </w:rPr>
              <w:t>f</w:t>
            </w:r>
          </w:p>
        </w:tc>
      </w:tr>
      <w:tr w:rsidR="00831AFA" w:rsidRPr="00DB3FE7" w14:paraId="6BF883E0" w14:textId="77777777" w:rsidTr="00035F43">
        <w:trPr>
          <w:cantSplit/>
          <w:jc w:val="center"/>
        </w:trPr>
        <w:tc>
          <w:tcPr>
            <w:tcW w:w="817" w:type="pct"/>
            <w:shd w:val="clear" w:color="auto" w:fill="auto"/>
            <w:vAlign w:val="center"/>
          </w:tcPr>
          <w:p w14:paraId="31530198" w14:textId="77777777" w:rsidR="00831AFA" w:rsidRPr="00DB3FE7" w:rsidRDefault="00831AFA" w:rsidP="00035F43">
            <w:pPr>
              <w:pStyle w:val="COMTabletext"/>
            </w:pPr>
            <w:r w:rsidRPr="00DB3FE7">
              <w:t>Year 4 persistence</w:t>
            </w:r>
          </w:p>
        </w:tc>
        <w:tc>
          <w:tcPr>
            <w:tcW w:w="1046" w:type="pct"/>
            <w:vMerge/>
            <w:shd w:val="clear" w:color="auto" w:fill="auto"/>
            <w:vAlign w:val="center"/>
          </w:tcPr>
          <w:p w14:paraId="5870F6A4" w14:textId="279D3565" w:rsidR="00831AFA" w:rsidRPr="00DB3FE7" w:rsidRDefault="00831AFA" w:rsidP="00035F43">
            <w:pPr>
              <w:pStyle w:val="COMTabletext"/>
              <w:jc w:val="center"/>
            </w:pPr>
          </w:p>
        </w:tc>
        <w:tc>
          <w:tcPr>
            <w:tcW w:w="1046" w:type="pct"/>
            <w:shd w:val="clear" w:color="auto" w:fill="auto"/>
            <w:vAlign w:val="center"/>
          </w:tcPr>
          <w:p w14:paraId="00B2C3EE" w14:textId="77777777" w:rsidR="00831AFA" w:rsidRPr="00DB3FE7" w:rsidRDefault="00831AFA" w:rsidP="00035F43">
            <w:pPr>
              <w:pStyle w:val="COMTabletext"/>
              <w:jc w:val="center"/>
              <w:rPr>
                <w:vertAlign w:val="superscript"/>
              </w:rPr>
            </w:pPr>
            <w:r w:rsidRPr="00DB3FE7">
              <w:t xml:space="preserve">87.8% </w:t>
            </w:r>
            <w:r w:rsidRPr="00DB3FE7">
              <w:rPr>
                <w:vertAlign w:val="superscript"/>
              </w:rPr>
              <w:t>c</w:t>
            </w:r>
          </w:p>
        </w:tc>
        <w:tc>
          <w:tcPr>
            <w:tcW w:w="1046" w:type="pct"/>
            <w:shd w:val="clear" w:color="auto" w:fill="auto"/>
            <w:vAlign w:val="center"/>
          </w:tcPr>
          <w:p w14:paraId="65132679" w14:textId="77777777" w:rsidR="00831AFA" w:rsidRPr="00DB3FE7" w:rsidRDefault="00831AFA" w:rsidP="00035F43">
            <w:pPr>
              <w:pStyle w:val="COMTabletext"/>
              <w:jc w:val="center"/>
            </w:pPr>
            <w:r w:rsidRPr="00DB3FE7">
              <w:t>-</w:t>
            </w:r>
          </w:p>
        </w:tc>
        <w:tc>
          <w:tcPr>
            <w:tcW w:w="1045" w:type="pct"/>
            <w:shd w:val="clear" w:color="auto" w:fill="auto"/>
            <w:vAlign w:val="center"/>
          </w:tcPr>
          <w:p w14:paraId="2AB7E5D2" w14:textId="77777777" w:rsidR="00831AFA" w:rsidRPr="00DB3FE7" w:rsidRDefault="00831AFA" w:rsidP="00035F43">
            <w:pPr>
              <w:pStyle w:val="COMTabletext"/>
              <w:jc w:val="center"/>
              <w:rPr>
                <w:vertAlign w:val="superscript"/>
              </w:rPr>
            </w:pPr>
            <w:r w:rsidRPr="00DB3FE7">
              <w:t xml:space="preserve">78.6% </w:t>
            </w:r>
            <w:r w:rsidRPr="00DB3FE7">
              <w:rPr>
                <w:vertAlign w:val="superscript"/>
              </w:rPr>
              <w:t>f</w:t>
            </w:r>
          </w:p>
        </w:tc>
      </w:tr>
      <w:tr w:rsidR="00831AFA" w:rsidRPr="00DB3FE7" w14:paraId="5C972803" w14:textId="77777777" w:rsidTr="00035F43">
        <w:trPr>
          <w:cantSplit/>
          <w:jc w:val="center"/>
        </w:trPr>
        <w:tc>
          <w:tcPr>
            <w:tcW w:w="817" w:type="pct"/>
            <w:shd w:val="clear" w:color="auto" w:fill="auto"/>
            <w:vAlign w:val="center"/>
          </w:tcPr>
          <w:p w14:paraId="37E8195E" w14:textId="77777777" w:rsidR="00831AFA" w:rsidRPr="00DB3FE7" w:rsidRDefault="00831AFA" w:rsidP="00035F43">
            <w:pPr>
              <w:pStyle w:val="COMTabletext"/>
            </w:pPr>
            <w:r w:rsidRPr="00DB3FE7">
              <w:t>Year 5 persistence</w:t>
            </w:r>
          </w:p>
        </w:tc>
        <w:tc>
          <w:tcPr>
            <w:tcW w:w="1046" w:type="pct"/>
            <w:vMerge/>
            <w:shd w:val="clear" w:color="auto" w:fill="auto"/>
            <w:vAlign w:val="center"/>
          </w:tcPr>
          <w:p w14:paraId="5E2201B0" w14:textId="45F2FA58" w:rsidR="00831AFA" w:rsidRPr="00DB3FE7" w:rsidRDefault="00831AFA" w:rsidP="00035F43">
            <w:pPr>
              <w:pStyle w:val="COMTabletext"/>
              <w:jc w:val="center"/>
            </w:pPr>
          </w:p>
        </w:tc>
        <w:tc>
          <w:tcPr>
            <w:tcW w:w="1046" w:type="pct"/>
            <w:shd w:val="clear" w:color="auto" w:fill="auto"/>
            <w:vAlign w:val="center"/>
          </w:tcPr>
          <w:p w14:paraId="59A7B545" w14:textId="77777777" w:rsidR="00831AFA" w:rsidRPr="00DB3FE7" w:rsidRDefault="00831AFA" w:rsidP="00035F43">
            <w:pPr>
              <w:pStyle w:val="COMTabletext"/>
              <w:jc w:val="center"/>
            </w:pPr>
            <w:r w:rsidRPr="00DB3FE7">
              <w:t xml:space="preserve">85.0% </w:t>
            </w:r>
            <w:r w:rsidRPr="00DB3FE7">
              <w:rPr>
                <w:vertAlign w:val="superscript"/>
              </w:rPr>
              <w:t>c</w:t>
            </w:r>
          </w:p>
        </w:tc>
        <w:tc>
          <w:tcPr>
            <w:tcW w:w="1046" w:type="pct"/>
            <w:shd w:val="clear" w:color="auto" w:fill="auto"/>
            <w:vAlign w:val="center"/>
          </w:tcPr>
          <w:p w14:paraId="11E20D55" w14:textId="77777777" w:rsidR="00831AFA" w:rsidRPr="00DB3FE7" w:rsidRDefault="00831AFA" w:rsidP="00035F43">
            <w:pPr>
              <w:pStyle w:val="COMTabletext"/>
              <w:jc w:val="center"/>
            </w:pPr>
            <w:r w:rsidRPr="00DB3FE7">
              <w:t>-</w:t>
            </w:r>
          </w:p>
        </w:tc>
        <w:tc>
          <w:tcPr>
            <w:tcW w:w="1045" w:type="pct"/>
            <w:shd w:val="clear" w:color="auto" w:fill="auto"/>
            <w:vAlign w:val="center"/>
          </w:tcPr>
          <w:p w14:paraId="2826339F" w14:textId="77777777" w:rsidR="00831AFA" w:rsidRPr="00DB3FE7" w:rsidRDefault="00831AFA" w:rsidP="00035F43">
            <w:pPr>
              <w:pStyle w:val="COMTabletext"/>
              <w:jc w:val="center"/>
              <w:rPr>
                <w:vertAlign w:val="superscript"/>
              </w:rPr>
            </w:pPr>
            <w:r w:rsidRPr="00DB3FE7">
              <w:t xml:space="preserve">72.6% </w:t>
            </w:r>
            <w:r w:rsidRPr="00DB3FE7">
              <w:rPr>
                <w:vertAlign w:val="superscript"/>
              </w:rPr>
              <w:t>f</w:t>
            </w:r>
          </w:p>
        </w:tc>
      </w:tr>
      <w:tr w:rsidR="00831AFA" w:rsidRPr="00DB3FE7" w14:paraId="57B83156" w14:textId="77777777" w:rsidTr="00035F43">
        <w:trPr>
          <w:cantSplit/>
          <w:jc w:val="center"/>
        </w:trPr>
        <w:tc>
          <w:tcPr>
            <w:tcW w:w="817" w:type="pct"/>
            <w:shd w:val="clear" w:color="auto" w:fill="auto"/>
            <w:vAlign w:val="center"/>
          </w:tcPr>
          <w:p w14:paraId="2DE6DF58" w14:textId="77777777" w:rsidR="00831AFA" w:rsidRPr="00DB3FE7" w:rsidRDefault="00831AFA" w:rsidP="00035F43">
            <w:pPr>
              <w:pStyle w:val="COMTabletext"/>
            </w:pPr>
            <w:r w:rsidRPr="00DB3FE7">
              <w:t>Year 6 persistence</w:t>
            </w:r>
          </w:p>
        </w:tc>
        <w:tc>
          <w:tcPr>
            <w:tcW w:w="1046" w:type="pct"/>
            <w:vMerge/>
            <w:shd w:val="clear" w:color="auto" w:fill="auto"/>
            <w:vAlign w:val="center"/>
          </w:tcPr>
          <w:p w14:paraId="0D130E29" w14:textId="12B6462A" w:rsidR="00831AFA" w:rsidRPr="00DB3FE7" w:rsidRDefault="00831AFA" w:rsidP="00035F43">
            <w:pPr>
              <w:pStyle w:val="COMTabletext"/>
              <w:jc w:val="center"/>
            </w:pPr>
          </w:p>
        </w:tc>
        <w:tc>
          <w:tcPr>
            <w:tcW w:w="1046" w:type="pct"/>
            <w:shd w:val="clear" w:color="auto" w:fill="auto"/>
            <w:vAlign w:val="center"/>
          </w:tcPr>
          <w:p w14:paraId="2F12F08B" w14:textId="77777777" w:rsidR="00831AFA" w:rsidRPr="00DB3FE7" w:rsidRDefault="00831AFA" w:rsidP="00035F43">
            <w:pPr>
              <w:pStyle w:val="COMTabletext"/>
              <w:jc w:val="center"/>
              <w:rPr>
                <w:vertAlign w:val="superscript"/>
              </w:rPr>
            </w:pPr>
            <w:r w:rsidRPr="00DB3FE7">
              <w:t xml:space="preserve">82.3% </w:t>
            </w:r>
            <w:r w:rsidRPr="00DB3FE7">
              <w:rPr>
                <w:vertAlign w:val="superscript"/>
              </w:rPr>
              <w:t>c</w:t>
            </w:r>
          </w:p>
        </w:tc>
        <w:tc>
          <w:tcPr>
            <w:tcW w:w="1046" w:type="pct"/>
            <w:shd w:val="clear" w:color="auto" w:fill="auto"/>
            <w:vAlign w:val="center"/>
          </w:tcPr>
          <w:p w14:paraId="04A2E070" w14:textId="77777777" w:rsidR="00831AFA" w:rsidRPr="00DB3FE7" w:rsidRDefault="00831AFA" w:rsidP="00035F43">
            <w:pPr>
              <w:pStyle w:val="COMTabletext"/>
              <w:jc w:val="center"/>
            </w:pPr>
            <w:r w:rsidRPr="00DB3FE7">
              <w:t>-</w:t>
            </w:r>
          </w:p>
        </w:tc>
        <w:tc>
          <w:tcPr>
            <w:tcW w:w="1045" w:type="pct"/>
            <w:shd w:val="clear" w:color="auto" w:fill="auto"/>
            <w:vAlign w:val="center"/>
          </w:tcPr>
          <w:p w14:paraId="7788D74A" w14:textId="77777777" w:rsidR="00831AFA" w:rsidRPr="00DB3FE7" w:rsidRDefault="00831AFA" w:rsidP="00035F43">
            <w:pPr>
              <w:pStyle w:val="COMTabletext"/>
              <w:jc w:val="center"/>
              <w:rPr>
                <w:vertAlign w:val="superscript"/>
              </w:rPr>
            </w:pPr>
            <w:r w:rsidRPr="00DB3FE7">
              <w:t xml:space="preserve">67.0% </w:t>
            </w:r>
            <w:r w:rsidRPr="00DB3FE7">
              <w:rPr>
                <w:vertAlign w:val="superscript"/>
              </w:rPr>
              <w:t>f</w:t>
            </w:r>
          </w:p>
        </w:tc>
      </w:tr>
    </w:tbl>
    <w:p w14:paraId="50498908" w14:textId="77777777" w:rsidR="0011263C" w:rsidRPr="00DB3FE7" w:rsidRDefault="0011263C" w:rsidP="0011263C">
      <w:pPr>
        <w:pStyle w:val="COMTablefooter"/>
        <w:keepNext/>
      </w:pPr>
      <w:r w:rsidRPr="00DB3FE7">
        <w:t>Source: constructed during the evaluation</w:t>
      </w:r>
    </w:p>
    <w:p w14:paraId="301ADB1D" w14:textId="4672D743" w:rsidR="0011263C" w:rsidRPr="00352E1C" w:rsidRDefault="0011263C" w:rsidP="0011263C">
      <w:pPr>
        <w:pStyle w:val="COMTablefooter"/>
        <w:keepNext/>
      </w:pPr>
      <w:r w:rsidRPr="00DB3FE7">
        <w:t xml:space="preserve">Abbreviations: CEA, cost-effectiveness analysis; CMA, cost-minimisation </w:t>
      </w:r>
      <w:r w:rsidR="00352E1C">
        <w:t>analysis</w:t>
      </w:r>
    </w:p>
    <w:p w14:paraId="1154ADE5" w14:textId="3EA16B64" w:rsidR="0011263C" w:rsidRPr="00DB3FE7" w:rsidRDefault="0011263C" w:rsidP="0011263C">
      <w:pPr>
        <w:pStyle w:val="COMTablefooter"/>
        <w:keepNext/>
      </w:pPr>
      <w:r w:rsidRPr="00DB3FE7">
        <w:rPr>
          <w:vertAlign w:val="superscript"/>
        </w:rPr>
        <w:t xml:space="preserve">a </w:t>
      </w:r>
      <w:r w:rsidRPr="00DB3FE7">
        <w:t>Assuming 100% adherence</w:t>
      </w:r>
    </w:p>
    <w:p w14:paraId="789FF32B" w14:textId="77777777" w:rsidR="0011263C" w:rsidRPr="00DB3FE7" w:rsidRDefault="0011263C" w:rsidP="0011263C">
      <w:pPr>
        <w:pStyle w:val="COMTablefooter"/>
        <w:keepNext/>
      </w:pPr>
      <w:r w:rsidRPr="00DB3FE7">
        <w:rPr>
          <w:vertAlign w:val="superscript"/>
        </w:rPr>
        <w:t>b</w:t>
      </w:r>
      <w:r w:rsidRPr="00DB3FE7">
        <w:t xml:space="preserve"> Adjusted for 85% compliance (including adherence and persistence)</w:t>
      </w:r>
    </w:p>
    <w:p w14:paraId="2B40B5AE" w14:textId="77777777" w:rsidR="0011263C" w:rsidRPr="00DB3FE7" w:rsidRDefault="0011263C" w:rsidP="0011263C">
      <w:pPr>
        <w:pStyle w:val="COMTablefooter"/>
        <w:keepNext/>
      </w:pPr>
      <w:r w:rsidRPr="00DB3FE7">
        <w:rPr>
          <w:vertAlign w:val="superscript"/>
        </w:rPr>
        <w:t>c</w:t>
      </w:r>
      <w:r w:rsidRPr="00DB3FE7">
        <w:t xml:space="preserve"> 96.8% fixed yearly persistence</w:t>
      </w:r>
    </w:p>
    <w:p w14:paraId="6C868DD4" w14:textId="77777777" w:rsidR="0011263C" w:rsidRPr="00DB3FE7" w:rsidRDefault="0011263C" w:rsidP="0011263C">
      <w:pPr>
        <w:pStyle w:val="COMTablefooter"/>
        <w:keepNext/>
      </w:pPr>
      <w:r w:rsidRPr="00DB3FE7">
        <w:rPr>
          <w:vertAlign w:val="superscript"/>
        </w:rPr>
        <w:t xml:space="preserve">d </w:t>
      </w:r>
      <w:r w:rsidRPr="00DB3FE7">
        <w:t>100% persistence over the selected time horizon of 27 months (to account for loading doses in the first year and maintenance doses in the subsequent year)</w:t>
      </w:r>
    </w:p>
    <w:p w14:paraId="00FBF202" w14:textId="77777777" w:rsidR="0011263C" w:rsidRPr="00DB3FE7" w:rsidRDefault="0011263C" w:rsidP="0011263C">
      <w:pPr>
        <w:pStyle w:val="COMTablefooter"/>
        <w:keepNext/>
      </w:pPr>
      <w:r w:rsidRPr="00DB3FE7">
        <w:rPr>
          <w:vertAlign w:val="superscript"/>
        </w:rPr>
        <w:t>e</w:t>
      </w:r>
      <w:r w:rsidRPr="00DB3FE7">
        <w:t xml:space="preserve"> Assumed</w:t>
      </w:r>
    </w:p>
    <w:p w14:paraId="0A8307F5" w14:textId="77777777" w:rsidR="008F392E" w:rsidRPr="00DB3FE7" w:rsidRDefault="0011263C" w:rsidP="008F392E">
      <w:pPr>
        <w:pStyle w:val="COMTablefooter"/>
        <w:keepNext/>
      </w:pPr>
      <w:r w:rsidRPr="00DB3FE7">
        <w:rPr>
          <w:vertAlign w:val="superscript"/>
        </w:rPr>
        <w:t xml:space="preserve">f </w:t>
      </w:r>
      <w:r w:rsidRPr="00DB3FE7">
        <w:t>92.3% fixed yearly persistence, applied after Year 1 of the model</w:t>
      </w:r>
    </w:p>
    <w:p w14:paraId="28E0F90C" w14:textId="554A1E01" w:rsidR="008F392E" w:rsidRPr="00DB3FE7" w:rsidRDefault="008F392E" w:rsidP="008F392E">
      <w:pPr>
        <w:pStyle w:val="COMTablefooter"/>
        <w:keepNext/>
      </w:pPr>
      <w:r w:rsidRPr="00DB3FE7">
        <w:t>Note: The cost</w:t>
      </w:r>
      <w:r w:rsidR="00954110" w:rsidRPr="00DB3FE7">
        <w:t>s</w:t>
      </w:r>
      <w:r w:rsidRPr="00DB3FE7">
        <w:t xml:space="preserve"> per year presented in the table do not include persistence estimates </w:t>
      </w:r>
    </w:p>
    <w:p w14:paraId="335112AB" w14:textId="7294D49A" w:rsidR="0011263C" w:rsidRPr="00DB3FE7" w:rsidRDefault="0011263C" w:rsidP="0011263C">
      <w:pPr>
        <w:pStyle w:val="COMexecsumnumberedpara"/>
        <w:numPr>
          <w:ilvl w:val="1"/>
          <w:numId w:val="1"/>
        </w:numPr>
      </w:pPr>
      <w:r w:rsidRPr="00DB3FE7">
        <w:t xml:space="preserve">In the cost-effectiveness analysis, the estimated drug cost for comparator therapies per patient per year was $256 in the first year (based on ezetimibe single agent DPMQ $21.04 x 12.175 scripts per year) and either $256 per year for patients remaining on ezetimibe or $6,687 per year for patients switching to evolocumab in subsequent years (based on evolocumab 420 mg published DPMQ $512.63 x 13.04 scripts per year). The price of PCSK9 therapy used in the submission was not reflective of current effective prices and script duration used for </w:t>
      </w:r>
      <w:r w:rsidR="008F392E" w:rsidRPr="00DB3FE7">
        <w:t xml:space="preserve">PCSK9 inhibitor therapies </w:t>
      </w:r>
      <w:r w:rsidRPr="00DB3FE7">
        <w:t>was not consistent with item code used to estimate the price.</w:t>
      </w:r>
    </w:p>
    <w:p w14:paraId="4845ED1B" w14:textId="12C9874D" w:rsidR="0011263C" w:rsidRPr="00DB3FE7" w:rsidRDefault="0011263C" w:rsidP="0011263C">
      <w:pPr>
        <w:pStyle w:val="COMexecsumnumberedpara"/>
        <w:numPr>
          <w:ilvl w:val="1"/>
          <w:numId w:val="1"/>
        </w:numPr>
      </w:pPr>
      <w:r w:rsidRPr="00DB3FE7">
        <w:t xml:space="preserve">In the </w:t>
      </w:r>
      <w:r w:rsidR="00352E1C">
        <w:t>CMA</w:t>
      </w:r>
      <w:r w:rsidRPr="00352E1C">
        <w:t>, the estimated drug cost per patient per year for evolocumab was $6,151 (based on evolocumab 420 mg published DPMQ $512.63 x 12 scripts per year) or $6,175 (based o</w:t>
      </w:r>
      <w:r w:rsidRPr="00DB3FE7">
        <w:t>n evolocumab 140 mg published DPMQ $473.38 x 13.04 scripts per year). The price of PCSK9 therapy used in the submission was not reflective of current effective prices, however, the script durations used were consistent with item codes used to estimate prices.</w:t>
      </w:r>
    </w:p>
    <w:p w14:paraId="3DA60D7C" w14:textId="16D28853" w:rsidR="0011263C" w:rsidRPr="00DB3FE7" w:rsidRDefault="0011263C" w:rsidP="0011263C">
      <w:pPr>
        <w:pStyle w:val="COMexecsumnumberedpara"/>
        <w:numPr>
          <w:ilvl w:val="1"/>
          <w:numId w:val="1"/>
        </w:numPr>
      </w:pPr>
      <w:r w:rsidRPr="00DB3FE7">
        <w:t xml:space="preserve">In the financial estimates, the estimated drug cost for substituted ezetimibe per patient per year was $236 (based on ezetimibe single agent and ezetimibe/statin combination therapies, weighted by PBS utilisation, DPMQ $22.85 x 12.175 scripts per year x 85% compliance). The estimated drug cost per patient per year for avoided use of subsequent-line </w:t>
      </w:r>
      <w:r w:rsidR="008F392E" w:rsidRPr="00DB3FE7">
        <w:t xml:space="preserve">PCSK9 inhibitor therapies </w:t>
      </w:r>
      <w:r w:rsidRPr="00DB3FE7">
        <w:t>was $5,228 (based on evolocumab 420</w:t>
      </w:r>
      <w:r w:rsidR="00282EC9" w:rsidRPr="00DB3FE7">
        <w:t> </w:t>
      </w:r>
      <w:r w:rsidRPr="00DB3FE7">
        <w:t xml:space="preserve">mg published DPMQ $512.63 x 12 scripts per year x 85% compliance), $10,461 (based on evolocumab 140 mg published DPMQ $473.38 x 26 scripts per year x 85% compliance), $11,012 (based on alirocumab 75 mg published DPMQ $498.31 x 26 scripts per year x 85% compliance) or $5,082 (based on alirocumab 150 mg published DPMQ $498.31 x 12 scripts per year x 85% compliance). The submission also assumed 94.7% yearly persistence to </w:t>
      </w:r>
      <w:r w:rsidR="008F392E" w:rsidRPr="00DB3FE7">
        <w:t>PCSK9 inhibitor therapies</w:t>
      </w:r>
      <w:r w:rsidRPr="00DB3FE7">
        <w:t xml:space="preserve">. The prices of </w:t>
      </w:r>
      <w:r w:rsidR="008F392E" w:rsidRPr="00DB3FE7">
        <w:t xml:space="preserve">PCSK9 inhibitor therapies </w:t>
      </w:r>
      <w:r w:rsidRPr="00DB3FE7">
        <w:t>used in the submission were not reflective of current effective prices and there were errors in script durations used for evolocumab 140 mg, alirocumab 75</w:t>
      </w:r>
      <w:r w:rsidR="00282EC9" w:rsidRPr="00DB3FE7">
        <w:t> </w:t>
      </w:r>
      <w:r w:rsidRPr="00DB3FE7">
        <w:t>mg and alirocumab 150 mg which were not consistent with item codes used to estimate prices.</w:t>
      </w:r>
    </w:p>
    <w:p w14:paraId="38648B4B" w14:textId="5C93666D" w:rsidR="00E4249D" w:rsidRPr="00DB3FE7" w:rsidRDefault="00E4249D" w:rsidP="00E4249D">
      <w:pPr>
        <w:pStyle w:val="COMH2-non-numbered"/>
      </w:pPr>
      <w:bookmarkStart w:id="47" w:name="_Toc107927633"/>
      <w:bookmarkStart w:id="48" w:name="_Toc124866151"/>
      <w:bookmarkStart w:id="49" w:name="_Toc107927636"/>
      <w:r w:rsidRPr="00DB3FE7">
        <w:t>Estimated PBS usage &amp; financial implications</w:t>
      </w:r>
      <w:bookmarkEnd w:id="47"/>
      <w:bookmarkEnd w:id="48"/>
    </w:p>
    <w:p w14:paraId="0550D5B5" w14:textId="228A78A5" w:rsidR="001B1A34" w:rsidRPr="00DB3FE7" w:rsidRDefault="001B1A34" w:rsidP="001B1A34">
      <w:pPr>
        <w:pStyle w:val="COMexecsumnumberedpara"/>
        <w:numPr>
          <w:ilvl w:val="1"/>
          <w:numId w:val="1"/>
        </w:numPr>
      </w:pPr>
      <w:bookmarkStart w:id="50" w:name="_Toc107927634"/>
      <w:bookmarkStart w:id="51" w:name="_Toc124866152"/>
      <w:r w:rsidRPr="00DB3FE7">
        <w:t xml:space="preserve">This submission </w:t>
      </w:r>
      <w:r w:rsidR="009B6087" w:rsidRPr="00DB3FE7">
        <w:t>was</w:t>
      </w:r>
      <w:r w:rsidRPr="00DB3FE7">
        <w:t xml:space="preserve"> considered by DUSC</w:t>
      </w:r>
      <w:r w:rsidRPr="00DB3FE7">
        <w:rPr>
          <w:color w:val="0070C0"/>
        </w:rPr>
        <w:t xml:space="preserve">. </w:t>
      </w:r>
      <w:r w:rsidRPr="00DB3FE7">
        <w:t>The submission used a market</w:t>
      </w:r>
      <w:r w:rsidR="001F3A70" w:rsidRPr="00DB3FE7">
        <w:noBreakHyphen/>
      </w:r>
      <w:r w:rsidRPr="00DB3FE7">
        <w:t>share/epidemiological approach to estimate the utilisation and financial impacts associated with the PBS/RPBS listing of inclisiran for the treatment of patients with hypercholesterolaemia and atherosclerotic cardiovascular disease who have additional cardiovascular risk factors and who are unable to achieve target lipid thresholds with statins alone or who are intolerant to statins.</w:t>
      </w:r>
    </w:p>
    <w:p w14:paraId="56FDF173" w14:textId="3995681E" w:rsidR="00293FBA" w:rsidRPr="00DB3FE7" w:rsidRDefault="00293FBA" w:rsidP="001B1A34">
      <w:pPr>
        <w:pStyle w:val="COMexecsumnumberedpara"/>
        <w:numPr>
          <w:ilvl w:val="1"/>
          <w:numId w:val="1"/>
        </w:numPr>
      </w:pPr>
      <w:r w:rsidRPr="00DB3FE7">
        <w:t>There were no estimates presented of utilisation and financial impact for the third</w:t>
      </w:r>
      <w:r w:rsidR="00110338" w:rsidRPr="00DB3FE7">
        <w:t xml:space="preserve"> </w:t>
      </w:r>
      <w:r w:rsidRPr="00DB3FE7">
        <w:t xml:space="preserve">line setting </w:t>
      </w:r>
      <w:r w:rsidR="00565AF6" w:rsidRPr="00DB3FE7">
        <w:t>of inclisiran as an alternative to the PCSK9 inhibitors.</w:t>
      </w:r>
    </w:p>
    <w:p w14:paraId="09234159" w14:textId="77777777" w:rsidR="001B1A34" w:rsidRPr="00DB3FE7" w:rsidRDefault="001B1A34" w:rsidP="001B1A34">
      <w:pPr>
        <w:pStyle w:val="COMexecsumnumberedpara"/>
        <w:numPr>
          <w:ilvl w:val="1"/>
          <w:numId w:val="1"/>
        </w:numPr>
      </w:pPr>
      <w:r w:rsidRPr="00DB3FE7">
        <w:t>The total size of the population eligible for inclisiran treatment was determined based on two populations:</w:t>
      </w:r>
    </w:p>
    <w:p w14:paraId="288E967A" w14:textId="33DEADE7" w:rsidR="001B1A34" w:rsidRPr="00DB3FE7" w:rsidRDefault="001B1A34" w:rsidP="00282EC9">
      <w:pPr>
        <w:pStyle w:val="COMexecsummbulletlist"/>
        <w:ind w:left="1077" w:hanging="357"/>
      </w:pPr>
      <w:r w:rsidRPr="00DB3FE7">
        <w:t>Patients who would otherwise be treated with ezetimibe. In this population, inclisiran would either replace ezetimibe or be used in addition to ezetimibe.</w:t>
      </w:r>
    </w:p>
    <w:p w14:paraId="012F8111" w14:textId="77777777" w:rsidR="001B1A34" w:rsidRPr="00DB3FE7" w:rsidRDefault="001B1A34" w:rsidP="001B1A34">
      <w:pPr>
        <w:pStyle w:val="COMexecsummbulletlist"/>
        <w:ind w:left="1077"/>
      </w:pPr>
      <w:r w:rsidRPr="00DB3FE7">
        <w:t xml:space="preserve">Patients who would otherwise be treated with statin alone. The submission acknowledged there may be patients who are eligible for ezetimibe but who are not receiving treatment with ezetimibe. The submission claimed that some of these patients may use inclisiran in addition to a statin given inclisiran has a lower dosing frequency and different mode of administration compared to ezetimibe. </w:t>
      </w:r>
    </w:p>
    <w:p w14:paraId="16772C3D" w14:textId="2DD7A3DE" w:rsidR="001B1A34" w:rsidRPr="00DB3FE7" w:rsidRDefault="001B1A34" w:rsidP="001B1A34">
      <w:pPr>
        <w:pStyle w:val="COMexecsumnumberedpara"/>
        <w:numPr>
          <w:ilvl w:val="1"/>
          <w:numId w:val="1"/>
        </w:numPr>
        <w:rPr>
          <w:i/>
          <w:iCs/>
        </w:rPr>
      </w:pPr>
      <w:r w:rsidRPr="00DB3FE7">
        <w:t xml:space="preserve">The submission requested a grandfathering restriction to accommodate patients participating in the Australian VICTORION-ASCERTAIN Phase IV trial (expected commencement in 2023; approximately </w:t>
      </w:r>
      <w:r w:rsidR="007C4AE2" w:rsidRPr="00DB3FE7">
        <w:t>500 to &lt; 5,000</w:t>
      </w:r>
      <w:r w:rsidR="00282EC9" w:rsidRPr="00DB3FE7">
        <w:t xml:space="preserve"> </w:t>
      </w:r>
      <w:r w:rsidRPr="00DB3FE7">
        <w:t xml:space="preserve">patients) and patient familiarisation program (expected commencement in 2023; approximately </w:t>
      </w:r>
      <w:r w:rsidR="007C4AE2" w:rsidRPr="00DB3FE7">
        <w:t>500 to &lt;</w:t>
      </w:r>
      <w:r w:rsidR="00282EC9" w:rsidRPr="00DB3FE7">
        <w:t> </w:t>
      </w:r>
      <w:r w:rsidR="007C4AE2" w:rsidRPr="00DB3FE7">
        <w:t>5,000</w:t>
      </w:r>
      <w:r w:rsidR="00282EC9" w:rsidRPr="00DB3FE7">
        <w:t xml:space="preserve"> </w:t>
      </w:r>
      <w:r w:rsidRPr="00DB3FE7">
        <w:t>patients), some of whom would meet proposed eligibility criteria for inclisiran. The submission stated that grandfathered patients have not been estimated separately in the model but are captured implicitly through the estimated prevalent population.</w:t>
      </w:r>
      <w:r w:rsidRPr="00DB3FE7">
        <w:rPr>
          <w:i/>
          <w:iCs/>
        </w:rPr>
        <w:t xml:space="preserve"> </w:t>
      </w:r>
    </w:p>
    <w:p w14:paraId="74E8E970" w14:textId="77777777" w:rsidR="001B1A34" w:rsidRPr="00DB3FE7" w:rsidRDefault="001B1A34" w:rsidP="001B1A34">
      <w:pPr>
        <w:pStyle w:val="COMexecsumnumberedpara"/>
        <w:numPr>
          <w:ilvl w:val="1"/>
          <w:numId w:val="1"/>
        </w:numPr>
      </w:pPr>
      <w:r w:rsidRPr="00DB3FE7">
        <w:t xml:space="preserve">The submission did not estimate the financial impact of inclisiran if used only as a subsequent-line alternative to PCKS9 inhibitors. </w:t>
      </w:r>
    </w:p>
    <w:p w14:paraId="26506BC2" w14:textId="6901EBFF" w:rsidR="001B1A34" w:rsidRPr="00DB3FE7" w:rsidRDefault="001B1A34" w:rsidP="001B1A34">
      <w:pPr>
        <w:pStyle w:val="COMexecsumnumberedpara"/>
        <w:numPr>
          <w:ilvl w:val="1"/>
          <w:numId w:val="1"/>
        </w:numPr>
      </w:pPr>
      <w:r w:rsidRPr="00DB3FE7">
        <w:t xml:space="preserve">The evaluation of the financial estimates of the submission was hindered due to poor documentation of the 10% PBS sample analyses used to determine the size of the eligible populations who are on ezetimibe (with or without a statin) or a statin alone. </w:t>
      </w:r>
      <w:r w:rsidR="009B4F8D" w:rsidRPr="00DB3FE7">
        <w:t>The DUSC noted that e</w:t>
      </w:r>
      <w:r w:rsidRPr="00DB3FE7">
        <w:t>stimates from these analyses could not be validated during the evaluation as only summary results were presented, with no description of methodology used to obtain patient estimates from script data (e.g. rules applied including look-back periods, treatment discontinuations/switching).</w:t>
      </w:r>
      <w:r w:rsidR="009B6087" w:rsidRPr="00DB3FE7">
        <w:t xml:space="preserve"> In addition, numerous </w:t>
      </w:r>
      <w:r w:rsidR="00433F74" w:rsidRPr="00DB3FE7">
        <w:t xml:space="preserve">significant </w:t>
      </w:r>
      <w:r w:rsidR="009B6087" w:rsidRPr="00DB3FE7">
        <w:t>errors were identified in the calculations during evaluation of the submission.</w:t>
      </w:r>
    </w:p>
    <w:p w14:paraId="347FE634" w14:textId="47AD7C68" w:rsidR="001B1A34" w:rsidRPr="00DB3FE7" w:rsidRDefault="001B1A34" w:rsidP="001B1A34">
      <w:pPr>
        <w:pStyle w:val="COMexecsumnumberedpara"/>
        <w:numPr>
          <w:ilvl w:val="1"/>
          <w:numId w:val="1"/>
        </w:numPr>
      </w:pPr>
      <w:r w:rsidRPr="00DB3FE7">
        <w:t xml:space="preserve">The errors had a large impact on the net PBS/RPBS cost of inclisiran, with corrected estimates totalling </w:t>
      </w:r>
      <w:r w:rsidR="007C4AE2" w:rsidRPr="00DB3FE7">
        <w:t xml:space="preserve">&gt; $1 billion </w:t>
      </w:r>
      <w:r w:rsidRPr="00DB3FE7">
        <w:t xml:space="preserve">over 6 years compared to </w:t>
      </w:r>
      <w:r w:rsidR="007C4AE2" w:rsidRPr="00DB3FE7">
        <w:t>$200 million to &lt;</w:t>
      </w:r>
      <w:r w:rsidR="00282EC9" w:rsidRPr="00DB3FE7">
        <w:t> </w:t>
      </w:r>
      <w:r w:rsidR="007C4AE2" w:rsidRPr="00DB3FE7">
        <w:t>$300</w:t>
      </w:r>
      <w:r w:rsidR="00282EC9" w:rsidRPr="00DB3FE7">
        <w:t> </w:t>
      </w:r>
      <w:r w:rsidR="007C4AE2" w:rsidRPr="00DB3FE7">
        <w:t xml:space="preserve">million </w:t>
      </w:r>
      <w:r w:rsidRPr="00DB3FE7">
        <w:t>over 6 years in the submission based on published prices of inclisiran and PCSK9 inhibitors.</w:t>
      </w:r>
    </w:p>
    <w:p w14:paraId="29AF1EF3" w14:textId="613B19AE" w:rsidR="001B1A34" w:rsidRPr="00D2286B" w:rsidRDefault="001B1A34" w:rsidP="001B1A34">
      <w:pPr>
        <w:pStyle w:val="COMexecsumnumberedpara"/>
        <w:numPr>
          <w:ilvl w:val="1"/>
          <w:numId w:val="1"/>
        </w:numPr>
        <w:ind w:left="709" w:hanging="709"/>
      </w:pPr>
      <w:r w:rsidRPr="00DB3FE7">
        <w:t xml:space="preserve">Key inputs used to determine the extent of inclisiran use is presented in </w:t>
      </w:r>
      <w:r w:rsidRPr="00D2286B">
        <w:fldChar w:fldCharType="begin" w:fldLock="1"/>
      </w:r>
      <w:r w:rsidRPr="00DB3FE7">
        <w:instrText xml:space="preserve"> REF _Ref124148924 \h </w:instrText>
      </w:r>
      <w:r w:rsidR="009B6087" w:rsidRPr="00DB3FE7">
        <w:instrText xml:space="preserve"> \* MERGEFORMAT </w:instrText>
      </w:r>
      <w:r w:rsidRPr="00D2286B">
        <w:fldChar w:fldCharType="separate"/>
      </w:r>
      <w:r w:rsidR="00424520" w:rsidRPr="00D2286B">
        <w:t xml:space="preserve">Table </w:t>
      </w:r>
      <w:r w:rsidR="00424520" w:rsidRPr="00D2286B">
        <w:rPr>
          <w:noProof/>
        </w:rPr>
        <w:t>14</w:t>
      </w:r>
      <w:r w:rsidRPr="00D2286B">
        <w:fldChar w:fldCharType="end"/>
      </w:r>
      <w:r w:rsidRPr="0042765C">
        <w:t>.</w:t>
      </w:r>
    </w:p>
    <w:p w14:paraId="3E4323BF" w14:textId="46D21BCB" w:rsidR="001B1A34" w:rsidRPr="00D2286B" w:rsidRDefault="001B1A34" w:rsidP="003A077F">
      <w:pPr>
        <w:pStyle w:val="COMtablefigcaption"/>
        <w:pageBreakBefore/>
      </w:pPr>
      <w:bookmarkStart w:id="52" w:name="_Ref124148924"/>
      <w:r w:rsidRPr="00D2286B">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14</w:t>
      </w:r>
      <w:r w:rsidR="00E1209D" w:rsidRPr="00D2286B">
        <w:rPr>
          <w:noProof/>
        </w:rPr>
        <w:fldChar w:fldCharType="end"/>
      </w:r>
      <w:bookmarkEnd w:id="52"/>
      <w:r w:rsidRPr="0042765C">
        <w:t xml:space="preserve">: </w:t>
      </w:r>
      <w:r w:rsidRPr="00D2286B">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2837"/>
        <w:gridCol w:w="4766"/>
      </w:tblGrid>
      <w:tr w:rsidR="00293FBA" w:rsidRPr="00DB3FE7" w14:paraId="31EF13F7" w14:textId="77777777" w:rsidTr="00293FBA">
        <w:trPr>
          <w:cantSplit/>
          <w:tblHeader/>
        </w:trPr>
        <w:tc>
          <w:tcPr>
            <w:tcW w:w="784" w:type="pct"/>
            <w:tcBorders>
              <w:bottom w:val="single" w:sz="4" w:space="0" w:color="auto"/>
            </w:tcBorders>
            <w:shd w:val="clear" w:color="auto" w:fill="auto"/>
            <w:vAlign w:val="center"/>
          </w:tcPr>
          <w:p w14:paraId="5D1920F2" w14:textId="77777777" w:rsidR="00293FBA" w:rsidRPr="00352E1C" w:rsidRDefault="00293FBA" w:rsidP="006A6C78">
            <w:pPr>
              <w:jc w:val="left"/>
              <w:rPr>
                <w:rFonts w:ascii="Arial Narrow" w:eastAsiaTheme="majorEastAsia" w:hAnsi="Arial Narrow" w:cs="Times New Roman"/>
                <w:b/>
                <w:sz w:val="20"/>
              </w:rPr>
            </w:pPr>
            <w:r w:rsidRPr="00352E1C">
              <w:rPr>
                <w:rFonts w:ascii="Arial Narrow" w:eastAsiaTheme="majorEastAsia" w:hAnsi="Arial Narrow" w:cs="Times New Roman"/>
                <w:b/>
                <w:sz w:val="20"/>
              </w:rPr>
              <w:t>Parameter</w:t>
            </w:r>
          </w:p>
        </w:tc>
        <w:tc>
          <w:tcPr>
            <w:tcW w:w="1573" w:type="pct"/>
            <w:tcBorders>
              <w:bottom w:val="single" w:sz="4" w:space="0" w:color="auto"/>
            </w:tcBorders>
            <w:shd w:val="clear" w:color="auto" w:fill="auto"/>
            <w:vAlign w:val="center"/>
          </w:tcPr>
          <w:p w14:paraId="2811CDDD" w14:textId="77777777" w:rsidR="00293FBA" w:rsidRPr="00DB3FE7" w:rsidRDefault="00293FBA" w:rsidP="006A6C78">
            <w:pPr>
              <w:jc w:val="left"/>
              <w:rPr>
                <w:rFonts w:ascii="Arial Narrow" w:eastAsiaTheme="majorEastAsia" w:hAnsi="Arial Narrow" w:cs="Times New Roman"/>
                <w:b/>
                <w:sz w:val="20"/>
              </w:rPr>
            </w:pPr>
            <w:r w:rsidRPr="00DB3FE7">
              <w:rPr>
                <w:rFonts w:ascii="Arial Narrow" w:eastAsiaTheme="majorEastAsia" w:hAnsi="Arial Narrow" w:cs="Times New Roman"/>
                <w:b/>
                <w:sz w:val="20"/>
              </w:rPr>
              <w:t>Values and source</w:t>
            </w:r>
          </w:p>
        </w:tc>
        <w:tc>
          <w:tcPr>
            <w:tcW w:w="2644" w:type="pct"/>
            <w:tcBorders>
              <w:bottom w:val="single" w:sz="4" w:space="0" w:color="auto"/>
            </w:tcBorders>
            <w:shd w:val="clear" w:color="auto" w:fill="auto"/>
            <w:vAlign w:val="center"/>
          </w:tcPr>
          <w:p w14:paraId="4E136AFB" w14:textId="77777777" w:rsidR="00293FBA" w:rsidRPr="00DB3FE7" w:rsidRDefault="00293FBA" w:rsidP="006A6C78">
            <w:pPr>
              <w:jc w:val="left"/>
              <w:rPr>
                <w:rFonts w:ascii="Arial Narrow" w:eastAsiaTheme="majorEastAsia" w:hAnsi="Arial Narrow" w:cs="Times New Roman"/>
                <w:b/>
                <w:sz w:val="20"/>
              </w:rPr>
            </w:pPr>
            <w:r w:rsidRPr="00DB3FE7">
              <w:rPr>
                <w:rFonts w:ascii="Arial Narrow" w:eastAsiaTheme="majorEastAsia" w:hAnsi="Arial Narrow" w:cs="Times New Roman"/>
                <w:b/>
                <w:sz w:val="20"/>
              </w:rPr>
              <w:t>Commentary on the submission</w:t>
            </w:r>
          </w:p>
        </w:tc>
      </w:tr>
      <w:tr w:rsidR="00293FBA" w:rsidRPr="00DB3FE7" w14:paraId="45328D91" w14:textId="77777777" w:rsidTr="00293FBA">
        <w:trPr>
          <w:cantSplit/>
        </w:trPr>
        <w:tc>
          <w:tcPr>
            <w:tcW w:w="5000" w:type="pct"/>
            <w:gridSpan w:val="3"/>
            <w:shd w:val="clear" w:color="auto" w:fill="auto"/>
            <w:vAlign w:val="center"/>
          </w:tcPr>
          <w:p w14:paraId="3302A80A" w14:textId="77777777" w:rsidR="00293FBA" w:rsidRPr="00DB3FE7" w:rsidRDefault="00293FBA" w:rsidP="006A6C78">
            <w:pPr>
              <w:keepNext/>
              <w:jc w:val="left"/>
              <w:rPr>
                <w:rFonts w:ascii="Arial Narrow" w:eastAsiaTheme="majorEastAsia" w:hAnsi="Arial Narrow" w:cs="Times New Roman"/>
                <w:b/>
                <w:sz w:val="20"/>
              </w:rPr>
            </w:pPr>
            <w:r w:rsidRPr="00DB3FE7">
              <w:rPr>
                <w:rFonts w:ascii="Arial Narrow" w:eastAsiaTheme="majorEastAsia" w:hAnsi="Arial Narrow" w:cs="Times New Roman"/>
                <w:b/>
                <w:sz w:val="20"/>
              </w:rPr>
              <w:t>Patients who would otherwise be treated with ezetimibe</w:t>
            </w:r>
          </w:p>
        </w:tc>
      </w:tr>
      <w:tr w:rsidR="00293FBA" w:rsidRPr="00DB3FE7" w14:paraId="740A9934" w14:textId="77777777" w:rsidTr="00293FBA">
        <w:trPr>
          <w:cantSplit/>
        </w:trPr>
        <w:tc>
          <w:tcPr>
            <w:tcW w:w="784" w:type="pct"/>
            <w:shd w:val="clear" w:color="auto" w:fill="auto"/>
            <w:vAlign w:val="center"/>
          </w:tcPr>
          <w:p w14:paraId="3F6DC14D"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Patients on PBS-subsidised ezetimibe </w:t>
            </w:r>
          </w:p>
        </w:tc>
        <w:tc>
          <w:tcPr>
            <w:tcW w:w="1573" w:type="pct"/>
            <w:shd w:val="clear" w:color="auto" w:fill="auto"/>
            <w:vAlign w:val="center"/>
          </w:tcPr>
          <w:p w14:paraId="709D87B4"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521,232 in Year 1 increasing to 734,446 in Year 6. Based on a 10% PBS sample analysis of patients on ezetimibe with or without a statin in March 2022, extrapolated using a 7.1% fixed yearly growth rate. </w:t>
            </w:r>
          </w:p>
        </w:tc>
        <w:tc>
          <w:tcPr>
            <w:tcW w:w="2644" w:type="pct"/>
            <w:shd w:val="clear" w:color="auto" w:fill="auto"/>
            <w:vAlign w:val="center"/>
          </w:tcPr>
          <w:p w14:paraId="666BF156" w14:textId="320A48D9"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DUSC considered the use of a fixed growth rate to be acceptable as the non-linear growth was likely to continue.</w:t>
            </w:r>
          </w:p>
          <w:p w14:paraId="56164E47" w14:textId="77777777" w:rsidR="00293FBA" w:rsidRPr="00DB3FE7" w:rsidRDefault="00293FBA" w:rsidP="006A6C78">
            <w:pPr>
              <w:jc w:val="left"/>
              <w:rPr>
                <w:rFonts w:ascii="Arial Narrow" w:eastAsia="TimesNewRoman" w:hAnsi="Arial Narrow" w:cstheme="majorBidi"/>
                <w:bCs/>
                <w:sz w:val="20"/>
              </w:rPr>
            </w:pPr>
          </w:p>
          <w:p w14:paraId="30C5D20F" w14:textId="4C71ECF4" w:rsidR="00293FBA" w:rsidRPr="00DB3FE7" w:rsidRDefault="00293FBA" w:rsidP="006A6C78">
            <w:pPr>
              <w:jc w:val="left"/>
              <w:rPr>
                <w:rFonts w:ascii="Arial Narrow" w:eastAsia="TimesNewRoman" w:hAnsi="Arial Narrow" w:cstheme="majorBidi"/>
                <w:bCs/>
                <w:sz w:val="20"/>
              </w:rPr>
            </w:pPr>
          </w:p>
        </w:tc>
      </w:tr>
      <w:tr w:rsidR="00293FBA" w:rsidRPr="00DB3FE7" w14:paraId="6B447405" w14:textId="77777777" w:rsidTr="00293FBA">
        <w:trPr>
          <w:cantSplit/>
        </w:trPr>
        <w:tc>
          <w:tcPr>
            <w:tcW w:w="784" w:type="pct"/>
            <w:shd w:val="clear" w:color="auto" w:fill="auto"/>
            <w:vAlign w:val="center"/>
          </w:tcPr>
          <w:p w14:paraId="55A45CF2"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on PBS-subsidised ezetimibe with ASCVD</w:t>
            </w:r>
          </w:p>
        </w:tc>
        <w:tc>
          <w:tcPr>
            <w:tcW w:w="1573" w:type="pct"/>
            <w:shd w:val="clear" w:color="auto" w:fill="auto"/>
            <w:vAlign w:val="center"/>
          </w:tcPr>
          <w:p w14:paraId="1D8E8FE6" w14:textId="2151F696"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64%. Based on a 10% PBS sample analysis of ezetimibe with or without a statin and streamlined authority codes in September 2018. </w:t>
            </w:r>
          </w:p>
        </w:tc>
        <w:tc>
          <w:tcPr>
            <w:tcW w:w="2644" w:type="pct"/>
            <w:shd w:val="clear" w:color="auto" w:fill="auto"/>
            <w:vAlign w:val="center"/>
          </w:tcPr>
          <w:p w14:paraId="0133382F" w14:textId="68C7366C"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Overall, the estimated proportion of patients on ezetimibe with ASCVD is more representative of a floor estimate, with the actual proportion likely to be greater than estimated in the submission. DUSC commented that there is inherent uncertainty associated with combining multiple data sources and proxy indicators. DUSC agreed that there was substantial uncertainty with the size of the ASCVD population.</w:t>
            </w:r>
          </w:p>
        </w:tc>
      </w:tr>
      <w:tr w:rsidR="00293FBA" w:rsidRPr="00DB3FE7" w14:paraId="5C9638B8" w14:textId="77777777" w:rsidTr="00293FBA">
        <w:trPr>
          <w:cantSplit/>
        </w:trPr>
        <w:tc>
          <w:tcPr>
            <w:tcW w:w="784" w:type="pct"/>
            <w:tcBorders>
              <w:bottom w:val="single" w:sz="4" w:space="0" w:color="auto"/>
            </w:tcBorders>
            <w:shd w:val="clear" w:color="auto" w:fill="auto"/>
            <w:vAlign w:val="center"/>
          </w:tcPr>
          <w:p w14:paraId="3C23E332"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with LDL ≥1.8 mmol/L</w:t>
            </w:r>
          </w:p>
        </w:tc>
        <w:tc>
          <w:tcPr>
            <w:tcW w:w="1573" w:type="pct"/>
            <w:tcBorders>
              <w:bottom w:val="single" w:sz="4" w:space="0" w:color="auto"/>
            </w:tcBorders>
            <w:shd w:val="clear" w:color="auto" w:fill="auto"/>
            <w:vAlign w:val="center"/>
          </w:tcPr>
          <w:p w14:paraId="47CFC6E9" w14:textId="4A45989C"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100%. </w:t>
            </w:r>
            <w:r w:rsidRPr="00DB3FE7">
              <w:rPr>
                <w:rFonts w:ascii="Arial Narrow" w:eastAsiaTheme="majorEastAsia" w:hAnsi="Arial Narrow" w:cstheme="majorBidi"/>
                <w:bCs/>
                <w:sz w:val="20"/>
                <w:szCs w:val="20"/>
              </w:rPr>
              <w:t>Assumed.</w:t>
            </w:r>
            <w:r w:rsidRPr="00DB3FE7">
              <w:rPr>
                <w:rFonts w:ascii="Arial Narrow" w:hAnsi="Arial Narrow"/>
                <w:sz w:val="20"/>
                <w:szCs w:val="20"/>
              </w:rPr>
              <w:t xml:space="preserve"> As</w:t>
            </w:r>
            <w:r w:rsidRPr="00DB3FE7">
              <w:rPr>
                <w:rFonts w:ascii="Arial Narrow" w:eastAsiaTheme="majorEastAsia" w:hAnsi="Arial Narrow" w:cstheme="majorBidi"/>
                <w:bCs/>
                <w:sz w:val="20"/>
              </w:rPr>
              <w:t xml:space="preserve"> Australian guidelines recommend target lipid levels of &lt;1.8 mmol/L for secondary prevention, it was assumed that all patients on ezetimibe with ASCVD would have LDL ≥1.8 mmol/L.</w:t>
            </w:r>
          </w:p>
        </w:tc>
        <w:tc>
          <w:tcPr>
            <w:tcW w:w="2644" w:type="pct"/>
            <w:tcBorders>
              <w:bottom w:val="single" w:sz="4" w:space="0" w:color="auto"/>
            </w:tcBorders>
            <w:shd w:val="clear" w:color="auto" w:fill="auto"/>
            <w:vAlign w:val="center"/>
          </w:tcPr>
          <w:p w14:paraId="090EB902"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The proportion of patients initiating ezetimibe treatment with LDL </w:t>
            </w:r>
            <w:r w:rsidRPr="00DB3FE7">
              <w:rPr>
                <w:rFonts w:ascii="Arial Narrow" w:eastAsia="TimesNewRoman" w:hAnsi="Arial Narrow" w:cstheme="majorBidi" w:hint="eastAsia"/>
                <w:bCs/>
                <w:sz w:val="20"/>
              </w:rPr>
              <w:t>≥</w:t>
            </w:r>
            <w:r w:rsidRPr="00DB3FE7">
              <w:rPr>
                <w:rFonts w:ascii="Arial Narrow" w:eastAsia="TimesNewRoman" w:hAnsi="Arial Narrow" w:cstheme="majorBidi" w:hint="eastAsia"/>
                <w:bCs/>
                <w:sz w:val="20"/>
              </w:rPr>
              <w:t>1.8</w:t>
            </w:r>
            <w:r w:rsidRPr="00DB3FE7">
              <w:rPr>
                <w:rFonts w:ascii="Arial Narrow" w:eastAsia="TimesNewRoman" w:hAnsi="Arial Narrow" w:cstheme="majorBidi"/>
                <w:bCs/>
                <w:sz w:val="20"/>
              </w:rPr>
              <w:t xml:space="preserve"> mmol/L is uncertain given the absence of a specific threshold in the restriction and more aggressive LDL targets being proposed in international guidelines.</w:t>
            </w:r>
          </w:p>
        </w:tc>
      </w:tr>
      <w:tr w:rsidR="00293FBA" w:rsidRPr="00DB3FE7" w14:paraId="3D8CD9E3" w14:textId="77777777" w:rsidTr="00293FBA">
        <w:trPr>
          <w:cantSplit/>
        </w:trPr>
        <w:tc>
          <w:tcPr>
            <w:tcW w:w="784" w:type="pct"/>
            <w:shd w:val="clear" w:color="auto" w:fill="auto"/>
            <w:vAlign w:val="center"/>
          </w:tcPr>
          <w:p w14:paraId="0A0AD9AB"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with additional high-risk factors</w:t>
            </w:r>
          </w:p>
        </w:tc>
        <w:tc>
          <w:tcPr>
            <w:tcW w:w="1573" w:type="pct"/>
            <w:shd w:val="clear" w:color="auto" w:fill="auto"/>
            <w:vAlign w:val="center"/>
          </w:tcPr>
          <w:p w14:paraId="5D4D1B09"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52.8%. Based on the proportion of ASCVD patients with additional high-risk factors derived from an analysis of the FOURIER trial population who met eligibility criteria in the non-familial hypercholesterolaemia restriction for evolocumab (para 6.57 and 6.58, evolocumab PSD, July 2019 PBAC meeting).</w:t>
            </w:r>
          </w:p>
        </w:tc>
        <w:tc>
          <w:tcPr>
            <w:tcW w:w="2644" w:type="pct"/>
            <w:shd w:val="clear" w:color="auto" w:fill="auto"/>
            <w:vAlign w:val="center"/>
          </w:tcPr>
          <w:p w14:paraId="7212FEA9"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This estimate was based on patients enrolled in the FOURIER trial with a baseline LDL </w:t>
            </w:r>
            <w:r w:rsidRPr="00DB3FE7">
              <w:rPr>
                <w:rFonts w:ascii="Arial Narrow" w:eastAsia="TimesNewRoman" w:hAnsi="Arial Narrow" w:cstheme="majorBidi" w:hint="eastAsia"/>
                <w:bCs/>
                <w:sz w:val="20"/>
              </w:rPr>
              <w:t>≥</w:t>
            </w:r>
            <w:r w:rsidRPr="00DB3FE7">
              <w:rPr>
                <w:rFonts w:ascii="Arial Narrow" w:eastAsia="TimesNewRoman" w:hAnsi="Arial Narrow" w:cstheme="majorBidi" w:hint="eastAsia"/>
                <w:bCs/>
                <w:sz w:val="20"/>
              </w:rPr>
              <w:t>1.8</w:t>
            </w:r>
            <w:r w:rsidRPr="00DB3FE7">
              <w:rPr>
                <w:rFonts w:ascii="Arial Narrow" w:eastAsia="TimesNewRoman" w:hAnsi="Arial Narrow" w:cstheme="majorBidi"/>
                <w:bCs/>
                <w:sz w:val="20"/>
              </w:rPr>
              <w:t xml:space="preserve"> mmol/L, which may not be applicable to all patients who qualified for ezetimibe given the absence of an LDL threshold in the restriction.</w:t>
            </w:r>
          </w:p>
        </w:tc>
      </w:tr>
      <w:tr w:rsidR="00293FBA" w:rsidRPr="00DB3FE7" w14:paraId="2054EB51" w14:textId="77777777" w:rsidTr="00293FBA">
        <w:trPr>
          <w:cantSplit/>
        </w:trPr>
        <w:tc>
          <w:tcPr>
            <w:tcW w:w="784" w:type="pct"/>
            <w:shd w:val="clear" w:color="auto" w:fill="auto"/>
            <w:vAlign w:val="center"/>
          </w:tcPr>
          <w:p w14:paraId="5F8FBCD1"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Uptake rates</w:t>
            </w:r>
          </w:p>
        </w:tc>
        <w:tc>
          <w:tcPr>
            <w:tcW w:w="1573" w:type="pct"/>
            <w:shd w:val="clear" w:color="auto" w:fill="auto"/>
            <w:vAlign w:val="center"/>
          </w:tcPr>
          <w:p w14:paraId="284B9896"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20% in Year 1 increasing to 50% in Years 5 and 6. Assumed.</w:t>
            </w:r>
          </w:p>
        </w:tc>
        <w:tc>
          <w:tcPr>
            <w:tcW w:w="2644" w:type="pct"/>
            <w:shd w:val="clear" w:color="auto" w:fill="auto"/>
            <w:vAlign w:val="center"/>
          </w:tcPr>
          <w:p w14:paraId="7729733A" w14:textId="70B4CFCE"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assumptions informing the uptake rates were unclear but resulted in slowing uptake over time in the initiating population. DUSC commented a six</w:t>
            </w:r>
            <w:r w:rsidR="00110338" w:rsidRPr="00DB3FE7">
              <w:rPr>
                <w:rFonts w:ascii="Arial Narrow" w:eastAsia="TimesNewRoman" w:hAnsi="Arial Narrow" w:cstheme="majorBidi"/>
                <w:bCs/>
                <w:sz w:val="20"/>
              </w:rPr>
              <w:t>-</w:t>
            </w:r>
            <w:r w:rsidRPr="00DB3FE7">
              <w:rPr>
                <w:rFonts w:ascii="Arial Narrow" w:eastAsia="TimesNewRoman" w:hAnsi="Arial Narrow" w:cstheme="majorBidi"/>
                <w:bCs/>
                <w:sz w:val="20"/>
              </w:rPr>
              <w:t>monthly treatment may be appealing to patients who see their doctor every six months.</w:t>
            </w:r>
          </w:p>
        </w:tc>
      </w:tr>
      <w:tr w:rsidR="00293FBA" w:rsidRPr="00DB3FE7" w14:paraId="6E220E50" w14:textId="77777777" w:rsidTr="00293FBA">
        <w:trPr>
          <w:cantSplit/>
        </w:trPr>
        <w:tc>
          <w:tcPr>
            <w:tcW w:w="5000" w:type="pct"/>
            <w:gridSpan w:val="3"/>
            <w:shd w:val="clear" w:color="auto" w:fill="auto"/>
          </w:tcPr>
          <w:p w14:paraId="74D44D34" w14:textId="77777777" w:rsidR="00293FBA" w:rsidRPr="00DB3FE7" w:rsidRDefault="00293FBA" w:rsidP="006A6C78">
            <w:pPr>
              <w:keepNext/>
              <w:jc w:val="left"/>
              <w:rPr>
                <w:rFonts w:ascii="Arial Narrow" w:eastAsiaTheme="majorEastAsia" w:hAnsi="Arial Narrow" w:cs="Times New Roman"/>
                <w:b/>
                <w:sz w:val="20"/>
              </w:rPr>
            </w:pPr>
            <w:r w:rsidRPr="00DB3FE7">
              <w:rPr>
                <w:rFonts w:ascii="Arial Narrow" w:eastAsiaTheme="majorEastAsia" w:hAnsi="Arial Narrow" w:cs="Times New Roman"/>
                <w:b/>
                <w:sz w:val="20"/>
              </w:rPr>
              <w:t>Patients who would otherwise be treated with statin alone (market growth)</w:t>
            </w:r>
          </w:p>
        </w:tc>
      </w:tr>
      <w:tr w:rsidR="00293FBA" w:rsidRPr="00DB3FE7" w14:paraId="586DA8E2" w14:textId="77777777" w:rsidTr="00293FBA">
        <w:trPr>
          <w:cantSplit/>
        </w:trPr>
        <w:tc>
          <w:tcPr>
            <w:tcW w:w="784" w:type="pct"/>
            <w:tcBorders>
              <w:bottom w:val="single" w:sz="4" w:space="0" w:color="auto"/>
            </w:tcBorders>
            <w:shd w:val="clear" w:color="auto" w:fill="auto"/>
            <w:vAlign w:val="center"/>
          </w:tcPr>
          <w:p w14:paraId="2B8C100B"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Patients on PBS-subsidised high intensity statin alone</w:t>
            </w:r>
          </w:p>
        </w:tc>
        <w:tc>
          <w:tcPr>
            <w:tcW w:w="1573" w:type="pct"/>
            <w:tcBorders>
              <w:bottom w:val="single" w:sz="4" w:space="0" w:color="auto"/>
            </w:tcBorders>
            <w:shd w:val="clear" w:color="auto" w:fill="auto"/>
            <w:vAlign w:val="center"/>
          </w:tcPr>
          <w:p w14:paraId="37504EF0" w14:textId="37772435"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941,321 in Year 1 increasing to 1,326,376 in Year 6. Based on a 10% PBS sample analysis of patients on high intensity statins in July 2022</w:t>
            </w:r>
            <w:r w:rsidR="00110338" w:rsidRPr="00DB3FE7">
              <w:rPr>
                <w:rFonts w:ascii="Arial Narrow" w:eastAsiaTheme="majorEastAsia" w:hAnsi="Arial Narrow" w:cstheme="majorBidi"/>
                <w:bCs/>
                <w:sz w:val="20"/>
              </w:rPr>
              <w:t>.</w:t>
            </w:r>
            <w:r w:rsidRPr="00DB3FE7">
              <w:rPr>
                <w:rFonts w:ascii="Arial Narrow" w:eastAsiaTheme="majorEastAsia" w:hAnsi="Arial Narrow" w:cstheme="majorBidi"/>
                <w:bCs/>
                <w:sz w:val="20"/>
              </w:rPr>
              <w:t xml:space="preserve"> The submission included all patients on maximum dose statin and assumed 50% of patients on a high dose statin were on their maximum tolerated dose. Estimates were extrapolated using the same growth rate as for the ezetimibe market (7.1% yearly). </w:t>
            </w:r>
          </w:p>
        </w:tc>
        <w:tc>
          <w:tcPr>
            <w:tcW w:w="2644" w:type="pct"/>
            <w:tcBorders>
              <w:bottom w:val="single" w:sz="4" w:space="0" w:color="auto"/>
            </w:tcBorders>
            <w:shd w:val="clear" w:color="auto" w:fill="auto"/>
          </w:tcPr>
          <w:p w14:paraId="1EF117F8" w14:textId="77777777" w:rsidR="00293FBA" w:rsidRPr="00DB3FE7" w:rsidRDefault="00293FBA" w:rsidP="006A6C78">
            <w:pPr>
              <w:widowControl w:val="0"/>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It was unclear how the 10% PBS sample analysis handled patients on statins who may also be on ezetimibe. Growth rates based on patients treated with ezetimibe may not be applicable to patients treated with statins. </w:t>
            </w:r>
          </w:p>
          <w:p w14:paraId="22314336" w14:textId="77777777" w:rsidR="00293FBA" w:rsidRPr="00DB3FE7" w:rsidRDefault="00293FBA" w:rsidP="006A6C78">
            <w:pPr>
              <w:jc w:val="left"/>
              <w:rPr>
                <w:rFonts w:ascii="Arial Narrow" w:eastAsia="TimesNewRoman" w:hAnsi="Arial Narrow" w:cstheme="majorBidi"/>
                <w:bCs/>
                <w:sz w:val="20"/>
              </w:rPr>
            </w:pPr>
          </w:p>
          <w:p w14:paraId="56EC3858"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The analysis may not be applicable to the proposed restriction as it should be based on patients on the maximum tolerated dose of a high potency statin (i.e. atorvastatin or rosuvastatin at any dose). </w:t>
            </w:r>
          </w:p>
          <w:p w14:paraId="3F3A7DFB" w14:textId="77777777" w:rsidR="00293FBA" w:rsidRPr="00DB3FE7" w:rsidRDefault="00293FBA" w:rsidP="006A6C78">
            <w:pPr>
              <w:jc w:val="left"/>
              <w:rPr>
                <w:rFonts w:ascii="Arial Narrow" w:eastAsia="TimesNewRoman" w:hAnsi="Arial Narrow" w:cstheme="majorBidi"/>
                <w:bCs/>
                <w:sz w:val="20"/>
              </w:rPr>
            </w:pPr>
          </w:p>
          <w:p w14:paraId="41FFE33F" w14:textId="2BF438C2" w:rsidR="00293FBA" w:rsidRPr="00DB3FE7" w:rsidRDefault="00293FBA" w:rsidP="006A6C78">
            <w:pPr>
              <w:jc w:val="left"/>
              <w:rPr>
                <w:rFonts w:ascii="Arial Narrow" w:eastAsia="TimesNewRoman" w:hAnsi="Arial Narrow" w:cstheme="majorBidi"/>
                <w:bCs/>
                <w:sz w:val="20"/>
              </w:rPr>
            </w:pPr>
          </w:p>
        </w:tc>
      </w:tr>
      <w:tr w:rsidR="00293FBA" w:rsidRPr="00DB3FE7" w14:paraId="264E18D8" w14:textId="77777777" w:rsidTr="00293FBA">
        <w:trPr>
          <w:cantSplit/>
        </w:trPr>
        <w:tc>
          <w:tcPr>
            <w:tcW w:w="784" w:type="pct"/>
            <w:shd w:val="clear" w:color="auto" w:fill="auto"/>
            <w:vAlign w:val="center"/>
          </w:tcPr>
          <w:p w14:paraId="01F4C471"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with LDL ≥1.8 mmol/L</w:t>
            </w:r>
          </w:p>
        </w:tc>
        <w:tc>
          <w:tcPr>
            <w:tcW w:w="1573" w:type="pct"/>
            <w:shd w:val="clear" w:color="auto" w:fill="auto"/>
            <w:vAlign w:val="center"/>
          </w:tcPr>
          <w:p w14:paraId="2620CA77"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40%. Retrospective analysis of medical records in the MedicineInsight database covering LDL measures and use of lipid-lowering therapies between 2010 and 2019 in patients with ASCVD (Code Red report, Carrington 2020). </w:t>
            </w:r>
          </w:p>
        </w:tc>
        <w:tc>
          <w:tcPr>
            <w:tcW w:w="2644" w:type="pct"/>
            <w:shd w:val="clear" w:color="auto" w:fill="auto"/>
          </w:tcPr>
          <w:p w14:paraId="42B72E4E" w14:textId="1FD93B32" w:rsidR="00293FBA" w:rsidRPr="00DB3FE7" w:rsidRDefault="00293FBA" w:rsidP="009B4F8D">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 DUSC noted this source presents nine years of records and began 13 years ago. DUSC commented there was high uncertainty associated with this assumption as the retrospective analysis was the sole data source.</w:t>
            </w:r>
          </w:p>
          <w:p w14:paraId="5223EBE3" w14:textId="08784BCB" w:rsidR="00293FBA" w:rsidRPr="00DB3FE7" w:rsidRDefault="00293FBA" w:rsidP="006A6C78">
            <w:pPr>
              <w:jc w:val="left"/>
              <w:rPr>
                <w:rFonts w:ascii="Arial Narrow" w:eastAsia="TimesNewRoman" w:hAnsi="Arial Narrow" w:cstheme="majorBidi"/>
                <w:bCs/>
                <w:sz w:val="20"/>
              </w:rPr>
            </w:pPr>
          </w:p>
        </w:tc>
      </w:tr>
      <w:tr w:rsidR="00293FBA" w:rsidRPr="00DB3FE7" w14:paraId="71D93BCE" w14:textId="77777777" w:rsidTr="00293FBA">
        <w:trPr>
          <w:cantSplit/>
        </w:trPr>
        <w:tc>
          <w:tcPr>
            <w:tcW w:w="784" w:type="pct"/>
            <w:shd w:val="clear" w:color="auto" w:fill="auto"/>
            <w:vAlign w:val="center"/>
          </w:tcPr>
          <w:p w14:paraId="1D1BEB24"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with ASCVD</w:t>
            </w:r>
          </w:p>
        </w:tc>
        <w:tc>
          <w:tcPr>
            <w:tcW w:w="1573" w:type="pct"/>
            <w:shd w:val="clear" w:color="auto" w:fill="auto"/>
            <w:vAlign w:val="center"/>
          </w:tcPr>
          <w:p w14:paraId="5318814B" w14:textId="30D6EC4E"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60.2%. Based on a retrospective analysis of health records from a US Midwestern health system (Sidebottom 2020). The study estimated that of 38,755 patients on high intensity statins, 23,353 of patients also had ASCVD. </w:t>
            </w:r>
          </w:p>
        </w:tc>
        <w:tc>
          <w:tcPr>
            <w:tcW w:w="2644" w:type="pct"/>
            <w:shd w:val="clear" w:color="auto" w:fill="auto"/>
            <w:vAlign w:val="center"/>
          </w:tcPr>
          <w:p w14:paraId="6E250371" w14:textId="261D289D"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The estimate was based on patients on high intensity statins, which may not be applicable to patients on maximum tolerated doses of high potency statins who have LDL </w:t>
            </w:r>
            <w:r w:rsidRPr="00DB3FE7">
              <w:rPr>
                <w:rFonts w:ascii="Arial Narrow" w:eastAsia="TimesNewRoman" w:hAnsi="Arial Narrow" w:cstheme="majorBidi" w:hint="eastAsia"/>
                <w:bCs/>
                <w:sz w:val="20"/>
              </w:rPr>
              <w:t>≥</w:t>
            </w:r>
            <w:r w:rsidRPr="00DB3FE7">
              <w:rPr>
                <w:rFonts w:ascii="Arial Narrow" w:eastAsia="TimesNewRoman" w:hAnsi="Arial Narrow" w:cstheme="majorBidi" w:hint="eastAsia"/>
                <w:bCs/>
                <w:sz w:val="20"/>
              </w:rPr>
              <w:t>1.8</w:t>
            </w:r>
            <w:r w:rsidRPr="00DB3FE7">
              <w:rPr>
                <w:rFonts w:ascii="Arial Narrow" w:eastAsia="TimesNewRoman" w:hAnsi="Arial Narrow" w:cstheme="majorBidi"/>
                <w:bCs/>
                <w:sz w:val="20"/>
              </w:rPr>
              <w:t xml:space="preserve"> mmol/L. The applicability of estimates derived from the US setting to the Australian setting is uncertain. DUSC commented that the assumptions used to identify ASCVD were poorly justified and likely underestimated the population size.</w:t>
            </w:r>
          </w:p>
        </w:tc>
      </w:tr>
      <w:tr w:rsidR="00293FBA" w:rsidRPr="00DB3FE7" w14:paraId="45D759D5" w14:textId="77777777" w:rsidTr="00293FBA">
        <w:trPr>
          <w:cantSplit/>
        </w:trPr>
        <w:tc>
          <w:tcPr>
            <w:tcW w:w="784" w:type="pct"/>
            <w:shd w:val="clear" w:color="auto" w:fill="auto"/>
            <w:vAlign w:val="center"/>
          </w:tcPr>
          <w:p w14:paraId="35D84978"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with additional high-risk factors</w:t>
            </w:r>
          </w:p>
        </w:tc>
        <w:tc>
          <w:tcPr>
            <w:tcW w:w="1573" w:type="pct"/>
            <w:shd w:val="clear" w:color="auto" w:fill="auto"/>
            <w:vAlign w:val="center"/>
          </w:tcPr>
          <w:p w14:paraId="45874F58"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52.8%. Assumed the same as for patients on ezetimibe. </w:t>
            </w:r>
          </w:p>
        </w:tc>
        <w:tc>
          <w:tcPr>
            <w:tcW w:w="2644" w:type="pct"/>
            <w:shd w:val="clear" w:color="auto" w:fill="auto"/>
            <w:vAlign w:val="center"/>
          </w:tcPr>
          <w:p w14:paraId="72FBB922" w14:textId="639507C5"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estimate was based on an analysis of the FOURIER trial population.</w:t>
            </w:r>
          </w:p>
        </w:tc>
      </w:tr>
      <w:tr w:rsidR="00293FBA" w:rsidRPr="00DB3FE7" w14:paraId="5F071EF3" w14:textId="77777777" w:rsidTr="00293FBA">
        <w:trPr>
          <w:cantSplit/>
        </w:trPr>
        <w:tc>
          <w:tcPr>
            <w:tcW w:w="784" w:type="pct"/>
            <w:shd w:val="clear" w:color="auto" w:fill="auto"/>
            <w:vAlign w:val="center"/>
          </w:tcPr>
          <w:p w14:paraId="719E2993"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Uptake rates</w:t>
            </w:r>
          </w:p>
        </w:tc>
        <w:tc>
          <w:tcPr>
            <w:tcW w:w="1573" w:type="pct"/>
            <w:shd w:val="clear" w:color="auto" w:fill="auto"/>
            <w:vAlign w:val="center"/>
          </w:tcPr>
          <w:p w14:paraId="5BADED81"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7.5% in Year 1 increasing to 15% in Years 3, 4, 5 and 6. Assumed.</w:t>
            </w:r>
          </w:p>
        </w:tc>
        <w:tc>
          <w:tcPr>
            <w:tcW w:w="2644" w:type="pct"/>
            <w:shd w:val="clear" w:color="auto" w:fill="auto"/>
            <w:vAlign w:val="center"/>
          </w:tcPr>
          <w:p w14:paraId="3A7D4681" w14:textId="00C24F30"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assumptions behind the uptake rates were unclear but resulted in slowing uptake over time. DUSC commented a six</w:t>
            </w:r>
            <w:r w:rsidR="00110338" w:rsidRPr="00DB3FE7">
              <w:rPr>
                <w:rFonts w:ascii="Arial Narrow" w:eastAsia="TimesNewRoman" w:hAnsi="Arial Narrow" w:cstheme="majorBidi"/>
                <w:bCs/>
                <w:sz w:val="20"/>
              </w:rPr>
              <w:t>-</w:t>
            </w:r>
            <w:r w:rsidRPr="00DB3FE7">
              <w:rPr>
                <w:rFonts w:ascii="Arial Narrow" w:eastAsia="TimesNewRoman" w:hAnsi="Arial Narrow" w:cstheme="majorBidi"/>
                <w:bCs/>
                <w:sz w:val="20"/>
              </w:rPr>
              <w:t>monthly treatment may be appealing to patients who see their doctor every six months.</w:t>
            </w:r>
          </w:p>
        </w:tc>
      </w:tr>
      <w:tr w:rsidR="00293FBA" w:rsidRPr="00DB3FE7" w14:paraId="5C39C208" w14:textId="77777777" w:rsidTr="00293FBA">
        <w:trPr>
          <w:cantSplit/>
        </w:trPr>
        <w:tc>
          <w:tcPr>
            <w:tcW w:w="5000" w:type="pct"/>
            <w:gridSpan w:val="3"/>
            <w:shd w:val="clear" w:color="auto" w:fill="auto"/>
            <w:vAlign w:val="center"/>
          </w:tcPr>
          <w:p w14:paraId="2F3B3EF3" w14:textId="77777777" w:rsidR="00293FBA" w:rsidRPr="00DB3FE7" w:rsidRDefault="00293FBA" w:rsidP="006A6C78">
            <w:pPr>
              <w:keepNext/>
              <w:jc w:val="left"/>
              <w:rPr>
                <w:rFonts w:ascii="Arial Narrow" w:eastAsiaTheme="majorEastAsia" w:hAnsi="Arial Narrow" w:cs="Times New Roman"/>
                <w:b/>
                <w:sz w:val="20"/>
              </w:rPr>
            </w:pPr>
            <w:r w:rsidRPr="00DB3FE7">
              <w:rPr>
                <w:rFonts w:ascii="Arial Narrow" w:eastAsiaTheme="majorEastAsia" w:hAnsi="Arial Narrow" w:cs="Times New Roman"/>
                <w:b/>
                <w:sz w:val="20"/>
              </w:rPr>
              <w:t>Inclisiran utilisation</w:t>
            </w:r>
          </w:p>
        </w:tc>
      </w:tr>
      <w:tr w:rsidR="00293FBA" w:rsidRPr="00DB3FE7" w14:paraId="637DC17D" w14:textId="77777777" w:rsidTr="00293FBA">
        <w:trPr>
          <w:cantSplit/>
        </w:trPr>
        <w:tc>
          <w:tcPr>
            <w:tcW w:w="784" w:type="pct"/>
            <w:shd w:val="clear" w:color="auto" w:fill="auto"/>
            <w:vAlign w:val="center"/>
          </w:tcPr>
          <w:p w14:paraId="2ED5968E"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Treatment persistence</w:t>
            </w:r>
          </w:p>
        </w:tc>
        <w:tc>
          <w:tcPr>
            <w:tcW w:w="1573" w:type="pct"/>
            <w:shd w:val="clear" w:color="auto" w:fill="auto"/>
            <w:vAlign w:val="center"/>
          </w:tcPr>
          <w:p w14:paraId="52FDA3C5" w14:textId="20BC01B9"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92.3%. Based on the proportion of patients receiving their 3rd inclisiran dose (Day 270) in the ORION-10 trial. </w:t>
            </w:r>
          </w:p>
        </w:tc>
        <w:tc>
          <w:tcPr>
            <w:tcW w:w="2644" w:type="pct"/>
            <w:shd w:val="clear" w:color="auto" w:fill="auto"/>
            <w:vAlign w:val="center"/>
          </w:tcPr>
          <w:p w14:paraId="5BCFAC7D" w14:textId="0C13053E"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estimate was inconsistent with treatment persistence rates (96.8% per year) applied in the economic model based on data from the ASCVD subgroup of the ORION-10 and ORION-11 trials. DUSC considered that ezetimibe discontinuation rates would be informative to this assumption.</w:t>
            </w:r>
          </w:p>
        </w:tc>
      </w:tr>
      <w:tr w:rsidR="00293FBA" w:rsidRPr="00DB3FE7" w14:paraId="52FC0D0E" w14:textId="77777777" w:rsidTr="00293FBA">
        <w:trPr>
          <w:cantSplit/>
        </w:trPr>
        <w:tc>
          <w:tcPr>
            <w:tcW w:w="784" w:type="pct"/>
            <w:shd w:val="clear" w:color="auto" w:fill="auto"/>
            <w:vAlign w:val="center"/>
          </w:tcPr>
          <w:p w14:paraId="6A74B2D9"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Treatment compliance</w:t>
            </w:r>
          </w:p>
        </w:tc>
        <w:tc>
          <w:tcPr>
            <w:tcW w:w="1573" w:type="pct"/>
            <w:shd w:val="clear" w:color="auto" w:fill="auto"/>
            <w:vAlign w:val="center"/>
          </w:tcPr>
          <w:p w14:paraId="19FE11E4" w14:textId="566ADCA1"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85%. Based on the rate reported in a review of statin therapies in 2012, as recommended by PBAC in November 2019 (para 4.30, evolocumab PSD, November 2019 PBAC meeting). </w:t>
            </w:r>
          </w:p>
        </w:tc>
        <w:tc>
          <w:tcPr>
            <w:tcW w:w="2644" w:type="pct"/>
            <w:shd w:val="clear" w:color="auto" w:fill="auto"/>
            <w:vAlign w:val="center"/>
          </w:tcPr>
          <w:p w14:paraId="43011040"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This was inconsistent with assumed perfect adherence in the economic model of the submission. </w:t>
            </w:r>
          </w:p>
          <w:p w14:paraId="1AD9387A" w14:textId="77777777" w:rsidR="00293FBA" w:rsidRPr="00DB3FE7" w:rsidRDefault="00293FBA" w:rsidP="006A6C78">
            <w:pPr>
              <w:jc w:val="left"/>
              <w:rPr>
                <w:rFonts w:ascii="Arial Narrow" w:eastAsia="TimesNewRoman" w:hAnsi="Arial Narrow" w:cstheme="majorBidi"/>
                <w:bCs/>
                <w:sz w:val="20"/>
              </w:rPr>
            </w:pPr>
          </w:p>
          <w:p w14:paraId="55F271BB" w14:textId="62FC7F7D"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While the PBAC previously recommended an 85% compliance rate for evolocumab, it is unclear whether this recommendation can be extended to inclisiran due to differences in dosing frequency.</w:t>
            </w:r>
          </w:p>
        </w:tc>
      </w:tr>
      <w:tr w:rsidR="00293FBA" w:rsidRPr="00DB3FE7" w14:paraId="17DBE124" w14:textId="77777777" w:rsidTr="00293FBA">
        <w:trPr>
          <w:cantSplit/>
        </w:trPr>
        <w:tc>
          <w:tcPr>
            <w:tcW w:w="5000" w:type="pct"/>
            <w:gridSpan w:val="3"/>
            <w:tcBorders>
              <w:bottom w:val="single" w:sz="4" w:space="0" w:color="auto"/>
            </w:tcBorders>
            <w:shd w:val="clear" w:color="auto" w:fill="auto"/>
            <w:vAlign w:val="center"/>
          </w:tcPr>
          <w:p w14:paraId="2A8DC1BB" w14:textId="77777777" w:rsidR="00293FBA" w:rsidRPr="00DB3FE7" w:rsidRDefault="00293FBA" w:rsidP="006A6C78">
            <w:pPr>
              <w:keepNext/>
              <w:jc w:val="left"/>
              <w:rPr>
                <w:rFonts w:ascii="Arial Narrow" w:eastAsia="TimesNewRoman" w:hAnsi="Arial Narrow" w:cstheme="majorBidi"/>
                <w:b/>
                <w:bCs/>
                <w:sz w:val="20"/>
              </w:rPr>
            </w:pPr>
            <w:r w:rsidRPr="00DB3FE7">
              <w:rPr>
                <w:rFonts w:ascii="Arial Narrow" w:eastAsiaTheme="majorEastAsia" w:hAnsi="Arial Narrow" w:cs="Times New Roman"/>
                <w:b/>
                <w:sz w:val="20"/>
              </w:rPr>
              <w:t>Cost offsets associated with substituted use of ezetimibe on the PBS/RPBS</w:t>
            </w:r>
          </w:p>
        </w:tc>
      </w:tr>
      <w:tr w:rsidR="00293FBA" w:rsidRPr="00DB3FE7" w14:paraId="4DEEFB78" w14:textId="77777777" w:rsidTr="00293FBA">
        <w:trPr>
          <w:cantSplit/>
        </w:trPr>
        <w:tc>
          <w:tcPr>
            <w:tcW w:w="784" w:type="pct"/>
            <w:tcBorders>
              <w:bottom w:val="single" w:sz="4" w:space="0" w:color="auto"/>
            </w:tcBorders>
            <w:shd w:val="clear" w:color="auto" w:fill="auto"/>
            <w:vAlign w:val="center"/>
          </w:tcPr>
          <w:p w14:paraId="6958EA3B" w14:textId="77777777" w:rsidR="00293FBA" w:rsidRPr="00DB3FE7" w:rsidRDefault="00293FBA" w:rsidP="006A6C78">
            <w:pPr>
              <w:jc w:val="left"/>
            </w:pPr>
            <w:r w:rsidRPr="00DB3FE7">
              <w:rPr>
                <w:rFonts w:ascii="Arial Narrow" w:eastAsiaTheme="majorEastAsia" w:hAnsi="Arial Narrow" w:cstheme="majorBidi"/>
                <w:bCs/>
                <w:sz w:val="20"/>
              </w:rPr>
              <w:t>Prevalent population on inclisiran</w:t>
            </w:r>
          </w:p>
        </w:tc>
        <w:tc>
          <w:tcPr>
            <w:tcW w:w="1573" w:type="pct"/>
            <w:tcBorders>
              <w:bottom w:val="single" w:sz="4" w:space="0" w:color="auto"/>
            </w:tcBorders>
            <w:shd w:val="clear" w:color="auto" w:fill="auto"/>
            <w:vAlign w:val="center"/>
          </w:tcPr>
          <w:p w14:paraId="131ED691" w14:textId="7B3AE50E"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35,227 in Year 1 increasing to 124,092 in Year 6. Based on estimated total number of inclisiran treated patients, in patients otherwise treated with ezetimibe.</w:t>
            </w:r>
          </w:p>
        </w:tc>
        <w:tc>
          <w:tcPr>
            <w:tcW w:w="2644" w:type="pct"/>
            <w:tcBorders>
              <w:bottom w:val="single" w:sz="4" w:space="0" w:color="auto"/>
            </w:tcBorders>
            <w:shd w:val="clear" w:color="auto" w:fill="auto"/>
            <w:vAlign w:val="center"/>
          </w:tcPr>
          <w:p w14:paraId="211A3931"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These estimates were highly uncertain due to concerns with treated population estimates.</w:t>
            </w:r>
          </w:p>
        </w:tc>
      </w:tr>
      <w:tr w:rsidR="00293FBA" w:rsidRPr="00DB3FE7" w14:paraId="7BDD5E39" w14:textId="77777777" w:rsidTr="00293FBA">
        <w:trPr>
          <w:cantSplit/>
        </w:trPr>
        <w:tc>
          <w:tcPr>
            <w:tcW w:w="784" w:type="pct"/>
            <w:tcBorders>
              <w:bottom w:val="single" w:sz="4" w:space="0" w:color="auto"/>
            </w:tcBorders>
            <w:shd w:val="clear" w:color="auto" w:fill="auto"/>
            <w:vAlign w:val="center"/>
          </w:tcPr>
          <w:p w14:paraId="643213A4"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who discontinue ezetimibe</w:t>
            </w:r>
          </w:p>
        </w:tc>
        <w:tc>
          <w:tcPr>
            <w:tcW w:w="1573" w:type="pct"/>
            <w:tcBorders>
              <w:bottom w:val="single" w:sz="4" w:space="0" w:color="auto"/>
            </w:tcBorders>
            <w:shd w:val="clear" w:color="auto" w:fill="auto"/>
            <w:vAlign w:val="center"/>
          </w:tcPr>
          <w:p w14:paraId="70286DBE"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93%. Based on the complement of average baseline use of ezetimibe in the ORION-10 (10%) and ORION-11 (4%) trials, calculated as 7% in the submission.</w:t>
            </w:r>
          </w:p>
        </w:tc>
        <w:tc>
          <w:tcPr>
            <w:tcW w:w="2644" w:type="pct"/>
            <w:tcBorders>
              <w:bottom w:val="single" w:sz="4" w:space="0" w:color="auto"/>
            </w:tcBorders>
            <w:shd w:val="clear" w:color="auto" w:fill="auto"/>
            <w:vAlign w:val="center"/>
          </w:tcPr>
          <w:p w14:paraId="5A06F2D4" w14:textId="0D3C6C8C"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assumption that inclisiran would replace rather than be used in addition to ezetimibe was inadequately justified given the minimal treatment burden associated with ezetimibe and wide availability of ezetimibe with statin fixed dose combinations.</w:t>
            </w:r>
          </w:p>
        </w:tc>
      </w:tr>
      <w:tr w:rsidR="00293FBA" w:rsidRPr="00DB3FE7" w14:paraId="69122558" w14:textId="77777777" w:rsidTr="00293FBA">
        <w:trPr>
          <w:cantSplit/>
        </w:trPr>
        <w:tc>
          <w:tcPr>
            <w:tcW w:w="784" w:type="pct"/>
            <w:tcBorders>
              <w:bottom w:val="single" w:sz="4" w:space="0" w:color="auto"/>
            </w:tcBorders>
            <w:shd w:val="clear" w:color="auto" w:fill="auto"/>
            <w:vAlign w:val="center"/>
          </w:tcPr>
          <w:p w14:paraId="7674A1C5"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Ezetimibe treatment compliance</w:t>
            </w:r>
          </w:p>
        </w:tc>
        <w:tc>
          <w:tcPr>
            <w:tcW w:w="1573" w:type="pct"/>
            <w:tcBorders>
              <w:bottom w:val="single" w:sz="4" w:space="0" w:color="auto"/>
            </w:tcBorders>
            <w:shd w:val="clear" w:color="auto" w:fill="auto"/>
            <w:vAlign w:val="center"/>
          </w:tcPr>
          <w:p w14:paraId="736F0683" w14:textId="4664B5F0"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85%. Based on the rate reported in a review of statin therapies in 2012, as recommended by PBAC in November 2019 (para 4.30, evolocumab PSD, November 2019 PBAC meeting).</w:t>
            </w:r>
          </w:p>
        </w:tc>
        <w:tc>
          <w:tcPr>
            <w:tcW w:w="2644" w:type="pct"/>
            <w:tcBorders>
              <w:bottom w:val="single" w:sz="4" w:space="0" w:color="auto"/>
            </w:tcBorders>
            <w:shd w:val="clear" w:color="auto" w:fill="auto"/>
            <w:vAlign w:val="center"/>
          </w:tcPr>
          <w:p w14:paraId="0559CADA"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assumption that ezetimibe has the same pattern of compliance as inclisiran and PCSK9 inhibitor therapies was inadequately justified given differences in both frequency and mode of administration.</w:t>
            </w:r>
          </w:p>
        </w:tc>
      </w:tr>
      <w:tr w:rsidR="00293FBA" w:rsidRPr="00DB3FE7" w14:paraId="6957FFA1" w14:textId="77777777" w:rsidTr="00293FBA">
        <w:trPr>
          <w:cantSplit/>
        </w:trPr>
        <w:tc>
          <w:tcPr>
            <w:tcW w:w="5000" w:type="pct"/>
            <w:gridSpan w:val="3"/>
            <w:tcBorders>
              <w:bottom w:val="single" w:sz="4" w:space="0" w:color="auto"/>
            </w:tcBorders>
            <w:shd w:val="clear" w:color="auto" w:fill="auto"/>
            <w:vAlign w:val="center"/>
          </w:tcPr>
          <w:p w14:paraId="782F9F12" w14:textId="77777777" w:rsidR="00293FBA" w:rsidRPr="00DB3FE7" w:rsidRDefault="00293FBA" w:rsidP="006A6C78">
            <w:pPr>
              <w:keepNext/>
              <w:jc w:val="left"/>
              <w:rPr>
                <w:rFonts w:ascii="Arial Narrow" w:eastAsia="TimesNewRoman" w:hAnsi="Arial Narrow" w:cstheme="majorBidi"/>
                <w:b/>
                <w:bCs/>
                <w:sz w:val="20"/>
              </w:rPr>
            </w:pPr>
            <w:r w:rsidRPr="00DB3FE7">
              <w:rPr>
                <w:rFonts w:ascii="Arial Narrow" w:eastAsiaTheme="majorEastAsia" w:hAnsi="Arial Narrow" w:cs="Times New Roman"/>
                <w:b/>
                <w:sz w:val="20"/>
              </w:rPr>
              <w:t>Cost offsets due to avoided use of subsequent-line therapies on the PBS/RPBS</w:t>
            </w:r>
          </w:p>
        </w:tc>
      </w:tr>
      <w:tr w:rsidR="00293FBA" w:rsidRPr="00DB3FE7" w14:paraId="53F0FFDF" w14:textId="77777777" w:rsidTr="00293FBA">
        <w:trPr>
          <w:cantSplit/>
        </w:trPr>
        <w:tc>
          <w:tcPr>
            <w:tcW w:w="784" w:type="pct"/>
            <w:tcBorders>
              <w:bottom w:val="single" w:sz="4" w:space="0" w:color="auto"/>
            </w:tcBorders>
            <w:shd w:val="clear" w:color="auto" w:fill="auto"/>
            <w:vAlign w:val="center"/>
          </w:tcPr>
          <w:p w14:paraId="6FF6BB85" w14:textId="77777777" w:rsidR="00293FBA" w:rsidRPr="00DB3FE7" w:rsidRDefault="00293FBA" w:rsidP="006A6C78">
            <w:pPr>
              <w:jc w:val="left"/>
            </w:pPr>
            <w:r w:rsidRPr="00DB3FE7">
              <w:rPr>
                <w:rFonts w:ascii="Arial Narrow" w:eastAsiaTheme="majorEastAsia" w:hAnsi="Arial Narrow" w:cstheme="majorBidi"/>
                <w:bCs/>
                <w:sz w:val="20"/>
              </w:rPr>
              <w:t>Patients initiating inclisiran</w:t>
            </w:r>
          </w:p>
        </w:tc>
        <w:tc>
          <w:tcPr>
            <w:tcW w:w="1573" w:type="pct"/>
            <w:tcBorders>
              <w:bottom w:val="single" w:sz="4" w:space="0" w:color="auto"/>
            </w:tcBorders>
            <w:shd w:val="clear" w:color="auto" w:fill="auto"/>
            <w:vAlign w:val="center"/>
          </w:tcPr>
          <w:p w14:paraId="6784DD11" w14:textId="20E1F714"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35,227 in Year 1 decreasing to 17,147 in Year 6. </w:t>
            </w:r>
          </w:p>
        </w:tc>
        <w:tc>
          <w:tcPr>
            <w:tcW w:w="2644" w:type="pct"/>
            <w:tcBorders>
              <w:bottom w:val="single" w:sz="4" w:space="0" w:color="auto"/>
            </w:tcBorders>
            <w:shd w:val="clear" w:color="auto" w:fill="auto"/>
            <w:vAlign w:val="center"/>
          </w:tcPr>
          <w:p w14:paraId="6F21C9D6"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These estimates were highly uncertain due to concerns with treated population estimates.</w:t>
            </w:r>
          </w:p>
        </w:tc>
      </w:tr>
      <w:tr w:rsidR="00293FBA" w:rsidRPr="00DB3FE7" w14:paraId="01454E73" w14:textId="77777777" w:rsidTr="00293FBA">
        <w:trPr>
          <w:cantSplit/>
        </w:trPr>
        <w:tc>
          <w:tcPr>
            <w:tcW w:w="784" w:type="pct"/>
            <w:tcBorders>
              <w:bottom w:val="single" w:sz="4" w:space="0" w:color="auto"/>
            </w:tcBorders>
            <w:shd w:val="clear" w:color="auto" w:fill="auto"/>
            <w:vAlign w:val="center"/>
          </w:tcPr>
          <w:p w14:paraId="5F94EF58"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alive with LDL ≥1.8 mmol/L, that are eligible for PCSK9 inhibitor therapies</w:t>
            </w:r>
          </w:p>
        </w:tc>
        <w:tc>
          <w:tcPr>
            <w:tcW w:w="1573" w:type="pct"/>
            <w:tcBorders>
              <w:bottom w:val="single" w:sz="4" w:space="0" w:color="auto"/>
            </w:tcBorders>
            <w:shd w:val="clear" w:color="auto" w:fill="auto"/>
            <w:vAlign w:val="center"/>
          </w:tcPr>
          <w:p w14:paraId="6FAEDAEF" w14:textId="17D0741D"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56.8%. Based on the cumulative proportion of patients in subsequent-line health states of the economic model at year 2, including deaths.</w:t>
            </w:r>
          </w:p>
        </w:tc>
        <w:tc>
          <w:tcPr>
            <w:tcW w:w="2644" w:type="pct"/>
            <w:tcBorders>
              <w:bottom w:val="single" w:sz="4" w:space="0" w:color="auto"/>
            </w:tcBorders>
            <w:shd w:val="clear" w:color="auto" w:fill="auto"/>
            <w:vAlign w:val="center"/>
          </w:tcPr>
          <w:p w14:paraId="2211E61B" w14:textId="08C97B76"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 xml:space="preserve">The proportion of patients with LDL </w:t>
            </w:r>
            <w:r w:rsidRPr="00DB3FE7">
              <w:rPr>
                <w:rFonts w:ascii="Arial Narrow" w:eastAsia="TimesNewRoman" w:hAnsi="Arial Narrow" w:cstheme="majorBidi" w:hint="eastAsia"/>
                <w:bCs/>
                <w:sz w:val="20"/>
              </w:rPr>
              <w:t>≥</w:t>
            </w:r>
            <w:r w:rsidRPr="00DB3FE7">
              <w:rPr>
                <w:rFonts w:ascii="Arial Narrow" w:eastAsia="TimesNewRoman" w:hAnsi="Arial Narrow" w:cstheme="majorBidi" w:hint="eastAsia"/>
                <w:bCs/>
                <w:sz w:val="20"/>
              </w:rPr>
              <w:t>1.8</w:t>
            </w:r>
            <w:r w:rsidRPr="00DB3FE7">
              <w:rPr>
                <w:rFonts w:ascii="Arial Narrow" w:eastAsia="TimesNewRoman" w:hAnsi="Arial Narrow" w:cstheme="majorBidi"/>
                <w:bCs/>
                <w:sz w:val="20"/>
              </w:rPr>
              <w:t xml:space="preserve"> mmol/L in the model was dependent on the modelled baseline LDL levels from the high-risk subgroups of the ORION trial program as well as modelled efficacy of ezetimibe based on the EASE trial. The applicability of these estimates to clinical practice is unclear.</w:t>
            </w:r>
          </w:p>
        </w:tc>
      </w:tr>
      <w:tr w:rsidR="00293FBA" w:rsidRPr="00DB3FE7" w14:paraId="0C60E317" w14:textId="77777777" w:rsidTr="00293FBA">
        <w:trPr>
          <w:cantSplit/>
        </w:trPr>
        <w:tc>
          <w:tcPr>
            <w:tcW w:w="784" w:type="pct"/>
            <w:tcBorders>
              <w:bottom w:val="single" w:sz="4" w:space="0" w:color="auto"/>
            </w:tcBorders>
            <w:shd w:val="clear" w:color="auto" w:fill="auto"/>
            <w:vAlign w:val="center"/>
          </w:tcPr>
          <w:p w14:paraId="5ADF3E5C"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PCSK9 uptake rate</w:t>
            </w:r>
          </w:p>
        </w:tc>
        <w:tc>
          <w:tcPr>
            <w:tcW w:w="1573" w:type="pct"/>
            <w:tcBorders>
              <w:bottom w:val="single" w:sz="4" w:space="0" w:color="auto"/>
            </w:tcBorders>
            <w:shd w:val="clear" w:color="auto" w:fill="auto"/>
            <w:vAlign w:val="center"/>
          </w:tcPr>
          <w:p w14:paraId="41682C2F"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100%. Assumed.</w:t>
            </w:r>
          </w:p>
        </w:tc>
        <w:tc>
          <w:tcPr>
            <w:tcW w:w="2644" w:type="pct"/>
            <w:tcBorders>
              <w:bottom w:val="single" w:sz="4" w:space="0" w:color="auto"/>
            </w:tcBorders>
            <w:shd w:val="clear" w:color="auto" w:fill="auto"/>
            <w:vAlign w:val="center"/>
          </w:tcPr>
          <w:p w14:paraId="5473E76E" w14:textId="37FE2D72"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hint="eastAsia"/>
                <w:bCs/>
                <w:sz w:val="20"/>
              </w:rPr>
              <w:t xml:space="preserve">DUSC considered that the assumption that all patients with LDL </w:t>
            </w:r>
            <w:r w:rsidRPr="00DB3FE7">
              <w:rPr>
                <w:rFonts w:ascii="Arial Narrow" w:eastAsia="TimesNewRoman" w:hAnsi="Arial Narrow" w:cstheme="majorBidi" w:hint="eastAsia"/>
                <w:bCs/>
                <w:sz w:val="20"/>
              </w:rPr>
              <w:t>≥</w:t>
            </w:r>
            <w:r w:rsidRPr="00DB3FE7">
              <w:rPr>
                <w:rFonts w:ascii="Arial Narrow" w:eastAsia="TimesNewRoman" w:hAnsi="Arial Narrow" w:cstheme="majorBidi" w:hint="eastAsia"/>
                <w:bCs/>
                <w:sz w:val="20"/>
              </w:rPr>
              <w:t xml:space="preserve">1.8 mmol/L despite ezetimibe would be treated with PCSK9 may not be reasonable. </w:t>
            </w:r>
          </w:p>
        </w:tc>
      </w:tr>
      <w:tr w:rsidR="00293FBA" w:rsidRPr="00DB3FE7" w14:paraId="57BD4E90" w14:textId="77777777" w:rsidTr="00293FBA">
        <w:trPr>
          <w:cantSplit/>
        </w:trPr>
        <w:tc>
          <w:tcPr>
            <w:tcW w:w="784" w:type="pct"/>
            <w:tcBorders>
              <w:bottom w:val="single" w:sz="4" w:space="0" w:color="auto"/>
            </w:tcBorders>
            <w:shd w:val="clear" w:color="auto" w:fill="auto"/>
            <w:vAlign w:val="center"/>
          </w:tcPr>
          <w:p w14:paraId="7BF4B1CF"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Proportion of patients who are alive and persist with PCSK9 therapies</w:t>
            </w:r>
          </w:p>
        </w:tc>
        <w:tc>
          <w:tcPr>
            <w:tcW w:w="1573" w:type="pct"/>
            <w:tcBorders>
              <w:bottom w:val="single" w:sz="4" w:space="0" w:color="auto"/>
            </w:tcBorders>
            <w:shd w:val="clear" w:color="auto" w:fill="auto"/>
            <w:vAlign w:val="center"/>
          </w:tcPr>
          <w:p w14:paraId="755644D6" w14:textId="01235B78"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94.7% in Year 2 decreasing to 94.1% in Year 6. </w:t>
            </w:r>
          </w:p>
        </w:tc>
        <w:tc>
          <w:tcPr>
            <w:tcW w:w="2644" w:type="pct"/>
            <w:tcBorders>
              <w:bottom w:val="single" w:sz="4" w:space="0" w:color="auto"/>
            </w:tcBorders>
            <w:shd w:val="clear" w:color="auto" w:fill="auto"/>
            <w:vAlign w:val="center"/>
          </w:tcPr>
          <w:p w14:paraId="099BC2A7" w14:textId="66DB8D50"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Persistence estimates in the economic model were based on data from the ASCVD subgroup of the ORION-10 and ORION-11 trials (96.8%), higher than estimated for inclisiran in the budget impact analysis (92.3%). The use of a higher estimate was inappropriate as it resulted in greater cost offsets associated with substituted PCSK9 inhibitor therapies, than if based on the proportion of patients persisting with inclisiran treatment in the budget impact model.</w:t>
            </w:r>
          </w:p>
        </w:tc>
      </w:tr>
      <w:tr w:rsidR="00293FBA" w:rsidRPr="00DB3FE7" w14:paraId="0532FFAB" w14:textId="77777777" w:rsidTr="00293FBA">
        <w:trPr>
          <w:cantSplit/>
        </w:trPr>
        <w:tc>
          <w:tcPr>
            <w:tcW w:w="784" w:type="pct"/>
            <w:tcBorders>
              <w:bottom w:val="single" w:sz="4" w:space="0" w:color="auto"/>
            </w:tcBorders>
            <w:shd w:val="clear" w:color="auto" w:fill="auto"/>
            <w:vAlign w:val="center"/>
          </w:tcPr>
          <w:p w14:paraId="147BCA4C" w14:textId="77777777"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PCSK9 treatment compliance</w:t>
            </w:r>
          </w:p>
        </w:tc>
        <w:tc>
          <w:tcPr>
            <w:tcW w:w="1573" w:type="pct"/>
            <w:tcBorders>
              <w:bottom w:val="single" w:sz="4" w:space="0" w:color="auto"/>
            </w:tcBorders>
            <w:shd w:val="clear" w:color="auto" w:fill="auto"/>
            <w:vAlign w:val="center"/>
          </w:tcPr>
          <w:p w14:paraId="6C0C933C" w14:textId="4DD56513" w:rsidR="00293FBA" w:rsidRPr="00DB3FE7" w:rsidRDefault="00293FBA" w:rsidP="006A6C78">
            <w:pPr>
              <w:jc w:val="left"/>
              <w:rPr>
                <w:rFonts w:ascii="Arial Narrow" w:eastAsiaTheme="majorEastAsia" w:hAnsi="Arial Narrow" w:cstheme="majorBidi"/>
                <w:bCs/>
                <w:sz w:val="20"/>
              </w:rPr>
            </w:pPr>
            <w:r w:rsidRPr="00DB3FE7">
              <w:rPr>
                <w:rFonts w:ascii="Arial Narrow" w:eastAsiaTheme="majorEastAsia" w:hAnsi="Arial Narrow" w:cstheme="majorBidi"/>
                <w:bCs/>
                <w:sz w:val="20"/>
              </w:rPr>
              <w:t>85%. Based on the rate reported in a review of statin therapies in 2012, as recommended by PBAC in November 2019 (para 4.30, evolocumab PSD, November 2019 PBAC meeting).</w:t>
            </w:r>
          </w:p>
        </w:tc>
        <w:tc>
          <w:tcPr>
            <w:tcW w:w="2644" w:type="pct"/>
            <w:tcBorders>
              <w:bottom w:val="single" w:sz="4" w:space="0" w:color="auto"/>
            </w:tcBorders>
            <w:shd w:val="clear" w:color="auto" w:fill="auto"/>
            <w:vAlign w:val="center"/>
          </w:tcPr>
          <w:p w14:paraId="39794588" w14:textId="77777777" w:rsidR="00293FBA" w:rsidRPr="00DB3FE7" w:rsidRDefault="00293FBA" w:rsidP="006A6C78">
            <w:pPr>
              <w:jc w:val="left"/>
              <w:rPr>
                <w:rFonts w:ascii="Arial Narrow" w:eastAsia="TimesNewRoman" w:hAnsi="Arial Narrow" w:cstheme="majorBidi"/>
                <w:bCs/>
                <w:sz w:val="20"/>
              </w:rPr>
            </w:pPr>
            <w:r w:rsidRPr="00DB3FE7">
              <w:rPr>
                <w:rFonts w:ascii="Arial Narrow" w:eastAsia="TimesNewRoman" w:hAnsi="Arial Narrow" w:cstheme="majorBidi"/>
                <w:bCs/>
                <w:sz w:val="20"/>
              </w:rPr>
              <w:t>The submission did not adequately justify the use of the unadjusted compliance estimate (capturing both adherence and persistence) given persistence was already applied to treated patient estimates (see above).</w:t>
            </w:r>
          </w:p>
        </w:tc>
      </w:tr>
    </w:tbl>
    <w:p w14:paraId="3C3D2D2E" w14:textId="519B1F4B" w:rsidR="001B1A34" w:rsidRPr="00DB3FE7" w:rsidRDefault="001B1A34" w:rsidP="001B1A34">
      <w:pPr>
        <w:pStyle w:val="COMTablefooter"/>
      </w:pPr>
      <w:r w:rsidRPr="00DB3FE7">
        <w:t>Source: Sections 4.1-4.5</w:t>
      </w:r>
      <w:r w:rsidR="00F86CCE" w:rsidRPr="00DB3FE7">
        <w:t xml:space="preserve"> </w:t>
      </w:r>
      <w:r w:rsidRPr="00DB3FE7">
        <w:t>and Section 4_Utilisation and financial estimates_inclisiran Excel workbook of the submission</w:t>
      </w:r>
    </w:p>
    <w:p w14:paraId="11FB1348" w14:textId="77777777" w:rsidR="001B1A34" w:rsidRPr="00DB3FE7" w:rsidRDefault="001B1A34" w:rsidP="001B1A34">
      <w:pPr>
        <w:pStyle w:val="COMTablefooter"/>
      </w:pPr>
      <w:r w:rsidRPr="00DB3FE7">
        <w:t>Abbreviations: ASCVD, atherosclerotic cardiovascular disease; CVD, cardiovascular; LDL, low density lipoprotein</w:t>
      </w:r>
    </w:p>
    <w:p w14:paraId="681F7544" w14:textId="302CD07C" w:rsidR="001B1A34" w:rsidRPr="00D2286B" w:rsidRDefault="001B1A34" w:rsidP="001B1A34">
      <w:pPr>
        <w:pStyle w:val="COMexecsumnumberedpara"/>
        <w:numPr>
          <w:ilvl w:val="1"/>
          <w:numId w:val="1"/>
        </w:numPr>
      </w:pPr>
      <w:r w:rsidRPr="00DB3FE7">
        <w:t xml:space="preserve">The estimated use and financial impact of inclisiran based on the published price of inclisiran and published prices of PCSK9 inhibitors, including corrections for errors in the submission is summarised in the </w:t>
      </w:r>
      <w:r w:rsidRPr="00D2286B">
        <w:fldChar w:fldCharType="begin" w:fldLock="1"/>
      </w:r>
      <w:r w:rsidRPr="00DB3FE7">
        <w:instrText xml:space="preserve"> REF _Ref124102416 \h  \* MERGEFORMAT </w:instrText>
      </w:r>
      <w:r w:rsidRPr="00D2286B">
        <w:fldChar w:fldCharType="separate"/>
      </w:r>
      <w:r w:rsidR="00424520" w:rsidRPr="00D2286B">
        <w:t xml:space="preserve">Table </w:t>
      </w:r>
      <w:r w:rsidR="00424520" w:rsidRPr="00D2286B">
        <w:rPr>
          <w:noProof/>
        </w:rPr>
        <w:t>15</w:t>
      </w:r>
      <w:r w:rsidRPr="00D2286B">
        <w:fldChar w:fldCharType="end"/>
      </w:r>
      <w:r w:rsidRPr="0042765C">
        <w:t>.</w:t>
      </w:r>
    </w:p>
    <w:p w14:paraId="19E28FD1" w14:textId="1EC95AEC" w:rsidR="001B1A34" w:rsidRPr="00DB3FE7" w:rsidRDefault="001B1A34" w:rsidP="001B1A34">
      <w:pPr>
        <w:pStyle w:val="COMexecsumnumberedpara"/>
        <w:numPr>
          <w:ilvl w:val="1"/>
          <w:numId w:val="1"/>
        </w:numPr>
      </w:pPr>
      <w:r w:rsidRPr="00352E1C">
        <w:t xml:space="preserve">Estimated cost offsets due to avoided PCSK9 use were calculated in the submission using November 2022 published DPMQs for evolocumab and alirocumab. Published prices for evolocumab were updated in December 2022 (evolocumab 140 mg DPMQ $337.94, evolocumab 420 mg DPMQ $365.36) </w:t>
      </w:r>
      <w:r w:rsidRPr="008274F2">
        <w:t>reflecting the expansion of the listing based on a lower LDL threshold of 1.8 mmol/L compared to 2.6 mmol/L previously. Financial estimates based on published prices were not updated during the evaluation.</w:t>
      </w:r>
    </w:p>
    <w:p w14:paraId="23B3FDCC" w14:textId="3E49AF92" w:rsidR="001B1A34" w:rsidRPr="00D2286B" w:rsidRDefault="001B1A34" w:rsidP="001B1A34">
      <w:pPr>
        <w:pStyle w:val="COMtablefigcaption"/>
      </w:pPr>
      <w:bookmarkStart w:id="53" w:name="_Ref124102416"/>
      <w:r w:rsidRPr="00DB3FE7">
        <w:t xml:space="preserve">Table </w:t>
      </w:r>
      <w:r w:rsidR="00E1209D" w:rsidRPr="00D2286B">
        <w:fldChar w:fldCharType="begin" w:fldLock="1"/>
      </w:r>
      <w:r w:rsidR="00E1209D" w:rsidRPr="00DB3FE7">
        <w:instrText xml:space="preserve"> SEQ Table \* ARABIC </w:instrText>
      </w:r>
      <w:r w:rsidR="00E1209D" w:rsidRPr="00D2286B">
        <w:fldChar w:fldCharType="separate"/>
      </w:r>
      <w:r w:rsidR="00424520" w:rsidRPr="00D2286B">
        <w:rPr>
          <w:noProof/>
        </w:rPr>
        <w:t>15</w:t>
      </w:r>
      <w:r w:rsidR="00E1209D" w:rsidRPr="00D2286B">
        <w:rPr>
          <w:noProof/>
        </w:rPr>
        <w:fldChar w:fldCharType="end"/>
      </w:r>
      <w:bookmarkEnd w:id="53"/>
      <w:r w:rsidRPr="0042765C">
        <w:t xml:space="preserve">: </w:t>
      </w:r>
      <w:r w:rsidRPr="00D2286B">
        <w:t>Estimated use and financial implications (published prices)</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8"/>
        <w:gridCol w:w="1274"/>
        <w:gridCol w:w="1278"/>
        <w:gridCol w:w="1135"/>
        <w:gridCol w:w="1135"/>
        <w:gridCol w:w="1135"/>
        <w:gridCol w:w="1128"/>
      </w:tblGrid>
      <w:tr w:rsidR="00315E87" w:rsidRPr="00DB3FE7" w14:paraId="47503A4C" w14:textId="77777777" w:rsidTr="00315E87">
        <w:trPr>
          <w:tblHeader/>
        </w:trPr>
        <w:tc>
          <w:tcPr>
            <w:tcW w:w="1268" w:type="pct"/>
            <w:shd w:val="clear" w:color="auto" w:fill="auto"/>
            <w:vAlign w:val="center"/>
          </w:tcPr>
          <w:p w14:paraId="4B1C4FC7" w14:textId="77777777" w:rsidR="001B1A34" w:rsidRPr="00352E1C" w:rsidRDefault="001B1A34" w:rsidP="006A6C78">
            <w:pPr>
              <w:pStyle w:val="COMTableheadingrow"/>
              <w:jc w:val="center"/>
              <w:rPr>
                <w:lang w:val="en-AU"/>
              </w:rPr>
            </w:pPr>
          </w:p>
        </w:tc>
        <w:tc>
          <w:tcPr>
            <w:tcW w:w="671" w:type="pct"/>
            <w:shd w:val="clear" w:color="auto" w:fill="auto"/>
            <w:vAlign w:val="center"/>
          </w:tcPr>
          <w:p w14:paraId="182D68E0" w14:textId="77777777" w:rsidR="001B1A34" w:rsidRPr="00DB3FE7" w:rsidRDefault="001B1A34" w:rsidP="006A6C78">
            <w:pPr>
              <w:pStyle w:val="COMTableheadingrow"/>
              <w:jc w:val="center"/>
              <w:rPr>
                <w:lang w:val="en-AU"/>
              </w:rPr>
            </w:pPr>
            <w:r w:rsidRPr="00DB3FE7">
              <w:rPr>
                <w:lang w:val="en-AU"/>
              </w:rPr>
              <w:t>Year 1</w:t>
            </w:r>
          </w:p>
        </w:tc>
        <w:tc>
          <w:tcPr>
            <w:tcW w:w="673" w:type="pct"/>
            <w:shd w:val="clear" w:color="auto" w:fill="auto"/>
            <w:vAlign w:val="center"/>
          </w:tcPr>
          <w:p w14:paraId="211D1C37" w14:textId="77777777" w:rsidR="001B1A34" w:rsidRPr="00DB3FE7" w:rsidRDefault="001B1A34" w:rsidP="006A6C78">
            <w:pPr>
              <w:pStyle w:val="COMTableheadingrow"/>
              <w:jc w:val="center"/>
              <w:rPr>
                <w:lang w:val="en-AU"/>
              </w:rPr>
            </w:pPr>
            <w:r w:rsidRPr="00DB3FE7">
              <w:rPr>
                <w:lang w:val="en-AU"/>
              </w:rPr>
              <w:t>Year 2</w:t>
            </w:r>
          </w:p>
        </w:tc>
        <w:tc>
          <w:tcPr>
            <w:tcW w:w="598" w:type="pct"/>
            <w:shd w:val="clear" w:color="auto" w:fill="auto"/>
            <w:vAlign w:val="center"/>
          </w:tcPr>
          <w:p w14:paraId="74D01E5A" w14:textId="77777777" w:rsidR="001B1A34" w:rsidRPr="00DB3FE7" w:rsidRDefault="001B1A34" w:rsidP="006A6C78">
            <w:pPr>
              <w:pStyle w:val="COMTableheadingrow"/>
              <w:jc w:val="center"/>
              <w:rPr>
                <w:lang w:val="en-AU"/>
              </w:rPr>
            </w:pPr>
            <w:r w:rsidRPr="00DB3FE7">
              <w:rPr>
                <w:lang w:val="en-AU"/>
              </w:rPr>
              <w:t>Year 3</w:t>
            </w:r>
          </w:p>
        </w:tc>
        <w:tc>
          <w:tcPr>
            <w:tcW w:w="598" w:type="pct"/>
            <w:shd w:val="clear" w:color="auto" w:fill="auto"/>
            <w:vAlign w:val="center"/>
          </w:tcPr>
          <w:p w14:paraId="6F29619F" w14:textId="77777777" w:rsidR="001B1A34" w:rsidRPr="00DB3FE7" w:rsidRDefault="001B1A34" w:rsidP="006A6C78">
            <w:pPr>
              <w:pStyle w:val="COMTableheadingrow"/>
              <w:jc w:val="center"/>
              <w:rPr>
                <w:lang w:val="en-AU"/>
              </w:rPr>
            </w:pPr>
            <w:r w:rsidRPr="00DB3FE7">
              <w:rPr>
                <w:lang w:val="en-AU"/>
              </w:rPr>
              <w:t>Year 4</w:t>
            </w:r>
          </w:p>
        </w:tc>
        <w:tc>
          <w:tcPr>
            <w:tcW w:w="598" w:type="pct"/>
            <w:shd w:val="clear" w:color="auto" w:fill="auto"/>
            <w:vAlign w:val="center"/>
          </w:tcPr>
          <w:p w14:paraId="21930594" w14:textId="77777777" w:rsidR="001B1A34" w:rsidRPr="00DB3FE7" w:rsidRDefault="001B1A34" w:rsidP="006A6C78">
            <w:pPr>
              <w:pStyle w:val="COMTableheadingrow"/>
              <w:jc w:val="center"/>
              <w:rPr>
                <w:lang w:val="en-AU"/>
              </w:rPr>
            </w:pPr>
            <w:r w:rsidRPr="00DB3FE7">
              <w:rPr>
                <w:lang w:val="en-AU"/>
              </w:rPr>
              <w:t>Year 5</w:t>
            </w:r>
          </w:p>
        </w:tc>
        <w:tc>
          <w:tcPr>
            <w:tcW w:w="595" w:type="pct"/>
          </w:tcPr>
          <w:p w14:paraId="2049B923" w14:textId="77777777" w:rsidR="001B1A34" w:rsidRPr="00DB3FE7" w:rsidRDefault="001B1A34" w:rsidP="006A6C78">
            <w:pPr>
              <w:pStyle w:val="COMTableheadingrow"/>
              <w:jc w:val="center"/>
              <w:rPr>
                <w:lang w:val="en-AU"/>
              </w:rPr>
            </w:pPr>
            <w:r w:rsidRPr="00DB3FE7">
              <w:rPr>
                <w:lang w:val="en-AU"/>
              </w:rPr>
              <w:t>Year 6</w:t>
            </w:r>
          </w:p>
        </w:tc>
      </w:tr>
      <w:tr w:rsidR="001B1A34" w:rsidRPr="00DB3FE7" w14:paraId="0B64F978" w14:textId="77777777" w:rsidTr="00544295">
        <w:tc>
          <w:tcPr>
            <w:tcW w:w="5000" w:type="pct"/>
            <w:gridSpan w:val="7"/>
            <w:shd w:val="clear" w:color="auto" w:fill="auto"/>
            <w:vAlign w:val="center"/>
          </w:tcPr>
          <w:p w14:paraId="6BD9537E" w14:textId="77777777" w:rsidR="001B1A34" w:rsidRPr="00DB3FE7" w:rsidRDefault="001B1A34" w:rsidP="006A6C78">
            <w:pPr>
              <w:pStyle w:val="COMTableheadingrow"/>
              <w:rPr>
                <w:bCs/>
                <w:color w:val="000000"/>
                <w:lang w:val="en-AU"/>
              </w:rPr>
            </w:pPr>
            <w:r w:rsidRPr="00DB3FE7">
              <w:rPr>
                <w:bCs/>
                <w:color w:val="000000"/>
                <w:lang w:val="en-AU"/>
              </w:rPr>
              <w:t>Estimated extent of use of inclisiran</w:t>
            </w:r>
          </w:p>
        </w:tc>
      </w:tr>
      <w:tr w:rsidR="00315E87" w:rsidRPr="00DB3FE7" w14:paraId="09F48981" w14:textId="77777777" w:rsidTr="00315E87">
        <w:tc>
          <w:tcPr>
            <w:tcW w:w="1268" w:type="pct"/>
            <w:shd w:val="clear" w:color="auto" w:fill="auto"/>
            <w:vAlign w:val="center"/>
          </w:tcPr>
          <w:p w14:paraId="3BC32B43" w14:textId="77777777" w:rsidR="001B1A34" w:rsidRPr="00DB3FE7" w:rsidRDefault="001B1A34" w:rsidP="006A6C78">
            <w:pPr>
              <w:pStyle w:val="COMTabletext"/>
              <w:rPr>
                <w:rFonts w:ascii="Times" w:hAnsi="Times"/>
              </w:rPr>
            </w:pPr>
            <w:r w:rsidRPr="00DB3FE7">
              <w:t>Number of patients who would otherwise be on ezetimibe</w:t>
            </w:r>
          </w:p>
        </w:tc>
        <w:tc>
          <w:tcPr>
            <w:tcW w:w="671" w:type="pct"/>
            <w:shd w:val="clear" w:color="auto" w:fill="auto"/>
            <w:vAlign w:val="center"/>
          </w:tcPr>
          <w:p w14:paraId="495F8BCC" w14:textId="0DCFD63A" w:rsidR="001B1A34" w:rsidRPr="00DB3FE7" w:rsidRDefault="00544295" w:rsidP="006A6C78">
            <w:pPr>
              <w:pStyle w:val="COMTabletext"/>
              <w:jc w:val="center"/>
              <w:rPr>
                <w:color w:val="000000"/>
                <w:highlight w:val="darkGray"/>
              </w:rPr>
            </w:pPr>
            <w:r w:rsidRPr="00C41A91">
              <w:rPr>
                <w:color w:val="000000"/>
                <w:spacing w:val="206"/>
                <w:shd w:val="solid" w:color="000000" w:fill="000000"/>
                <w:fitText w:val="292" w:id="-1233410811"/>
                <w14:textFill>
                  <w14:solidFill>
                    <w14:srgbClr w14:val="000000">
                      <w14:alpha w14:val="100000"/>
                    </w14:srgbClr>
                  </w14:solidFill>
                </w14:textFill>
              </w:rPr>
              <w:t>|</w:t>
            </w:r>
            <w:r w:rsidRPr="00C41A91">
              <w:rPr>
                <w:color w:val="000000"/>
                <w:spacing w:val="1"/>
                <w:shd w:val="solid" w:color="000000" w:fill="000000"/>
                <w:fitText w:val="292" w:id="-1233410811"/>
                <w14:textFill>
                  <w14:solidFill>
                    <w14:srgbClr w14:val="000000">
                      <w14:alpha w14:val="100000"/>
                    </w14:srgbClr>
                  </w14:solidFill>
                </w14:textFill>
              </w:rPr>
              <w:t>|</w:t>
            </w:r>
            <w:r w:rsidR="00862CF1" w:rsidRPr="00DB3FE7">
              <w:rPr>
                <w:vertAlign w:val="superscript"/>
              </w:rPr>
              <w:t>1</w:t>
            </w:r>
          </w:p>
        </w:tc>
        <w:tc>
          <w:tcPr>
            <w:tcW w:w="673" w:type="pct"/>
            <w:shd w:val="clear" w:color="auto" w:fill="auto"/>
            <w:vAlign w:val="center"/>
          </w:tcPr>
          <w:p w14:paraId="7182DE82" w14:textId="4835DB3D" w:rsidR="001B1A34" w:rsidRPr="00DB3FE7" w:rsidRDefault="00544295" w:rsidP="006A6C78">
            <w:pPr>
              <w:pStyle w:val="COMTabletext"/>
              <w:jc w:val="center"/>
              <w:rPr>
                <w:color w:val="000000"/>
                <w:highlight w:val="darkGray"/>
              </w:rPr>
            </w:pPr>
            <w:r w:rsidRPr="00C41A91">
              <w:rPr>
                <w:color w:val="000000"/>
                <w:spacing w:val="206"/>
                <w:shd w:val="solid" w:color="000000" w:fill="000000"/>
                <w:fitText w:val="292" w:id="-1233410810"/>
                <w14:textFill>
                  <w14:solidFill>
                    <w14:srgbClr w14:val="000000">
                      <w14:alpha w14:val="100000"/>
                    </w14:srgbClr>
                  </w14:solidFill>
                </w14:textFill>
              </w:rPr>
              <w:t>|</w:t>
            </w:r>
            <w:r w:rsidRPr="00C41A91">
              <w:rPr>
                <w:color w:val="000000"/>
                <w:spacing w:val="1"/>
                <w:shd w:val="solid" w:color="000000" w:fill="000000"/>
                <w:fitText w:val="292" w:id="-1233410810"/>
                <w14:textFill>
                  <w14:solidFill>
                    <w14:srgbClr w14:val="000000">
                      <w14:alpha w14:val="100000"/>
                    </w14:srgbClr>
                  </w14:solidFill>
                </w14:textFill>
              </w:rPr>
              <w:t>|</w:t>
            </w:r>
            <w:r w:rsidR="00862CF1" w:rsidRPr="00DB3FE7">
              <w:rPr>
                <w:vertAlign w:val="superscript"/>
              </w:rPr>
              <w:t>2</w:t>
            </w:r>
          </w:p>
        </w:tc>
        <w:tc>
          <w:tcPr>
            <w:tcW w:w="598" w:type="pct"/>
            <w:shd w:val="clear" w:color="auto" w:fill="auto"/>
            <w:vAlign w:val="center"/>
          </w:tcPr>
          <w:p w14:paraId="449F136B" w14:textId="2228D4ED" w:rsidR="001B1A34" w:rsidRPr="00DB3FE7" w:rsidRDefault="00544295" w:rsidP="006A6C78">
            <w:pPr>
              <w:pStyle w:val="COMTabletext"/>
              <w:jc w:val="center"/>
              <w:rPr>
                <w:color w:val="000000"/>
                <w:highlight w:val="darkGray"/>
              </w:rPr>
            </w:pPr>
            <w:r w:rsidRPr="00C41A91">
              <w:rPr>
                <w:color w:val="000000"/>
                <w:spacing w:val="43"/>
                <w:shd w:val="solid" w:color="000000" w:fill="000000"/>
                <w:fitText w:val="301" w:id="-1233410809"/>
                <w14:textFill>
                  <w14:solidFill>
                    <w14:srgbClr w14:val="000000">
                      <w14:alpha w14:val="100000"/>
                    </w14:srgbClr>
                  </w14:solidFill>
                </w14:textFill>
              </w:rPr>
              <w:t>|||</w:t>
            </w:r>
            <w:r w:rsidRPr="00C41A91">
              <w:rPr>
                <w:color w:val="000000"/>
                <w:spacing w:val="2"/>
                <w:shd w:val="solid" w:color="000000" w:fill="000000"/>
                <w:fitText w:val="301" w:id="-1233410809"/>
                <w14:textFill>
                  <w14:solidFill>
                    <w14:srgbClr w14:val="000000">
                      <w14:alpha w14:val="100000"/>
                    </w14:srgbClr>
                  </w14:solidFill>
                </w14:textFill>
              </w:rPr>
              <w:t>|</w:t>
            </w:r>
            <w:r w:rsidR="00862CF1" w:rsidRPr="00DB3FE7">
              <w:rPr>
                <w:vertAlign w:val="superscript"/>
              </w:rPr>
              <w:t>3</w:t>
            </w:r>
          </w:p>
        </w:tc>
        <w:tc>
          <w:tcPr>
            <w:tcW w:w="598" w:type="pct"/>
            <w:shd w:val="clear" w:color="auto" w:fill="auto"/>
            <w:vAlign w:val="center"/>
          </w:tcPr>
          <w:p w14:paraId="25B8C2D2" w14:textId="1148E9E8" w:rsidR="001B1A34" w:rsidRPr="00DB3FE7" w:rsidRDefault="00544295" w:rsidP="006A6C78">
            <w:pPr>
              <w:pStyle w:val="COMTabletext"/>
              <w:jc w:val="center"/>
              <w:rPr>
                <w:color w:val="000000"/>
                <w:highlight w:val="darkGray"/>
              </w:rPr>
            </w:pPr>
            <w:r w:rsidRPr="00C41A91">
              <w:rPr>
                <w:color w:val="000000"/>
                <w:spacing w:val="205"/>
                <w:shd w:val="solid" w:color="000000" w:fill="000000"/>
                <w:fitText w:val="291" w:id="-1233410808"/>
                <w14:textFill>
                  <w14:solidFill>
                    <w14:srgbClr w14:val="000000">
                      <w14:alpha w14:val="100000"/>
                    </w14:srgbClr>
                  </w14:solidFill>
                </w14:textFill>
              </w:rPr>
              <w:t>|</w:t>
            </w:r>
            <w:r w:rsidRPr="00C41A91">
              <w:rPr>
                <w:color w:val="000000"/>
                <w:spacing w:val="1"/>
                <w:shd w:val="solid" w:color="000000" w:fill="000000"/>
                <w:fitText w:val="291" w:id="-1233410808"/>
                <w14:textFill>
                  <w14:solidFill>
                    <w14:srgbClr w14:val="000000">
                      <w14:alpha w14:val="100000"/>
                    </w14:srgbClr>
                  </w14:solidFill>
                </w14:textFill>
              </w:rPr>
              <w:t>|</w:t>
            </w:r>
            <w:r w:rsidR="00862CF1" w:rsidRPr="00DB3FE7">
              <w:rPr>
                <w:vertAlign w:val="superscript"/>
              </w:rPr>
              <w:t>4</w:t>
            </w:r>
          </w:p>
        </w:tc>
        <w:tc>
          <w:tcPr>
            <w:tcW w:w="598" w:type="pct"/>
            <w:shd w:val="clear" w:color="auto" w:fill="auto"/>
            <w:vAlign w:val="center"/>
          </w:tcPr>
          <w:p w14:paraId="3C16A8B0" w14:textId="6C863254" w:rsidR="001B1A34" w:rsidRPr="00DB3FE7" w:rsidRDefault="00544295" w:rsidP="006A6C78">
            <w:pPr>
              <w:pStyle w:val="COMTabletext"/>
              <w:jc w:val="center"/>
              <w:rPr>
                <w:color w:val="000000"/>
                <w:highlight w:val="darkGray"/>
              </w:rPr>
            </w:pPr>
            <w:r w:rsidRPr="00C41A91">
              <w:rPr>
                <w:color w:val="000000"/>
                <w:spacing w:val="205"/>
                <w:shd w:val="solid" w:color="000000" w:fill="000000"/>
                <w:fitText w:val="291" w:id="-1233410807"/>
                <w14:textFill>
                  <w14:solidFill>
                    <w14:srgbClr w14:val="000000">
                      <w14:alpha w14:val="100000"/>
                    </w14:srgbClr>
                  </w14:solidFill>
                </w14:textFill>
              </w:rPr>
              <w:t>|</w:t>
            </w:r>
            <w:r w:rsidRPr="00C41A91">
              <w:rPr>
                <w:color w:val="000000"/>
                <w:spacing w:val="1"/>
                <w:shd w:val="solid" w:color="000000" w:fill="000000"/>
                <w:fitText w:val="291" w:id="-1233410807"/>
                <w14:textFill>
                  <w14:solidFill>
                    <w14:srgbClr w14:val="000000">
                      <w14:alpha w14:val="100000"/>
                    </w14:srgbClr>
                  </w14:solidFill>
                </w14:textFill>
              </w:rPr>
              <w:t>|</w:t>
            </w:r>
            <w:r w:rsidR="00862CF1" w:rsidRPr="00DB3FE7">
              <w:rPr>
                <w:vertAlign w:val="superscript"/>
              </w:rPr>
              <w:t>5</w:t>
            </w:r>
          </w:p>
        </w:tc>
        <w:tc>
          <w:tcPr>
            <w:tcW w:w="595" w:type="pct"/>
            <w:vAlign w:val="center"/>
          </w:tcPr>
          <w:p w14:paraId="4C523CD5" w14:textId="78DA6FB2" w:rsidR="001B1A34" w:rsidRPr="00DB3FE7" w:rsidRDefault="00544295" w:rsidP="006A6C78">
            <w:pPr>
              <w:pStyle w:val="COMTabletext"/>
              <w:jc w:val="center"/>
              <w:rPr>
                <w:color w:val="000000"/>
                <w:highlight w:val="darkGray"/>
              </w:rPr>
            </w:pPr>
            <w:r w:rsidRPr="00C41A91">
              <w:rPr>
                <w:color w:val="000000"/>
                <w:spacing w:val="43"/>
                <w:shd w:val="solid" w:color="000000" w:fill="000000"/>
                <w:fitText w:val="300" w:id="-1233410806"/>
                <w14:textFill>
                  <w14:solidFill>
                    <w14:srgbClr w14:val="000000">
                      <w14:alpha w14:val="100000"/>
                    </w14:srgbClr>
                  </w14:solidFill>
                </w14:textFill>
              </w:rPr>
              <w:t>|||</w:t>
            </w:r>
            <w:r w:rsidRPr="00C41A91">
              <w:rPr>
                <w:color w:val="000000"/>
                <w:spacing w:val="1"/>
                <w:shd w:val="solid" w:color="000000" w:fill="000000"/>
                <w:fitText w:val="300" w:id="-1233410806"/>
                <w14:textFill>
                  <w14:solidFill>
                    <w14:srgbClr w14:val="000000">
                      <w14:alpha w14:val="100000"/>
                    </w14:srgbClr>
                  </w14:solidFill>
                </w14:textFill>
              </w:rPr>
              <w:t>|</w:t>
            </w:r>
            <w:r w:rsidR="00862CF1" w:rsidRPr="00DB3FE7">
              <w:rPr>
                <w:vertAlign w:val="superscript"/>
              </w:rPr>
              <w:t>5</w:t>
            </w:r>
          </w:p>
        </w:tc>
      </w:tr>
      <w:tr w:rsidR="00315E87" w:rsidRPr="00DB3FE7" w14:paraId="70C22D3A" w14:textId="77777777" w:rsidTr="00315E87">
        <w:tc>
          <w:tcPr>
            <w:tcW w:w="1268" w:type="pct"/>
            <w:shd w:val="clear" w:color="auto" w:fill="auto"/>
            <w:vAlign w:val="center"/>
          </w:tcPr>
          <w:p w14:paraId="054BD057" w14:textId="77777777" w:rsidR="001B1A34" w:rsidRPr="00DB3FE7" w:rsidRDefault="001B1A34" w:rsidP="006A6C78">
            <w:pPr>
              <w:pStyle w:val="COMTabletext"/>
            </w:pPr>
            <w:r w:rsidRPr="00DB3FE7">
              <w:t>Number of patients who would otherwise be on statin alone</w:t>
            </w:r>
          </w:p>
        </w:tc>
        <w:tc>
          <w:tcPr>
            <w:tcW w:w="671" w:type="pct"/>
            <w:shd w:val="clear" w:color="auto" w:fill="auto"/>
            <w:vAlign w:val="center"/>
          </w:tcPr>
          <w:p w14:paraId="48844F1B" w14:textId="00B2205F" w:rsidR="001B1A34" w:rsidRPr="00DB3FE7" w:rsidRDefault="00544295" w:rsidP="006A6C78">
            <w:pPr>
              <w:pStyle w:val="COMTabletext"/>
              <w:jc w:val="center"/>
              <w:rPr>
                <w:highlight w:val="darkGray"/>
              </w:rPr>
            </w:pPr>
            <w:r w:rsidRPr="00C41A91">
              <w:rPr>
                <w:color w:val="000000"/>
                <w:spacing w:val="206"/>
                <w:shd w:val="solid" w:color="000000" w:fill="000000"/>
                <w:fitText w:val="292" w:id="-1233410805"/>
                <w14:textFill>
                  <w14:solidFill>
                    <w14:srgbClr w14:val="000000">
                      <w14:alpha w14:val="100000"/>
                    </w14:srgbClr>
                  </w14:solidFill>
                </w14:textFill>
              </w:rPr>
              <w:t>|</w:t>
            </w:r>
            <w:r w:rsidRPr="00C41A91">
              <w:rPr>
                <w:color w:val="000000"/>
                <w:spacing w:val="1"/>
                <w:shd w:val="solid" w:color="000000" w:fill="000000"/>
                <w:fitText w:val="292" w:id="-1233410805"/>
                <w14:textFill>
                  <w14:solidFill>
                    <w14:srgbClr w14:val="000000">
                      <w14:alpha w14:val="100000"/>
                    </w14:srgbClr>
                  </w14:solidFill>
                </w14:textFill>
              </w:rPr>
              <w:t>|</w:t>
            </w:r>
            <w:r w:rsidR="00862CF1" w:rsidRPr="00DB3FE7">
              <w:rPr>
                <w:vertAlign w:val="superscript"/>
              </w:rPr>
              <w:t>6</w:t>
            </w:r>
          </w:p>
        </w:tc>
        <w:tc>
          <w:tcPr>
            <w:tcW w:w="673" w:type="pct"/>
            <w:shd w:val="clear" w:color="auto" w:fill="auto"/>
            <w:vAlign w:val="center"/>
          </w:tcPr>
          <w:p w14:paraId="16DB8CD0" w14:textId="6BB4776F" w:rsidR="001B1A34" w:rsidRPr="00DB3FE7" w:rsidRDefault="00544295" w:rsidP="006A6C78">
            <w:pPr>
              <w:pStyle w:val="COMTabletext"/>
              <w:jc w:val="center"/>
              <w:rPr>
                <w:highlight w:val="darkGray"/>
              </w:rPr>
            </w:pPr>
            <w:r w:rsidRPr="00C41A91">
              <w:rPr>
                <w:color w:val="000000"/>
                <w:spacing w:val="206"/>
                <w:shd w:val="solid" w:color="000000" w:fill="000000"/>
                <w:fitText w:val="292" w:id="-1233410804"/>
                <w14:textFill>
                  <w14:solidFill>
                    <w14:srgbClr w14:val="000000">
                      <w14:alpha w14:val="100000"/>
                    </w14:srgbClr>
                  </w14:solidFill>
                </w14:textFill>
              </w:rPr>
              <w:t>|</w:t>
            </w:r>
            <w:r w:rsidRPr="00C41A91">
              <w:rPr>
                <w:color w:val="000000"/>
                <w:spacing w:val="1"/>
                <w:shd w:val="solid" w:color="000000" w:fill="000000"/>
                <w:fitText w:val="292" w:id="-1233410804"/>
                <w14:textFill>
                  <w14:solidFill>
                    <w14:srgbClr w14:val="000000">
                      <w14:alpha w14:val="100000"/>
                    </w14:srgbClr>
                  </w14:solidFill>
                </w14:textFill>
              </w:rPr>
              <w:t>|</w:t>
            </w:r>
            <w:r w:rsidR="00862CF1" w:rsidRPr="00DB3FE7">
              <w:rPr>
                <w:vertAlign w:val="superscript"/>
              </w:rPr>
              <w:t>7</w:t>
            </w:r>
          </w:p>
        </w:tc>
        <w:tc>
          <w:tcPr>
            <w:tcW w:w="598" w:type="pct"/>
            <w:shd w:val="clear" w:color="auto" w:fill="auto"/>
            <w:vAlign w:val="center"/>
          </w:tcPr>
          <w:p w14:paraId="7FB5BE68" w14:textId="3F287FF4" w:rsidR="001B1A34" w:rsidRPr="00DB3FE7" w:rsidRDefault="00544295" w:rsidP="006A6C78">
            <w:pPr>
              <w:pStyle w:val="COMTabletext"/>
              <w:jc w:val="center"/>
              <w:rPr>
                <w:highlight w:val="darkGray"/>
              </w:rPr>
            </w:pPr>
            <w:r w:rsidRPr="00C41A91">
              <w:rPr>
                <w:color w:val="000000"/>
                <w:spacing w:val="43"/>
                <w:shd w:val="solid" w:color="000000" w:fill="000000"/>
                <w:fitText w:val="301" w:id="-1233410803"/>
                <w14:textFill>
                  <w14:solidFill>
                    <w14:srgbClr w14:val="000000">
                      <w14:alpha w14:val="100000"/>
                    </w14:srgbClr>
                  </w14:solidFill>
                </w14:textFill>
              </w:rPr>
              <w:t>|||</w:t>
            </w:r>
            <w:r w:rsidRPr="00C41A91">
              <w:rPr>
                <w:color w:val="000000"/>
                <w:spacing w:val="2"/>
                <w:shd w:val="solid" w:color="000000" w:fill="000000"/>
                <w:fitText w:val="301" w:id="-1233410803"/>
                <w14:textFill>
                  <w14:solidFill>
                    <w14:srgbClr w14:val="000000">
                      <w14:alpha w14:val="100000"/>
                    </w14:srgbClr>
                  </w14:solidFill>
                </w14:textFill>
              </w:rPr>
              <w:t>|</w:t>
            </w:r>
            <w:r w:rsidR="00862CF1" w:rsidRPr="00DB3FE7">
              <w:rPr>
                <w:vertAlign w:val="superscript"/>
              </w:rPr>
              <w:t>8</w:t>
            </w:r>
          </w:p>
        </w:tc>
        <w:tc>
          <w:tcPr>
            <w:tcW w:w="598" w:type="pct"/>
            <w:shd w:val="clear" w:color="auto" w:fill="auto"/>
            <w:vAlign w:val="center"/>
          </w:tcPr>
          <w:p w14:paraId="7A569A7B" w14:textId="608FA46E" w:rsidR="001B1A34" w:rsidRPr="00DB3FE7" w:rsidRDefault="00544295" w:rsidP="006A6C78">
            <w:pPr>
              <w:pStyle w:val="COMTabletext"/>
              <w:jc w:val="center"/>
              <w:rPr>
                <w:highlight w:val="darkGray"/>
              </w:rPr>
            </w:pPr>
            <w:r w:rsidRPr="00C41A91">
              <w:rPr>
                <w:color w:val="000000"/>
                <w:spacing w:val="205"/>
                <w:shd w:val="solid" w:color="000000" w:fill="000000"/>
                <w:fitText w:val="291" w:id="-1233410802"/>
                <w14:textFill>
                  <w14:solidFill>
                    <w14:srgbClr w14:val="000000">
                      <w14:alpha w14:val="100000"/>
                    </w14:srgbClr>
                  </w14:solidFill>
                </w14:textFill>
              </w:rPr>
              <w:t>|</w:t>
            </w:r>
            <w:r w:rsidRPr="00C41A91">
              <w:rPr>
                <w:color w:val="000000"/>
                <w:spacing w:val="1"/>
                <w:shd w:val="solid" w:color="000000" w:fill="000000"/>
                <w:fitText w:val="291" w:id="-1233410802"/>
                <w14:textFill>
                  <w14:solidFill>
                    <w14:srgbClr w14:val="000000">
                      <w14:alpha w14:val="100000"/>
                    </w14:srgbClr>
                  </w14:solidFill>
                </w14:textFill>
              </w:rPr>
              <w:t>|</w:t>
            </w:r>
            <w:r w:rsidR="00862CF1" w:rsidRPr="00DB3FE7">
              <w:rPr>
                <w:vertAlign w:val="superscript"/>
              </w:rPr>
              <w:t>8</w:t>
            </w:r>
          </w:p>
        </w:tc>
        <w:tc>
          <w:tcPr>
            <w:tcW w:w="598" w:type="pct"/>
            <w:shd w:val="clear" w:color="auto" w:fill="auto"/>
            <w:vAlign w:val="center"/>
          </w:tcPr>
          <w:p w14:paraId="677166E1" w14:textId="3AF901F9" w:rsidR="001B1A34" w:rsidRPr="00DB3FE7" w:rsidRDefault="00544295" w:rsidP="006A6C78">
            <w:pPr>
              <w:pStyle w:val="COMTabletext"/>
              <w:jc w:val="center"/>
              <w:rPr>
                <w:highlight w:val="darkGray"/>
              </w:rPr>
            </w:pPr>
            <w:r w:rsidRPr="00C41A91">
              <w:rPr>
                <w:color w:val="000000"/>
                <w:spacing w:val="205"/>
                <w:shd w:val="solid" w:color="000000" w:fill="000000"/>
                <w:fitText w:val="291" w:id="-1233410801"/>
                <w14:textFill>
                  <w14:solidFill>
                    <w14:srgbClr w14:val="000000">
                      <w14:alpha w14:val="100000"/>
                    </w14:srgbClr>
                  </w14:solidFill>
                </w14:textFill>
              </w:rPr>
              <w:t>|</w:t>
            </w:r>
            <w:r w:rsidRPr="00C41A91">
              <w:rPr>
                <w:color w:val="000000"/>
                <w:spacing w:val="1"/>
                <w:shd w:val="solid" w:color="000000" w:fill="000000"/>
                <w:fitText w:val="291" w:id="-1233410801"/>
                <w14:textFill>
                  <w14:solidFill>
                    <w14:srgbClr w14:val="000000">
                      <w14:alpha w14:val="100000"/>
                    </w14:srgbClr>
                  </w14:solidFill>
                </w14:textFill>
              </w:rPr>
              <w:t>|</w:t>
            </w:r>
            <w:r w:rsidR="00862CF1" w:rsidRPr="00DB3FE7">
              <w:rPr>
                <w:vertAlign w:val="superscript"/>
              </w:rPr>
              <w:t>8</w:t>
            </w:r>
          </w:p>
        </w:tc>
        <w:tc>
          <w:tcPr>
            <w:tcW w:w="595" w:type="pct"/>
            <w:vAlign w:val="center"/>
          </w:tcPr>
          <w:p w14:paraId="0484ABDF" w14:textId="39284A3B" w:rsidR="001B1A34" w:rsidRPr="00DB3FE7" w:rsidRDefault="00544295" w:rsidP="006A6C78">
            <w:pPr>
              <w:pStyle w:val="COMTabletext"/>
              <w:jc w:val="center"/>
              <w:rPr>
                <w:highlight w:val="darkGray"/>
              </w:rPr>
            </w:pPr>
            <w:r w:rsidRPr="00C41A91">
              <w:rPr>
                <w:color w:val="000000"/>
                <w:spacing w:val="30"/>
                <w:shd w:val="solid" w:color="000000" w:fill="000000"/>
                <w:fitText w:val="300" w:id="-1233410800"/>
                <w14:textFill>
                  <w14:solidFill>
                    <w14:srgbClr w14:val="000000">
                      <w14:alpha w14:val="100000"/>
                    </w14:srgbClr>
                  </w14:solidFill>
                </w14:textFill>
              </w:rPr>
              <w:t>||||</w:t>
            </w:r>
            <w:r w:rsidR="00862CF1" w:rsidRPr="00DB3FE7">
              <w:rPr>
                <w:vertAlign w:val="superscript"/>
              </w:rPr>
              <w:t>8</w:t>
            </w:r>
          </w:p>
        </w:tc>
      </w:tr>
      <w:tr w:rsidR="00315E87" w:rsidRPr="00DB3FE7" w14:paraId="13DFDE11" w14:textId="77777777" w:rsidTr="00315E87">
        <w:tc>
          <w:tcPr>
            <w:tcW w:w="1268" w:type="pct"/>
            <w:shd w:val="clear" w:color="auto" w:fill="auto"/>
            <w:vAlign w:val="center"/>
          </w:tcPr>
          <w:p w14:paraId="644DF225" w14:textId="77777777" w:rsidR="001B1A34" w:rsidRPr="00DB3FE7" w:rsidRDefault="001B1A34" w:rsidP="006A6C78">
            <w:pPr>
              <w:pStyle w:val="COMTabletext"/>
              <w:rPr>
                <w:rFonts w:ascii="Times" w:hAnsi="Times"/>
              </w:rPr>
            </w:pPr>
            <w:r w:rsidRPr="00DB3FE7">
              <w:t>Total scripts dispensed</w:t>
            </w:r>
          </w:p>
        </w:tc>
        <w:tc>
          <w:tcPr>
            <w:tcW w:w="671" w:type="pct"/>
            <w:shd w:val="clear" w:color="auto" w:fill="auto"/>
            <w:vAlign w:val="center"/>
          </w:tcPr>
          <w:p w14:paraId="1D4F5AD2" w14:textId="33953630" w:rsidR="001B1A34" w:rsidRPr="00DB3FE7" w:rsidRDefault="00544295" w:rsidP="006A6C78">
            <w:pPr>
              <w:pStyle w:val="COMTabletext"/>
              <w:jc w:val="center"/>
              <w:rPr>
                <w:color w:val="000000"/>
                <w:highlight w:val="darkGray"/>
              </w:rPr>
            </w:pPr>
            <w:r w:rsidRPr="00C41A91">
              <w:rPr>
                <w:color w:val="000000"/>
                <w:spacing w:val="206"/>
                <w:shd w:val="solid" w:color="000000" w:fill="000000"/>
                <w:fitText w:val="292" w:id="-1233410816"/>
                <w14:textFill>
                  <w14:solidFill>
                    <w14:srgbClr w14:val="000000">
                      <w14:alpha w14:val="100000"/>
                    </w14:srgbClr>
                  </w14:solidFill>
                </w14:textFill>
              </w:rPr>
              <w:t>|</w:t>
            </w:r>
            <w:r w:rsidRPr="00C41A91">
              <w:rPr>
                <w:color w:val="000000"/>
                <w:spacing w:val="1"/>
                <w:shd w:val="solid" w:color="000000" w:fill="000000"/>
                <w:fitText w:val="292" w:id="-1233410816"/>
                <w14:textFill>
                  <w14:solidFill>
                    <w14:srgbClr w14:val="000000">
                      <w14:alpha w14:val="100000"/>
                    </w14:srgbClr>
                  </w14:solidFill>
                </w14:textFill>
              </w:rPr>
              <w:t>|</w:t>
            </w:r>
            <w:r w:rsidR="00862CF1" w:rsidRPr="00DB3FE7">
              <w:rPr>
                <w:vertAlign w:val="superscript"/>
              </w:rPr>
              <w:t>5</w:t>
            </w:r>
          </w:p>
        </w:tc>
        <w:tc>
          <w:tcPr>
            <w:tcW w:w="673" w:type="pct"/>
            <w:shd w:val="clear" w:color="auto" w:fill="auto"/>
            <w:vAlign w:val="center"/>
          </w:tcPr>
          <w:p w14:paraId="085BFAEA" w14:textId="7565BB16" w:rsidR="001B1A34" w:rsidRPr="00DB3FE7" w:rsidRDefault="00544295" w:rsidP="006A6C78">
            <w:pPr>
              <w:pStyle w:val="COMTabletext"/>
              <w:jc w:val="center"/>
              <w:rPr>
                <w:color w:val="000000"/>
                <w:highlight w:val="darkGray"/>
              </w:rPr>
            </w:pPr>
            <w:r w:rsidRPr="00C41A91">
              <w:rPr>
                <w:color w:val="000000"/>
                <w:spacing w:val="206"/>
                <w:shd w:val="solid" w:color="000000" w:fill="000000"/>
                <w:fitText w:val="292" w:id="-1233410815"/>
                <w14:textFill>
                  <w14:solidFill>
                    <w14:srgbClr w14:val="000000">
                      <w14:alpha w14:val="100000"/>
                    </w14:srgbClr>
                  </w14:solidFill>
                </w14:textFill>
              </w:rPr>
              <w:t>|</w:t>
            </w:r>
            <w:r w:rsidRPr="00C41A91">
              <w:rPr>
                <w:color w:val="000000"/>
                <w:spacing w:val="1"/>
                <w:shd w:val="solid" w:color="000000" w:fill="000000"/>
                <w:fitText w:val="292" w:id="-1233410815"/>
                <w14:textFill>
                  <w14:solidFill>
                    <w14:srgbClr w14:val="000000">
                      <w14:alpha w14:val="100000"/>
                    </w14:srgbClr>
                  </w14:solidFill>
                </w14:textFill>
              </w:rPr>
              <w:t>|</w:t>
            </w:r>
            <w:r w:rsidR="00862CF1" w:rsidRPr="00DB3FE7">
              <w:rPr>
                <w:vertAlign w:val="superscript"/>
              </w:rPr>
              <w:t>5</w:t>
            </w:r>
          </w:p>
        </w:tc>
        <w:tc>
          <w:tcPr>
            <w:tcW w:w="598" w:type="pct"/>
            <w:shd w:val="clear" w:color="auto" w:fill="auto"/>
            <w:vAlign w:val="center"/>
          </w:tcPr>
          <w:p w14:paraId="4BB5A791" w14:textId="667D92A7" w:rsidR="001B1A34" w:rsidRPr="00DB3FE7" w:rsidRDefault="00544295" w:rsidP="006A6C78">
            <w:pPr>
              <w:pStyle w:val="COMTabletext"/>
              <w:jc w:val="center"/>
              <w:rPr>
                <w:color w:val="000000"/>
                <w:highlight w:val="darkGray"/>
              </w:rPr>
            </w:pPr>
            <w:r w:rsidRPr="00C41A91">
              <w:rPr>
                <w:color w:val="000000"/>
                <w:spacing w:val="43"/>
                <w:shd w:val="solid" w:color="000000" w:fill="000000"/>
                <w:fitText w:val="301" w:id="-1233410814"/>
                <w14:textFill>
                  <w14:solidFill>
                    <w14:srgbClr w14:val="000000">
                      <w14:alpha w14:val="100000"/>
                    </w14:srgbClr>
                  </w14:solidFill>
                </w14:textFill>
              </w:rPr>
              <w:t>|||</w:t>
            </w:r>
            <w:r w:rsidRPr="00C41A91">
              <w:rPr>
                <w:color w:val="000000"/>
                <w:spacing w:val="2"/>
                <w:shd w:val="solid" w:color="000000" w:fill="000000"/>
                <w:fitText w:val="301" w:id="-1233410814"/>
                <w14:textFill>
                  <w14:solidFill>
                    <w14:srgbClr w14:val="000000">
                      <w14:alpha w14:val="100000"/>
                    </w14:srgbClr>
                  </w14:solidFill>
                </w14:textFill>
              </w:rPr>
              <w:t>|</w:t>
            </w:r>
            <w:r w:rsidR="00862CF1" w:rsidRPr="00DB3FE7">
              <w:rPr>
                <w:vertAlign w:val="superscript"/>
              </w:rPr>
              <w:t>9</w:t>
            </w:r>
          </w:p>
        </w:tc>
        <w:tc>
          <w:tcPr>
            <w:tcW w:w="598" w:type="pct"/>
            <w:shd w:val="clear" w:color="auto" w:fill="auto"/>
            <w:vAlign w:val="center"/>
          </w:tcPr>
          <w:p w14:paraId="12EA473C" w14:textId="495B009C" w:rsidR="001B1A34" w:rsidRPr="00DB3FE7" w:rsidRDefault="00544295" w:rsidP="006A6C78">
            <w:pPr>
              <w:pStyle w:val="COMTabletext"/>
              <w:jc w:val="center"/>
              <w:rPr>
                <w:color w:val="000000"/>
                <w:highlight w:val="darkGray"/>
              </w:rPr>
            </w:pPr>
            <w:r w:rsidRPr="00C41A91">
              <w:rPr>
                <w:color w:val="000000"/>
                <w:spacing w:val="205"/>
                <w:shd w:val="solid" w:color="000000" w:fill="000000"/>
                <w:fitText w:val="291" w:id="-1233410813"/>
                <w14:textFill>
                  <w14:solidFill>
                    <w14:srgbClr w14:val="000000">
                      <w14:alpha w14:val="100000"/>
                    </w14:srgbClr>
                  </w14:solidFill>
                </w14:textFill>
              </w:rPr>
              <w:t>|</w:t>
            </w:r>
            <w:r w:rsidRPr="00C41A91">
              <w:rPr>
                <w:color w:val="000000"/>
                <w:spacing w:val="1"/>
                <w:shd w:val="solid" w:color="000000" w:fill="000000"/>
                <w:fitText w:val="291" w:id="-1233410813"/>
                <w14:textFill>
                  <w14:solidFill>
                    <w14:srgbClr w14:val="000000">
                      <w14:alpha w14:val="100000"/>
                    </w14:srgbClr>
                  </w14:solidFill>
                </w14:textFill>
              </w:rPr>
              <w:t>|</w:t>
            </w:r>
            <w:r w:rsidR="00862CF1" w:rsidRPr="00DB3FE7">
              <w:rPr>
                <w:vertAlign w:val="superscript"/>
              </w:rPr>
              <w:t>9</w:t>
            </w:r>
          </w:p>
        </w:tc>
        <w:tc>
          <w:tcPr>
            <w:tcW w:w="598" w:type="pct"/>
            <w:shd w:val="clear" w:color="auto" w:fill="auto"/>
            <w:vAlign w:val="center"/>
          </w:tcPr>
          <w:p w14:paraId="40BB8F4E" w14:textId="52B7EB2F" w:rsidR="001B1A34" w:rsidRPr="00DB3FE7" w:rsidRDefault="00544295" w:rsidP="006A6C78">
            <w:pPr>
              <w:pStyle w:val="COMTabletext"/>
              <w:jc w:val="center"/>
              <w:rPr>
                <w:color w:val="000000"/>
                <w:highlight w:val="darkGray"/>
              </w:rPr>
            </w:pPr>
            <w:r w:rsidRPr="00C41A91">
              <w:rPr>
                <w:color w:val="000000"/>
                <w:spacing w:val="205"/>
                <w:shd w:val="solid" w:color="000000" w:fill="000000"/>
                <w:fitText w:val="291" w:id="-1233410812"/>
                <w14:textFill>
                  <w14:solidFill>
                    <w14:srgbClr w14:val="000000">
                      <w14:alpha w14:val="100000"/>
                    </w14:srgbClr>
                  </w14:solidFill>
                </w14:textFill>
              </w:rPr>
              <w:t>|</w:t>
            </w:r>
            <w:r w:rsidRPr="00C41A91">
              <w:rPr>
                <w:color w:val="000000"/>
                <w:spacing w:val="1"/>
                <w:shd w:val="solid" w:color="000000" w:fill="000000"/>
                <w:fitText w:val="291" w:id="-1233410812"/>
                <w14:textFill>
                  <w14:solidFill>
                    <w14:srgbClr w14:val="000000">
                      <w14:alpha w14:val="100000"/>
                    </w14:srgbClr>
                  </w14:solidFill>
                </w14:textFill>
              </w:rPr>
              <w:t>|</w:t>
            </w:r>
            <w:r w:rsidR="00862CF1" w:rsidRPr="00DB3FE7">
              <w:rPr>
                <w:vertAlign w:val="superscript"/>
              </w:rPr>
              <w:t>9</w:t>
            </w:r>
          </w:p>
        </w:tc>
        <w:tc>
          <w:tcPr>
            <w:tcW w:w="595" w:type="pct"/>
            <w:vAlign w:val="center"/>
          </w:tcPr>
          <w:p w14:paraId="76757A40" w14:textId="681C9376" w:rsidR="001B1A34" w:rsidRPr="00DB3FE7" w:rsidRDefault="00544295" w:rsidP="006A6C78">
            <w:pPr>
              <w:pStyle w:val="COMTabletext"/>
              <w:jc w:val="center"/>
              <w:rPr>
                <w:color w:val="000000"/>
                <w:highlight w:val="darkGray"/>
              </w:rPr>
            </w:pPr>
            <w:r w:rsidRPr="00C41A91">
              <w:rPr>
                <w:color w:val="000000"/>
                <w:spacing w:val="30"/>
                <w:shd w:val="solid" w:color="000000" w:fill="000000"/>
                <w:fitText w:val="300" w:id="-1233410560"/>
                <w14:textFill>
                  <w14:solidFill>
                    <w14:srgbClr w14:val="000000">
                      <w14:alpha w14:val="100000"/>
                    </w14:srgbClr>
                  </w14:solidFill>
                </w14:textFill>
              </w:rPr>
              <w:t>||||</w:t>
            </w:r>
            <w:r w:rsidR="00862CF1" w:rsidRPr="00DB3FE7">
              <w:rPr>
                <w:vertAlign w:val="superscript"/>
              </w:rPr>
              <w:t>9</w:t>
            </w:r>
          </w:p>
        </w:tc>
      </w:tr>
      <w:tr w:rsidR="001B1A34" w:rsidRPr="00DB3FE7" w14:paraId="37BD7D71" w14:textId="77777777" w:rsidTr="00544295">
        <w:tc>
          <w:tcPr>
            <w:tcW w:w="5000" w:type="pct"/>
            <w:gridSpan w:val="7"/>
            <w:shd w:val="clear" w:color="auto" w:fill="auto"/>
            <w:vAlign w:val="center"/>
          </w:tcPr>
          <w:p w14:paraId="0E56EC8C" w14:textId="77777777" w:rsidR="001B1A34" w:rsidRPr="00DB3FE7" w:rsidRDefault="001B1A34" w:rsidP="006A6C78">
            <w:pPr>
              <w:pStyle w:val="COMTableheadingrow"/>
              <w:rPr>
                <w:lang w:val="en-AU"/>
              </w:rPr>
            </w:pPr>
            <w:r w:rsidRPr="00DB3FE7">
              <w:rPr>
                <w:lang w:val="en-AU"/>
              </w:rPr>
              <w:t>Estimated financial implications of inclisiran</w:t>
            </w:r>
          </w:p>
        </w:tc>
      </w:tr>
      <w:tr w:rsidR="00315E87" w:rsidRPr="00DB3FE7" w14:paraId="629884D8" w14:textId="77777777" w:rsidTr="00315E87">
        <w:tc>
          <w:tcPr>
            <w:tcW w:w="1268" w:type="pct"/>
            <w:shd w:val="clear" w:color="auto" w:fill="auto"/>
            <w:vAlign w:val="center"/>
          </w:tcPr>
          <w:p w14:paraId="7B8235EF" w14:textId="42F0C637" w:rsidR="001B1A34" w:rsidRPr="00DB3FE7" w:rsidRDefault="001B1A34" w:rsidP="006A6C78">
            <w:pPr>
              <w:pStyle w:val="COMTabletext"/>
              <w:rPr>
                <w:sz w:val="19"/>
                <w:szCs w:val="19"/>
              </w:rPr>
            </w:pPr>
            <w:r w:rsidRPr="00DB3FE7">
              <w:t xml:space="preserve">Cost to PBS/RPBS less </w:t>
            </w:r>
            <w:r w:rsidR="00E82D09" w:rsidRPr="00DB3FE7">
              <w:t>co-payments</w:t>
            </w:r>
            <w:r w:rsidR="006E4336" w:rsidRPr="00DB3FE7">
              <w:t xml:space="preserve"> ($)</w:t>
            </w:r>
          </w:p>
        </w:tc>
        <w:tc>
          <w:tcPr>
            <w:tcW w:w="671" w:type="pct"/>
            <w:shd w:val="clear" w:color="auto" w:fill="auto"/>
            <w:vAlign w:val="center"/>
          </w:tcPr>
          <w:p w14:paraId="4D5C0284" w14:textId="2BB6A211"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9"/>
                <w14:textFill>
                  <w14:solidFill>
                    <w14:srgbClr w14:val="000000">
                      <w14:alpha w14:val="100000"/>
                    </w14:srgbClr>
                  </w14:solidFill>
                </w14:textFill>
              </w:rPr>
              <w:t>|||</w:t>
            </w:r>
            <w:r w:rsidRPr="00C41A91">
              <w:rPr>
                <w:color w:val="000000"/>
                <w:spacing w:val="2"/>
                <w:shd w:val="solid" w:color="000000" w:fill="000000"/>
                <w:fitText w:val="319" w:id="-1233410559"/>
                <w14:textFill>
                  <w14:solidFill>
                    <w14:srgbClr w14:val="000000">
                      <w14:alpha w14:val="100000"/>
                    </w14:srgbClr>
                  </w14:solidFill>
                </w14:textFill>
              </w:rPr>
              <w:t>|</w:t>
            </w:r>
            <w:r w:rsidR="00862CF1" w:rsidRPr="00DB3FE7">
              <w:rPr>
                <w:vertAlign w:val="superscript"/>
              </w:rPr>
              <w:t>10</w:t>
            </w:r>
          </w:p>
        </w:tc>
        <w:tc>
          <w:tcPr>
            <w:tcW w:w="673" w:type="pct"/>
            <w:shd w:val="clear" w:color="auto" w:fill="auto"/>
            <w:vAlign w:val="center"/>
          </w:tcPr>
          <w:p w14:paraId="5DD962FC" w14:textId="28707ACA"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8"/>
                <w14:textFill>
                  <w14:solidFill>
                    <w14:srgbClr w14:val="000000">
                      <w14:alpha w14:val="100000"/>
                    </w14:srgbClr>
                  </w14:solidFill>
                </w14:textFill>
              </w:rPr>
              <w:t>|||</w:t>
            </w:r>
            <w:r w:rsidRPr="00C41A91">
              <w:rPr>
                <w:color w:val="000000"/>
                <w:spacing w:val="2"/>
                <w:shd w:val="solid" w:color="000000" w:fill="000000"/>
                <w:fitText w:val="319" w:id="-1233410558"/>
                <w14:textFill>
                  <w14:solidFill>
                    <w14:srgbClr w14:val="000000">
                      <w14:alpha w14:val="100000"/>
                    </w14:srgbClr>
                  </w14:solidFill>
                </w14:textFill>
              </w:rPr>
              <w:t>|</w:t>
            </w:r>
            <w:r w:rsidR="00862CF1" w:rsidRPr="00DB3FE7">
              <w:rPr>
                <w:vertAlign w:val="superscript"/>
              </w:rPr>
              <w:t>11</w:t>
            </w:r>
          </w:p>
        </w:tc>
        <w:tc>
          <w:tcPr>
            <w:tcW w:w="598" w:type="pct"/>
            <w:shd w:val="clear" w:color="auto" w:fill="auto"/>
            <w:vAlign w:val="center"/>
          </w:tcPr>
          <w:p w14:paraId="77B74000" w14:textId="638E290D" w:rsidR="001B1A34" w:rsidRPr="00DB3FE7" w:rsidRDefault="00544295" w:rsidP="006A6C78">
            <w:pPr>
              <w:pStyle w:val="COMTabletext"/>
              <w:jc w:val="center"/>
              <w:rPr>
                <w:highlight w:val="darkGray"/>
              </w:rPr>
            </w:pPr>
            <w:r w:rsidRPr="00C41A91">
              <w:rPr>
                <w:color w:val="000000"/>
                <w:spacing w:val="52"/>
                <w:shd w:val="solid" w:color="000000" w:fill="000000"/>
                <w:fitText w:val="329" w:id="-1233410557"/>
                <w14:textFill>
                  <w14:solidFill>
                    <w14:srgbClr w14:val="000000">
                      <w14:alpha w14:val="100000"/>
                    </w14:srgbClr>
                  </w14:solidFill>
                </w14:textFill>
              </w:rPr>
              <w:t>|||</w:t>
            </w:r>
            <w:r w:rsidRPr="00C41A91">
              <w:rPr>
                <w:color w:val="000000"/>
                <w:spacing w:val="3"/>
                <w:shd w:val="solid" w:color="000000" w:fill="000000"/>
                <w:fitText w:val="329" w:id="-1233410557"/>
                <w14:textFill>
                  <w14:solidFill>
                    <w14:srgbClr w14:val="000000">
                      <w14:alpha w14:val="100000"/>
                    </w14:srgbClr>
                  </w14:solidFill>
                </w14:textFill>
              </w:rPr>
              <w:t>|</w:t>
            </w:r>
            <w:r w:rsidR="00862CF1" w:rsidRPr="00DB3FE7">
              <w:rPr>
                <w:vertAlign w:val="superscript"/>
              </w:rPr>
              <w:t>12</w:t>
            </w:r>
          </w:p>
        </w:tc>
        <w:tc>
          <w:tcPr>
            <w:tcW w:w="598" w:type="pct"/>
            <w:shd w:val="clear" w:color="auto" w:fill="auto"/>
            <w:vAlign w:val="center"/>
          </w:tcPr>
          <w:p w14:paraId="4C1F33C4" w14:textId="75F71662"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6"/>
                <w14:textFill>
                  <w14:solidFill>
                    <w14:srgbClr w14:val="000000">
                      <w14:alpha w14:val="100000"/>
                    </w14:srgbClr>
                  </w14:solidFill>
                </w14:textFill>
              </w:rPr>
              <w:t>|||</w:t>
            </w:r>
            <w:r w:rsidRPr="00C41A91">
              <w:rPr>
                <w:color w:val="000000"/>
                <w:spacing w:val="2"/>
                <w:shd w:val="solid" w:color="000000" w:fill="000000"/>
                <w:fitText w:val="319" w:id="-1233410556"/>
                <w14:textFill>
                  <w14:solidFill>
                    <w14:srgbClr w14:val="000000">
                      <w14:alpha w14:val="100000"/>
                    </w14:srgbClr>
                  </w14:solidFill>
                </w14:textFill>
              </w:rPr>
              <w:t>|</w:t>
            </w:r>
            <w:r w:rsidR="00862CF1" w:rsidRPr="00DB3FE7">
              <w:rPr>
                <w:vertAlign w:val="superscript"/>
              </w:rPr>
              <w:t>13</w:t>
            </w:r>
          </w:p>
        </w:tc>
        <w:tc>
          <w:tcPr>
            <w:tcW w:w="598" w:type="pct"/>
            <w:shd w:val="clear" w:color="auto" w:fill="auto"/>
            <w:vAlign w:val="center"/>
          </w:tcPr>
          <w:p w14:paraId="6411B21B" w14:textId="43D7E264"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5"/>
                <w14:textFill>
                  <w14:solidFill>
                    <w14:srgbClr w14:val="000000">
                      <w14:alpha w14:val="100000"/>
                    </w14:srgbClr>
                  </w14:solidFill>
                </w14:textFill>
              </w:rPr>
              <w:t>|||</w:t>
            </w:r>
            <w:r w:rsidRPr="00C41A91">
              <w:rPr>
                <w:color w:val="000000"/>
                <w:spacing w:val="2"/>
                <w:shd w:val="solid" w:color="000000" w:fill="000000"/>
                <w:fitText w:val="319" w:id="-1233410555"/>
                <w14:textFill>
                  <w14:solidFill>
                    <w14:srgbClr w14:val="000000">
                      <w14:alpha w14:val="100000"/>
                    </w14:srgbClr>
                  </w14:solidFill>
                </w14:textFill>
              </w:rPr>
              <w:t>|</w:t>
            </w:r>
            <w:r w:rsidR="00862CF1" w:rsidRPr="00DB3FE7">
              <w:rPr>
                <w:vertAlign w:val="superscript"/>
              </w:rPr>
              <w:t>14</w:t>
            </w:r>
          </w:p>
        </w:tc>
        <w:tc>
          <w:tcPr>
            <w:tcW w:w="595" w:type="pct"/>
            <w:vAlign w:val="center"/>
          </w:tcPr>
          <w:p w14:paraId="15EA8FBA" w14:textId="0CF19DE9" w:rsidR="001B1A34" w:rsidRPr="00DB3FE7" w:rsidRDefault="00544295" w:rsidP="006A6C78">
            <w:pPr>
              <w:pStyle w:val="COMTabletext"/>
              <w:jc w:val="center"/>
              <w:rPr>
                <w:highlight w:val="darkGray"/>
              </w:rPr>
            </w:pPr>
            <w:r w:rsidRPr="00C41A91">
              <w:rPr>
                <w:color w:val="000000"/>
                <w:spacing w:val="52"/>
                <w:shd w:val="solid" w:color="000000" w:fill="000000"/>
                <w:fitText w:val="328" w:id="-1233410554"/>
                <w14:textFill>
                  <w14:solidFill>
                    <w14:srgbClr w14:val="000000">
                      <w14:alpha w14:val="100000"/>
                    </w14:srgbClr>
                  </w14:solidFill>
                </w14:textFill>
              </w:rPr>
              <w:t>|||</w:t>
            </w:r>
            <w:r w:rsidRPr="00C41A91">
              <w:rPr>
                <w:color w:val="000000"/>
                <w:spacing w:val="2"/>
                <w:shd w:val="solid" w:color="000000" w:fill="000000"/>
                <w:fitText w:val="328" w:id="-1233410554"/>
                <w14:textFill>
                  <w14:solidFill>
                    <w14:srgbClr w14:val="000000">
                      <w14:alpha w14:val="100000"/>
                    </w14:srgbClr>
                  </w14:solidFill>
                </w14:textFill>
              </w:rPr>
              <w:t>|</w:t>
            </w:r>
            <w:r w:rsidR="00862CF1" w:rsidRPr="00DB3FE7">
              <w:rPr>
                <w:vertAlign w:val="superscript"/>
              </w:rPr>
              <w:t>14</w:t>
            </w:r>
          </w:p>
        </w:tc>
      </w:tr>
      <w:tr w:rsidR="001B1A34" w:rsidRPr="00DB3FE7" w14:paraId="351A0A0C" w14:textId="77777777" w:rsidTr="00544295">
        <w:tc>
          <w:tcPr>
            <w:tcW w:w="5000" w:type="pct"/>
            <w:gridSpan w:val="7"/>
            <w:shd w:val="clear" w:color="auto" w:fill="auto"/>
            <w:vAlign w:val="center"/>
          </w:tcPr>
          <w:p w14:paraId="102D4E1B" w14:textId="77777777" w:rsidR="001B1A34" w:rsidRPr="00DB3FE7" w:rsidRDefault="001B1A34" w:rsidP="006A6C78">
            <w:pPr>
              <w:pStyle w:val="COMTableheadingrow"/>
              <w:rPr>
                <w:lang w:val="en-AU"/>
              </w:rPr>
            </w:pPr>
            <w:r w:rsidRPr="00DB3FE7">
              <w:rPr>
                <w:lang w:val="en-AU"/>
              </w:rPr>
              <w:t>Estimated financial implications due to changes in use of other medicines</w:t>
            </w:r>
          </w:p>
        </w:tc>
      </w:tr>
      <w:tr w:rsidR="00315E87" w:rsidRPr="00DB3FE7" w14:paraId="599BC866" w14:textId="77777777" w:rsidTr="00315E87">
        <w:tc>
          <w:tcPr>
            <w:tcW w:w="1268" w:type="pct"/>
            <w:shd w:val="clear" w:color="auto" w:fill="auto"/>
            <w:vAlign w:val="center"/>
          </w:tcPr>
          <w:p w14:paraId="43003697" w14:textId="29F108F8" w:rsidR="001B1A34" w:rsidRPr="00DB3FE7" w:rsidRDefault="001B1A34" w:rsidP="006A6C78">
            <w:pPr>
              <w:pStyle w:val="COMTabletext"/>
              <w:rPr>
                <w:sz w:val="19"/>
                <w:szCs w:val="19"/>
              </w:rPr>
            </w:pPr>
            <w:r w:rsidRPr="00DB3FE7">
              <w:t xml:space="preserve">PBS/RPBS cost offset less </w:t>
            </w:r>
            <w:r w:rsidR="00E82D09" w:rsidRPr="00DB3FE7">
              <w:t>co-payments</w:t>
            </w:r>
            <w:r w:rsidRPr="00DB3FE7">
              <w:t xml:space="preserve"> for ezetimibe monotherapy and ezetimibe/statin combinations</w:t>
            </w:r>
            <w:r w:rsidR="006E4336" w:rsidRPr="00DB3FE7">
              <w:t xml:space="preserve"> ($)</w:t>
            </w:r>
          </w:p>
        </w:tc>
        <w:tc>
          <w:tcPr>
            <w:tcW w:w="671" w:type="pct"/>
            <w:shd w:val="clear" w:color="auto" w:fill="auto"/>
            <w:vAlign w:val="center"/>
          </w:tcPr>
          <w:p w14:paraId="7A3B1C96" w14:textId="005A7941"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3"/>
                <w14:textFill>
                  <w14:solidFill>
                    <w14:srgbClr w14:val="000000">
                      <w14:alpha w14:val="100000"/>
                    </w14:srgbClr>
                  </w14:solidFill>
                </w14:textFill>
              </w:rPr>
              <w:t>|||</w:t>
            </w:r>
            <w:r w:rsidRPr="00C41A91">
              <w:rPr>
                <w:color w:val="000000"/>
                <w:spacing w:val="2"/>
                <w:shd w:val="solid" w:color="000000" w:fill="000000"/>
                <w:fitText w:val="319" w:id="-1233410553"/>
                <w14:textFill>
                  <w14:solidFill>
                    <w14:srgbClr w14:val="000000">
                      <w14:alpha w14:val="100000"/>
                    </w14:srgbClr>
                  </w14:solidFill>
                </w14:textFill>
              </w:rPr>
              <w:t>|</w:t>
            </w:r>
            <w:r w:rsidR="00862CF1" w:rsidRPr="00DB3FE7">
              <w:rPr>
                <w:vertAlign w:val="superscript"/>
              </w:rPr>
              <w:t>15</w:t>
            </w:r>
          </w:p>
        </w:tc>
        <w:tc>
          <w:tcPr>
            <w:tcW w:w="673" w:type="pct"/>
            <w:shd w:val="clear" w:color="auto" w:fill="auto"/>
            <w:vAlign w:val="center"/>
          </w:tcPr>
          <w:p w14:paraId="48C4AF9C" w14:textId="3EB9A9A7"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2"/>
                <w14:textFill>
                  <w14:solidFill>
                    <w14:srgbClr w14:val="000000">
                      <w14:alpha w14:val="100000"/>
                    </w14:srgbClr>
                  </w14:solidFill>
                </w14:textFill>
              </w:rPr>
              <w:t>|||</w:t>
            </w:r>
            <w:r w:rsidRPr="00C41A91">
              <w:rPr>
                <w:color w:val="000000"/>
                <w:spacing w:val="2"/>
                <w:shd w:val="solid" w:color="000000" w:fill="000000"/>
                <w:fitText w:val="319" w:id="-1233410552"/>
                <w14:textFill>
                  <w14:solidFill>
                    <w14:srgbClr w14:val="000000">
                      <w14:alpha w14:val="100000"/>
                    </w14:srgbClr>
                  </w14:solidFill>
                </w14:textFill>
              </w:rPr>
              <w:t>|</w:t>
            </w:r>
            <w:r w:rsidR="00862CF1" w:rsidRPr="00DB3FE7">
              <w:rPr>
                <w:vertAlign w:val="superscript"/>
              </w:rPr>
              <w:t>15</w:t>
            </w:r>
          </w:p>
        </w:tc>
        <w:tc>
          <w:tcPr>
            <w:tcW w:w="598" w:type="pct"/>
            <w:shd w:val="clear" w:color="auto" w:fill="auto"/>
            <w:vAlign w:val="center"/>
          </w:tcPr>
          <w:p w14:paraId="3C91DD19" w14:textId="4CF0FFCC" w:rsidR="001B1A34" w:rsidRPr="00DB3FE7" w:rsidRDefault="00544295" w:rsidP="006A6C78">
            <w:pPr>
              <w:pStyle w:val="COMTabletext"/>
              <w:jc w:val="center"/>
              <w:rPr>
                <w:highlight w:val="darkGray"/>
              </w:rPr>
            </w:pPr>
            <w:r w:rsidRPr="00C41A91">
              <w:rPr>
                <w:color w:val="000000"/>
                <w:spacing w:val="52"/>
                <w:shd w:val="solid" w:color="000000" w:fill="000000"/>
                <w:fitText w:val="329" w:id="-1233410551"/>
                <w14:textFill>
                  <w14:solidFill>
                    <w14:srgbClr w14:val="000000">
                      <w14:alpha w14:val="100000"/>
                    </w14:srgbClr>
                  </w14:solidFill>
                </w14:textFill>
              </w:rPr>
              <w:t>|||</w:t>
            </w:r>
            <w:r w:rsidRPr="00C41A91">
              <w:rPr>
                <w:color w:val="000000"/>
                <w:spacing w:val="3"/>
                <w:shd w:val="solid" w:color="000000" w:fill="000000"/>
                <w:fitText w:val="329" w:id="-1233410551"/>
                <w14:textFill>
                  <w14:solidFill>
                    <w14:srgbClr w14:val="000000">
                      <w14:alpha w14:val="100000"/>
                    </w14:srgbClr>
                  </w14:solidFill>
                </w14:textFill>
              </w:rPr>
              <w:t>|</w:t>
            </w:r>
            <w:r w:rsidR="00862CF1" w:rsidRPr="00DB3FE7">
              <w:rPr>
                <w:vertAlign w:val="superscript"/>
              </w:rPr>
              <w:t>15</w:t>
            </w:r>
          </w:p>
        </w:tc>
        <w:tc>
          <w:tcPr>
            <w:tcW w:w="598" w:type="pct"/>
            <w:shd w:val="clear" w:color="auto" w:fill="auto"/>
            <w:vAlign w:val="center"/>
          </w:tcPr>
          <w:p w14:paraId="42DBD15D" w14:textId="0D94FF1D"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0"/>
                <w14:textFill>
                  <w14:solidFill>
                    <w14:srgbClr w14:val="000000">
                      <w14:alpha w14:val="100000"/>
                    </w14:srgbClr>
                  </w14:solidFill>
                </w14:textFill>
              </w:rPr>
              <w:t>|||</w:t>
            </w:r>
            <w:r w:rsidRPr="00C41A91">
              <w:rPr>
                <w:color w:val="000000"/>
                <w:spacing w:val="2"/>
                <w:shd w:val="solid" w:color="000000" w:fill="000000"/>
                <w:fitText w:val="319" w:id="-1233410550"/>
                <w14:textFill>
                  <w14:solidFill>
                    <w14:srgbClr w14:val="000000">
                      <w14:alpha w14:val="100000"/>
                    </w14:srgbClr>
                  </w14:solidFill>
                </w14:textFill>
              </w:rPr>
              <w:t>|</w:t>
            </w:r>
            <w:r w:rsidR="00862CF1" w:rsidRPr="00DB3FE7">
              <w:rPr>
                <w:vertAlign w:val="superscript"/>
              </w:rPr>
              <w:t>15</w:t>
            </w:r>
          </w:p>
        </w:tc>
        <w:tc>
          <w:tcPr>
            <w:tcW w:w="598" w:type="pct"/>
            <w:shd w:val="clear" w:color="auto" w:fill="auto"/>
            <w:vAlign w:val="center"/>
          </w:tcPr>
          <w:p w14:paraId="05FBA8FE" w14:textId="32CC9CB8"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9"/>
                <w14:textFill>
                  <w14:solidFill>
                    <w14:srgbClr w14:val="000000">
                      <w14:alpha w14:val="100000"/>
                    </w14:srgbClr>
                  </w14:solidFill>
                </w14:textFill>
              </w:rPr>
              <w:t>|||</w:t>
            </w:r>
            <w:r w:rsidRPr="00C41A91">
              <w:rPr>
                <w:color w:val="000000"/>
                <w:spacing w:val="2"/>
                <w:shd w:val="solid" w:color="000000" w:fill="000000"/>
                <w:fitText w:val="319" w:id="-1233410549"/>
                <w14:textFill>
                  <w14:solidFill>
                    <w14:srgbClr w14:val="000000">
                      <w14:alpha w14:val="100000"/>
                    </w14:srgbClr>
                  </w14:solidFill>
                </w14:textFill>
              </w:rPr>
              <w:t>|</w:t>
            </w:r>
            <w:r w:rsidR="00862CF1" w:rsidRPr="00DB3FE7">
              <w:rPr>
                <w:vertAlign w:val="superscript"/>
              </w:rPr>
              <w:t>15</w:t>
            </w:r>
          </w:p>
        </w:tc>
        <w:tc>
          <w:tcPr>
            <w:tcW w:w="595" w:type="pct"/>
            <w:vAlign w:val="center"/>
          </w:tcPr>
          <w:p w14:paraId="228EC156" w14:textId="63FBABFF" w:rsidR="001B1A34" w:rsidRPr="00DB3FE7" w:rsidRDefault="00544295" w:rsidP="006A6C78">
            <w:pPr>
              <w:pStyle w:val="COMTabletext"/>
              <w:jc w:val="center"/>
              <w:rPr>
                <w:highlight w:val="darkGray"/>
              </w:rPr>
            </w:pPr>
            <w:r w:rsidRPr="00C41A91">
              <w:rPr>
                <w:color w:val="000000"/>
                <w:spacing w:val="52"/>
                <w:shd w:val="solid" w:color="000000" w:fill="000000"/>
                <w:fitText w:val="328" w:id="-1233410548"/>
                <w14:textFill>
                  <w14:solidFill>
                    <w14:srgbClr w14:val="000000">
                      <w14:alpha w14:val="100000"/>
                    </w14:srgbClr>
                  </w14:solidFill>
                </w14:textFill>
              </w:rPr>
              <w:t>|||</w:t>
            </w:r>
            <w:r w:rsidRPr="00C41A91">
              <w:rPr>
                <w:color w:val="000000"/>
                <w:spacing w:val="2"/>
                <w:shd w:val="solid" w:color="000000" w:fill="000000"/>
                <w:fitText w:val="328" w:id="-1233410548"/>
                <w14:textFill>
                  <w14:solidFill>
                    <w14:srgbClr w14:val="000000">
                      <w14:alpha w14:val="100000"/>
                    </w14:srgbClr>
                  </w14:solidFill>
                </w14:textFill>
              </w:rPr>
              <w:t>|</w:t>
            </w:r>
            <w:r w:rsidR="00862CF1" w:rsidRPr="00DB3FE7">
              <w:rPr>
                <w:vertAlign w:val="superscript"/>
              </w:rPr>
              <w:t>15</w:t>
            </w:r>
          </w:p>
        </w:tc>
      </w:tr>
      <w:tr w:rsidR="00315E87" w:rsidRPr="00DB3FE7" w14:paraId="2FB9CB58" w14:textId="77777777" w:rsidTr="00315E87">
        <w:tc>
          <w:tcPr>
            <w:tcW w:w="1268" w:type="pct"/>
            <w:shd w:val="clear" w:color="auto" w:fill="auto"/>
            <w:vAlign w:val="center"/>
          </w:tcPr>
          <w:p w14:paraId="4863C7D2" w14:textId="1EF1D588" w:rsidR="001B1A34" w:rsidRPr="00DB3FE7" w:rsidRDefault="001B1A34" w:rsidP="006A6C78">
            <w:pPr>
              <w:pStyle w:val="COMTabletext"/>
            </w:pPr>
            <w:r w:rsidRPr="00DB3FE7">
              <w:t xml:space="preserve">PBS/RPBS cost offset less </w:t>
            </w:r>
            <w:r w:rsidR="00E82D09" w:rsidRPr="00DB3FE7">
              <w:t>co-payments</w:t>
            </w:r>
            <w:r w:rsidRPr="00DB3FE7">
              <w:t xml:space="preserve"> for avoided use of subsequent-line PCSK9</w:t>
            </w:r>
            <w:r w:rsidR="006E4336" w:rsidRPr="00DB3FE7">
              <w:t xml:space="preserve"> ($)</w:t>
            </w:r>
          </w:p>
        </w:tc>
        <w:tc>
          <w:tcPr>
            <w:tcW w:w="671" w:type="pct"/>
            <w:shd w:val="clear" w:color="auto" w:fill="auto"/>
            <w:vAlign w:val="center"/>
          </w:tcPr>
          <w:p w14:paraId="36F5AA2B" w14:textId="7DFFDEFA"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7"/>
                <w14:textFill>
                  <w14:solidFill>
                    <w14:srgbClr w14:val="000000">
                      <w14:alpha w14:val="100000"/>
                    </w14:srgbClr>
                  </w14:solidFill>
                </w14:textFill>
              </w:rPr>
              <w:t>|||</w:t>
            </w:r>
            <w:r w:rsidRPr="00C41A91">
              <w:rPr>
                <w:color w:val="000000"/>
                <w:spacing w:val="2"/>
                <w:shd w:val="solid" w:color="000000" w:fill="000000"/>
                <w:fitText w:val="319" w:id="-1233410547"/>
                <w14:textFill>
                  <w14:solidFill>
                    <w14:srgbClr w14:val="000000">
                      <w14:alpha w14:val="100000"/>
                    </w14:srgbClr>
                  </w14:solidFill>
                </w14:textFill>
              </w:rPr>
              <w:t>|</w:t>
            </w:r>
            <w:r w:rsidR="00862CF1" w:rsidRPr="00DB3FE7">
              <w:rPr>
                <w:vertAlign w:val="superscript"/>
              </w:rPr>
              <w:t>15</w:t>
            </w:r>
          </w:p>
        </w:tc>
        <w:tc>
          <w:tcPr>
            <w:tcW w:w="673" w:type="pct"/>
            <w:shd w:val="clear" w:color="auto" w:fill="auto"/>
            <w:vAlign w:val="center"/>
          </w:tcPr>
          <w:p w14:paraId="098DF629" w14:textId="2D0D34F4"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6"/>
                <w14:textFill>
                  <w14:solidFill>
                    <w14:srgbClr w14:val="000000">
                      <w14:alpha w14:val="100000"/>
                    </w14:srgbClr>
                  </w14:solidFill>
                </w14:textFill>
              </w:rPr>
              <w:t>|||</w:t>
            </w:r>
            <w:r w:rsidRPr="00C41A91">
              <w:rPr>
                <w:color w:val="000000"/>
                <w:spacing w:val="2"/>
                <w:shd w:val="solid" w:color="000000" w:fill="000000"/>
                <w:fitText w:val="319" w:id="-1233410546"/>
                <w14:textFill>
                  <w14:solidFill>
                    <w14:srgbClr w14:val="000000">
                      <w14:alpha w14:val="100000"/>
                    </w14:srgbClr>
                  </w14:solidFill>
                </w14:textFill>
              </w:rPr>
              <w:t>|</w:t>
            </w:r>
            <w:r w:rsidR="00862CF1" w:rsidRPr="00DB3FE7">
              <w:rPr>
                <w:vertAlign w:val="superscript"/>
              </w:rPr>
              <w:t>15</w:t>
            </w:r>
          </w:p>
        </w:tc>
        <w:tc>
          <w:tcPr>
            <w:tcW w:w="598" w:type="pct"/>
            <w:shd w:val="clear" w:color="auto" w:fill="auto"/>
            <w:vAlign w:val="center"/>
          </w:tcPr>
          <w:p w14:paraId="262941C3" w14:textId="3DFB8EA4" w:rsidR="001B1A34" w:rsidRPr="00DB3FE7" w:rsidRDefault="00544295" w:rsidP="006A6C78">
            <w:pPr>
              <w:pStyle w:val="COMTabletext"/>
              <w:jc w:val="center"/>
              <w:rPr>
                <w:highlight w:val="darkGray"/>
              </w:rPr>
            </w:pPr>
            <w:r w:rsidRPr="00C41A91">
              <w:rPr>
                <w:color w:val="000000"/>
                <w:spacing w:val="52"/>
                <w:shd w:val="solid" w:color="000000" w:fill="000000"/>
                <w:fitText w:val="329" w:id="-1233410545"/>
                <w14:textFill>
                  <w14:solidFill>
                    <w14:srgbClr w14:val="000000">
                      <w14:alpha w14:val="100000"/>
                    </w14:srgbClr>
                  </w14:solidFill>
                </w14:textFill>
              </w:rPr>
              <w:t>|||</w:t>
            </w:r>
            <w:r w:rsidRPr="00C41A91">
              <w:rPr>
                <w:color w:val="000000"/>
                <w:spacing w:val="3"/>
                <w:shd w:val="solid" w:color="000000" w:fill="000000"/>
                <w:fitText w:val="329" w:id="-1233410545"/>
                <w14:textFill>
                  <w14:solidFill>
                    <w14:srgbClr w14:val="000000">
                      <w14:alpha w14:val="100000"/>
                    </w14:srgbClr>
                  </w14:solidFill>
                </w14:textFill>
              </w:rPr>
              <w:t>|</w:t>
            </w:r>
            <w:r w:rsidR="00862CF1" w:rsidRPr="00DB3FE7">
              <w:rPr>
                <w:vertAlign w:val="superscript"/>
              </w:rPr>
              <w:t>15</w:t>
            </w:r>
          </w:p>
        </w:tc>
        <w:tc>
          <w:tcPr>
            <w:tcW w:w="598" w:type="pct"/>
            <w:shd w:val="clear" w:color="auto" w:fill="auto"/>
            <w:vAlign w:val="center"/>
          </w:tcPr>
          <w:p w14:paraId="17CC9887" w14:textId="15E30E06"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4"/>
                <w14:textFill>
                  <w14:solidFill>
                    <w14:srgbClr w14:val="000000">
                      <w14:alpha w14:val="100000"/>
                    </w14:srgbClr>
                  </w14:solidFill>
                </w14:textFill>
              </w:rPr>
              <w:t>|||</w:t>
            </w:r>
            <w:r w:rsidRPr="00C41A91">
              <w:rPr>
                <w:color w:val="000000"/>
                <w:spacing w:val="2"/>
                <w:shd w:val="solid" w:color="000000" w:fill="000000"/>
                <w:fitText w:val="319" w:id="-1233410544"/>
                <w14:textFill>
                  <w14:solidFill>
                    <w14:srgbClr w14:val="000000">
                      <w14:alpha w14:val="100000"/>
                    </w14:srgbClr>
                  </w14:solidFill>
                </w14:textFill>
              </w:rPr>
              <w:t>|</w:t>
            </w:r>
            <w:r w:rsidR="006E4336" w:rsidRPr="00DB3FE7">
              <w:rPr>
                <w:vertAlign w:val="superscript"/>
              </w:rPr>
              <w:t>15</w:t>
            </w:r>
          </w:p>
        </w:tc>
        <w:tc>
          <w:tcPr>
            <w:tcW w:w="598" w:type="pct"/>
            <w:shd w:val="clear" w:color="auto" w:fill="auto"/>
            <w:vAlign w:val="center"/>
          </w:tcPr>
          <w:p w14:paraId="1F043FD9" w14:textId="1C545864"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60"/>
                <w14:textFill>
                  <w14:solidFill>
                    <w14:srgbClr w14:val="000000">
                      <w14:alpha w14:val="100000"/>
                    </w14:srgbClr>
                  </w14:solidFill>
                </w14:textFill>
              </w:rPr>
              <w:t>|||</w:t>
            </w:r>
            <w:r w:rsidRPr="00C41A91">
              <w:rPr>
                <w:color w:val="000000"/>
                <w:spacing w:val="2"/>
                <w:shd w:val="solid" w:color="000000" w:fill="000000"/>
                <w:fitText w:val="319" w:id="-1233410560"/>
                <w14:textFill>
                  <w14:solidFill>
                    <w14:srgbClr w14:val="000000">
                      <w14:alpha w14:val="100000"/>
                    </w14:srgbClr>
                  </w14:solidFill>
                </w14:textFill>
              </w:rPr>
              <w:t>|</w:t>
            </w:r>
            <w:r w:rsidR="006E4336" w:rsidRPr="00DB3FE7">
              <w:rPr>
                <w:vertAlign w:val="superscript"/>
              </w:rPr>
              <w:t>15</w:t>
            </w:r>
          </w:p>
        </w:tc>
        <w:tc>
          <w:tcPr>
            <w:tcW w:w="595" w:type="pct"/>
            <w:vAlign w:val="center"/>
          </w:tcPr>
          <w:p w14:paraId="01122248" w14:textId="4311027D" w:rsidR="001B1A34" w:rsidRPr="00DB3FE7" w:rsidRDefault="00544295" w:rsidP="006A6C78">
            <w:pPr>
              <w:pStyle w:val="COMTabletext"/>
              <w:jc w:val="center"/>
              <w:rPr>
                <w:highlight w:val="darkGray"/>
              </w:rPr>
            </w:pPr>
            <w:r w:rsidRPr="00C41A91">
              <w:rPr>
                <w:color w:val="000000"/>
                <w:spacing w:val="52"/>
                <w:shd w:val="solid" w:color="000000" w:fill="000000"/>
                <w:fitText w:val="328" w:id="-1233410559"/>
                <w14:textFill>
                  <w14:solidFill>
                    <w14:srgbClr w14:val="000000">
                      <w14:alpha w14:val="100000"/>
                    </w14:srgbClr>
                  </w14:solidFill>
                </w14:textFill>
              </w:rPr>
              <w:t>|||</w:t>
            </w:r>
            <w:r w:rsidRPr="00C41A91">
              <w:rPr>
                <w:color w:val="000000"/>
                <w:spacing w:val="2"/>
                <w:shd w:val="solid" w:color="000000" w:fill="000000"/>
                <w:fitText w:val="328" w:id="-1233410559"/>
                <w14:textFill>
                  <w14:solidFill>
                    <w14:srgbClr w14:val="000000">
                      <w14:alpha w14:val="100000"/>
                    </w14:srgbClr>
                  </w14:solidFill>
                </w14:textFill>
              </w:rPr>
              <w:t>|</w:t>
            </w:r>
            <w:r w:rsidR="006E4336" w:rsidRPr="00DB3FE7">
              <w:rPr>
                <w:vertAlign w:val="superscript"/>
              </w:rPr>
              <w:t>15</w:t>
            </w:r>
          </w:p>
        </w:tc>
      </w:tr>
      <w:tr w:rsidR="001B1A34" w:rsidRPr="00DB3FE7" w14:paraId="69B3AA80" w14:textId="77777777" w:rsidTr="00544295">
        <w:tc>
          <w:tcPr>
            <w:tcW w:w="5000" w:type="pct"/>
            <w:gridSpan w:val="7"/>
            <w:shd w:val="clear" w:color="auto" w:fill="auto"/>
            <w:vAlign w:val="center"/>
          </w:tcPr>
          <w:p w14:paraId="05BAC8BD" w14:textId="77777777" w:rsidR="001B1A34" w:rsidRPr="00DB3FE7" w:rsidRDefault="001B1A34" w:rsidP="006A6C78">
            <w:pPr>
              <w:pStyle w:val="COMTableheadingrow"/>
              <w:rPr>
                <w:lang w:val="en-AU"/>
              </w:rPr>
            </w:pPr>
            <w:r w:rsidRPr="00DB3FE7">
              <w:rPr>
                <w:lang w:val="en-AU"/>
              </w:rPr>
              <w:t>Net financial implications</w:t>
            </w:r>
          </w:p>
        </w:tc>
      </w:tr>
      <w:tr w:rsidR="00315E87" w:rsidRPr="00DB3FE7" w14:paraId="6EFFE72A" w14:textId="77777777" w:rsidTr="00315E87">
        <w:tc>
          <w:tcPr>
            <w:tcW w:w="1268" w:type="pct"/>
            <w:shd w:val="clear" w:color="auto" w:fill="auto"/>
            <w:vAlign w:val="center"/>
          </w:tcPr>
          <w:p w14:paraId="2CA0DCA9" w14:textId="7109C6BF" w:rsidR="001B1A34" w:rsidRPr="00DB3FE7" w:rsidRDefault="001B1A34" w:rsidP="006A6C78">
            <w:pPr>
              <w:pStyle w:val="COMTabletext"/>
            </w:pPr>
            <w:r w:rsidRPr="00DB3FE7">
              <w:t>Net cost to PBS/RPBS</w:t>
            </w:r>
            <w:r w:rsidR="006E4336" w:rsidRPr="00DB3FE7">
              <w:t xml:space="preserve"> ($)</w:t>
            </w:r>
          </w:p>
        </w:tc>
        <w:tc>
          <w:tcPr>
            <w:tcW w:w="671" w:type="pct"/>
            <w:shd w:val="clear" w:color="auto" w:fill="auto"/>
          </w:tcPr>
          <w:p w14:paraId="323E0D9F" w14:textId="710475EE"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8"/>
                <w14:textFill>
                  <w14:solidFill>
                    <w14:srgbClr w14:val="000000">
                      <w14:alpha w14:val="100000"/>
                    </w14:srgbClr>
                  </w14:solidFill>
                </w14:textFill>
              </w:rPr>
              <w:t>|||</w:t>
            </w:r>
            <w:r w:rsidRPr="00C41A91">
              <w:rPr>
                <w:color w:val="000000"/>
                <w:spacing w:val="2"/>
                <w:shd w:val="solid" w:color="000000" w:fill="000000"/>
                <w:fitText w:val="319" w:id="-1233410558"/>
                <w14:textFill>
                  <w14:solidFill>
                    <w14:srgbClr w14:val="000000">
                      <w14:alpha w14:val="100000"/>
                    </w14:srgbClr>
                  </w14:solidFill>
                </w14:textFill>
              </w:rPr>
              <w:t>|</w:t>
            </w:r>
            <w:r w:rsidR="006E4336" w:rsidRPr="00DB3FE7">
              <w:rPr>
                <w:vertAlign w:val="superscript"/>
              </w:rPr>
              <w:t>17</w:t>
            </w:r>
          </w:p>
        </w:tc>
        <w:tc>
          <w:tcPr>
            <w:tcW w:w="673" w:type="pct"/>
            <w:shd w:val="clear" w:color="auto" w:fill="auto"/>
          </w:tcPr>
          <w:p w14:paraId="119D5884" w14:textId="3EF61175"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7"/>
                <w14:textFill>
                  <w14:solidFill>
                    <w14:srgbClr w14:val="000000">
                      <w14:alpha w14:val="100000"/>
                    </w14:srgbClr>
                  </w14:solidFill>
                </w14:textFill>
              </w:rPr>
              <w:t>|||</w:t>
            </w:r>
            <w:r w:rsidRPr="00C41A91">
              <w:rPr>
                <w:color w:val="000000"/>
                <w:spacing w:val="2"/>
                <w:shd w:val="solid" w:color="000000" w:fill="000000"/>
                <w:fitText w:val="319" w:id="-1233410557"/>
                <w14:textFill>
                  <w14:solidFill>
                    <w14:srgbClr w14:val="000000">
                      <w14:alpha w14:val="100000"/>
                    </w14:srgbClr>
                  </w14:solidFill>
                </w14:textFill>
              </w:rPr>
              <w:t>|</w:t>
            </w:r>
            <w:r w:rsidR="006E4336" w:rsidRPr="00DB3FE7">
              <w:rPr>
                <w:vertAlign w:val="superscript"/>
              </w:rPr>
              <w:t>17</w:t>
            </w:r>
          </w:p>
        </w:tc>
        <w:tc>
          <w:tcPr>
            <w:tcW w:w="598" w:type="pct"/>
            <w:shd w:val="clear" w:color="auto" w:fill="auto"/>
          </w:tcPr>
          <w:p w14:paraId="5C598BEE" w14:textId="6F83E770" w:rsidR="001B1A34" w:rsidRPr="00DB3FE7" w:rsidRDefault="00544295" w:rsidP="006A6C78">
            <w:pPr>
              <w:pStyle w:val="COMTabletext"/>
              <w:jc w:val="center"/>
              <w:rPr>
                <w:highlight w:val="darkGray"/>
              </w:rPr>
            </w:pPr>
            <w:r w:rsidRPr="00C41A91">
              <w:rPr>
                <w:color w:val="000000"/>
                <w:spacing w:val="52"/>
                <w:shd w:val="solid" w:color="000000" w:fill="000000"/>
                <w:fitText w:val="329" w:id="-1233410556"/>
                <w14:textFill>
                  <w14:solidFill>
                    <w14:srgbClr w14:val="000000">
                      <w14:alpha w14:val="100000"/>
                    </w14:srgbClr>
                  </w14:solidFill>
                </w14:textFill>
              </w:rPr>
              <w:t>|||</w:t>
            </w:r>
            <w:r w:rsidRPr="00C41A91">
              <w:rPr>
                <w:color w:val="000000"/>
                <w:spacing w:val="3"/>
                <w:shd w:val="solid" w:color="000000" w:fill="000000"/>
                <w:fitText w:val="329" w:id="-1233410556"/>
                <w14:textFill>
                  <w14:solidFill>
                    <w14:srgbClr w14:val="000000">
                      <w14:alpha w14:val="100000"/>
                    </w14:srgbClr>
                  </w14:solidFill>
                </w14:textFill>
              </w:rPr>
              <w:t>|</w:t>
            </w:r>
            <w:r w:rsidR="006E4336" w:rsidRPr="00DB3FE7">
              <w:rPr>
                <w:vertAlign w:val="superscript"/>
              </w:rPr>
              <w:t>10</w:t>
            </w:r>
          </w:p>
        </w:tc>
        <w:tc>
          <w:tcPr>
            <w:tcW w:w="598" w:type="pct"/>
            <w:shd w:val="clear" w:color="auto" w:fill="auto"/>
          </w:tcPr>
          <w:p w14:paraId="725A0A57" w14:textId="388BCCDA"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5"/>
                <w14:textFill>
                  <w14:solidFill>
                    <w14:srgbClr w14:val="000000">
                      <w14:alpha w14:val="100000"/>
                    </w14:srgbClr>
                  </w14:solidFill>
                </w14:textFill>
              </w:rPr>
              <w:t>|||</w:t>
            </w:r>
            <w:r w:rsidRPr="00C41A91">
              <w:rPr>
                <w:color w:val="000000"/>
                <w:spacing w:val="2"/>
                <w:shd w:val="solid" w:color="000000" w:fill="000000"/>
                <w:fitText w:val="319" w:id="-1233410555"/>
                <w14:textFill>
                  <w14:solidFill>
                    <w14:srgbClr w14:val="000000">
                      <w14:alpha w14:val="100000"/>
                    </w14:srgbClr>
                  </w14:solidFill>
                </w14:textFill>
              </w:rPr>
              <w:t>|</w:t>
            </w:r>
            <w:r w:rsidR="006E4336" w:rsidRPr="00DB3FE7">
              <w:rPr>
                <w:vertAlign w:val="superscript"/>
              </w:rPr>
              <w:t>10</w:t>
            </w:r>
          </w:p>
        </w:tc>
        <w:tc>
          <w:tcPr>
            <w:tcW w:w="598" w:type="pct"/>
            <w:shd w:val="clear" w:color="auto" w:fill="auto"/>
          </w:tcPr>
          <w:p w14:paraId="034BA67E" w14:textId="0F3A556D"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4"/>
                <w14:textFill>
                  <w14:solidFill>
                    <w14:srgbClr w14:val="000000">
                      <w14:alpha w14:val="100000"/>
                    </w14:srgbClr>
                  </w14:solidFill>
                </w14:textFill>
              </w:rPr>
              <w:t>|||</w:t>
            </w:r>
            <w:r w:rsidRPr="00C41A91">
              <w:rPr>
                <w:color w:val="000000"/>
                <w:spacing w:val="2"/>
                <w:shd w:val="solid" w:color="000000" w:fill="000000"/>
                <w:fitText w:val="319" w:id="-1233410554"/>
                <w14:textFill>
                  <w14:solidFill>
                    <w14:srgbClr w14:val="000000">
                      <w14:alpha w14:val="100000"/>
                    </w14:srgbClr>
                  </w14:solidFill>
                </w14:textFill>
              </w:rPr>
              <w:t>|</w:t>
            </w:r>
            <w:r w:rsidR="006E4336" w:rsidRPr="00DB3FE7">
              <w:rPr>
                <w:vertAlign w:val="superscript"/>
              </w:rPr>
              <w:t>10</w:t>
            </w:r>
          </w:p>
        </w:tc>
        <w:tc>
          <w:tcPr>
            <w:tcW w:w="595" w:type="pct"/>
          </w:tcPr>
          <w:p w14:paraId="083EDF0F" w14:textId="02FFAE37" w:rsidR="001B1A34" w:rsidRPr="00DB3FE7" w:rsidRDefault="00544295" w:rsidP="006A6C78">
            <w:pPr>
              <w:pStyle w:val="COMTabletext"/>
              <w:jc w:val="center"/>
              <w:rPr>
                <w:highlight w:val="darkGray"/>
              </w:rPr>
            </w:pPr>
            <w:r w:rsidRPr="00C41A91">
              <w:rPr>
                <w:color w:val="000000"/>
                <w:spacing w:val="52"/>
                <w:shd w:val="solid" w:color="000000" w:fill="000000"/>
                <w:fitText w:val="328" w:id="-1233410553"/>
                <w14:textFill>
                  <w14:solidFill>
                    <w14:srgbClr w14:val="000000">
                      <w14:alpha w14:val="100000"/>
                    </w14:srgbClr>
                  </w14:solidFill>
                </w14:textFill>
              </w:rPr>
              <w:t>|||</w:t>
            </w:r>
            <w:r w:rsidRPr="00C41A91">
              <w:rPr>
                <w:color w:val="000000"/>
                <w:spacing w:val="2"/>
                <w:shd w:val="solid" w:color="000000" w:fill="000000"/>
                <w:fitText w:val="328" w:id="-1233410553"/>
                <w14:textFill>
                  <w14:solidFill>
                    <w14:srgbClr w14:val="000000">
                      <w14:alpha w14:val="100000"/>
                    </w14:srgbClr>
                  </w14:solidFill>
                </w14:textFill>
              </w:rPr>
              <w:t>|</w:t>
            </w:r>
            <w:r w:rsidR="006E4336" w:rsidRPr="00DB3FE7">
              <w:rPr>
                <w:vertAlign w:val="superscript"/>
              </w:rPr>
              <w:t>10</w:t>
            </w:r>
          </w:p>
        </w:tc>
      </w:tr>
      <w:tr w:rsidR="00315E87" w:rsidRPr="00DB3FE7" w14:paraId="3D25029C" w14:textId="77777777" w:rsidTr="00315E87">
        <w:tc>
          <w:tcPr>
            <w:tcW w:w="1268" w:type="pct"/>
            <w:shd w:val="clear" w:color="auto" w:fill="auto"/>
          </w:tcPr>
          <w:p w14:paraId="6A54273D" w14:textId="7B1147C0" w:rsidR="001B1A34" w:rsidRPr="00DB3FE7" w:rsidRDefault="001B1A34" w:rsidP="006A6C78">
            <w:pPr>
              <w:pStyle w:val="COMTabletext"/>
            </w:pPr>
            <w:r w:rsidRPr="00DB3FE7">
              <w:t>MBS cost of inclisiran administration</w:t>
            </w:r>
            <w:r w:rsidR="006E4336" w:rsidRPr="00DB3FE7">
              <w:t xml:space="preserve"> ($)</w:t>
            </w:r>
          </w:p>
        </w:tc>
        <w:tc>
          <w:tcPr>
            <w:tcW w:w="671" w:type="pct"/>
            <w:shd w:val="clear" w:color="auto" w:fill="auto"/>
            <w:vAlign w:val="center"/>
          </w:tcPr>
          <w:p w14:paraId="39723CEE" w14:textId="64E6A7D3"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2"/>
                <w14:textFill>
                  <w14:solidFill>
                    <w14:srgbClr w14:val="000000">
                      <w14:alpha w14:val="100000"/>
                    </w14:srgbClr>
                  </w14:solidFill>
                </w14:textFill>
              </w:rPr>
              <w:t>|||</w:t>
            </w:r>
            <w:r w:rsidRPr="00C41A91">
              <w:rPr>
                <w:color w:val="000000"/>
                <w:spacing w:val="2"/>
                <w:shd w:val="solid" w:color="000000" w:fill="000000"/>
                <w:fitText w:val="319" w:id="-1233410552"/>
                <w14:textFill>
                  <w14:solidFill>
                    <w14:srgbClr w14:val="000000">
                      <w14:alpha w14:val="100000"/>
                    </w14:srgbClr>
                  </w14:solidFill>
                </w14:textFill>
              </w:rPr>
              <w:t>|</w:t>
            </w:r>
            <w:r w:rsidR="006E4336" w:rsidRPr="00DB3FE7">
              <w:rPr>
                <w:vertAlign w:val="superscript"/>
              </w:rPr>
              <w:t>16</w:t>
            </w:r>
          </w:p>
        </w:tc>
        <w:tc>
          <w:tcPr>
            <w:tcW w:w="673" w:type="pct"/>
            <w:shd w:val="clear" w:color="auto" w:fill="auto"/>
            <w:vAlign w:val="center"/>
          </w:tcPr>
          <w:p w14:paraId="6E985445" w14:textId="523C9031"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1"/>
                <w14:textFill>
                  <w14:solidFill>
                    <w14:srgbClr w14:val="000000">
                      <w14:alpha w14:val="100000"/>
                    </w14:srgbClr>
                  </w14:solidFill>
                </w14:textFill>
              </w:rPr>
              <w:t>|||</w:t>
            </w:r>
            <w:r w:rsidRPr="00C41A91">
              <w:rPr>
                <w:color w:val="000000"/>
                <w:spacing w:val="2"/>
                <w:shd w:val="solid" w:color="000000" w:fill="000000"/>
                <w:fitText w:val="319" w:id="-1233410551"/>
                <w14:textFill>
                  <w14:solidFill>
                    <w14:srgbClr w14:val="000000">
                      <w14:alpha w14:val="100000"/>
                    </w14:srgbClr>
                  </w14:solidFill>
                </w14:textFill>
              </w:rPr>
              <w:t>|</w:t>
            </w:r>
            <w:r w:rsidR="006E4336" w:rsidRPr="00DB3FE7">
              <w:rPr>
                <w:vertAlign w:val="superscript"/>
              </w:rPr>
              <w:t>16</w:t>
            </w:r>
          </w:p>
        </w:tc>
        <w:tc>
          <w:tcPr>
            <w:tcW w:w="598" w:type="pct"/>
            <w:shd w:val="clear" w:color="auto" w:fill="auto"/>
            <w:vAlign w:val="center"/>
          </w:tcPr>
          <w:p w14:paraId="64E5C4CA" w14:textId="46BD2C6A" w:rsidR="001B1A34" w:rsidRPr="00DB3FE7" w:rsidRDefault="00544295" w:rsidP="006A6C78">
            <w:pPr>
              <w:pStyle w:val="COMTabletext"/>
              <w:jc w:val="center"/>
              <w:rPr>
                <w:highlight w:val="darkGray"/>
              </w:rPr>
            </w:pPr>
            <w:r w:rsidRPr="00C41A91">
              <w:rPr>
                <w:color w:val="000000"/>
                <w:spacing w:val="52"/>
                <w:shd w:val="solid" w:color="000000" w:fill="000000"/>
                <w:fitText w:val="329" w:id="-1233410550"/>
                <w14:textFill>
                  <w14:solidFill>
                    <w14:srgbClr w14:val="000000">
                      <w14:alpha w14:val="100000"/>
                    </w14:srgbClr>
                  </w14:solidFill>
                </w14:textFill>
              </w:rPr>
              <w:t>|||</w:t>
            </w:r>
            <w:r w:rsidRPr="00C41A91">
              <w:rPr>
                <w:color w:val="000000"/>
                <w:spacing w:val="3"/>
                <w:shd w:val="solid" w:color="000000" w:fill="000000"/>
                <w:fitText w:val="329" w:id="-1233410550"/>
                <w14:textFill>
                  <w14:solidFill>
                    <w14:srgbClr w14:val="000000">
                      <w14:alpha w14:val="100000"/>
                    </w14:srgbClr>
                  </w14:solidFill>
                </w14:textFill>
              </w:rPr>
              <w:t>|</w:t>
            </w:r>
            <w:r w:rsidR="006E4336" w:rsidRPr="00DB3FE7">
              <w:rPr>
                <w:vertAlign w:val="superscript"/>
              </w:rPr>
              <w:t>16</w:t>
            </w:r>
          </w:p>
        </w:tc>
        <w:tc>
          <w:tcPr>
            <w:tcW w:w="598" w:type="pct"/>
            <w:shd w:val="clear" w:color="auto" w:fill="auto"/>
            <w:vAlign w:val="center"/>
          </w:tcPr>
          <w:p w14:paraId="5DBB5E9C" w14:textId="2876C093"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9"/>
                <w14:textFill>
                  <w14:solidFill>
                    <w14:srgbClr w14:val="000000">
                      <w14:alpha w14:val="100000"/>
                    </w14:srgbClr>
                  </w14:solidFill>
                </w14:textFill>
              </w:rPr>
              <w:t>|||</w:t>
            </w:r>
            <w:r w:rsidRPr="00C41A91">
              <w:rPr>
                <w:color w:val="000000"/>
                <w:spacing w:val="2"/>
                <w:shd w:val="solid" w:color="000000" w:fill="000000"/>
                <w:fitText w:val="319" w:id="-1233410549"/>
                <w14:textFill>
                  <w14:solidFill>
                    <w14:srgbClr w14:val="000000">
                      <w14:alpha w14:val="100000"/>
                    </w14:srgbClr>
                  </w14:solidFill>
                </w14:textFill>
              </w:rPr>
              <w:t>|</w:t>
            </w:r>
            <w:r w:rsidR="006E4336" w:rsidRPr="00DB3FE7">
              <w:rPr>
                <w:vertAlign w:val="superscript"/>
              </w:rPr>
              <w:t>16</w:t>
            </w:r>
          </w:p>
        </w:tc>
        <w:tc>
          <w:tcPr>
            <w:tcW w:w="598" w:type="pct"/>
            <w:shd w:val="clear" w:color="auto" w:fill="auto"/>
            <w:vAlign w:val="center"/>
          </w:tcPr>
          <w:p w14:paraId="78296FB8" w14:textId="7745C45E"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8"/>
                <w14:textFill>
                  <w14:solidFill>
                    <w14:srgbClr w14:val="000000">
                      <w14:alpha w14:val="100000"/>
                    </w14:srgbClr>
                  </w14:solidFill>
                </w14:textFill>
              </w:rPr>
              <w:t>|||</w:t>
            </w:r>
            <w:r w:rsidRPr="00C41A91">
              <w:rPr>
                <w:color w:val="000000"/>
                <w:spacing w:val="2"/>
                <w:shd w:val="solid" w:color="000000" w:fill="000000"/>
                <w:fitText w:val="319" w:id="-1233410548"/>
                <w14:textFill>
                  <w14:solidFill>
                    <w14:srgbClr w14:val="000000">
                      <w14:alpha w14:val="100000"/>
                    </w14:srgbClr>
                  </w14:solidFill>
                </w14:textFill>
              </w:rPr>
              <w:t>|</w:t>
            </w:r>
            <w:r w:rsidR="006E4336" w:rsidRPr="00DB3FE7">
              <w:rPr>
                <w:vertAlign w:val="superscript"/>
              </w:rPr>
              <w:t>16</w:t>
            </w:r>
          </w:p>
        </w:tc>
        <w:tc>
          <w:tcPr>
            <w:tcW w:w="595" w:type="pct"/>
            <w:vAlign w:val="center"/>
          </w:tcPr>
          <w:p w14:paraId="68AFD902" w14:textId="2C13CBF3" w:rsidR="001B1A34" w:rsidRPr="00DB3FE7" w:rsidRDefault="00544295" w:rsidP="006A6C78">
            <w:pPr>
              <w:pStyle w:val="COMTabletext"/>
              <w:jc w:val="center"/>
              <w:rPr>
                <w:highlight w:val="darkGray"/>
              </w:rPr>
            </w:pPr>
            <w:r w:rsidRPr="00C41A91">
              <w:rPr>
                <w:color w:val="000000"/>
                <w:spacing w:val="52"/>
                <w:shd w:val="solid" w:color="000000" w:fill="000000"/>
                <w:fitText w:val="328" w:id="-1233410547"/>
                <w14:textFill>
                  <w14:solidFill>
                    <w14:srgbClr w14:val="000000">
                      <w14:alpha w14:val="100000"/>
                    </w14:srgbClr>
                  </w14:solidFill>
                </w14:textFill>
              </w:rPr>
              <w:t>|||</w:t>
            </w:r>
            <w:r w:rsidRPr="00C41A91">
              <w:rPr>
                <w:color w:val="000000"/>
                <w:spacing w:val="2"/>
                <w:shd w:val="solid" w:color="000000" w:fill="000000"/>
                <w:fitText w:val="328" w:id="-1233410547"/>
                <w14:textFill>
                  <w14:solidFill>
                    <w14:srgbClr w14:val="000000">
                      <w14:alpha w14:val="100000"/>
                    </w14:srgbClr>
                  </w14:solidFill>
                </w14:textFill>
              </w:rPr>
              <w:t>|</w:t>
            </w:r>
            <w:r w:rsidR="006E4336" w:rsidRPr="00DB3FE7">
              <w:rPr>
                <w:vertAlign w:val="superscript"/>
              </w:rPr>
              <w:t>16</w:t>
            </w:r>
          </w:p>
        </w:tc>
      </w:tr>
      <w:tr w:rsidR="00315E87" w:rsidRPr="00DB3FE7" w14:paraId="0D14B39D" w14:textId="77777777" w:rsidTr="00315E87">
        <w:tc>
          <w:tcPr>
            <w:tcW w:w="1268" w:type="pct"/>
            <w:shd w:val="clear" w:color="auto" w:fill="auto"/>
            <w:vAlign w:val="center"/>
          </w:tcPr>
          <w:p w14:paraId="4FE1EF31" w14:textId="26FD4C26" w:rsidR="001B1A34" w:rsidRPr="00DB3FE7" w:rsidRDefault="001B1A34" w:rsidP="006A6C78">
            <w:pPr>
              <w:pStyle w:val="COMTabletext"/>
            </w:pPr>
            <w:r w:rsidRPr="00DB3FE7">
              <w:t>MBS cost offset due to avoided PCSK9 administrations</w:t>
            </w:r>
            <w:r w:rsidR="006E4336" w:rsidRPr="00DB3FE7">
              <w:t>($)</w:t>
            </w:r>
          </w:p>
        </w:tc>
        <w:tc>
          <w:tcPr>
            <w:tcW w:w="671" w:type="pct"/>
            <w:shd w:val="clear" w:color="auto" w:fill="auto"/>
            <w:vAlign w:val="center"/>
          </w:tcPr>
          <w:p w14:paraId="29A20072" w14:textId="6C6E5F54"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6"/>
                <w14:textFill>
                  <w14:solidFill>
                    <w14:srgbClr w14:val="000000">
                      <w14:alpha w14:val="100000"/>
                    </w14:srgbClr>
                  </w14:solidFill>
                </w14:textFill>
              </w:rPr>
              <w:t>|||</w:t>
            </w:r>
            <w:r w:rsidRPr="00C41A91">
              <w:rPr>
                <w:color w:val="000000"/>
                <w:spacing w:val="2"/>
                <w:shd w:val="solid" w:color="000000" w:fill="000000"/>
                <w:fitText w:val="319" w:id="-1233410546"/>
                <w14:textFill>
                  <w14:solidFill>
                    <w14:srgbClr w14:val="000000">
                      <w14:alpha w14:val="100000"/>
                    </w14:srgbClr>
                  </w14:solidFill>
                </w14:textFill>
              </w:rPr>
              <w:t>|</w:t>
            </w:r>
            <w:r w:rsidR="006E4336" w:rsidRPr="00DB3FE7">
              <w:rPr>
                <w:vertAlign w:val="superscript"/>
              </w:rPr>
              <w:t>15</w:t>
            </w:r>
          </w:p>
        </w:tc>
        <w:tc>
          <w:tcPr>
            <w:tcW w:w="673" w:type="pct"/>
            <w:shd w:val="clear" w:color="auto" w:fill="auto"/>
            <w:vAlign w:val="center"/>
          </w:tcPr>
          <w:p w14:paraId="46F7E07E" w14:textId="740A7919"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45"/>
                <w14:textFill>
                  <w14:solidFill>
                    <w14:srgbClr w14:val="000000">
                      <w14:alpha w14:val="100000"/>
                    </w14:srgbClr>
                  </w14:solidFill>
                </w14:textFill>
              </w:rPr>
              <w:t>|||</w:t>
            </w:r>
            <w:r w:rsidRPr="00C41A91">
              <w:rPr>
                <w:color w:val="000000"/>
                <w:spacing w:val="2"/>
                <w:shd w:val="solid" w:color="000000" w:fill="000000"/>
                <w:fitText w:val="319" w:id="-1233410545"/>
                <w14:textFill>
                  <w14:solidFill>
                    <w14:srgbClr w14:val="000000">
                      <w14:alpha w14:val="100000"/>
                    </w14:srgbClr>
                  </w14:solidFill>
                </w14:textFill>
              </w:rPr>
              <w:t>|</w:t>
            </w:r>
            <w:r w:rsidR="006E4336" w:rsidRPr="00DB3FE7">
              <w:rPr>
                <w:vertAlign w:val="superscript"/>
              </w:rPr>
              <w:t>15</w:t>
            </w:r>
          </w:p>
        </w:tc>
        <w:tc>
          <w:tcPr>
            <w:tcW w:w="598" w:type="pct"/>
            <w:shd w:val="clear" w:color="auto" w:fill="auto"/>
            <w:vAlign w:val="center"/>
          </w:tcPr>
          <w:p w14:paraId="2E6C1BC4" w14:textId="5FBEF00B" w:rsidR="001B1A34" w:rsidRPr="00DB3FE7" w:rsidRDefault="00544295" w:rsidP="006A6C78">
            <w:pPr>
              <w:pStyle w:val="COMTabletext"/>
              <w:jc w:val="center"/>
              <w:rPr>
                <w:highlight w:val="darkGray"/>
              </w:rPr>
            </w:pPr>
            <w:r w:rsidRPr="00C41A91">
              <w:rPr>
                <w:color w:val="000000"/>
                <w:spacing w:val="52"/>
                <w:shd w:val="solid" w:color="000000" w:fill="000000"/>
                <w:fitText w:val="329" w:id="-1233410544"/>
                <w14:textFill>
                  <w14:solidFill>
                    <w14:srgbClr w14:val="000000">
                      <w14:alpha w14:val="100000"/>
                    </w14:srgbClr>
                  </w14:solidFill>
                </w14:textFill>
              </w:rPr>
              <w:t>|||</w:t>
            </w:r>
            <w:r w:rsidRPr="00C41A91">
              <w:rPr>
                <w:color w:val="000000"/>
                <w:spacing w:val="3"/>
                <w:shd w:val="solid" w:color="000000" w:fill="000000"/>
                <w:fitText w:val="329" w:id="-1233410544"/>
                <w14:textFill>
                  <w14:solidFill>
                    <w14:srgbClr w14:val="000000">
                      <w14:alpha w14:val="100000"/>
                    </w14:srgbClr>
                  </w14:solidFill>
                </w14:textFill>
              </w:rPr>
              <w:t>|</w:t>
            </w:r>
            <w:r w:rsidR="006E4336" w:rsidRPr="00DB3FE7">
              <w:rPr>
                <w:vertAlign w:val="superscript"/>
              </w:rPr>
              <w:t>15</w:t>
            </w:r>
          </w:p>
        </w:tc>
        <w:tc>
          <w:tcPr>
            <w:tcW w:w="598" w:type="pct"/>
            <w:shd w:val="clear" w:color="auto" w:fill="auto"/>
            <w:vAlign w:val="center"/>
          </w:tcPr>
          <w:p w14:paraId="0471E774" w14:textId="54B95F24"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60"/>
                <w14:textFill>
                  <w14:solidFill>
                    <w14:srgbClr w14:val="000000">
                      <w14:alpha w14:val="100000"/>
                    </w14:srgbClr>
                  </w14:solidFill>
                </w14:textFill>
              </w:rPr>
              <w:t>|||</w:t>
            </w:r>
            <w:r w:rsidRPr="00C41A91">
              <w:rPr>
                <w:color w:val="000000"/>
                <w:spacing w:val="2"/>
                <w:shd w:val="solid" w:color="000000" w:fill="000000"/>
                <w:fitText w:val="319" w:id="-1233410560"/>
                <w14:textFill>
                  <w14:solidFill>
                    <w14:srgbClr w14:val="000000">
                      <w14:alpha w14:val="100000"/>
                    </w14:srgbClr>
                  </w14:solidFill>
                </w14:textFill>
              </w:rPr>
              <w:t>|</w:t>
            </w:r>
            <w:r w:rsidR="006E4336" w:rsidRPr="00DB3FE7">
              <w:rPr>
                <w:vertAlign w:val="superscript"/>
              </w:rPr>
              <w:t>15</w:t>
            </w:r>
          </w:p>
        </w:tc>
        <w:tc>
          <w:tcPr>
            <w:tcW w:w="598" w:type="pct"/>
            <w:shd w:val="clear" w:color="auto" w:fill="auto"/>
            <w:vAlign w:val="center"/>
          </w:tcPr>
          <w:p w14:paraId="20C8F7ED" w14:textId="0363CA23" w:rsidR="001B1A34" w:rsidRPr="00DB3FE7" w:rsidRDefault="00544295" w:rsidP="006A6C78">
            <w:pPr>
              <w:pStyle w:val="COMTabletext"/>
              <w:jc w:val="center"/>
              <w:rPr>
                <w:highlight w:val="darkGray"/>
              </w:rPr>
            </w:pPr>
            <w:r w:rsidRPr="00C41A91">
              <w:rPr>
                <w:color w:val="000000"/>
                <w:spacing w:val="49"/>
                <w:shd w:val="solid" w:color="000000" w:fill="000000"/>
                <w:fitText w:val="319" w:id="-1233410559"/>
                <w14:textFill>
                  <w14:solidFill>
                    <w14:srgbClr w14:val="000000">
                      <w14:alpha w14:val="100000"/>
                    </w14:srgbClr>
                  </w14:solidFill>
                </w14:textFill>
              </w:rPr>
              <w:t>|||</w:t>
            </w:r>
            <w:r w:rsidRPr="00C41A91">
              <w:rPr>
                <w:color w:val="000000"/>
                <w:spacing w:val="2"/>
                <w:shd w:val="solid" w:color="000000" w:fill="000000"/>
                <w:fitText w:val="319" w:id="-1233410559"/>
                <w14:textFill>
                  <w14:solidFill>
                    <w14:srgbClr w14:val="000000">
                      <w14:alpha w14:val="100000"/>
                    </w14:srgbClr>
                  </w14:solidFill>
                </w14:textFill>
              </w:rPr>
              <w:t>|</w:t>
            </w:r>
            <w:r w:rsidR="006E4336" w:rsidRPr="00DB3FE7">
              <w:rPr>
                <w:vertAlign w:val="superscript"/>
              </w:rPr>
              <w:t>15</w:t>
            </w:r>
          </w:p>
        </w:tc>
        <w:tc>
          <w:tcPr>
            <w:tcW w:w="595" w:type="pct"/>
            <w:vAlign w:val="center"/>
          </w:tcPr>
          <w:p w14:paraId="58DC0E12" w14:textId="584841E8" w:rsidR="001B1A34" w:rsidRPr="00DB3FE7" w:rsidRDefault="00544295" w:rsidP="006A6C78">
            <w:pPr>
              <w:pStyle w:val="COMTabletext"/>
              <w:jc w:val="center"/>
              <w:rPr>
                <w:highlight w:val="darkGray"/>
              </w:rPr>
            </w:pPr>
            <w:r w:rsidRPr="00C91ADA">
              <w:rPr>
                <w:color w:val="000000"/>
                <w:spacing w:val="52"/>
                <w:shd w:val="solid" w:color="000000" w:fill="000000"/>
                <w:fitText w:val="328" w:id="-1233410558"/>
                <w14:textFill>
                  <w14:solidFill>
                    <w14:srgbClr w14:val="000000">
                      <w14:alpha w14:val="100000"/>
                    </w14:srgbClr>
                  </w14:solidFill>
                </w14:textFill>
              </w:rPr>
              <w:t>|||</w:t>
            </w:r>
            <w:r w:rsidRPr="00C91ADA">
              <w:rPr>
                <w:color w:val="000000"/>
                <w:spacing w:val="2"/>
                <w:shd w:val="solid" w:color="000000" w:fill="000000"/>
                <w:fitText w:val="328" w:id="-1233410558"/>
                <w14:textFill>
                  <w14:solidFill>
                    <w14:srgbClr w14:val="000000">
                      <w14:alpha w14:val="100000"/>
                    </w14:srgbClr>
                  </w14:solidFill>
                </w14:textFill>
              </w:rPr>
              <w:t>|</w:t>
            </w:r>
            <w:r w:rsidR="006E4336" w:rsidRPr="00DB3FE7">
              <w:rPr>
                <w:vertAlign w:val="superscript"/>
              </w:rPr>
              <w:t>15</w:t>
            </w:r>
          </w:p>
        </w:tc>
      </w:tr>
      <w:tr w:rsidR="00315E87" w:rsidRPr="00DB3FE7" w14:paraId="763D4B34" w14:textId="77777777" w:rsidTr="00315E87">
        <w:tc>
          <w:tcPr>
            <w:tcW w:w="1268" w:type="pct"/>
            <w:shd w:val="clear" w:color="auto" w:fill="auto"/>
            <w:vAlign w:val="center"/>
          </w:tcPr>
          <w:p w14:paraId="6E3B572A" w14:textId="7CC90BC6" w:rsidR="001B1A34" w:rsidRPr="00DB3FE7" w:rsidRDefault="001B1A34" w:rsidP="006A6C78">
            <w:pPr>
              <w:pStyle w:val="COMTabletext"/>
            </w:pPr>
            <w:r w:rsidRPr="00DB3FE7">
              <w:t>Net cost to Government</w:t>
            </w:r>
            <w:r w:rsidR="006E4336" w:rsidRPr="00DB3FE7">
              <w:t xml:space="preserve"> ($)</w:t>
            </w:r>
          </w:p>
        </w:tc>
        <w:tc>
          <w:tcPr>
            <w:tcW w:w="671" w:type="pct"/>
            <w:shd w:val="clear" w:color="auto" w:fill="auto"/>
          </w:tcPr>
          <w:p w14:paraId="758BCAE2" w14:textId="45F3322E" w:rsidR="001B1A34" w:rsidRPr="00DB3FE7" w:rsidRDefault="00544295" w:rsidP="006A6C78">
            <w:pPr>
              <w:pStyle w:val="COMTabletext"/>
              <w:jc w:val="center"/>
              <w:rPr>
                <w:highlight w:val="darkGray"/>
              </w:rPr>
            </w:pPr>
            <w:r w:rsidRPr="00C41A91">
              <w:rPr>
                <w:spacing w:val="49"/>
                <w:fitText w:val="319" w:id="-1233410557"/>
              </w:rPr>
              <w:t>|||</w:t>
            </w:r>
            <w:r w:rsidRPr="00C41A91">
              <w:rPr>
                <w:spacing w:val="2"/>
                <w:fitText w:val="319" w:id="-1233410557"/>
              </w:rPr>
              <w:t>|</w:t>
            </w:r>
            <w:r w:rsidR="006E4336" w:rsidRPr="00DB3FE7">
              <w:rPr>
                <w:vertAlign w:val="superscript"/>
              </w:rPr>
              <w:t>17</w:t>
            </w:r>
          </w:p>
        </w:tc>
        <w:tc>
          <w:tcPr>
            <w:tcW w:w="673" w:type="pct"/>
            <w:shd w:val="clear" w:color="auto" w:fill="auto"/>
          </w:tcPr>
          <w:p w14:paraId="0EF33E36" w14:textId="47EDB70E" w:rsidR="001B1A34" w:rsidRPr="00DB3FE7" w:rsidRDefault="00544295" w:rsidP="006A6C78">
            <w:pPr>
              <w:pStyle w:val="COMTabletext"/>
              <w:jc w:val="center"/>
              <w:rPr>
                <w:highlight w:val="darkGray"/>
              </w:rPr>
            </w:pPr>
            <w:r w:rsidRPr="00C41A91">
              <w:rPr>
                <w:color w:val="000000"/>
                <w:spacing w:val="49"/>
                <w:shd w:val="solid" w:color="000000" w:fill="000000"/>
                <w:fitText w:val="319" w:id="-1233409536"/>
                <w14:textFill>
                  <w14:solidFill>
                    <w14:srgbClr w14:val="000000">
                      <w14:alpha w14:val="100000"/>
                    </w14:srgbClr>
                  </w14:solidFill>
                </w14:textFill>
              </w:rPr>
              <w:t>|||</w:t>
            </w:r>
            <w:r w:rsidRPr="00C41A91">
              <w:rPr>
                <w:color w:val="000000"/>
                <w:spacing w:val="2"/>
                <w:shd w:val="solid" w:color="000000" w:fill="000000"/>
                <w:fitText w:val="319" w:id="-1233409536"/>
                <w14:textFill>
                  <w14:solidFill>
                    <w14:srgbClr w14:val="000000">
                      <w14:alpha w14:val="100000"/>
                    </w14:srgbClr>
                  </w14:solidFill>
                </w14:textFill>
              </w:rPr>
              <w:t>|</w:t>
            </w:r>
            <w:r w:rsidR="006E4336" w:rsidRPr="00DB3FE7">
              <w:rPr>
                <w:vertAlign w:val="superscript"/>
              </w:rPr>
              <w:t>17</w:t>
            </w:r>
          </w:p>
        </w:tc>
        <w:tc>
          <w:tcPr>
            <w:tcW w:w="598" w:type="pct"/>
            <w:shd w:val="clear" w:color="auto" w:fill="auto"/>
          </w:tcPr>
          <w:p w14:paraId="24A645B5" w14:textId="564D519F" w:rsidR="001B1A34" w:rsidRPr="00DB3FE7" w:rsidRDefault="00544295" w:rsidP="006A6C78">
            <w:pPr>
              <w:pStyle w:val="COMTabletext"/>
              <w:jc w:val="center"/>
              <w:rPr>
                <w:highlight w:val="darkGray"/>
              </w:rPr>
            </w:pPr>
            <w:r w:rsidRPr="00C41A91">
              <w:rPr>
                <w:color w:val="000000"/>
                <w:spacing w:val="52"/>
                <w:shd w:val="solid" w:color="000000" w:fill="000000"/>
                <w:fitText w:val="329" w:id="-1233409535"/>
                <w14:textFill>
                  <w14:solidFill>
                    <w14:srgbClr w14:val="000000">
                      <w14:alpha w14:val="100000"/>
                    </w14:srgbClr>
                  </w14:solidFill>
                </w14:textFill>
              </w:rPr>
              <w:t>|||</w:t>
            </w:r>
            <w:r w:rsidRPr="00C41A91">
              <w:rPr>
                <w:color w:val="000000"/>
                <w:spacing w:val="3"/>
                <w:shd w:val="solid" w:color="000000" w:fill="000000"/>
                <w:fitText w:val="329" w:id="-1233409535"/>
                <w14:textFill>
                  <w14:solidFill>
                    <w14:srgbClr w14:val="000000">
                      <w14:alpha w14:val="100000"/>
                    </w14:srgbClr>
                  </w14:solidFill>
                </w14:textFill>
              </w:rPr>
              <w:t>|</w:t>
            </w:r>
            <w:r w:rsidR="006E4336" w:rsidRPr="00DB3FE7">
              <w:rPr>
                <w:vertAlign w:val="superscript"/>
              </w:rPr>
              <w:t>10</w:t>
            </w:r>
          </w:p>
        </w:tc>
        <w:tc>
          <w:tcPr>
            <w:tcW w:w="598" w:type="pct"/>
            <w:shd w:val="clear" w:color="auto" w:fill="auto"/>
          </w:tcPr>
          <w:p w14:paraId="19CCEB0D" w14:textId="0D0FE114" w:rsidR="001B1A34" w:rsidRPr="00DB3FE7" w:rsidRDefault="00544295" w:rsidP="006A6C78">
            <w:pPr>
              <w:pStyle w:val="COMTabletext"/>
              <w:jc w:val="center"/>
              <w:rPr>
                <w:highlight w:val="darkGray"/>
              </w:rPr>
            </w:pPr>
            <w:r w:rsidRPr="00C41A91">
              <w:rPr>
                <w:color w:val="000000"/>
                <w:spacing w:val="49"/>
                <w:shd w:val="solid" w:color="000000" w:fill="000000"/>
                <w:fitText w:val="319" w:id="-1233409534"/>
                <w14:textFill>
                  <w14:solidFill>
                    <w14:srgbClr w14:val="000000">
                      <w14:alpha w14:val="100000"/>
                    </w14:srgbClr>
                  </w14:solidFill>
                </w14:textFill>
              </w:rPr>
              <w:t>|||</w:t>
            </w:r>
            <w:r w:rsidRPr="00C41A91">
              <w:rPr>
                <w:color w:val="000000"/>
                <w:spacing w:val="2"/>
                <w:shd w:val="solid" w:color="000000" w:fill="000000"/>
                <w:fitText w:val="319" w:id="-1233409534"/>
                <w14:textFill>
                  <w14:solidFill>
                    <w14:srgbClr w14:val="000000">
                      <w14:alpha w14:val="100000"/>
                    </w14:srgbClr>
                  </w14:solidFill>
                </w14:textFill>
              </w:rPr>
              <w:t>|</w:t>
            </w:r>
            <w:r w:rsidR="006E4336" w:rsidRPr="00DB3FE7">
              <w:rPr>
                <w:vertAlign w:val="superscript"/>
              </w:rPr>
              <w:t>10</w:t>
            </w:r>
          </w:p>
        </w:tc>
        <w:tc>
          <w:tcPr>
            <w:tcW w:w="598" w:type="pct"/>
            <w:shd w:val="clear" w:color="auto" w:fill="auto"/>
          </w:tcPr>
          <w:p w14:paraId="65621156" w14:textId="746E8709" w:rsidR="001B1A34" w:rsidRPr="00DB3FE7" w:rsidRDefault="00544295" w:rsidP="006A6C78">
            <w:pPr>
              <w:pStyle w:val="COMTabletext"/>
              <w:jc w:val="center"/>
              <w:rPr>
                <w:highlight w:val="darkGray"/>
              </w:rPr>
            </w:pPr>
            <w:r w:rsidRPr="00C41A91">
              <w:rPr>
                <w:color w:val="000000"/>
                <w:spacing w:val="49"/>
                <w:shd w:val="solid" w:color="000000" w:fill="000000"/>
                <w:fitText w:val="319" w:id="-1233409533"/>
                <w14:textFill>
                  <w14:solidFill>
                    <w14:srgbClr w14:val="000000">
                      <w14:alpha w14:val="100000"/>
                    </w14:srgbClr>
                  </w14:solidFill>
                </w14:textFill>
              </w:rPr>
              <w:t>|||</w:t>
            </w:r>
            <w:r w:rsidRPr="00C41A91">
              <w:rPr>
                <w:color w:val="000000"/>
                <w:spacing w:val="2"/>
                <w:shd w:val="solid" w:color="000000" w:fill="000000"/>
                <w:fitText w:val="319" w:id="-1233409533"/>
                <w14:textFill>
                  <w14:solidFill>
                    <w14:srgbClr w14:val="000000">
                      <w14:alpha w14:val="100000"/>
                    </w14:srgbClr>
                  </w14:solidFill>
                </w14:textFill>
              </w:rPr>
              <w:t>|</w:t>
            </w:r>
            <w:r w:rsidR="006E4336" w:rsidRPr="00DB3FE7">
              <w:rPr>
                <w:vertAlign w:val="superscript"/>
              </w:rPr>
              <w:t>10</w:t>
            </w:r>
          </w:p>
        </w:tc>
        <w:tc>
          <w:tcPr>
            <w:tcW w:w="595" w:type="pct"/>
          </w:tcPr>
          <w:p w14:paraId="7E3FF23F" w14:textId="29FA8FD5" w:rsidR="001B1A34" w:rsidRPr="00DB3FE7" w:rsidRDefault="00544295" w:rsidP="006A6C78">
            <w:pPr>
              <w:pStyle w:val="COMTabletext"/>
              <w:jc w:val="center"/>
              <w:rPr>
                <w:highlight w:val="darkGray"/>
              </w:rPr>
            </w:pPr>
            <w:r w:rsidRPr="00C41A91">
              <w:rPr>
                <w:color w:val="000000"/>
                <w:spacing w:val="52"/>
                <w:shd w:val="solid" w:color="000000" w:fill="000000"/>
                <w:fitText w:val="328" w:id="-1233409532"/>
                <w14:textFill>
                  <w14:solidFill>
                    <w14:srgbClr w14:val="000000">
                      <w14:alpha w14:val="100000"/>
                    </w14:srgbClr>
                  </w14:solidFill>
                </w14:textFill>
              </w:rPr>
              <w:t>|||</w:t>
            </w:r>
            <w:r w:rsidRPr="00C41A91">
              <w:rPr>
                <w:color w:val="000000"/>
                <w:spacing w:val="2"/>
                <w:shd w:val="solid" w:color="000000" w:fill="000000"/>
                <w:fitText w:val="328" w:id="-1233409532"/>
                <w14:textFill>
                  <w14:solidFill>
                    <w14:srgbClr w14:val="000000">
                      <w14:alpha w14:val="100000"/>
                    </w14:srgbClr>
                  </w14:solidFill>
                </w14:textFill>
              </w:rPr>
              <w:t>|</w:t>
            </w:r>
            <w:r w:rsidR="006E4336" w:rsidRPr="00DB3FE7">
              <w:rPr>
                <w:vertAlign w:val="superscript"/>
              </w:rPr>
              <w:t>10</w:t>
            </w:r>
          </w:p>
        </w:tc>
      </w:tr>
    </w:tbl>
    <w:p w14:paraId="287AEE85" w14:textId="77777777" w:rsidR="001B1A34" w:rsidRPr="00DB3FE7" w:rsidRDefault="001B1A34" w:rsidP="001B1A34">
      <w:pPr>
        <w:pStyle w:val="COMTablefooter"/>
        <w:keepNext/>
        <w:rPr>
          <w:vertAlign w:val="superscript"/>
        </w:rPr>
      </w:pPr>
      <w:r w:rsidRPr="00DB3FE7">
        <w:t>Source: Section 4_Utilisation and financial estimates_inclisiran Excel workbook of the submission</w:t>
      </w:r>
      <w:r w:rsidRPr="00DB3FE7">
        <w:rPr>
          <w:vertAlign w:val="superscript"/>
        </w:rPr>
        <w:t xml:space="preserve"> </w:t>
      </w:r>
    </w:p>
    <w:p w14:paraId="0F1D3C10" w14:textId="6D5452F4" w:rsidR="001B1A34" w:rsidRPr="00DB3FE7" w:rsidRDefault="001B1A34" w:rsidP="00282EC9">
      <w:pPr>
        <w:pStyle w:val="COMTablefooter"/>
        <w:keepNext/>
        <w:spacing w:after="0"/>
      </w:pPr>
      <w:r w:rsidRPr="00DB3FE7">
        <w:t>Italicised estimates were calculated during the evaluation, correcting for multiple errors in the submission</w:t>
      </w:r>
    </w:p>
    <w:p w14:paraId="1D302383" w14:textId="77777777" w:rsidR="007C4AE2" w:rsidRPr="00DB3FE7" w:rsidRDefault="007C4AE2" w:rsidP="007C4AE2">
      <w:pPr>
        <w:rPr>
          <w:rFonts w:ascii="Arial Narrow" w:hAnsi="Arial Narrow"/>
          <w:i/>
          <w:sz w:val="18"/>
          <w:szCs w:val="18"/>
        </w:rPr>
      </w:pPr>
      <w:r w:rsidRPr="00DB3FE7">
        <w:rPr>
          <w:rFonts w:ascii="Arial Narrow" w:hAnsi="Arial Narrow"/>
          <w:i/>
          <w:sz w:val="18"/>
          <w:szCs w:val="18"/>
        </w:rPr>
        <w:t xml:space="preserve">The redacted values correspond to the following ranges: </w:t>
      </w:r>
    </w:p>
    <w:p w14:paraId="5ACF156E" w14:textId="77777777" w:rsidR="007C4AE2" w:rsidRPr="00DB3FE7" w:rsidRDefault="007C4AE2" w:rsidP="007C4AE2">
      <w:pPr>
        <w:rPr>
          <w:rFonts w:ascii="Arial Narrow" w:hAnsi="Arial Narrow"/>
          <w:i/>
          <w:sz w:val="18"/>
          <w:szCs w:val="18"/>
          <w:vertAlign w:val="superscript"/>
        </w:rPr>
        <w:sectPr w:rsidR="007C4AE2" w:rsidRPr="00DB3FE7" w:rsidSect="00282EC9">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1440" w:footer="1440" w:gutter="0"/>
          <w:pgNumType w:start="27"/>
          <w:cols w:space="708"/>
          <w:docGrid w:linePitch="360"/>
        </w:sectPr>
      </w:pPr>
    </w:p>
    <w:p w14:paraId="557609AE" w14:textId="33019C6A" w:rsidR="007C4AE2" w:rsidRPr="00352E1C" w:rsidRDefault="007C4AE2" w:rsidP="007C4AE2">
      <w:pPr>
        <w:rPr>
          <w:rFonts w:ascii="Arial Narrow" w:hAnsi="Arial Narrow"/>
          <w:i/>
          <w:sz w:val="18"/>
          <w:szCs w:val="18"/>
        </w:rPr>
      </w:pPr>
      <w:r w:rsidRPr="0042765C">
        <w:rPr>
          <w:rFonts w:ascii="Arial Narrow" w:hAnsi="Arial Narrow"/>
          <w:i/>
          <w:sz w:val="18"/>
          <w:szCs w:val="18"/>
          <w:vertAlign w:val="superscript"/>
        </w:rPr>
        <w:t>1</w:t>
      </w:r>
      <w:r w:rsidRPr="00352E1C">
        <w:rPr>
          <w:rFonts w:ascii="Arial Narrow" w:hAnsi="Arial Narrow"/>
          <w:i/>
          <w:sz w:val="18"/>
          <w:szCs w:val="18"/>
        </w:rPr>
        <w:t xml:space="preserve"> </w:t>
      </w:r>
      <w:r w:rsidR="00862CF1" w:rsidRPr="00352E1C">
        <w:rPr>
          <w:rFonts w:ascii="Arial Narrow" w:hAnsi="Arial Narrow"/>
          <w:i/>
          <w:sz w:val="18"/>
          <w:szCs w:val="18"/>
        </w:rPr>
        <w:t>30,000 to &lt; 40,000</w:t>
      </w:r>
    </w:p>
    <w:p w14:paraId="2C5E478E" w14:textId="1B6C6C16"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2</w:t>
      </w:r>
      <w:r w:rsidRPr="00DB3FE7">
        <w:rPr>
          <w:rFonts w:ascii="Arial Narrow" w:hAnsi="Arial Narrow"/>
          <w:i/>
          <w:sz w:val="18"/>
          <w:szCs w:val="18"/>
        </w:rPr>
        <w:t xml:space="preserve"> </w:t>
      </w:r>
      <w:r w:rsidR="00862CF1" w:rsidRPr="00DB3FE7">
        <w:rPr>
          <w:rFonts w:ascii="Arial Narrow" w:hAnsi="Arial Narrow"/>
          <w:i/>
          <w:sz w:val="18"/>
          <w:szCs w:val="18"/>
        </w:rPr>
        <w:t>50,000 to &lt; 60,000</w:t>
      </w:r>
    </w:p>
    <w:p w14:paraId="37EBE947" w14:textId="0E1D58D2"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3</w:t>
      </w:r>
      <w:r w:rsidRPr="00DB3FE7">
        <w:rPr>
          <w:rFonts w:ascii="Arial Narrow" w:hAnsi="Arial Narrow"/>
          <w:i/>
          <w:sz w:val="18"/>
          <w:szCs w:val="18"/>
        </w:rPr>
        <w:t xml:space="preserve"> </w:t>
      </w:r>
      <w:r w:rsidR="00862CF1" w:rsidRPr="00DB3FE7">
        <w:rPr>
          <w:rFonts w:ascii="Arial Narrow" w:hAnsi="Arial Narrow"/>
          <w:i/>
          <w:sz w:val="18"/>
          <w:szCs w:val="18"/>
        </w:rPr>
        <w:t>80,000 to &lt; 90,000</w:t>
      </w:r>
    </w:p>
    <w:p w14:paraId="706128B3" w14:textId="50608400"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4</w:t>
      </w:r>
      <w:r w:rsidRPr="00DB3FE7">
        <w:rPr>
          <w:rFonts w:ascii="Arial Narrow" w:hAnsi="Arial Narrow"/>
          <w:i/>
          <w:sz w:val="18"/>
          <w:szCs w:val="18"/>
        </w:rPr>
        <w:t xml:space="preserve"> </w:t>
      </w:r>
      <w:r w:rsidR="00862CF1" w:rsidRPr="00DB3FE7">
        <w:rPr>
          <w:rFonts w:ascii="Arial Narrow" w:hAnsi="Arial Narrow"/>
          <w:i/>
          <w:sz w:val="18"/>
          <w:szCs w:val="18"/>
        </w:rPr>
        <w:t>90,000 to &lt; 100,000</w:t>
      </w:r>
    </w:p>
    <w:p w14:paraId="5A63480C" w14:textId="5C091D66"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5</w:t>
      </w:r>
      <w:r w:rsidRPr="00DB3FE7">
        <w:rPr>
          <w:rFonts w:ascii="Arial Narrow" w:hAnsi="Arial Narrow"/>
          <w:i/>
          <w:sz w:val="18"/>
          <w:szCs w:val="18"/>
        </w:rPr>
        <w:t xml:space="preserve"> </w:t>
      </w:r>
      <w:r w:rsidR="00862CF1" w:rsidRPr="00DB3FE7">
        <w:rPr>
          <w:rFonts w:ascii="Arial Narrow" w:hAnsi="Arial Narrow"/>
          <w:i/>
          <w:sz w:val="18"/>
          <w:szCs w:val="18"/>
        </w:rPr>
        <w:t>100,000 to &lt; 200,000</w:t>
      </w:r>
    </w:p>
    <w:p w14:paraId="290EA5FC" w14:textId="77777777" w:rsidR="00862CF1"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6</w:t>
      </w:r>
      <w:r w:rsidRPr="00DB3FE7">
        <w:rPr>
          <w:rFonts w:ascii="Arial Narrow" w:hAnsi="Arial Narrow"/>
          <w:i/>
          <w:sz w:val="18"/>
          <w:szCs w:val="18"/>
        </w:rPr>
        <w:t xml:space="preserve"> </w:t>
      </w:r>
      <w:r w:rsidR="00862CF1" w:rsidRPr="00DB3FE7">
        <w:rPr>
          <w:rFonts w:ascii="Arial Narrow" w:hAnsi="Arial Narrow"/>
          <w:i/>
          <w:sz w:val="18"/>
          <w:szCs w:val="18"/>
        </w:rPr>
        <w:t>5,000 to &lt; 10,000</w:t>
      </w:r>
    </w:p>
    <w:p w14:paraId="19CFB910" w14:textId="456F010B"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7</w:t>
      </w:r>
      <w:r w:rsidR="00862CF1" w:rsidRPr="00DB3FE7">
        <w:rPr>
          <w:rFonts w:ascii="Arial Narrow" w:hAnsi="Arial Narrow"/>
          <w:i/>
          <w:sz w:val="18"/>
          <w:szCs w:val="18"/>
        </w:rPr>
        <w:t>10,000 to &lt; 20,000</w:t>
      </w:r>
    </w:p>
    <w:p w14:paraId="50FB51BC" w14:textId="700FFF17"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8</w:t>
      </w:r>
      <w:r w:rsidRPr="00DB3FE7">
        <w:rPr>
          <w:rFonts w:ascii="Arial Narrow" w:hAnsi="Arial Narrow"/>
          <w:i/>
          <w:sz w:val="18"/>
          <w:szCs w:val="18"/>
        </w:rPr>
        <w:t xml:space="preserve"> </w:t>
      </w:r>
      <w:r w:rsidR="00862CF1" w:rsidRPr="00DB3FE7">
        <w:rPr>
          <w:rFonts w:ascii="Arial Narrow" w:hAnsi="Arial Narrow"/>
          <w:i/>
          <w:sz w:val="18"/>
          <w:szCs w:val="18"/>
        </w:rPr>
        <w:t>20,000 to &lt; 30,000</w:t>
      </w:r>
    </w:p>
    <w:p w14:paraId="547B789B" w14:textId="207DD996"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9</w:t>
      </w:r>
      <w:r w:rsidRPr="00DB3FE7">
        <w:rPr>
          <w:rFonts w:ascii="Arial Narrow" w:hAnsi="Arial Narrow"/>
          <w:i/>
          <w:sz w:val="18"/>
          <w:szCs w:val="18"/>
        </w:rPr>
        <w:t xml:space="preserve"> </w:t>
      </w:r>
      <w:r w:rsidR="00862CF1" w:rsidRPr="00DB3FE7">
        <w:rPr>
          <w:rFonts w:ascii="Arial Narrow" w:hAnsi="Arial Narrow"/>
          <w:i/>
          <w:sz w:val="18"/>
          <w:szCs w:val="18"/>
        </w:rPr>
        <w:t>200,000 to &lt; 300,000</w:t>
      </w:r>
    </w:p>
    <w:p w14:paraId="1FCEADF3" w14:textId="74EAC6F6"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10</w:t>
      </w:r>
      <w:r w:rsidR="00862CF1" w:rsidRPr="00DB3FE7">
        <w:rPr>
          <w:rFonts w:ascii="Arial Narrow" w:hAnsi="Arial Narrow"/>
          <w:i/>
          <w:sz w:val="18"/>
          <w:szCs w:val="18"/>
        </w:rPr>
        <w:t>$300 million to &lt; $400 million</w:t>
      </w:r>
    </w:p>
    <w:p w14:paraId="13A5618C" w14:textId="77777777" w:rsidR="00862CF1"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11</w:t>
      </w:r>
      <w:r w:rsidR="00862CF1" w:rsidRPr="00DB3FE7">
        <w:rPr>
          <w:rFonts w:ascii="Arial Narrow" w:hAnsi="Arial Narrow"/>
          <w:i/>
          <w:sz w:val="18"/>
          <w:szCs w:val="18"/>
        </w:rPr>
        <w:t>$400 million to &lt; $500 million</w:t>
      </w:r>
    </w:p>
    <w:p w14:paraId="6925B215" w14:textId="0BDF87E3" w:rsidR="007C4AE2" w:rsidRPr="00DB3FE7" w:rsidRDefault="007C4AE2" w:rsidP="007C4AE2">
      <w:pPr>
        <w:rPr>
          <w:rFonts w:ascii="Arial Narrow" w:hAnsi="Arial Narrow"/>
          <w:i/>
          <w:sz w:val="18"/>
          <w:szCs w:val="18"/>
        </w:rPr>
      </w:pPr>
      <w:r w:rsidRPr="00DB3FE7">
        <w:rPr>
          <w:rFonts w:ascii="Arial Narrow" w:hAnsi="Arial Narrow"/>
          <w:i/>
          <w:sz w:val="18"/>
          <w:szCs w:val="18"/>
          <w:vertAlign w:val="superscript"/>
        </w:rPr>
        <w:t>12</w:t>
      </w:r>
      <w:r w:rsidR="00862CF1" w:rsidRPr="00DB3FE7">
        <w:rPr>
          <w:rFonts w:ascii="Arial Narrow" w:hAnsi="Arial Narrow"/>
          <w:i/>
          <w:sz w:val="18"/>
          <w:szCs w:val="18"/>
        </w:rPr>
        <w:t>$500 million to &lt; $600 million</w:t>
      </w:r>
    </w:p>
    <w:p w14:paraId="7D6B1E9D" w14:textId="225FB468" w:rsidR="00862CF1" w:rsidRPr="00DB3FE7" w:rsidRDefault="00862CF1" w:rsidP="00862CF1">
      <w:pPr>
        <w:rPr>
          <w:rFonts w:ascii="Arial Narrow" w:hAnsi="Arial Narrow"/>
          <w:i/>
          <w:sz w:val="18"/>
          <w:szCs w:val="18"/>
        </w:rPr>
      </w:pPr>
      <w:r w:rsidRPr="00DB3FE7">
        <w:rPr>
          <w:rFonts w:ascii="Arial Narrow" w:hAnsi="Arial Narrow"/>
          <w:i/>
          <w:sz w:val="18"/>
          <w:szCs w:val="18"/>
          <w:vertAlign w:val="superscript"/>
        </w:rPr>
        <w:t>13</w:t>
      </w:r>
      <w:r w:rsidRPr="00DB3FE7">
        <w:rPr>
          <w:rFonts w:ascii="Arial Narrow" w:hAnsi="Arial Narrow"/>
          <w:i/>
          <w:sz w:val="18"/>
          <w:szCs w:val="18"/>
        </w:rPr>
        <w:t>$600 million to &lt; $700 million</w:t>
      </w:r>
    </w:p>
    <w:p w14:paraId="11827422" w14:textId="1985A6A0" w:rsidR="00862CF1" w:rsidRPr="00DB3FE7" w:rsidRDefault="00862CF1" w:rsidP="00862CF1">
      <w:pPr>
        <w:rPr>
          <w:rFonts w:ascii="Arial Narrow" w:hAnsi="Arial Narrow"/>
          <w:i/>
          <w:sz w:val="18"/>
          <w:szCs w:val="18"/>
        </w:rPr>
      </w:pPr>
      <w:r w:rsidRPr="00DB3FE7">
        <w:rPr>
          <w:rFonts w:ascii="Arial Narrow" w:hAnsi="Arial Narrow"/>
          <w:i/>
          <w:sz w:val="18"/>
          <w:szCs w:val="18"/>
          <w:vertAlign w:val="superscript"/>
        </w:rPr>
        <w:t>14</w:t>
      </w:r>
      <w:r w:rsidRPr="00DB3FE7">
        <w:rPr>
          <w:rFonts w:ascii="Arial Narrow" w:hAnsi="Arial Narrow"/>
          <w:i/>
          <w:sz w:val="18"/>
          <w:szCs w:val="18"/>
        </w:rPr>
        <w:t>$700 million to &lt; $800 million</w:t>
      </w:r>
    </w:p>
    <w:p w14:paraId="196CC916" w14:textId="0F517012" w:rsidR="00862CF1" w:rsidRPr="00DB3FE7" w:rsidRDefault="00862CF1" w:rsidP="00862CF1">
      <w:pPr>
        <w:rPr>
          <w:rFonts w:ascii="Arial Narrow" w:hAnsi="Arial Narrow"/>
          <w:i/>
          <w:sz w:val="18"/>
          <w:szCs w:val="18"/>
        </w:rPr>
      </w:pPr>
      <w:r w:rsidRPr="00DB3FE7">
        <w:rPr>
          <w:rFonts w:ascii="Arial Narrow" w:hAnsi="Arial Narrow"/>
          <w:i/>
          <w:sz w:val="18"/>
          <w:szCs w:val="18"/>
          <w:vertAlign w:val="superscript"/>
        </w:rPr>
        <w:t>15</w:t>
      </w:r>
      <w:r w:rsidRPr="00DB3FE7">
        <w:t xml:space="preserve"> </w:t>
      </w:r>
      <w:r w:rsidRPr="00DB3FE7">
        <w:rPr>
          <w:rFonts w:ascii="Arial Narrow" w:hAnsi="Arial Narrow"/>
          <w:i/>
          <w:sz w:val="18"/>
          <w:szCs w:val="18"/>
        </w:rPr>
        <w:t>net cost saving</w:t>
      </w:r>
    </w:p>
    <w:p w14:paraId="6F536A28" w14:textId="22BB8780" w:rsidR="006E4336" w:rsidRPr="00DB3FE7" w:rsidRDefault="006E4336" w:rsidP="006E4336">
      <w:pPr>
        <w:rPr>
          <w:rFonts w:ascii="Arial Narrow" w:hAnsi="Arial Narrow"/>
          <w:i/>
          <w:sz w:val="18"/>
          <w:szCs w:val="18"/>
        </w:rPr>
      </w:pPr>
      <w:r w:rsidRPr="00DB3FE7">
        <w:rPr>
          <w:rFonts w:ascii="Arial Narrow" w:hAnsi="Arial Narrow"/>
          <w:i/>
          <w:sz w:val="18"/>
          <w:szCs w:val="18"/>
          <w:vertAlign w:val="superscript"/>
        </w:rPr>
        <w:t>16</w:t>
      </w:r>
      <w:r w:rsidRPr="00DB3FE7">
        <w:t xml:space="preserve"> </w:t>
      </w:r>
      <w:r w:rsidRPr="00DB3FE7">
        <w:rPr>
          <w:rFonts w:ascii="Arial Narrow" w:hAnsi="Arial Narrow"/>
          <w:i/>
          <w:sz w:val="18"/>
          <w:szCs w:val="18"/>
        </w:rPr>
        <w:t>$0 to &lt; $10 million</w:t>
      </w:r>
    </w:p>
    <w:p w14:paraId="4245156A" w14:textId="337D67EE" w:rsidR="006E4336" w:rsidRPr="00DB3FE7" w:rsidRDefault="006E4336" w:rsidP="00862CF1">
      <w:pPr>
        <w:rPr>
          <w:rFonts w:ascii="Arial Narrow" w:hAnsi="Arial Narrow"/>
          <w:i/>
          <w:sz w:val="18"/>
          <w:szCs w:val="18"/>
        </w:rPr>
      </w:pPr>
      <w:r w:rsidRPr="00DB3FE7">
        <w:rPr>
          <w:rFonts w:ascii="Arial Narrow" w:hAnsi="Arial Narrow"/>
          <w:i/>
          <w:sz w:val="18"/>
          <w:szCs w:val="18"/>
          <w:vertAlign w:val="superscript"/>
        </w:rPr>
        <w:t>17</w:t>
      </w:r>
      <w:r w:rsidRPr="00DB3FE7">
        <w:t xml:space="preserve"> </w:t>
      </w:r>
      <w:r w:rsidRPr="00DB3FE7">
        <w:rPr>
          <w:rFonts w:ascii="Arial Narrow" w:hAnsi="Arial Narrow"/>
          <w:i/>
          <w:sz w:val="18"/>
          <w:szCs w:val="18"/>
        </w:rPr>
        <w:t>$200 million to &lt; $300 million</w:t>
      </w:r>
    </w:p>
    <w:p w14:paraId="662DCD35" w14:textId="77777777" w:rsidR="007C4AE2" w:rsidRPr="00DB3FE7" w:rsidRDefault="007C4AE2" w:rsidP="007C4AE2">
      <w:pPr>
        <w:rPr>
          <w:rFonts w:ascii="Arial Narrow" w:hAnsi="Arial Narrow"/>
          <w:i/>
          <w:sz w:val="18"/>
          <w:szCs w:val="18"/>
        </w:rPr>
      </w:pPr>
    </w:p>
    <w:p w14:paraId="06265495" w14:textId="77777777" w:rsidR="007C4AE2" w:rsidRPr="00DB3FE7" w:rsidRDefault="007C4AE2" w:rsidP="007C4AE2">
      <w:pPr>
        <w:rPr>
          <w:rFonts w:ascii="Arial Narrow" w:hAnsi="Arial Narrow"/>
          <w:i/>
          <w:sz w:val="18"/>
          <w:szCs w:val="18"/>
        </w:rPr>
        <w:sectPr w:rsidR="007C4AE2" w:rsidRPr="00DB3FE7" w:rsidSect="006F69AD">
          <w:type w:val="continuous"/>
          <w:pgSz w:w="11907" w:h="16840" w:code="9"/>
          <w:pgMar w:top="1440" w:right="1440" w:bottom="1440" w:left="1440" w:header="1440" w:footer="1440" w:gutter="0"/>
          <w:pgNumType w:start="1"/>
          <w:cols w:num="2" w:space="708"/>
          <w:docGrid w:linePitch="360"/>
        </w:sectPr>
      </w:pPr>
    </w:p>
    <w:p w14:paraId="2A3F07DD" w14:textId="77777777" w:rsidR="003A077F" w:rsidRPr="0042765C" w:rsidRDefault="003A077F" w:rsidP="003A077F">
      <w:pPr>
        <w:pStyle w:val="COMexecsumnumberedpara"/>
        <w:numPr>
          <w:ilvl w:val="0"/>
          <w:numId w:val="0"/>
        </w:numPr>
        <w:spacing w:after="0"/>
        <w:ind w:left="720" w:hanging="720"/>
        <w:rPr>
          <w:sz w:val="12"/>
          <w:szCs w:val="12"/>
        </w:rPr>
      </w:pPr>
    </w:p>
    <w:p w14:paraId="6F95D9D2" w14:textId="3E99882A" w:rsidR="001B1A34" w:rsidRPr="00DB3FE7" w:rsidRDefault="001B1A34" w:rsidP="001B1A34">
      <w:pPr>
        <w:pStyle w:val="COMexecsumnumberedpara"/>
        <w:numPr>
          <w:ilvl w:val="1"/>
          <w:numId w:val="1"/>
        </w:numPr>
      </w:pPr>
      <w:r w:rsidRPr="00352E1C">
        <w:t xml:space="preserve">The estimated net cost to Government for inclisiran including PBS/RPBS and MBS cost offsets was </w:t>
      </w:r>
      <w:r w:rsidR="00585AD1" w:rsidRPr="00352E1C">
        <w:t>$200 million to &lt; $300 million</w:t>
      </w:r>
      <w:r w:rsidR="00585AD1" w:rsidRPr="00352E1C" w:rsidDel="00585AD1">
        <w:t xml:space="preserve"> </w:t>
      </w:r>
      <w:r w:rsidRPr="00352E1C">
        <w:t xml:space="preserve">in Year 1, increasing to </w:t>
      </w:r>
      <w:r w:rsidR="00585AD1" w:rsidRPr="00352E1C">
        <w:t xml:space="preserve">$300 </w:t>
      </w:r>
      <w:r w:rsidR="00585AD1" w:rsidRPr="00DB3FE7">
        <w:t>million to &lt;</w:t>
      </w:r>
      <w:r w:rsidR="005861B3" w:rsidRPr="00DB3FE7">
        <w:t> </w:t>
      </w:r>
      <w:r w:rsidR="00585AD1" w:rsidRPr="00DB3FE7">
        <w:t>$400 million</w:t>
      </w:r>
      <w:r w:rsidRPr="00DB3FE7">
        <w:t xml:space="preserve"> in Year 6, a total of </w:t>
      </w:r>
      <w:r w:rsidR="00585AD1" w:rsidRPr="00DB3FE7">
        <w:t xml:space="preserve">&gt; $1 billion </w:t>
      </w:r>
      <w:r w:rsidRPr="00DB3FE7">
        <w:t xml:space="preserve">over 6 years. This was substantially higher than the submission’s estimate of </w:t>
      </w:r>
      <w:r w:rsidR="00585AD1" w:rsidRPr="00DB3FE7">
        <w:t xml:space="preserve">$100 million to &lt; $200 million </w:t>
      </w:r>
      <w:r w:rsidRPr="00DB3FE7">
        <w:t>over 6 years.</w:t>
      </w:r>
    </w:p>
    <w:p w14:paraId="62D24D57" w14:textId="77777777" w:rsidR="001B1A34" w:rsidRPr="00DB3FE7" w:rsidRDefault="001B1A34" w:rsidP="001B1A34">
      <w:pPr>
        <w:pStyle w:val="COMexecsumnumberedpara"/>
        <w:numPr>
          <w:ilvl w:val="1"/>
          <w:numId w:val="1"/>
        </w:numPr>
      </w:pPr>
      <w:r w:rsidRPr="00DB3FE7">
        <w:t>The estimated extent of use of inclisiran should not be considered reliable due to uncertainties with key sources and parameters used to determine the size of the eligible and treated populations, and circumstances of use of inclisiran.</w:t>
      </w:r>
    </w:p>
    <w:p w14:paraId="38EDECC8" w14:textId="23099138" w:rsidR="001B1A34" w:rsidRPr="00DB3FE7" w:rsidRDefault="001B1A34" w:rsidP="001B1A34">
      <w:pPr>
        <w:pStyle w:val="COMexecsumnumberedpara"/>
        <w:numPr>
          <w:ilvl w:val="1"/>
          <w:numId w:val="1"/>
        </w:numPr>
        <w:rPr>
          <w:color w:val="0066FF"/>
        </w:rPr>
      </w:pPr>
      <w:r w:rsidRPr="00DB3FE7">
        <w:t>The submission did not account for increased costs associated with the additional use of statin therapies in the majority of patients (approximately 65% of all ezetimibe scripts based on 2021 PBS/RPBS utilisation data) who discontinued ezetimibe/statin fixed dose combinations.</w:t>
      </w:r>
    </w:p>
    <w:p w14:paraId="1AA176E5" w14:textId="047A66F5" w:rsidR="001B1A34" w:rsidRPr="00DB3FE7" w:rsidRDefault="001B1A34" w:rsidP="001B1A34">
      <w:pPr>
        <w:pStyle w:val="COMexecsumnumberedpara"/>
        <w:numPr>
          <w:ilvl w:val="1"/>
          <w:numId w:val="1"/>
        </w:numPr>
        <w:rPr>
          <w:color w:val="0066FF"/>
        </w:rPr>
      </w:pPr>
      <w:r w:rsidRPr="00DB3FE7">
        <w:t>Estimated cost offsets due to avoided PCSK9 use were dependent on highly uncertain treated population estimates for inclisiran as well as uncertainties associated with key inputs derived from the economic model of the submission. The resulting avoided patient-years of treatment with PCSK9 inhibitor therapies may not be plausible given the estimates (e.g. 20,009 in Year 1) were substantially higher than the estimated total number of patients treated with PCSK9 inhibitor therapies in the 2021-2022 financial year (approximately 1,098 patients assuming perfect compliance). Uptake of PCSK9 inhibitor therapies in the future is likely to change given the recent expansion of the evolocumab listing in December 2022 (lowering of LDL threshold from 2.6 mmol/L to 1.8 mmol/L</w:t>
      </w:r>
      <w:r w:rsidR="00BD0474" w:rsidRPr="00DB3FE7">
        <w:t xml:space="preserve"> and initiation of evolocumab by any medical practitioner</w:t>
      </w:r>
      <w:r w:rsidRPr="00DB3FE7">
        <w:t>).</w:t>
      </w:r>
    </w:p>
    <w:p w14:paraId="3115948F" w14:textId="608D4C8E" w:rsidR="001B1A34" w:rsidRPr="00DB3FE7" w:rsidRDefault="001B1A34" w:rsidP="00316B56">
      <w:pPr>
        <w:pStyle w:val="COMexecsumnumberedpara"/>
        <w:numPr>
          <w:ilvl w:val="1"/>
          <w:numId w:val="1"/>
        </w:numPr>
        <w:rPr>
          <w:i/>
          <w:iCs/>
        </w:rPr>
      </w:pPr>
      <w:r w:rsidRPr="00DB3FE7">
        <w:t xml:space="preserve">MBS costs associated with </w:t>
      </w:r>
      <w:r w:rsidR="00293FBA" w:rsidRPr="00DB3FE7">
        <w:t>health professional attendance for</w:t>
      </w:r>
      <w:r w:rsidRPr="00DB3FE7">
        <w:t xml:space="preserve"> administrations </w:t>
      </w:r>
      <w:r w:rsidR="00293FBA" w:rsidRPr="00DB3FE7">
        <w:t>of</w:t>
      </w:r>
      <w:r w:rsidRPr="00DB3FE7">
        <w:t xml:space="preserve"> </w:t>
      </w:r>
      <w:r w:rsidR="00293FBA" w:rsidRPr="00DB3FE7">
        <w:t>treatment are not appropriate for inclusion in the estimates</w:t>
      </w:r>
      <w:r w:rsidR="00316B56" w:rsidRPr="00DB3FE7">
        <w:t xml:space="preserve"> of utilisation and financial implications</w:t>
      </w:r>
      <w:r w:rsidR="00293FBA" w:rsidRPr="00DB3FE7">
        <w:t>.</w:t>
      </w:r>
    </w:p>
    <w:p w14:paraId="24B46E69" w14:textId="77777777" w:rsidR="00E4249D" w:rsidRPr="00DB3FE7" w:rsidRDefault="00E4249D" w:rsidP="00E4249D">
      <w:pPr>
        <w:pStyle w:val="COMH2-non-numbered"/>
      </w:pPr>
      <w:r w:rsidRPr="00DB3FE7">
        <w:t>Quality Use of Medicines</w:t>
      </w:r>
      <w:bookmarkEnd w:id="50"/>
      <w:bookmarkEnd w:id="51"/>
    </w:p>
    <w:p w14:paraId="1D9FCCA8" w14:textId="59478A7D" w:rsidR="001B1A34" w:rsidRPr="00DB3FE7" w:rsidRDefault="00E4249D" w:rsidP="001B1A34">
      <w:pPr>
        <w:pStyle w:val="COMexecsumnumberedpara"/>
        <w:numPr>
          <w:ilvl w:val="1"/>
          <w:numId w:val="1"/>
        </w:numPr>
      </w:pPr>
      <w:r w:rsidRPr="00DB3FE7">
        <w:t xml:space="preserve">The submission stated that the sponsor is developing several initiatives and partnerships to improve cardiovascular healthcare, as part of the broader inclisiran Australian launch plan. The submission did not address potential non-adherence to oral hypercholesterolaemia treatments associated with the use of inclisiran. </w:t>
      </w:r>
      <w:r w:rsidR="001F3A70" w:rsidRPr="00DB3FE7">
        <w:t>Results </w:t>
      </w:r>
      <w:r w:rsidRPr="00DB3FE7">
        <w:t>from subgroup analyses of the ORION trials suggested that patients who were close to target LDL</w:t>
      </w:r>
      <w:r w:rsidR="00CD0449" w:rsidRPr="00DB3FE7">
        <w:t>-C</w:t>
      </w:r>
      <w:r w:rsidRPr="00DB3FE7">
        <w:t xml:space="preserve"> levels had large increases in LDL</w:t>
      </w:r>
      <w:r w:rsidR="00CD0449" w:rsidRPr="00DB3FE7">
        <w:t>-C</w:t>
      </w:r>
      <w:r w:rsidRPr="00DB3FE7">
        <w:t xml:space="preserve"> levels over time due to non</w:t>
      </w:r>
      <w:r w:rsidR="001F3A70" w:rsidRPr="00DB3FE7">
        <w:noBreakHyphen/>
      </w:r>
      <w:r w:rsidRPr="00DB3FE7">
        <w:t>adherence to background oral treatments. This may reflect an underlying quality use of medicines issue with the availability of treatment options that have less frequent dosing.</w:t>
      </w:r>
    </w:p>
    <w:p w14:paraId="5C17A85D" w14:textId="2D224DCD" w:rsidR="001B1A34" w:rsidRPr="00DB3FE7" w:rsidRDefault="001B1A34" w:rsidP="001B1A34">
      <w:pPr>
        <w:pStyle w:val="COMexecsumnumberedpara"/>
        <w:numPr>
          <w:ilvl w:val="1"/>
          <w:numId w:val="1"/>
        </w:numPr>
      </w:pPr>
      <w:r w:rsidRPr="00DB3FE7">
        <w:t>DUSC noted that inclisiran represents a new mechanism of action and suggested the sponsor should propose QUM education for prescribers prior to PBS listing and post market pharmacovigilance activities.</w:t>
      </w:r>
    </w:p>
    <w:p w14:paraId="634F4C4F" w14:textId="77777777" w:rsidR="00E4249D" w:rsidRPr="00DB3FE7" w:rsidRDefault="00E4249D" w:rsidP="00E4249D">
      <w:pPr>
        <w:pStyle w:val="COMH2-non-numbered"/>
      </w:pPr>
      <w:bookmarkStart w:id="54" w:name="_Toc107927635"/>
      <w:bookmarkStart w:id="55" w:name="_Toc124866153"/>
      <w:r w:rsidRPr="00DB3FE7">
        <w:t>Financial Management – Risk Sharing Arrangements</w:t>
      </w:r>
      <w:bookmarkEnd w:id="54"/>
      <w:bookmarkEnd w:id="55"/>
    </w:p>
    <w:p w14:paraId="082DB814" w14:textId="621CFCD7" w:rsidR="007F2E83" w:rsidRPr="00DB3FE7" w:rsidRDefault="00E4249D" w:rsidP="007F2E83">
      <w:pPr>
        <w:pStyle w:val="COMexecsumnumberedpara"/>
        <w:numPr>
          <w:ilvl w:val="1"/>
          <w:numId w:val="1"/>
        </w:numPr>
      </w:pPr>
      <w:r w:rsidRPr="00DB3FE7">
        <w:t xml:space="preserve">No risk-sharing arrangement </w:t>
      </w:r>
      <w:r w:rsidR="00280C98" w:rsidRPr="00DB3FE7">
        <w:t xml:space="preserve">(RSA) </w:t>
      </w:r>
      <w:r w:rsidRPr="00DB3FE7">
        <w:t>was proposed for inclisiran. There is an established two-tier subsidisation cap arrangement on forecast utilisation for current PBS listings of PCKS9 inhibitors (para 6.58, evolocumab PSD, July 2022 PBAC meeting). It may be appropriate for inclisiran to be part of established risk-sharing arrangements for PCSK9 inhibitors given the use of inclisiran will affect the utilisation of PCSK9 inhibitors.</w:t>
      </w:r>
      <w:r w:rsidR="006D4990" w:rsidRPr="00DB3FE7">
        <w:t xml:space="preserve"> The pre-PBAC response stated that </w:t>
      </w:r>
      <w:r w:rsidR="00280C98" w:rsidRPr="00DB3FE7">
        <w:t>the Sponsor would be willing to join the current PCSK9 inhibitor RSA if it was recommended in the third line setting.</w:t>
      </w:r>
    </w:p>
    <w:p w14:paraId="1133675C" w14:textId="5DB1B861" w:rsidR="007F2E83" w:rsidRPr="00DB3FE7" w:rsidRDefault="007F2E83" w:rsidP="007F2E83">
      <w:pPr>
        <w:pStyle w:val="COMexecsumnumberedpara"/>
        <w:numPr>
          <w:ilvl w:val="0"/>
          <w:numId w:val="0"/>
        </w:numPr>
        <w:ind w:left="720"/>
        <w:rPr>
          <w:i/>
          <w:iCs/>
        </w:rPr>
      </w:pPr>
      <w:bookmarkStart w:id="56" w:name="_Hlk131158928"/>
      <w:r w:rsidRPr="00DB3FE7">
        <w:rPr>
          <w:i/>
          <w:iCs/>
        </w:rPr>
        <w:t>For more detail on PBAC’s view, see section 7 PBAC outcome.</w:t>
      </w:r>
    </w:p>
    <w:bookmarkEnd w:id="56"/>
    <w:p w14:paraId="25083ECE" w14:textId="097CFF75" w:rsidR="004C1359" w:rsidRPr="00DB3FE7" w:rsidRDefault="004C1359" w:rsidP="00700411">
      <w:pPr>
        <w:pStyle w:val="COMH1numbered"/>
        <w:ind w:left="720"/>
      </w:pPr>
      <w:r w:rsidRPr="00DB3FE7">
        <w:t>PBAC Outcome</w:t>
      </w:r>
    </w:p>
    <w:p w14:paraId="1D51B449" w14:textId="17492D0A" w:rsidR="003A0C86" w:rsidRPr="00C91ADA" w:rsidRDefault="001B1A34" w:rsidP="00A71836">
      <w:pPr>
        <w:widowControl w:val="0"/>
        <w:numPr>
          <w:ilvl w:val="1"/>
          <w:numId w:val="1"/>
        </w:numPr>
        <w:spacing w:after="120"/>
        <w:rPr>
          <w:rFonts w:asciiTheme="minorHAnsi" w:hAnsiTheme="minorHAnsi"/>
          <w:snapToGrid w:val="0"/>
        </w:rPr>
      </w:pPr>
      <w:bookmarkStart w:id="57" w:name="_Hlk76381249"/>
      <w:bookmarkStart w:id="58" w:name="_Hlk76377955"/>
      <w:bookmarkStart w:id="59" w:name="_Toc107927637"/>
      <w:bookmarkStart w:id="60" w:name="_Toc124866155"/>
      <w:bookmarkEnd w:id="49"/>
      <w:r w:rsidRPr="00C91ADA">
        <w:rPr>
          <w:rFonts w:asciiTheme="minorHAnsi" w:hAnsiTheme="minorHAnsi"/>
          <w:snapToGrid w:val="0"/>
        </w:rPr>
        <w:t>The PBAC did not recommend</w:t>
      </w:r>
      <w:r w:rsidR="009D7096" w:rsidRPr="00C91ADA">
        <w:rPr>
          <w:rFonts w:asciiTheme="minorHAnsi" w:hAnsiTheme="minorHAnsi"/>
          <w:snapToGrid w:val="0"/>
        </w:rPr>
        <w:t xml:space="preserve"> inclisiran for the treatment of hypercholesterolaemia and ASCVD. The PBAC </w:t>
      </w:r>
      <w:r w:rsidR="00D61CFA" w:rsidRPr="00C91ADA">
        <w:rPr>
          <w:rFonts w:asciiTheme="minorHAnsi" w:hAnsiTheme="minorHAnsi"/>
          <w:snapToGrid w:val="0"/>
        </w:rPr>
        <w:t xml:space="preserve">considered </w:t>
      </w:r>
      <w:r w:rsidR="007E22A4" w:rsidRPr="00C91ADA">
        <w:rPr>
          <w:rFonts w:asciiTheme="minorHAnsi" w:hAnsiTheme="minorHAnsi"/>
          <w:snapToGrid w:val="0"/>
        </w:rPr>
        <w:t xml:space="preserve">the proposed positioning of </w:t>
      </w:r>
      <w:r w:rsidR="00EB3108" w:rsidRPr="00C91ADA">
        <w:rPr>
          <w:rFonts w:asciiTheme="minorHAnsi" w:hAnsiTheme="minorHAnsi"/>
          <w:snapToGrid w:val="0"/>
        </w:rPr>
        <w:t>inclisiran</w:t>
      </w:r>
      <w:r w:rsidR="002B5102" w:rsidRPr="00C91ADA">
        <w:rPr>
          <w:rFonts w:asciiTheme="minorHAnsi" w:hAnsiTheme="minorHAnsi"/>
          <w:snapToGrid w:val="0"/>
        </w:rPr>
        <w:t xml:space="preserve"> as a second-line </w:t>
      </w:r>
      <w:r w:rsidR="007E22A4" w:rsidRPr="00C91ADA">
        <w:rPr>
          <w:rFonts w:asciiTheme="minorHAnsi" w:hAnsiTheme="minorHAnsi"/>
          <w:snapToGrid w:val="0"/>
        </w:rPr>
        <w:t>alternative to ezetimibe was not justified. The PBAC considered</w:t>
      </w:r>
      <w:r w:rsidR="002B5102" w:rsidRPr="00C91ADA">
        <w:rPr>
          <w:rFonts w:asciiTheme="minorHAnsi" w:hAnsiTheme="minorHAnsi"/>
          <w:snapToGrid w:val="0"/>
        </w:rPr>
        <w:t xml:space="preserve"> </w:t>
      </w:r>
      <w:r w:rsidR="00D61CFA" w:rsidRPr="00C91ADA">
        <w:rPr>
          <w:rFonts w:asciiTheme="minorHAnsi" w:hAnsiTheme="minorHAnsi"/>
          <w:snapToGrid w:val="0"/>
        </w:rPr>
        <w:t>inclisiran would be most appropriately positioned as an alternative to the PCSK9 inhibitors in the third</w:t>
      </w:r>
      <w:r w:rsidR="004F5945" w:rsidRPr="00C91ADA">
        <w:rPr>
          <w:rFonts w:asciiTheme="minorHAnsi" w:hAnsiTheme="minorHAnsi"/>
          <w:snapToGrid w:val="0"/>
        </w:rPr>
        <w:t>-</w:t>
      </w:r>
      <w:r w:rsidR="00D61CFA" w:rsidRPr="00C91ADA">
        <w:rPr>
          <w:rFonts w:asciiTheme="minorHAnsi" w:hAnsiTheme="minorHAnsi"/>
          <w:snapToGrid w:val="0"/>
        </w:rPr>
        <w:t xml:space="preserve">line setting. </w:t>
      </w:r>
      <w:r w:rsidR="0056671F" w:rsidRPr="00C91ADA">
        <w:rPr>
          <w:rFonts w:asciiTheme="minorHAnsi" w:hAnsiTheme="minorHAnsi"/>
          <w:snapToGrid w:val="0"/>
        </w:rPr>
        <w:t>The PBAC</w:t>
      </w:r>
      <w:r w:rsidR="00800E84" w:rsidRPr="00C91ADA">
        <w:rPr>
          <w:rFonts w:asciiTheme="minorHAnsi" w:hAnsiTheme="minorHAnsi"/>
          <w:snapToGrid w:val="0"/>
        </w:rPr>
        <w:t xml:space="preserve"> not</w:t>
      </w:r>
      <w:r w:rsidR="007E22A4" w:rsidRPr="00C91ADA">
        <w:rPr>
          <w:rFonts w:asciiTheme="minorHAnsi" w:hAnsiTheme="minorHAnsi"/>
          <w:snapToGrid w:val="0"/>
        </w:rPr>
        <w:t>ed</w:t>
      </w:r>
      <w:r w:rsidR="00800E84" w:rsidRPr="00C91ADA">
        <w:rPr>
          <w:rFonts w:asciiTheme="minorHAnsi" w:hAnsiTheme="minorHAnsi"/>
          <w:snapToGrid w:val="0"/>
        </w:rPr>
        <w:t xml:space="preserve"> the submission presented supporting </w:t>
      </w:r>
      <w:r w:rsidR="00E94759" w:rsidRPr="00C91ADA">
        <w:rPr>
          <w:rFonts w:asciiTheme="minorHAnsi" w:hAnsiTheme="minorHAnsi"/>
          <w:snapToGrid w:val="0"/>
        </w:rPr>
        <w:t xml:space="preserve">indirect treatment </w:t>
      </w:r>
      <w:r w:rsidR="00800E84" w:rsidRPr="00C91ADA">
        <w:rPr>
          <w:rFonts w:asciiTheme="minorHAnsi" w:hAnsiTheme="minorHAnsi"/>
          <w:snapToGrid w:val="0"/>
        </w:rPr>
        <w:t>comparison</w:t>
      </w:r>
      <w:r w:rsidR="00E94759" w:rsidRPr="00C91ADA">
        <w:rPr>
          <w:rFonts w:asciiTheme="minorHAnsi" w:hAnsiTheme="minorHAnsi"/>
          <w:snapToGrid w:val="0"/>
        </w:rPr>
        <w:t>s (ITCs)</w:t>
      </w:r>
      <w:r w:rsidR="00800E84" w:rsidRPr="00C91ADA">
        <w:rPr>
          <w:rFonts w:asciiTheme="minorHAnsi" w:hAnsiTheme="minorHAnsi"/>
          <w:snapToGrid w:val="0"/>
        </w:rPr>
        <w:t xml:space="preserve"> between inclisiran and the PCSK9 inhibitors</w:t>
      </w:r>
      <w:r w:rsidR="00110338" w:rsidRPr="00C91ADA">
        <w:rPr>
          <w:rFonts w:asciiTheme="minorHAnsi" w:hAnsiTheme="minorHAnsi"/>
          <w:snapToGrid w:val="0"/>
        </w:rPr>
        <w:t>;</w:t>
      </w:r>
      <w:r w:rsidR="0056671F" w:rsidRPr="00C91ADA">
        <w:rPr>
          <w:rFonts w:asciiTheme="minorHAnsi" w:hAnsiTheme="minorHAnsi"/>
          <w:snapToGrid w:val="0"/>
        </w:rPr>
        <w:t xml:space="preserve"> </w:t>
      </w:r>
      <w:r w:rsidR="007E22A4" w:rsidRPr="00C91ADA">
        <w:rPr>
          <w:rFonts w:asciiTheme="minorHAnsi" w:hAnsiTheme="minorHAnsi"/>
          <w:snapToGrid w:val="0"/>
        </w:rPr>
        <w:t>however</w:t>
      </w:r>
      <w:r w:rsidR="00110338" w:rsidRPr="00C91ADA">
        <w:rPr>
          <w:rFonts w:asciiTheme="minorHAnsi" w:hAnsiTheme="minorHAnsi"/>
          <w:snapToGrid w:val="0"/>
        </w:rPr>
        <w:t>,</w:t>
      </w:r>
      <w:r w:rsidR="007E22A4" w:rsidRPr="00C91ADA">
        <w:rPr>
          <w:rFonts w:asciiTheme="minorHAnsi" w:hAnsiTheme="minorHAnsi"/>
          <w:snapToGrid w:val="0"/>
        </w:rPr>
        <w:t xml:space="preserve"> it </w:t>
      </w:r>
      <w:r w:rsidR="0056671F" w:rsidRPr="00C91ADA">
        <w:rPr>
          <w:rFonts w:asciiTheme="minorHAnsi" w:hAnsiTheme="minorHAnsi"/>
          <w:snapToGrid w:val="0"/>
        </w:rPr>
        <w:t>considered that</w:t>
      </w:r>
      <w:r w:rsidR="00110338" w:rsidRPr="00C91ADA">
        <w:rPr>
          <w:rFonts w:asciiTheme="minorHAnsi" w:hAnsiTheme="minorHAnsi"/>
          <w:snapToGrid w:val="0"/>
        </w:rPr>
        <w:t>,</w:t>
      </w:r>
      <w:r w:rsidR="0056671F" w:rsidRPr="00C91ADA">
        <w:rPr>
          <w:rFonts w:asciiTheme="minorHAnsi" w:hAnsiTheme="minorHAnsi"/>
          <w:snapToGrid w:val="0"/>
        </w:rPr>
        <w:t xml:space="preserve"> </w:t>
      </w:r>
      <w:r w:rsidR="007E22A4" w:rsidRPr="00C91ADA">
        <w:rPr>
          <w:rFonts w:asciiTheme="minorHAnsi" w:hAnsiTheme="minorHAnsi"/>
          <w:snapToGrid w:val="0"/>
        </w:rPr>
        <w:t xml:space="preserve">given </w:t>
      </w:r>
      <w:r w:rsidR="0056671F" w:rsidRPr="00C91ADA">
        <w:rPr>
          <w:rFonts w:asciiTheme="minorHAnsi" w:hAnsiTheme="minorHAnsi"/>
          <w:snapToGrid w:val="0"/>
        </w:rPr>
        <w:t xml:space="preserve">the results </w:t>
      </w:r>
      <w:r w:rsidR="007E22A4" w:rsidRPr="00C91ADA">
        <w:rPr>
          <w:rFonts w:asciiTheme="minorHAnsi" w:hAnsiTheme="minorHAnsi"/>
          <w:snapToGrid w:val="0"/>
        </w:rPr>
        <w:t xml:space="preserve">consistently favoured evolocumab over </w:t>
      </w:r>
      <w:r w:rsidR="00EB3108" w:rsidRPr="00C91ADA">
        <w:rPr>
          <w:rFonts w:asciiTheme="minorHAnsi" w:hAnsiTheme="minorHAnsi"/>
          <w:snapToGrid w:val="0"/>
        </w:rPr>
        <w:t>inclisiran</w:t>
      </w:r>
      <w:r w:rsidR="00A71836" w:rsidRPr="00C91ADA">
        <w:rPr>
          <w:rFonts w:asciiTheme="minorHAnsi" w:hAnsiTheme="minorHAnsi"/>
          <w:snapToGrid w:val="0"/>
        </w:rPr>
        <w:t xml:space="preserve"> and </w:t>
      </w:r>
      <w:r w:rsidR="00436554" w:rsidRPr="00C91ADA">
        <w:rPr>
          <w:rFonts w:asciiTheme="minorHAnsi" w:hAnsiTheme="minorHAnsi"/>
          <w:snapToGrid w:val="0"/>
        </w:rPr>
        <w:t xml:space="preserve">there was </w:t>
      </w:r>
      <w:r w:rsidR="00A71836" w:rsidRPr="00C91ADA">
        <w:rPr>
          <w:rFonts w:asciiTheme="minorHAnsi" w:hAnsiTheme="minorHAnsi"/>
          <w:snapToGrid w:val="0"/>
        </w:rPr>
        <w:t>no assessment of</w:t>
      </w:r>
      <w:r w:rsidR="00436554" w:rsidRPr="00C91ADA">
        <w:rPr>
          <w:rFonts w:asciiTheme="minorHAnsi" w:hAnsiTheme="minorHAnsi"/>
          <w:snapToGrid w:val="0"/>
        </w:rPr>
        <w:t xml:space="preserve"> either a minimum clinically important difference</w:t>
      </w:r>
      <w:r w:rsidR="00BC696E" w:rsidRPr="00C91ADA">
        <w:rPr>
          <w:rFonts w:asciiTheme="minorHAnsi" w:hAnsiTheme="minorHAnsi"/>
          <w:snapToGrid w:val="0"/>
        </w:rPr>
        <w:t xml:space="preserve"> (MCID)</w:t>
      </w:r>
      <w:r w:rsidR="00436554" w:rsidRPr="00C91ADA">
        <w:rPr>
          <w:rFonts w:asciiTheme="minorHAnsi" w:hAnsiTheme="minorHAnsi"/>
          <w:snapToGrid w:val="0"/>
        </w:rPr>
        <w:t xml:space="preserve"> or non-inferiority margin</w:t>
      </w:r>
      <w:r w:rsidR="00110338" w:rsidRPr="00C91ADA">
        <w:rPr>
          <w:rFonts w:asciiTheme="minorHAnsi" w:hAnsiTheme="minorHAnsi"/>
          <w:snapToGrid w:val="0"/>
        </w:rPr>
        <w:t>,</w:t>
      </w:r>
      <w:r w:rsidR="007E22A4" w:rsidRPr="00C91ADA">
        <w:rPr>
          <w:rFonts w:asciiTheme="minorHAnsi" w:hAnsiTheme="minorHAnsi"/>
          <w:snapToGrid w:val="0"/>
        </w:rPr>
        <w:t xml:space="preserve"> non-inferiority</w:t>
      </w:r>
      <w:r w:rsidR="003A0C86" w:rsidRPr="00C91ADA">
        <w:rPr>
          <w:rFonts w:asciiTheme="minorHAnsi" w:hAnsiTheme="minorHAnsi"/>
          <w:snapToGrid w:val="0"/>
        </w:rPr>
        <w:t xml:space="preserve"> to the PCSK9 inhibitors</w:t>
      </w:r>
      <w:r w:rsidR="007E22A4" w:rsidRPr="00C91ADA">
        <w:rPr>
          <w:rFonts w:asciiTheme="minorHAnsi" w:hAnsiTheme="minorHAnsi"/>
          <w:snapToGrid w:val="0"/>
        </w:rPr>
        <w:t xml:space="preserve"> </w:t>
      </w:r>
      <w:r w:rsidR="003A0C86" w:rsidRPr="00C91ADA">
        <w:rPr>
          <w:rFonts w:asciiTheme="minorHAnsi" w:hAnsiTheme="minorHAnsi"/>
          <w:snapToGrid w:val="0"/>
        </w:rPr>
        <w:t>was uncertain</w:t>
      </w:r>
      <w:r w:rsidR="0056671F" w:rsidRPr="00C91ADA">
        <w:rPr>
          <w:rFonts w:asciiTheme="minorHAnsi" w:hAnsiTheme="minorHAnsi"/>
          <w:snapToGrid w:val="0"/>
        </w:rPr>
        <w:t xml:space="preserve">. </w:t>
      </w:r>
      <w:r w:rsidR="00A71836" w:rsidRPr="00C91ADA">
        <w:rPr>
          <w:rFonts w:asciiTheme="minorHAnsi" w:hAnsiTheme="minorHAnsi"/>
          <w:snapToGrid w:val="0"/>
        </w:rPr>
        <w:t>To address the uncertainty in the non-inferiority claim</w:t>
      </w:r>
      <w:r w:rsidR="00436554" w:rsidRPr="00C91ADA">
        <w:rPr>
          <w:rFonts w:asciiTheme="minorHAnsi" w:hAnsiTheme="minorHAnsi"/>
          <w:snapToGrid w:val="0"/>
        </w:rPr>
        <w:t xml:space="preserve">, an early re-entry resubmission </w:t>
      </w:r>
      <w:r w:rsidR="006F02B6" w:rsidRPr="00C91ADA">
        <w:rPr>
          <w:rFonts w:asciiTheme="minorHAnsi" w:hAnsiTheme="minorHAnsi"/>
          <w:snapToGrid w:val="0"/>
        </w:rPr>
        <w:t xml:space="preserve">using a CMA </w:t>
      </w:r>
      <w:r w:rsidR="00436554" w:rsidRPr="00C91ADA">
        <w:rPr>
          <w:rFonts w:asciiTheme="minorHAnsi" w:hAnsiTheme="minorHAnsi"/>
          <w:snapToGrid w:val="0"/>
        </w:rPr>
        <w:t>with</w:t>
      </w:r>
      <w:r w:rsidR="00A71836" w:rsidRPr="00C91ADA">
        <w:rPr>
          <w:rFonts w:asciiTheme="minorHAnsi" w:hAnsiTheme="minorHAnsi"/>
          <w:snapToGrid w:val="0"/>
        </w:rPr>
        <w:t xml:space="preserve"> a </w:t>
      </w:r>
      <w:r w:rsidR="00373E85" w:rsidRPr="00C91ADA">
        <w:rPr>
          <w:rFonts w:asciiTheme="minorHAnsi" w:hAnsiTheme="minorHAnsi"/>
          <w:snapToGrid w:val="0"/>
        </w:rPr>
        <w:t xml:space="preserve">lower </w:t>
      </w:r>
      <w:r w:rsidR="00A71836" w:rsidRPr="00C91ADA">
        <w:rPr>
          <w:rFonts w:asciiTheme="minorHAnsi" w:hAnsiTheme="minorHAnsi"/>
          <w:snapToGrid w:val="0"/>
        </w:rPr>
        <w:t xml:space="preserve">price </w:t>
      </w:r>
      <w:r w:rsidR="00373E85" w:rsidRPr="00C91ADA">
        <w:rPr>
          <w:rFonts w:asciiTheme="minorHAnsi" w:hAnsiTheme="minorHAnsi"/>
          <w:snapToGrid w:val="0"/>
        </w:rPr>
        <w:t>than evolocumab (</w:t>
      </w:r>
      <w:r w:rsidR="00A71836" w:rsidRPr="00C91ADA">
        <w:rPr>
          <w:rFonts w:asciiTheme="minorHAnsi" w:hAnsiTheme="minorHAnsi"/>
          <w:snapToGrid w:val="0"/>
        </w:rPr>
        <w:t>in the order of 10%</w:t>
      </w:r>
      <w:r w:rsidR="00373E85" w:rsidRPr="00C91ADA">
        <w:rPr>
          <w:rFonts w:asciiTheme="minorHAnsi" w:hAnsiTheme="minorHAnsi"/>
          <w:snapToGrid w:val="0"/>
        </w:rPr>
        <w:t>)</w:t>
      </w:r>
      <w:r w:rsidR="00A71836" w:rsidRPr="00C91ADA">
        <w:rPr>
          <w:rFonts w:asciiTheme="minorHAnsi" w:hAnsiTheme="minorHAnsi"/>
          <w:snapToGrid w:val="0"/>
        </w:rPr>
        <w:t xml:space="preserve"> </w:t>
      </w:r>
      <w:r w:rsidR="00436554" w:rsidRPr="00C91ADA">
        <w:rPr>
          <w:rFonts w:asciiTheme="minorHAnsi" w:hAnsiTheme="minorHAnsi"/>
          <w:snapToGrid w:val="0"/>
        </w:rPr>
        <w:t>would be</w:t>
      </w:r>
      <w:r w:rsidR="00A71836" w:rsidRPr="00C91ADA">
        <w:rPr>
          <w:rFonts w:asciiTheme="minorHAnsi" w:hAnsiTheme="minorHAnsi"/>
          <w:snapToGrid w:val="0"/>
        </w:rPr>
        <w:t xml:space="preserve"> required to support PBS listing in the same treatment setting as evolocumab for </w:t>
      </w:r>
      <w:r w:rsidR="00A71836" w:rsidRPr="00DB3FE7">
        <w:t>non-FH and HeFH</w:t>
      </w:r>
      <w:r w:rsidR="007E22A4" w:rsidRPr="00C91ADA">
        <w:rPr>
          <w:rFonts w:asciiTheme="minorHAnsi" w:hAnsiTheme="minorHAnsi"/>
          <w:snapToGrid w:val="0"/>
        </w:rPr>
        <w:t xml:space="preserve">. </w:t>
      </w:r>
      <w:r w:rsidR="00CC01DB" w:rsidRPr="00C91ADA">
        <w:rPr>
          <w:rFonts w:asciiTheme="minorHAnsi" w:hAnsiTheme="minorHAnsi"/>
          <w:snapToGrid w:val="0"/>
        </w:rPr>
        <w:t xml:space="preserve">The PBAC considered that revised </w:t>
      </w:r>
      <w:r w:rsidR="00EB3108" w:rsidRPr="00C91ADA">
        <w:rPr>
          <w:rFonts w:asciiTheme="minorHAnsi" w:hAnsiTheme="minorHAnsi"/>
          <w:snapToGrid w:val="0"/>
        </w:rPr>
        <w:t xml:space="preserve">PBS restrictions and </w:t>
      </w:r>
      <w:r w:rsidR="00CC01DB" w:rsidRPr="00C91ADA">
        <w:rPr>
          <w:rFonts w:asciiTheme="minorHAnsi" w:hAnsiTheme="minorHAnsi"/>
          <w:snapToGrid w:val="0"/>
        </w:rPr>
        <w:t xml:space="preserve">financial estimates </w:t>
      </w:r>
      <w:r w:rsidR="004F5945" w:rsidRPr="00C91ADA">
        <w:rPr>
          <w:rFonts w:asciiTheme="minorHAnsi" w:hAnsiTheme="minorHAnsi"/>
          <w:snapToGrid w:val="0"/>
        </w:rPr>
        <w:t xml:space="preserve">would </w:t>
      </w:r>
      <w:r w:rsidR="00436554" w:rsidRPr="00C91ADA">
        <w:rPr>
          <w:rFonts w:asciiTheme="minorHAnsi" w:hAnsiTheme="minorHAnsi"/>
          <w:snapToGrid w:val="0"/>
        </w:rPr>
        <w:t xml:space="preserve">also </w:t>
      </w:r>
      <w:r w:rsidR="004F5945" w:rsidRPr="00C91ADA">
        <w:rPr>
          <w:rFonts w:asciiTheme="minorHAnsi" w:hAnsiTheme="minorHAnsi"/>
          <w:snapToGrid w:val="0"/>
        </w:rPr>
        <w:t>be required</w:t>
      </w:r>
      <w:r w:rsidR="00CC01DB" w:rsidRPr="00C91ADA">
        <w:rPr>
          <w:rFonts w:asciiTheme="minorHAnsi" w:hAnsiTheme="minorHAnsi"/>
          <w:snapToGrid w:val="0"/>
        </w:rPr>
        <w:t xml:space="preserve"> to align with </w:t>
      </w:r>
      <w:r w:rsidR="00834CE7" w:rsidRPr="00C91ADA">
        <w:rPr>
          <w:rFonts w:asciiTheme="minorHAnsi" w:hAnsiTheme="minorHAnsi"/>
          <w:snapToGrid w:val="0"/>
        </w:rPr>
        <w:t>the</w:t>
      </w:r>
      <w:r w:rsidR="00E94759" w:rsidRPr="00C91ADA">
        <w:rPr>
          <w:rFonts w:asciiTheme="minorHAnsi" w:hAnsiTheme="minorHAnsi"/>
          <w:snapToGrid w:val="0"/>
        </w:rPr>
        <w:t xml:space="preserve"> updated</w:t>
      </w:r>
      <w:r w:rsidR="00CC01DB" w:rsidRPr="00C91ADA">
        <w:rPr>
          <w:rFonts w:asciiTheme="minorHAnsi" w:hAnsiTheme="minorHAnsi"/>
          <w:snapToGrid w:val="0"/>
        </w:rPr>
        <w:t xml:space="preserve"> </w:t>
      </w:r>
      <w:r w:rsidR="00110338" w:rsidRPr="00C91ADA">
        <w:rPr>
          <w:rFonts w:asciiTheme="minorHAnsi" w:hAnsiTheme="minorHAnsi"/>
          <w:snapToGrid w:val="0"/>
        </w:rPr>
        <w:t>CMA</w:t>
      </w:r>
      <w:r w:rsidR="00CC01DB" w:rsidRPr="00C91ADA">
        <w:rPr>
          <w:rFonts w:asciiTheme="minorHAnsi" w:hAnsiTheme="minorHAnsi"/>
          <w:snapToGrid w:val="0"/>
        </w:rPr>
        <w:t>.</w:t>
      </w:r>
    </w:p>
    <w:p w14:paraId="586D5445" w14:textId="38EC594B" w:rsidR="008C2194" w:rsidRPr="00C91ADA" w:rsidRDefault="00A83FD4" w:rsidP="001B1A34">
      <w:pPr>
        <w:widowControl w:val="0"/>
        <w:numPr>
          <w:ilvl w:val="1"/>
          <w:numId w:val="1"/>
        </w:numPr>
        <w:spacing w:after="120"/>
        <w:rPr>
          <w:rFonts w:asciiTheme="minorHAnsi" w:hAnsiTheme="minorHAnsi"/>
          <w:snapToGrid w:val="0"/>
        </w:rPr>
      </w:pPr>
      <w:bookmarkStart w:id="61" w:name="_Ref131515368"/>
      <w:r w:rsidRPr="00C91ADA">
        <w:rPr>
          <w:rFonts w:asciiTheme="minorHAnsi" w:hAnsiTheme="minorHAnsi"/>
          <w:snapToGrid w:val="0"/>
        </w:rPr>
        <w:t xml:space="preserve">The PBAC considered that the proposed place in therapy for inclisiran, as a second line treatment for use in patients with hypercholesterolaemia and ASCVD who are unable to achieve target lipid thresholds with statins alone or who are intolerant to statin therapy, was not justified for </w:t>
      </w:r>
      <w:r w:rsidR="007627B6" w:rsidRPr="00C91ADA">
        <w:rPr>
          <w:rFonts w:asciiTheme="minorHAnsi" w:hAnsiTheme="minorHAnsi"/>
          <w:snapToGrid w:val="0"/>
        </w:rPr>
        <w:t xml:space="preserve">the </w:t>
      </w:r>
      <w:r w:rsidRPr="00C91ADA">
        <w:rPr>
          <w:rFonts w:asciiTheme="minorHAnsi" w:hAnsiTheme="minorHAnsi"/>
          <w:snapToGrid w:val="0"/>
        </w:rPr>
        <w:t xml:space="preserve">reasons outlined in paragraph </w:t>
      </w:r>
      <w:r w:rsidRPr="00C91ADA">
        <w:rPr>
          <w:rFonts w:asciiTheme="minorHAnsi" w:hAnsiTheme="minorHAnsi"/>
          <w:snapToGrid w:val="0"/>
        </w:rPr>
        <w:fldChar w:fldCharType="begin" w:fldLock="1"/>
      </w:r>
      <w:r w:rsidRPr="00C91ADA">
        <w:rPr>
          <w:rFonts w:asciiTheme="minorHAnsi" w:hAnsiTheme="minorHAnsi"/>
          <w:snapToGrid w:val="0"/>
        </w:rPr>
        <w:instrText xml:space="preserve"> REF _Ref127269375 \r \h </w:instrText>
      </w:r>
      <w:r w:rsidRPr="00C91ADA">
        <w:rPr>
          <w:rFonts w:asciiTheme="minorHAnsi" w:hAnsiTheme="minorHAnsi"/>
          <w:snapToGrid w:val="0"/>
        </w:rPr>
      </w:r>
      <w:r w:rsidRPr="00C91ADA">
        <w:rPr>
          <w:rFonts w:asciiTheme="minorHAnsi" w:hAnsiTheme="minorHAnsi"/>
          <w:snapToGrid w:val="0"/>
        </w:rPr>
        <w:fldChar w:fldCharType="separate"/>
      </w:r>
      <w:r w:rsidR="00424520" w:rsidRPr="00C91ADA">
        <w:rPr>
          <w:rFonts w:asciiTheme="minorHAnsi" w:hAnsiTheme="minorHAnsi"/>
          <w:snapToGrid w:val="0"/>
        </w:rPr>
        <w:t>1.4</w:t>
      </w:r>
      <w:r w:rsidRPr="00C91ADA">
        <w:rPr>
          <w:rFonts w:asciiTheme="minorHAnsi" w:hAnsiTheme="minorHAnsi"/>
          <w:snapToGrid w:val="0"/>
        </w:rPr>
        <w:fldChar w:fldCharType="end"/>
      </w:r>
      <w:r w:rsidRPr="00C91ADA">
        <w:rPr>
          <w:rFonts w:asciiTheme="minorHAnsi" w:hAnsiTheme="minorHAnsi"/>
          <w:snapToGrid w:val="0"/>
        </w:rPr>
        <w:t xml:space="preserve">. </w:t>
      </w:r>
      <w:r w:rsidR="00C07E25" w:rsidRPr="00C91ADA">
        <w:rPr>
          <w:rFonts w:asciiTheme="minorHAnsi" w:hAnsiTheme="minorHAnsi"/>
          <w:snapToGrid w:val="0"/>
        </w:rPr>
        <w:t>The PBAC considered that inclisiran would be most appropriately positioned as an alternative to the PCSK9 inhibitors in the subsequent treatment line to statins and/or ezetimibe.</w:t>
      </w:r>
      <w:r w:rsidR="00667ED5" w:rsidRPr="00C91ADA">
        <w:rPr>
          <w:rFonts w:asciiTheme="minorHAnsi" w:hAnsiTheme="minorHAnsi"/>
          <w:snapToGrid w:val="0"/>
        </w:rPr>
        <w:t xml:space="preserve"> </w:t>
      </w:r>
    </w:p>
    <w:p w14:paraId="4A614433" w14:textId="7546CC94" w:rsidR="00A83FD4" w:rsidRPr="00C91ADA" w:rsidRDefault="00667ED5" w:rsidP="001B1A34">
      <w:pPr>
        <w:widowControl w:val="0"/>
        <w:numPr>
          <w:ilvl w:val="1"/>
          <w:numId w:val="1"/>
        </w:numPr>
        <w:spacing w:after="120"/>
        <w:rPr>
          <w:rFonts w:asciiTheme="minorHAnsi" w:hAnsiTheme="minorHAnsi"/>
          <w:snapToGrid w:val="0"/>
        </w:rPr>
      </w:pPr>
      <w:bookmarkStart w:id="62" w:name="_Ref131519169"/>
      <w:r w:rsidRPr="00C91ADA">
        <w:rPr>
          <w:rFonts w:asciiTheme="minorHAnsi" w:hAnsiTheme="minorHAnsi"/>
          <w:snapToGrid w:val="0"/>
        </w:rPr>
        <w:t xml:space="preserve">The PBAC </w:t>
      </w:r>
      <w:r w:rsidR="006F3F93" w:rsidRPr="00C91ADA">
        <w:rPr>
          <w:rFonts w:asciiTheme="minorHAnsi" w:hAnsiTheme="minorHAnsi"/>
          <w:snapToGrid w:val="0"/>
        </w:rPr>
        <w:t xml:space="preserve">considered there was a moderate clinical need </w:t>
      </w:r>
      <w:r w:rsidR="002F5487" w:rsidRPr="00C91ADA">
        <w:rPr>
          <w:rFonts w:asciiTheme="minorHAnsi" w:hAnsiTheme="minorHAnsi"/>
          <w:snapToGrid w:val="0"/>
        </w:rPr>
        <w:t>f</w:t>
      </w:r>
      <w:r w:rsidR="006F3F93" w:rsidRPr="00C91ADA">
        <w:rPr>
          <w:rFonts w:asciiTheme="minorHAnsi" w:hAnsiTheme="minorHAnsi"/>
          <w:snapToGrid w:val="0"/>
        </w:rPr>
        <w:t xml:space="preserve">or </w:t>
      </w:r>
      <w:r w:rsidR="002F5487" w:rsidRPr="00C91ADA">
        <w:rPr>
          <w:rFonts w:asciiTheme="minorHAnsi" w:hAnsiTheme="minorHAnsi"/>
          <w:snapToGrid w:val="0"/>
        </w:rPr>
        <w:t>this</w:t>
      </w:r>
      <w:r w:rsidR="006F3F93" w:rsidRPr="00C91ADA">
        <w:rPr>
          <w:rFonts w:asciiTheme="minorHAnsi" w:hAnsiTheme="minorHAnsi"/>
          <w:snapToGrid w:val="0"/>
        </w:rPr>
        <w:t xml:space="preserve"> alternative PCSK9 inhibitor, noting</w:t>
      </w:r>
      <w:r w:rsidRPr="00C91ADA">
        <w:rPr>
          <w:rFonts w:asciiTheme="minorHAnsi" w:hAnsiTheme="minorHAnsi"/>
          <w:snapToGrid w:val="0"/>
        </w:rPr>
        <w:t xml:space="preserve"> the </w:t>
      </w:r>
      <w:r w:rsidR="006F3F93" w:rsidRPr="00C91ADA">
        <w:rPr>
          <w:rFonts w:asciiTheme="minorHAnsi" w:hAnsiTheme="minorHAnsi"/>
          <w:snapToGrid w:val="0"/>
        </w:rPr>
        <w:t xml:space="preserve">clinician hearing </w:t>
      </w:r>
      <w:r w:rsidR="00394DBD" w:rsidRPr="00C91ADA">
        <w:rPr>
          <w:rFonts w:asciiTheme="minorHAnsi" w:hAnsiTheme="minorHAnsi"/>
          <w:snapToGrid w:val="0"/>
        </w:rPr>
        <w:t xml:space="preserve">and consumer comments </w:t>
      </w:r>
      <w:r w:rsidR="006F3F93" w:rsidRPr="00C91ADA">
        <w:rPr>
          <w:rFonts w:asciiTheme="minorHAnsi" w:hAnsiTheme="minorHAnsi"/>
          <w:snapToGrid w:val="0"/>
        </w:rPr>
        <w:t>described the likely improved adherence</w:t>
      </w:r>
      <w:r w:rsidRPr="00C91ADA">
        <w:rPr>
          <w:rFonts w:asciiTheme="minorHAnsi" w:hAnsiTheme="minorHAnsi"/>
          <w:snapToGrid w:val="0"/>
        </w:rPr>
        <w:t xml:space="preserve"> </w:t>
      </w:r>
      <w:r w:rsidR="002F5487" w:rsidRPr="00C91ADA">
        <w:rPr>
          <w:rFonts w:asciiTheme="minorHAnsi" w:hAnsiTheme="minorHAnsi"/>
          <w:snapToGrid w:val="0"/>
        </w:rPr>
        <w:t>from twice yearly dosing for some patients</w:t>
      </w:r>
      <w:r w:rsidR="006F3F93" w:rsidRPr="00C91ADA">
        <w:rPr>
          <w:rFonts w:asciiTheme="minorHAnsi" w:hAnsiTheme="minorHAnsi"/>
          <w:snapToGrid w:val="0"/>
        </w:rPr>
        <w:t>,</w:t>
      </w:r>
      <w:r w:rsidRPr="00C91ADA">
        <w:rPr>
          <w:rFonts w:asciiTheme="minorHAnsi" w:hAnsiTheme="minorHAnsi"/>
          <w:snapToGrid w:val="0"/>
        </w:rPr>
        <w:t xml:space="preserve"> </w:t>
      </w:r>
      <w:r w:rsidR="006F3F93" w:rsidRPr="0042765C">
        <w:rPr>
          <w:rFonts w:asciiTheme="minorHAnsi" w:hAnsiTheme="minorHAnsi"/>
          <w:bCs/>
          <w:snapToGrid w:val="0"/>
        </w:rPr>
        <w:t>particularly those in rural and remote</w:t>
      </w:r>
      <w:r w:rsidR="006F3F93" w:rsidRPr="00D2286B">
        <w:rPr>
          <w:rFonts w:asciiTheme="minorHAnsi" w:hAnsiTheme="minorHAnsi"/>
          <w:bCs/>
          <w:snapToGrid w:val="0"/>
        </w:rPr>
        <w:t xml:space="preserve"> areas and older patients</w:t>
      </w:r>
      <w:r w:rsidR="007D2185" w:rsidRPr="00C91ADA">
        <w:rPr>
          <w:rFonts w:asciiTheme="minorHAnsi" w:hAnsiTheme="minorHAnsi"/>
          <w:snapToGrid w:val="0"/>
        </w:rPr>
        <w:t>.</w:t>
      </w:r>
      <w:bookmarkEnd w:id="61"/>
      <w:bookmarkEnd w:id="62"/>
    </w:p>
    <w:p w14:paraId="4920BE19" w14:textId="1A59727F" w:rsidR="00436554" w:rsidRPr="00C91ADA" w:rsidRDefault="00436554" w:rsidP="00110338">
      <w:pPr>
        <w:widowControl w:val="0"/>
        <w:numPr>
          <w:ilvl w:val="1"/>
          <w:numId w:val="1"/>
        </w:numPr>
        <w:spacing w:after="120"/>
        <w:rPr>
          <w:rFonts w:asciiTheme="minorHAnsi" w:hAnsiTheme="minorHAnsi"/>
          <w:snapToGrid w:val="0"/>
        </w:rPr>
      </w:pPr>
      <w:r w:rsidRPr="00C91ADA">
        <w:rPr>
          <w:rFonts w:asciiTheme="minorHAnsi" w:hAnsiTheme="minorHAnsi"/>
          <w:snapToGrid w:val="0"/>
        </w:rPr>
        <w:t xml:space="preserve">The PBAC considered PCSK9 inhibitor therapies (evolocumab and alirocumab) the appropriate comparator for the third line setting. As noted in paragraph </w:t>
      </w:r>
      <w:r w:rsidRPr="00C91ADA">
        <w:rPr>
          <w:rFonts w:asciiTheme="minorHAnsi" w:hAnsiTheme="minorHAnsi"/>
          <w:snapToGrid w:val="0"/>
        </w:rPr>
        <w:fldChar w:fldCharType="begin" w:fldLock="1"/>
      </w:r>
      <w:r w:rsidRPr="00C91ADA">
        <w:rPr>
          <w:rFonts w:asciiTheme="minorHAnsi" w:hAnsiTheme="minorHAnsi"/>
          <w:snapToGrid w:val="0"/>
        </w:rPr>
        <w:instrText xml:space="preserve"> REF _Ref131515368 \r \h </w:instrText>
      </w:r>
      <w:r w:rsidR="008C2194" w:rsidRPr="00C91ADA">
        <w:rPr>
          <w:rFonts w:asciiTheme="minorHAnsi" w:hAnsiTheme="minorHAnsi"/>
          <w:snapToGrid w:val="0"/>
        </w:rPr>
        <w:instrText xml:space="preserve"> \* MERGEFORMAT </w:instrText>
      </w:r>
      <w:r w:rsidRPr="00C91ADA">
        <w:rPr>
          <w:rFonts w:asciiTheme="minorHAnsi" w:hAnsiTheme="minorHAnsi"/>
          <w:snapToGrid w:val="0"/>
        </w:rPr>
      </w:r>
      <w:r w:rsidRPr="00C91ADA">
        <w:rPr>
          <w:rFonts w:asciiTheme="minorHAnsi" w:hAnsiTheme="minorHAnsi"/>
          <w:snapToGrid w:val="0"/>
        </w:rPr>
        <w:fldChar w:fldCharType="separate"/>
      </w:r>
      <w:r w:rsidR="00424520" w:rsidRPr="00C91ADA">
        <w:rPr>
          <w:rFonts w:asciiTheme="minorHAnsi" w:hAnsiTheme="minorHAnsi"/>
          <w:snapToGrid w:val="0"/>
        </w:rPr>
        <w:t>7.2</w:t>
      </w:r>
      <w:r w:rsidRPr="00C91ADA">
        <w:rPr>
          <w:rFonts w:asciiTheme="minorHAnsi" w:hAnsiTheme="minorHAnsi"/>
          <w:snapToGrid w:val="0"/>
        </w:rPr>
        <w:fldChar w:fldCharType="end"/>
      </w:r>
      <w:r w:rsidRPr="00C91ADA">
        <w:rPr>
          <w:rFonts w:asciiTheme="minorHAnsi" w:hAnsiTheme="minorHAnsi"/>
          <w:snapToGrid w:val="0"/>
        </w:rPr>
        <w:t>, the PBAC did not consider there was a role for inclisiran as an alternative to ezetimibe in the second line setting.</w:t>
      </w:r>
      <w:r w:rsidR="009E1C1D" w:rsidRPr="00C91ADA">
        <w:rPr>
          <w:rFonts w:asciiTheme="minorHAnsi" w:hAnsiTheme="minorHAnsi"/>
          <w:snapToGrid w:val="0"/>
        </w:rPr>
        <w:t xml:space="preserve"> </w:t>
      </w:r>
      <w:r w:rsidR="004D4B75" w:rsidRPr="00C91ADA">
        <w:rPr>
          <w:rFonts w:asciiTheme="minorHAnsi" w:hAnsiTheme="minorHAnsi"/>
          <w:snapToGrid w:val="0"/>
        </w:rPr>
        <w:t xml:space="preserve">The PBAC noted that the alirocumab PBS listing had not been extended following the July 2022 recommendation to (i) include </w:t>
      </w:r>
      <w:r w:rsidR="004D4B75" w:rsidRPr="0042765C">
        <w:t>patients</w:t>
      </w:r>
      <w:r w:rsidR="004D4B75" w:rsidRPr="00D2286B">
        <w:t xml:space="preserve"> who have a LDL-C level between 1.8 and 2.6 mmol/L despite optimised treatment with statins and ezetimibe, and (ii) allow initial prescribing by any medical practitioner in consultation with a specialist physician.</w:t>
      </w:r>
      <w:r w:rsidR="004D4B75" w:rsidRPr="00C91ADA">
        <w:rPr>
          <w:rFonts w:asciiTheme="minorHAnsi" w:hAnsiTheme="minorHAnsi"/>
          <w:snapToGrid w:val="0"/>
        </w:rPr>
        <w:t xml:space="preserve"> The PBAC </w:t>
      </w:r>
      <w:r w:rsidR="00A27340" w:rsidRPr="00C91ADA">
        <w:rPr>
          <w:rFonts w:asciiTheme="minorHAnsi" w:hAnsiTheme="minorHAnsi"/>
          <w:snapToGrid w:val="0"/>
        </w:rPr>
        <w:t xml:space="preserve">therefore </w:t>
      </w:r>
      <w:r w:rsidR="004D4B75" w:rsidRPr="00C91ADA">
        <w:rPr>
          <w:rFonts w:asciiTheme="minorHAnsi" w:hAnsiTheme="minorHAnsi"/>
          <w:snapToGrid w:val="0"/>
        </w:rPr>
        <w:t>considered inclisiran would most appropriately be considered as an alternative to the evolocumab eligible population in non-FH and HeFH.</w:t>
      </w:r>
    </w:p>
    <w:p w14:paraId="651349E1" w14:textId="6D51A462" w:rsidR="00C07E25" w:rsidRPr="00C91ADA" w:rsidRDefault="00B417D7" w:rsidP="006319D9">
      <w:pPr>
        <w:widowControl w:val="0"/>
        <w:numPr>
          <w:ilvl w:val="1"/>
          <w:numId w:val="1"/>
        </w:numPr>
        <w:spacing w:after="120"/>
        <w:rPr>
          <w:rFonts w:asciiTheme="minorHAnsi" w:hAnsiTheme="minorHAnsi"/>
          <w:snapToGrid w:val="0"/>
        </w:rPr>
      </w:pPr>
      <w:r w:rsidRPr="00C91ADA">
        <w:rPr>
          <w:rFonts w:asciiTheme="minorHAnsi" w:hAnsiTheme="minorHAnsi"/>
          <w:snapToGrid w:val="0"/>
        </w:rPr>
        <w:t>The PBAC noted</w:t>
      </w:r>
      <w:r w:rsidR="004F5945" w:rsidRPr="00C91ADA">
        <w:rPr>
          <w:rFonts w:asciiTheme="minorHAnsi" w:hAnsiTheme="minorHAnsi"/>
          <w:snapToGrid w:val="0"/>
        </w:rPr>
        <w:t xml:space="preserve"> </w:t>
      </w:r>
      <w:r w:rsidRPr="00C91ADA">
        <w:rPr>
          <w:rFonts w:asciiTheme="minorHAnsi" w:hAnsiTheme="minorHAnsi"/>
          <w:snapToGrid w:val="0"/>
        </w:rPr>
        <w:t xml:space="preserve">the </w:t>
      </w:r>
      <w:r w:rsidR="004F5945" w:rsidRPr="00C91ADA">
        <w:rPr>
          <w:rFonts w:asciiTheme="minorHAnsi" w:hAnsiTheme="minorHAnsi"/>
          <w:snapToGrid w:val="0"/>
        </w:rPr>
        <w:t>comparative clinical effectiveness</w:t>
      </w:r>
      <w:r w:rsidRPr="00C91ADA">
        <w:rPr>
          <w:rFonts w:asciiTheme="minorHAnsi" w:hAnsiTheme="minorHAnsi"/>
          <w:snapToGrid w:val="0"/>
        </w:rPr>
        <w:t xml:space="preserve"> </w:t>
      </w:r>
      <w:r w:rsidR="004F5945" w:rsidRPr="00C91ADA">
        <w:rPr>
          <w:rFonts w:asciiTheme="minorHAnsi" w:hAnsiTheme="minorHAnsi"/>
          <w:snapToGrid w:val="0"/>
        </w:rPr>
        <w:t xml:space="preserve">of </w:t>
      </w:r>
      <w:r w:rsidR="00991497" w:rsidRPr="00C91ADA">
        <w:rPr>
          <w:rFonts w:asciiTheme="minorHAnsi" w:hAnsiTheme="minorHAnsi"/>
          <w:snapToGrid w:val="0"/>
        </w:rPr>
        <w:t>inclisiran</w:t>
      </w:r>
      <w:r w:rsidR="004F5945" w:rsidRPr="00C91ADA">
        <w:rPr>
          <w:rFonts w:asciiTheme="minorHAnsi" w:hAnsiTheme="minorHAnsi"/>
          <w:snapToGrid w:val="0"/>
        </w:rPr>
        <w:t xml:space="preserve"> with PCSK9 inhibitors was </w:t>
      </w:r>
      <w:r w:rsidRPr="00C91ADA">
        <w:rPr>
          <w:rFonts w:asciiTheme="minorHAnsi" w:hAnsiTheme="minorHAnsi"/>
          <w:snapToGrid w:val="0"/>
        </w:rPr>
        <w:t xml:space="preserve">based on a series of ITCs, which compared the results from the key inclisiran trials (ORION 9, ORION </w:t>
      </w:r>
      <w:r w:rsidR="00E82D09" w:rsidRPr="00C91ADA">
        <w:rPr>
          <w:rFonts w:asciiTheme="minorHAnsi" w:hAnsiTheme="minorHAnsi"/>
          <w:snapToGrid w:val="0"/>
        </w:rPr>
        <w:t>10,</w:t>
      </w:r>
      <w:r w:rsidRPr="00C91ADA">
        <w:rPr>
          <w:rFonts w:asciiTheme="minorHAnsi" w:hAnsiTheme="minorHAnsi"/>
          <w:snapToGrid w:val="0"/>
        </w:rPr>
        <w:t xml:space="preserve"> and ORION 11) versus</w:t>
      </w:r>
      <w:r w:rsidR="00777982" w:rsidRPr="00C91ADA">
        <w:rPr>
          <w:rFonts w:asciiTheme="minorHAnsi" w:hAnsiTheme="minorHAnsi"/>
          <w:snapToGrid w:val="0"/>
        </w:rPr>
        <w:t xml:space="preserve"> </w:t>
      </w:r>
      <w:r w:rsidRPr="00C91ADA">
        <w:rPr>
          <w:rFonts w:asciiTheme="minorHAnsi" w:hAnsiTheme="minorHAnsi"/>
          <w:snapToGrid w:val="0"/>
        </w:rPr>
        <w:t>evolo</w:t>
      </w:r>
      <w:r w:rsidR="00E801D8" w:rsidRPr="00C91ADA">
        <w:rPr>
          <w:rFonts w:asciiTheme="minorHAnsi" w:hAnsiTheme="minorHAnsi"/>
          <w:snapToGrid w:val="0"/>
        </w:rPr>
        <w:t>c</w:t>
      </w:r>
      <w:r w:rsidRPr="00C91ADA">
        <w:rPr>
          <w:rFonts w:asciiTheme="minorHAnsi" w:hAnsiTheme="minorHAnsi"/>
          <w:snapToGrid w:val="0"/>
        </w:rPr>
        <w:t>umab and alirocumab</w:t>
      </w:r>
      <w:r w:rsidR="00E801D8" w:rsidRPr="00C91ADA">
        <w:rPr>
          <w:rFonts w:asciiTheme="minorHAnsi" w:hAnsiTheme="minorHAnsi"/>
          <w:snapToGrid w:val="0"/>
        </w:rPr>
        <w:t xml:space="preserve"> trial</w:t>
      </w:r>
      <w:r w:rsidR="000627A2" w:rsidRPr="00C91ADA">
        <w:rPr>
          <w:rFonts w:asciiTheme="minorHAnsi" w:hAnsiTheme="minorHAnsi"/>
          <w:snapToGrid w:val="0"/>
        </w:rPr>
        <w:t>s</w:t>
      </w:r>
      <w:r w:rsidR="00E801D8" w:rsidRPr="00C91ADA">
        <w:rPr>
          <w:rFonts w:asciiTheme="minorHAnsi" w:hAnsiTheme="minorHAnsi"/>
          <w:snapToGrid w:val="0"/>
        </w:rPr>
        <w:t>, using placebo as the common comparator</w:t>
      </w:r>
      <w:r w:rsidRPr="00C91ADA">
        <w:rPr>
          <w:rFonts w:asciiTheme="minorHAnsi" w:hAnsiTheme="minorHAnsi"/>
          <w:snapToGrid w:val="0"/>
        </w:rPr>
        <w:t>.</w:t>
      </w:r>
      <w:r w:rsidR="000627A2" w:rsidRPr="00C91ADA">
        <w:rPr>
          <w:rFonts w:asciiTheme="minorHAnsi" w:hAnsiTheme="minorHAnsi"/>
          <w:snapToGrid w:val="0"/>
        </w:rPr>
        <w:t xml:space="preserve"> </w:t>
      </w:r>
      <w:r w:rsidR="006319D9" w:rsidRPr="00C91ADA">
        <w:rPr>
          <w:rFonts w:asciiTheme="minorHAnsi" w:hAnsiTheme="minorHAnsi"/>
          <w:snapToGrid w:val="0"/>
        </w:rPr>
        <w:t xml:space="preserve">The PBAC noted that there were transitivity and heterogeneity issues between the various trials which may have limited the exchangeability of the outcomes of the ITCs. </w:t>
      </w:r>
      <w:r w:rsidR="00F850F4" w:rsidRPr="00C91ADA">
        <w:rPr>
          <w:rFonts w:asciiTheme="minorHAnsi" w:hAnsiTheme="minorHAnsi"/>
          <w:snapToGrid w:val="0"/>
        </w:rPr>
        <w:t>The PB</w:t>
      </w:r>
      <w:r w:rsidR="00D5070D" w:rsidRPr="00C91ADA">
        <w:rPr>
          <w:rFonts w:asciiTheme="minorHAnsi" w:hAnsiTheme="minorHAnsi"/>
          <w:snapToGrid w:val="0"/>
        </w:rPr>
        <w:t>AC</w:t>
      </w:r>
      <w:r w:rsidR="00F850F4" w:rsidRPr="00C91ADA">
        <w:rPr>
          <w:rFonts w:asciiTheme="minorHAnsi" w:hAnsiTheme="minorHAnsi"/>
          <w:snapToGrid w:val="0"/>
        </w:rPr>
        <w:t xml:space="preserve"> also noted </w:t>
      </w:r>
      <w:r w:rsidR="00D5070D" w:rsidRPr="00C91ADA">
        <w:rPr>
          <w:rFonts w:asciiTheme="minorHAnsi" w:hAnsiTheme="minorHAnsi"/>
          <w:snapToGrid w:val="0"/>
        </w:rPr>
        <w:t xml:space="preserve">that </w:t>
      </w:r>
      <w:r w:rsidR="00D5070D" w:rsidRPr="0042765C">
        <w:t>sensitivity analyses using different imputation methods</w:t>
      </w:r>
      <w:r w:rsidR="00D5070D" w:rsidRPr="00D2286B">
        <w:t xml:space="preserve"> introduced a substantial degree of heterogeneity between </w:t>
      </w:r>
      <w:r w:rsidR="00110338" w:rsidRPr="00D2286B">
        <w:t xml:space="preserve">the </w:t>
      </w:r>
      <w:r w:rsidR="00D5070D" w:rsidRPr="00D2286B">
        <w:t>inclisir</w:t>
      </w:r>
      <w:r w:rsidR="00991497" w:rsidRPr="00D2286B">
        <w:t>a</w:t>
      </w:r>
      <w:r w:rsidR="00D5070D" w:rsidRPr="00D2286B">
        <w:t xml:space="preserve">n trials (see </w:t>
      </w:r>
      <w:r w:rsidR="00D5070D" w:rsidRPr="00D2286B">
        <w:fldChar w:fldCharType="begin" w:fldLock="1"/>
      </w:r>
      <w:r w:rsidR="00D5070D" w:rsidRPr="00DB3FE7">
        <w:instrText xml:space="preserve"> REF _Ref124101583 \h </w:instrText>
      </w:r>
      <w:r w:rsidR="00D5070D" w:rsidRPr="00D2286B">
        <w:fldChar w:fldCharType="separate"/>
      </w:r>
      <w:r w:rsidR="00424520" w:rsidRPr="00D2286B">
        <w:t xml:space="preserve">Table </w:t>
      </w:r>
      <w:r w:rsidR="00424520" w:rsidRPr="00D2286B">
        <w:rPr>
          <w:noProof/>
        </w:rPr>
        <w:t>4</w:t>
      </w:r>
      <w:r w:rsidR="00D5070D" w:rsidRPr="00D2286B">
        <w:fldChar w:fldCharType="end"/>
      </w:r>
      <w:r w:rsidR="00D5070D" w:rsidRPr="0042765C">
        <w:t>).</w:t>
      </w:r>
      <w:r w:rsidR="006319D9" w:rsidRPr="00C91ADA">
        <w:rPr>
          <w:rFonts w:asciiTheme="minorHAnsi" w:hAnsiTheme="minorHAnsi"/>
          <w:snapToGrid w:val="0"/>
        </w:rPr>
        <w:t xml:space="preserve"> </w:t>
      </w:r>
    </w:p>
    <w:p w14:paraId="08BE68D2" w14:textId="55C76889" w:rsidR="00B417D7" w:rsidRPr="00C91ADA" w:rsidRDefault="0056671F" w:rsidP="001B1A34">
      <w:pPr>
        <w:widowControl w:val="0"/>
        <w:numPr>
          <w:ilvl w:val="1"/>
          <w:numId w:val="1"/>
        </w:numPr>
        <w:spacing w:after="120"/>
        <w:rPr>
          <w:rFonts w:asciiTheme="minorHAnsi" w:hAnsiTheme="minorHAnsi"/>
          <w:snapToGrid w:val="0"/>
        </w:rPr>
      </w:pPr>
      <w:r w:rsidRPr="00C91ADA">
        <w:rPr>
          <w:rFonts w:asciiTheme="minorHAnsi" w:hAnsiTheme="minorHAnsi"/>
          <w:snapToGrid w:val="0"/>
        </w:rPr>
        <w:t>The PBAC noted that</w:t>
      </w:r>
      <w:r w:rsidR="00EE7811" w:rsidRPr="00C91ADA">
        <w:rPr>
          <w:rFonts w:asciiTheme="minorHAnsi" w:hAnsiTheme="minorHAnsi"/>
          <w:snapToGrid w:val="0"/>
        </w:rPr>
        <w:t>,</w:t>
      </w:r>
      <w:r w:rsidRPr="00C91ADA">
        <w:rPr>
          <w:rFonts w:asciiTheme="minorHAnsi" w:hAnsiTheme="minorHAnsi"/>
          <w:snapToGrid w:val="0"/>
        </w:rPr>
        <w:t xml:space="preserve"> </w:t>
      </w:r>
      <w:r w:rsidR="00665B1B" w:rsidRPr="00C91ADA">
        <w:rPr>
          <w:rFonts w:asciiTheme="minorHAnsi" w:hAnsiTheme="minorHAnsi"/>
          <w:snapToGrid w:val="0"/>
        </w:rPr>
        <w:t xml:space="preserve">although </w:t>
      </w:r>
      <w:r w:rsidR="00C47FEC" w:rsidRPr="00C91ADA">
        <w:rPr>
          <w:rFonts w:asciiTheme="minorHAnsi" w:hAnsiTheme="minorHAnsi"/>
          <w:snapToGrid w:val="0"/>
        </w:rPr>
        <w:t xml:space="preserve">some of </w:t>
      </w:r>
      <w:r w:rsidR="00665B1B" w:rsidRPr="00C91ADA">
        <w:rPr>
          <w:rFonts w:asciiTheme="minorHAnsi" w:hAnsiTheme="minorHAnsi"/>
          <w:snapToGrid w:val="0"/>
        </w:rPr>
        <w:t xml:space="preserve">the ITCs between inclisiran and evolocumab </w:t>
      </w:r>
      <w:r w:rsidR="00C47FEC" w:rsidRPr="00C91ADA">
        <w:rPr>
          <w:rFonts w:asciiTheme="minorHAnsi" w:hAnsiTheme="minorHAnsi"/>
          <w:snapToGrid w:val="0"/>
        </w:rPr>
        <w:t xml:space="preserve">(those in patients with ASCVD and from Burnett 2022; see </w:t>
      </w:r>
      <w:r w:rsidR="00C47FEC" w:rsidRPr="00C91ADA">
        <w:rPr>
          <w:rFonts w:asciiTheme="minorHAnsi" w:hAnsiTheme="minorHAnsi"/>
          <w:snapToGrid w:val="0"/>
        </w:rPr>
        <w:fldChar w:fldCharType="begin" w:fldLock="1"/>
      </w:r>
      <w:r w:rsidR="00C47FEC" w:rsidRPr="00C91ADA">
        <w:rPr>
          <w:rFonts w:asciiTheme="minorHAnsi" w:hAnsiTheme="minorHAnsi"/>
          <w:snapToGrid w:val="0"/>
        </w:rPr>
        <w:instrText xml:space="preserve"> REF _Ref124101612 \h </w:instrText>
      </w:r>
      <w:r w:rsidR="00C47FEC" w:rsidRPr="00C91ADA">
        <w:rPr>
          <w:rFonts w:asciiTheme="minorHAnsi" w:hAnsiTheme="minorHAnsi"/>
          <w:snapToGrid w:val="0"/>
        </w:rPr>
      </w:r>
      <w:r w:rsidR="00C47FEC" w:rsidRPr="00C91ADA">
        <w:rPr>
          <w:rFonts w:asciiTheme="minorHAnsi" w:hAnsiTheme="minorHAnsi"/>
          <w:snapToGrid w:val="0"/>
        </w:rPr>
        <w:fldChar w:fldCharType="separate"/>
      </w:r>
      <w:r w:rsidR="00424520" w:rsidRPr="00DB3FE7">
        <w:t xml:space="preserve">Table </w:t>
      </w:r>
      <w:r w:rsidR="00424520" w:rsidRPr="00DB3FE7">
        <w:rPr>
          <w:noProof/>
        </w:rPr>
        <w:t>6</w:t>
      </w:r>
      <w:r w:rsidR="00C47FEC" w:rsidRPr="00C91ADA">
        <w:rPr>
          <w:rFonts w:asciiTheme="minorHAnsi" w:hAnsiTheme="minorHAnsi"/>
          <w:snapToGrid w:val="0"/>
        </w:rPr>
        <w:fldChar w:fldCharType="end"/>
      </w:r>
      <w:r w:rsidR="00C47FEC" w:rsidRPr="00C91ADA">
        <w:rPr>
          <w:rFonts w:asciiTheme="minorHAnsi" w:hAnsiTheme="minorHAnsi"/>
          <w:snapToGrid w:val="0"/>
        </w:rPr>
        <w:t xml:space="preserve">) </w:t>
      </w:r>
      <w:r w:rsidR="00665B1B" w:rsidRPr="00C91ADA">
        <w:rPr>
          <w:rFonts w:asciiTheme="minorHAnsi" w:hAnsiTheme="minorHAnsi"/>
          <w:snapToGrid w:val="0"/>
        </w:rPr>
        <w:t>did not demonstrate a statistically significant difference in terms of the mean percentage change in LDL-C from baseline, the point estimates favoured evolocumab.</w:t>
      </w:r>
      <w:r w:rsidR="00C47FEC" w:rsidRPr="00C91ADA">
        <w:rPr>
          <w:rFonts w:asciiTheme="minorHAnsi" w:hAnsiTheme="minorHAnsi"/>
          <w:snapToGrid w:val="0"/>
        </w:rPr>
        <w:t xml:space="preserve"> For other comparisons (those in patients with HeFH and from Huang 2022 and Toth 2022; see </w:t>
      </w:r>
      <w:r w:rsidR="00C47FEC" w:rsidRPr="00C91ADA">
        <w:rPr>
          <w:rFonts w:asciiTheme="minorHAnsi" w:hAnsiTheme="minorHAnsi"/>
          <w:snapToGrid w:val="0"/>
        </w:rPr>
        <w:fldChar w:fldCharType="begin" w:fldLock="1"/>
      </w:r>
      <w:r w:rsidR="00C47FEC" w:rsidRPr="00C91ADA">
        <w:rPr>
          <w:rFonts w:asciiTheme="minorHAnsi" w:hAnsiTheme="minorHAnsi"/>
          <w:snapToGrid w:val="0"/>
        </w:rPr>
        <w:instrText xml:space="preserve"> REF _Ref124101612 \h </w:instrText>
      </w:r>
      <w:r w:rsidR="00C47FEC" w:rsidRPr="00C91ADA">
        <w:rPr>
          <w:rFonts w:asciiTheme="minorHAnsi" w:hAnsiTheme="minorHAnsi"/>
          <w:snapToGrid w:val="0"/>
        </w:rPr>
      </w:r>
      <w:r w:rsidR="00C47FEC" w:rsidRPr="00C91ADA">
        <w:rPr>
          <w:rFonts w:asciiTheme="minorHAnsi" w:hAnsiTheme="minorHAnsi"/>
          <w:snapToGrid w:val="0"/>
        </w:rPr>
        <w:fldChar w:fldCharType="separate"/>
      </w:r>
      <w:r w:rsidR="00424520" w:rsidRPr="00DB3FE7">
        <w:t xml:space="preserve">Table </w:t>
      </w:r>
      <w:r w:rsidR="00424520" w:rsidRPr="00DB3FE7">
        <w:rPr>
          <w:noProof/>
        </w:rPr>
        <w:t>6</w:t>
      </w:r>
      <w:r w:rsidR="00C47FEC" w:rsidRPr="00C91ADA">
        <w:rPr>
          <w:rFonts w:asciiTheme="minorHAnsi" w:hAnsiTheme="minorHAnsi"/>
          <w:snapToGrid w:val="0"/>
        </w:rPr>
        <w:fldChar w:fldCharType="end"/>
      </w:r>
      <w:r w:rsidR="00C47FEC" w:rsidRPr="00C91ADA">
        <w:rPr>
          <w:rFonts w:asciiTheme="minorHAnsi" w:hAnsiTheme="minorHAnsi"/>
          <w:snapToGrid w:val="0"/>
        </w:rPr>
        <w:t>) the ITCs indicated that evolocumab was statistically significantly superior to inclisiran in terms of the mean percentage change in LDL-C from baseline.</w:t>
      </w:r>
    </w:p>
    <w:p w14:paraId="1923DB89" w14:textId="25EA19A9" w:rsidR="009A3554" w:rsidRPr="00C91ADA" w:rsidRDefault="009A3554" w:rsidP="001B1A34">
      <w:pPr>
        <w:widowControl w:val="0"/>
        <w:numPr>
          <w:ilvl w:val="1"/>
          <w:numId w:val="1"/>
        </w:numPr>
        <w:spacing w:after="120"/>
        <w:rPr>
          <w:rFonts w:asciiTheme="minorHAnsi" w:hAnsiTheme="minorHAnsi"/>
          <w:snapToGrid w:val="0"/>
        </w:rPr>
      </w:pPr>
      <w:bookmarkStart w:id="63" w:name="_Ref131413036"/>
      <w:r w:rsidRPr="00C91ADA">
        <w:rPr>
          <w:rFonts w:asciiTheme="minorHAnsi" w:hAnsiTheme="minorHAnsi"/>
          <w:snapToGrid w:val="0"/>
        </w:rPr>
        <w:t xml:space="preserve">The PBAC noted that the comparisons versus alirocumab demonstrated no statistically significant differences in terms of the mean percentage change in LDL-C from baseline in </w:t>
      </w:r>
      <w:r w:rsidR="001D582B" w:rsidRPr="00C91ADA">
        <w:rPr>
          <w:rFonts w:asciiTheme="minorHAnsi" w:hAnsiTheme="minorHAnsi"/>
          <w:snapToGrid w:val="0"/>
        </w:rPr>
        <w:t xml:space="preserve">patients with ASCVD and HeFH and in </w:t>
      </w:r>
      <w:r w:rsidRPr="00C91ADA">
        <w:rPr>
          <w:rFonts w:asciiTheme="minorHAnsi" w:hAnsiTheme="minorHAnsi"/>
          <w:snapToGrid w:val="0"/>
        </w:rPr>
        <w:t>Burnett 2022 and Huang 2022 which considered the low (75 mg fortnightly</w:t>
      </w:r>
      <w:r w:rsidR="00384BDF" w:rsidRPr="00C91ADA">
        <w:rPr>
          <w:rFonts w:asciiTheme="minorHAnsi" w:hAnsiTheme="minorHAnsi"/>
          <w:snapToGrid w:val="0"/>
        </w:rPr>
        <w:t xml:space="preserve"> or 300 mg monthly</w:t>
      </w:r>
      <w:r w:rsidRPr="00C91ADA">
        <w:rPr>
          <w:rFonts w:asciiTheme="minorHAnsi" w:hAnsiTheme="minorHAnsi"/>
          <w:snapToGrid w:val="0"/>
        </w:rPr>
        <w:t>) and high (150</w:t>
      </w:r>
      <w:r w:rsidR="005861B3" w:rsidRPr="00C91ADA">
        <w:rPr>
          <w:rFonts w:asciiTheme="minorHAnsi" w:hAnsiTheme="minorHAnsi"/>
          <w:snapToGrid w:val="0"/>
        </w:rPr>
        <w:t> </w:t>
      </w:r>
      <w:r w:rsidR="002E0E68" w:rsidRPr="00C91ADA">
        <w:rPr>
          <w:rFonts w:asciiTheme="minorHAnsi" w:hAnsiTheme="minorHAnsi"/>
          <w:snapToGrid w:val="0"/>
        </w:rPr>
        <w:t>mg </w:t>
      </w:r>
      <w:r w:rsidRPr="00C91ADA">
        <w:rPr>
          <w:rFonts w:asciiTheme="minorHAnsi" w:hAnsiTheme="minorHAnsi"/>
          <w:snapToGrid w:val="0"/>
        </w:rPr>
        <w:t>fortnightly) doses of alirocumab together</w:t>
      </w:r>
      <w:r w:rsidR="001D582B" w:rsidRPr="00C91ADA">
        <w:rPr>
          <w:rFonts w:asciiTheme="minorHAnsi" w:hAnsiTheme="minorHAnsi"/>
          <w:snapToGrid w:val="0"/>
        </w:rPr>
        <w:t xml:space="preserve"> (i.e. in patients who did not respond to the low dose and moved to the high dose of alirocumab)</w:t>
      </w:r>
      <w:r w:rsidRPr="00C91ADA">
        <w:rPr>
          <w:rFonts w:asciiTheme="minorHAnsi" w:hAnsiTheme="minorHAnsi"/>
          <w:snapToGrid w:val="0"/>
        </w:rPr>
        <w:t xml:space="preserve">. The PBAC noted that the results from Toth 2022 indicated that </w:t>
      </w:r>
      <w:r w:rsidR="00C47FEC" w:rsidRPr="00C91ADA">
        <w:rPr>
          <w:rFonts w:asciiTheme="minorHAnsi" w:hAnsiTheme="minorHAnsi"/>
          <w:snapToGrid w:val="0"/>
        </w:rPr>
        <w:t>although the comparisons with low dose alirocumab did not demonstrate a statistically significant difference, the comparison with high dose alirocumab was statistically significantly in favour of al</w:t>
      </w:r>
      <w:r w:rsidRPr="00C91ADA">
        <w:rPr>
          <w:rFonts w:asciiTheme="minorHAnsi" w:hAnsiTheme="minorHAnsi"/>
          <w:snapToGrid w:val="0"/>
        </w:rPr>
        <w:t>irocumab</w:t>
      </w:r>
      <w:r w:rsidR="00EB1BE8" w:rsidRPr="00C91ADA">
        <w:rPr>
          <w:rFonts w:asciiTheme="minorHAnsi" w:hAnsiTheme="minorHAnsi"/>
          <w:snapToGrid w:val="0"/>
        </w:rPr>
        <w:t>.</w:t>
      </w:r>
      <w:bookmarkEnd w:id="63"/>
      <w:r w:rsidR="00384BDF" w:rsidRPr="00C91ADA">
        <w:rPr>
          <w:rFonts w:asciiTheme="minorHAnsi" w:hAnsiTheme="minorHAnsi"/>
          <w:snapToGrid w:val="0"/>
        </w:rPr>
        <w:t xml:space="preserve"> </w:t>
      </w:r>
    </w:p>
    <w:p w14:paraId="46F98D74" w14:textId="33129B88" w:rsidR="007D0924" w:rsidRPr="00C91ADA" w:rsidRDefault="007D0924" w:rsidP="000F18C0">
      <w:pPr>
        <w:widowControl w:val="0"/>
        <w:numPr>
          <w:ilvl w:val="1"/>
          <w:numId w:val="1"/>
        </w:numPr>
        <w:spacing w:after="120"/>
        <w:rPr>
          <w:rFonts w:asciiTheme="minorHAnsi" w:hAnsiTheme="minorHAnsi"/>
          <w:snapToGrid w:val="0"/>
        </w:rPr>
      </w:pPr>
      <w:r w:rsidRPr="00C91ADA">
        <w:rPr>
          <w:rFonts w:asciiTheme="minorHAnsi" w:hAnsiTheme="minorHAnsi"/>
          <w:snapToGrid w:val="0"/>
        </w:rPr>
        <w:t xml:space="preserve">The PBAC noted that there was </w:t>
      </w:r>
      <w:r w:rsidR="00BC696E" w:rsidRPr="00C91ADA">
        <w:rPr>
          <w:rFonts w:asciiTheme="minorHAnsi" w:hAnsiTheme="minorHAnsi"/>
          <w:snapToGrid w:val="0"/>
        </w:rPr>
        <w:t>no assessment of either a MCID or non-inferiority margin in the submission</w:t>
      </w:r>
      <w:r w:rsidRPr="00C91ADA">
        <w:rPr>
          <w:rFonts w:asciiTheme="minorHAnsi" w:hAnsiTheme="minorHAnsi"/>
          <w:snapToGrid w:val="0"/>
        </w:rPr>
        <w:t xml:space="preserve">, which meant inferiority to high dose alirocumab and evolocumab could not be ruled out. </w:t>
      </w:r>
    </w:p>
    <w:p w14:paraId="167A0D4F" w14:textId="20E73CC4" w:rsidR="000F18C0" w:rsidRPr="00C91ADA" w:rsidRDefault="000F18C0" w:rsidP="000F18C0">
      <w:pPr>
        <w:widowControl w:val="0"/>
        <w:numPr>
          <w:ilvl w:val="1"/>
          <w:numId w:val="1"/>
        </w:numPr>
        <w:spacing w:after="120"/>
        <w:rPr>
          <w:rFonts w:asciiTheme="minorHAnsi" w:hAnsiTheme="minorHAnsi"/>
          <w:snapToGrid w:val="0"/>
        </w:rPr>
      </w:pPr>
      <w:r w:rsidRPr="00C91ADA">
        <w:rPr>
          <w:rFonts w:asciiTheme="minorHAnsi" w:hAnsiTheme="minorHAnsi"/>
          <w:snapToGrid w:val="0"/>
        </w:rPr>
        <w:t xml:space="preserve">The PBAC also noted </w:t>
      </w:r>
      <w:r w:rsidR="00110338" w:rsidRPr="00C91ADA">
        <w:rPr>
          <w:rFonts w:asciiTheme="minorHAnsi" w:hAnsiTheme="minorHAnsi"/>
          <w:snapToGrid w:val="0"/>
        </w:rPr>
        <w:t xml:space="preserve">that </w:t>
      </w:r>
      <w:r w:rsidR="00185435" w:rsidRPr="00C91ADA">
        <w:rPr>
          <w:rFonts w:asciiTheme="minorHAnsi" w:hAnsiTheme="minorHAnsi"/>
          <w:snapToGrid w:val="0"/>
        </w:rPr>
        <w:t>the comparative efficacy and safety of inclisiran in statin</w:t>
      </w:r>
      <w:r w:rsidR="00BB22AE" w:rsidRPr="00C91ADA">
        <w:rPr>
          <w:rFonts w:asciiTheme="minorHAnsi" w:hAnsiTheme="minorHAnsi"/>
          <w:snapToGrid w:val="0"/>
        </w:rPr>
        <w:noBreakHyphen/>
      </w:r>
      <w:r w:rsidR="00185435" w:rsidRPr="00C91ADA">
        <w:rPr>
          <w:rFonts w:asciiTheme="minorHAnsi" w:hAnsiTheme="minorHAnsi"/>
          <w:snapToGrid w:val="0"/>
        </w:rPr>
        <w:t>intolerant patients remain</w:t>
      </w:r>
      <w:r w:rsidR="00110338" w:rsidRPr="00C91ADA">
        <w:rPr>
          <w:rFonts w:asciiTheme="minorHAnsi" w:hAnsiTheme="minorHAnsi"/>
          <w:snapToGrid w:val="0"/>
        </w:rPr>
        <w:t>ed</w:t>
      </w:r>
      <w:r w:rsidR="00185435" w:rsidRPr="00C91ADA">
        <w:rPr>
          <w:rFonts w:asciiTheme="minorHAnsi" w:hAnsiTheme="minorHAnsi"/>
          <w:snapToGrid w:val="0"/>
        </w:rPr>
        <w:t xml:space="preserve"> unknown </w:t>
      </w:r>
      <w:r w:rsidR="00110338" w:rsidRPr="00C91ADA">
        <w:rPr>
          <w:rFonts w:asciiTheme="minorHAnsi" w:hAnsiTheme="minorHAnsi"/>
          <w:snapToGrid w:val="0"/>
        </w:rPr>
        <w:t>and considered this</w:t>
      </w:r>
      <w:r w:rsidR="00185435" w:rsidRPr="00C91ADA">
        <w:rPr>
          <w:rFonts w:asciiTheme="minorHAnsi" w:hAnsiTheme="minorHAnsi"/>
          <w:snapToGrid w:val="0"/>
        </w:rPr>
        <w:t xml:space="preserve"> </w:t>
      </w:r>
      <w:r w:rsidR="00110338" w:rsidRPr="00C91ADA">
        <w:rPr>
          <w:rFonts w:asciiTheme="minorHAnsi" w:hAnsiTheme="minorHAnsi"/>
          <w:snapToGrid w:val="0"/>
        </w:rPr>
        <w:t>wa</w:t>
      </w:r>
      <w:r w:rsidR="00185435" w:rsidRPr="00C91ADA">
        <w:rPr>
          <w:rFonts w:asciiTheme="minorHAnsi" w:hAnsiTheme="minorHAnsi"/>
          <w:snapToGrid w:val="0"/>
        </w:rPr>
        <w:t>s a significant limitation given the extensive body of evidence supporting the use of PCSK9 inhibitors in this population</w:t>
      </w:r>
      <w:r w:rsidRPr="0042765C">
        <w:t>.</w:t>
      </w:r>
    </w:p>
    <w:p w14:paraId="0E3A4640" w14:textId="6212F2E8" w:rsidR="009E1C1D" w:rsidRPr="00C91ADA" w:rsidRDefault="00BB0AB3" w:rsidP="001B1A34">
      <w:pPr>
        <w:widowControl w:val="0"/>
        <w:numPr>
          <w:ilvl w:val="1"/>
          <w:numId w:val="1"/>
        </w:numPr>
        <w:spacing w:after="120"/>
        <w:rPr>
          <w:rFonts w:asciiTheme="minorHAnsi" w:hAnsiTheme="minorHAnsi"/>
          <w:snapToGrid w:val="0"/>
        </w:rPr>
      </w:pPr>
      <w:bookmarkStart w:id="64" w:name="_Ref131412601"/>
      <w:r w:rsidRPr="00C91ADA">
        <w:rPr>
          <w:rFonts w:asciiTheme="minorHAnsi" w:hAnsiTheme="minorHAnsi"/>
          <w:snapToGrid w:val="0"/>
        </w:rPr>
        <w:t>T</w:t>
      </w:r>
      <w:r w:rsidR="000627A2" w:rsidRPr="00C91ADA">
        <w:rPr>
          <w:rFonts w:asciiTheme="minorHAnsi" w:hAnsiTheme="minorHAnsi"/>
          <w:snapToGrid w:val="0"/>
        </w:rPr>
        <w:t xml:space="preserve">he PBAC </w:t>
      </w:r>
      <w:r w:rsidRPr="00C91ADA">
        <w:rPr>
          <w:rFonts w:asciiTheme="minorHAnsi" w:hAnsiTheme="minorHAnsi"/>
          <w:snapToGrid w:val="0"/>
        </w:rPr>
        <w:t xml:space="preserve">noted </w:t>
      </w:r>
      <w:r w:rsidR="000627A2" w:rsidRPr="00C91ADA">
        <w:rPr>
          <w:rFonts w:asciiTheme="minorHAnsi" w:hAnsiTheme="minorHAnsi"/>
          <w:snapToGrid w:val="0"/>
        </w:rPr>
        <w:t>that the submission claim</w:t>
      </w:r>
      <w:r w:rsidRPr="00C91ADA">
        <w:rPr>
          <w:rFonts w:asciiTheme="minorHAnsi" w:hAnsiTheme="minorHAnsi"/>
          <w:snapToGrid w:val="0"/>
        </w:rPr>
        <w:t>ed</w:t>
      </w:r>
      <w:r w:rsidR="000627A2" w:rsidRPr="00C91ADA">
        <w:rPr>
          <w:rFonts w:asciiTheme="minorHAnsi" w:hAnsiTheme="minorHAnsi"/>
          <w:snapToGrid w:val="0"/>
        </w:rPr>
        <w:t xml:space="preserve"> that inclisiran was non-inferior compared to the PCSK9 inhibitors. </w:t>
      </w:r>
      <w:r w:rsidRPr="00C91ADA">
        <w:rPr>
          <w:rFonts w:asciiTheme="minorHAnsi" w:hAnsiTheme="minorHAnsi"/>
          <w:snapToGrid w:val="0"/>
        </w:rPr>
        <w:t>Overall, the PBAC considered that inclisiran was likely non</w:t>
      </w:r>
      <w:r w:rsidR="00BB22AE" w:rsidRPr="00C91ADA">
        <w:rPr>
          <w:rFonts w:asciiTheme="minorHAnsi" w:hAnsiTheme="minorHAnsi"/>
          <w:snapToGrid w:val="0"/>
        </w:rPr>
        <w:noBreakHyphen/>
      </w:r>
      <w:r w:rsidRPr="00C91ADA">
        <w:rPr>
          <w:rFonts w:asciiTheme="minorHAnsi" w:hAnsiTheme="minorHAnsi"/>
          <w:snapToGrid w:val="0"/>
        </w:rPr>
        <w:t>inferior to low dose alirocumab, but that the</w:t>
      </w:r>
      <w:r w:rsidR="00076437" w:rsidRPr="00C91ADA">
        <w:rPr>
          <w:rFonts w:asciiTheme="minorHAnsi" w:hAnsiTheme="minorHAnsi"/>
          <w:snapToGrid w:val="0"/>
        </w:rPr>
        <w:t xml:space="preserve"> non-inferiority claim compared to evolocumab was </w:t>
      </w:r>
      <w:r w:rsidR="000B30D9" w:rsidRPr="00C91ADA">
        <w:rPr>
          <w:rFonts w:asciiTheme="minorHAnsi" w:hAnsiTheme="minorHAnsi"/>
          <w:snapToGrid w:val="0"/>
        </w:rPr>
        <w:t>un</w:t>
      </w:r>
      <w:r w:rsidRPr="00C91ADA">
        <w:rPr>
          <w:rFonts w:asciiTheme="minorHAnsi" w:hAnsiTheme="minorHAnsi"/>
          <w:snapToGrid w:val="0"/>
        </w:rPr>
        <w:t>certain</w:t>
      </w:r>
      <w:r w:rsidR="00076437" w:rsidRPr="00C91ADA">
        <w:rPr>
          <w:rFonts w:asciiTheme="minorHAnsi" w:hAnsiTheme="minorHAnsi"/>
          <w:snapToGrid w:val="0"/>
        </w:rPr>
        <w:t xml:space="preserve"> for </w:t>
      </w:r>
      <w:r w:rsidR="00BC696E" w:rsidRPr="00C91ADA">
        <w:rPr>
          <w:rFonts w:asciiTheme="minorHAnsi" w:hAnsiTheme="minorHAnsi"/>
          <w:snapToGrid w:val="0"/>
        </w:rPr>
        <w:t xml:space="preserve">the </w:t>
      </w:r>
      <w:r w:rsidR="00076437" w:rsidRPr="00C91ADA">
        <w:rPr>
          <w:rFonts w:asciiTheme="minorHAnsi" w:hAnsiTheme="minorHAnsi"/>
          <w:snapToGrid w:val="0"/>
        </w:rPr>
        <w:t>non-FH with ASCVD</w:t>
      </w:r>
      <w:r w:rsidR="00BC696E" w:rsidRPr="00C91ADA">
        <w:rPr>
          <w:rFonts w:asciiTheme="minorHAnsi" w:hAnsiTheme="minorHAnsi"/>
          <w:snapToGrid w:val="0"/>
        </w:rPr>
        <w:t xml:space="preserve"> population</w:t>
      </w:r>
      <w:r w:rsidR="000972E5" w:rsidRPr="00C91ADA">
        <w:rPr>
          <w:rFonts w:asciiTheme="minorHAnsi" w:hAnsiTheme="minorHAnsi"/>
          <w:snapToGrid w:val="0"/>
        </w:rPr>
        <w:t xml:space="preserve">. The PBAC also considered that inclisiran was inferior to evolocumab for the HeFH population given </w:t>
      </w:r>
      <w:r w:rsidR="000972E5" w:rsidRPr="0042765C">
        <w:t xml:space="preserve">statistically significantly worse results for </w:t>
      </w:r>
      <w:r w:rsidR="007D0924" w:rsidRPr="0042765C">
        <w:t>inclisiran</w:t>
      </w:r>
      <w:r w:rsidR="000972E5" w:rsidRPr="0042765C">
        <w:t xml:space="preserve"> </w:t>
      </w:r>
      <w:r w:rsidR="000972E5" w:rsidRPr="00D2286B">
        <w:t>compared to evolocumab.</w:t>
      </w:r>
      <w:r w:rsidRPr="00C91ADA">
        <w:rPr>
          <w:rFonts w:asciiTheme="minorHAnsi" w:hAnsiTheme="minorHAnsi"/>
          <w:snapToGrid w:val="0"/>
        </w:rPr>
        <w:t xml:space="preserve"> </w:t>
      </w:r>
    </w:p>
    <w:bookmarkEnd w:id="64"/>
    <w:p w14:paraId="219020C7" w14:textId="0BFDA7F8" w:rsidR="00384BDF" w:rsidRPr="00C91ADA" w:rsidRDefault="00384BDF" w:rsidP="007D0924">
      <w:pPr>
        <w:widowControl w:val="0"/>
        <w:numPr>
          <w:ilvl w:val="1"/>
          <w:numId w:val="1"/>
        </w:numPr>
        <w:spacing w:after="120"/>
        <w:rPr>
          <w:rFonts w:asciiTheme="minorHAnsi" w:hAnsiTheme="minorHAnsi"/>
          <w:snapToGrid w:val="0"/>
        </w:rPr>
      </w:pPr>
      <w:r w:rsidRPr="00C91ADA">
        <w:rPr>
          <w:rFonts w:asciiTheme="minorHAnsi" w:hAnsiTheme="minorHAnsi"/>
          <w:snapToGrid w:val="0"/>
        </w:rPr>
        <w:t xml:space="preserve">In terms of safety, the PBAC noted that </w:t>
      </w:r>
      <w:r w:rsidR="00A87DFF" w:rsidRPr="00C91ADA">
        <w:rPr>
          <w:rFonts w:asciiTheme="minorHAnsi" w:hAnsiTheme="minorHAnsi"/>
          <w:snapToGrid w:val="0"/>
        </w:rPr>
        <w:t xml:space="preserve">the submission did not present any comparative data versus the nominated comparators. </w:t>
      </w:r>
      <w:r w:rsidR="00110338" w:rsidRPr="00C91ADA">
        <w:rPr>
          <w:rFonts w:asciiTheme="minorHAnsi" w:hAnsiTheme="minorHAnsi"/>
          <w:snapToGrid w:val="0"/>
        </w:rPr>
        <w:t>T</w:t>
      </w:r>
      <w:r w:rsidR="00A87DFF" w:rsidRPr="00C91ADA">
        <w:rPr>
          <w:rFonts w:asciiTheme="minorHAnsi" w:hAnsiTheme="minorHAnsi"/>
          <w:snapToGrid w:val="0"/>
        </w:rPr>
        <w:t>he PBAC noted that inclisiran was reasonably well-tolerated compared to placebo</w:t>
      </w:r>
      <w:r w:rsidR="00110338" w:rsidRPr="00C91ADA">
        <w:rPr>
          <w:rFonts w:asciiTheme="minorHAnsi" w:hAnsiTheme="minorHAnsi"/>
          <w:snapToGrid w:val="0"/>
        </w:rPr>
        <w:t>. T</w:t>
      </w:r>
      <w:r w:rsidR="00A87DFF" w:rsidRPr="00C91ADA">
        <w:rPr>
          <w:rFonts w:asciiTheme="minorHAnsi" w:hAnsiTheme="minorHAnsi"/>
          <w:snapToGrid w:val="0"/>
        </w:rPr>
        <w:t xml:space="preserve">he PBAC considered that </w:t>
      </w:r>
      <w:r w:rsidR="00110338" w:rsidRPr="00C91ADA">
        <w:rPr>
          <w:rFonts w:asciiTheme="minorHAnsi" w:hAnsiTheme="minorHAnsi"/>
          <w:snapToGrid w:val="0"/>
        </w:rPr>
        <w:t xml:space="preserve">although </w:t>
      </w:r>
      <w:r w:rsidR="00A87DFF" w:rsidRPr="00C91ADA">
        <w:rPr>
          <w:rFonts w:asciiTheme="minorHAnsi" w:hAnsiTheme="minorHAnsi"/>
          <w:snapToGrid w:val="0"/>
        </w:rPr>
        <w:t xml:space="preserve">inclisiran was </w:t>
      </w:r>
      <w:r w:rsidR="00110338" w:rsidRPr="00C91ADA">
        <w:rPr>
          <w:rFonts w:asciiTheme="minorHAnsi" w:hAnsiTheme="minorHAnsi"/>
          <w:snapToGrid w:val="0"/>
        </w:rPr>
        <w:t xml:space="preserve">likely comparable to the PCSK9 inhibitors, the claim of </w:t>
      </w:r>
      <w:r w:rsidR="00A87DFF" w:rsidRPr="00C91ADA">
        <w:rPr>
          <w:rFonts w:asciiTheme="minorHAnsi" w:hAnsiTheme="minorHAnsi"/>
          <w:snapToGrid w:val="0"/>
        </w:rPr>
        <w:t>non</w:t>
      </w:r>
      <w:r w:rsidR="00BB22AE" w:rsidRPr="00C91ADA">
        <w:rPr>
          <w:rFonts w:asciiTheme="minorHAnsi" w:hAnsiTheme="minorHAnsi"/>
          <w:snapToGrid w:val="0"/>
        </w:rPr>
        <w:noBreakHyphen/>
      </w:r>
      <w:r w:rsidR="00A87DFF" w:rsidRPr="00C91ADA">
        <w:rPr>
          <w:rFonts w:asciiTheme="minorHAnsi" w:hAnsiTheme="minorHAnsi"/>
          <w:snapToGrid w:val="0"/>
        </w:rPr>
        <w:t xml:space="preserve">inferior safety was uncertain. </w:t>
      </w:r>
    </w:p>
    <w:p w14:paraId="64EFD414" w14:textId="7C150C6E" w:rsidR="00A87DFF" w:rsidRPr="00C91ADA" w:rsidRDefault="00504D05" w:rsidP="001B1A34">
      <w:pPr>
        <w:widowControl w:val="0"/>
        <w:numPr>
          <w:ilvl w:val="1"/>
          <w:numId w:val="1"/>
        </w:numPr>
        <w:spacing w:after="120"/>
        <w:rPr>
          <w:rFonts w:asciiTheme="minorHAnsi" w:hAnsiTheme="minorHAnsi"/>
          <w:snapToGrid w:val="0"/>
        </w:rPr>
      </w:pPr>
      <w:r w:rsidRPr="00C91ADA">
        <w:rPr>
          <w:rFonts w:asciiTheme="minorHAnsi" w:hAnsiTheme="minorHAnsi"/>
          <w:snapToGrid w:val="0"/>
        </w:rPr>
        <w:t xml:space="preserve">The PBAC noted that the submission presented a cost utility analysis </w:t>
      </w:r>
      <w:r w:rsidR="00185435" w:rsidRPr="00C91ADA">
        <w:rPr>
          <w:rFonts w:asciiTheme="minorHAnsi" w:hAnsiTheme="minorHAnsi"/>
          <w:snapToGrid w:val="0"/>
        </w:rPr>
        <w:t xml:space="preserve">(CUA) </w:t>
      </w:r>
      <w:r w:rsidRPr="00C91ADA">
        <w:rPr>
          <w:rFonts w:asciiTheme="minorHAnsi" w:hAnsiTheme="minorHAnsi"/>
          <w:snapToGrid w:val="0"/>
        </w:rPr>
        <w:t xml:space="preserve">versus ezetimibe and a supportive </w:t>
      </w:r>
      <w:r w:rsidR="00185435" w:rsidRPr="00C91ADA">
        <w:rPr>
          <w:rFonts w:asciiTheme="minorHAnsi" w:hAnsiTheme="minorHAnsi"/>
          <w:snapToGrid w:val="0"/>
        </w:rPr>
        <w:t>CMA</w:t>
      </w:r>
      <w:r w:rsidRPr="00C91ADA">
        <w:rPr>
          <w:rFonts w:asciiTheme="minorHAnsi" w:hAnsiTheme="minorHAnsi"/>
          <w:snapToGrid w:val="0"/>
        </w:rPr>
        <w:t xml:space="preserve"> versus PCSK9 inhibitors. </w:t>
      </w:r>
      <w:r w:rsidR="00185435" w:rsidRPr="00C91ADA">
        <w:rPr>
          <w:rFonts w:asciiTheme="minorHAnsi" w:hAnsiTheme="minorHAnsi"/>
          <w:snapToGrid w:val="0"/>
        </w:rPr>
        <w:t xml:space="preserve">The PBAC noted </w:t>
      </w:r>
      <w:r w:rsidR="00110338" w:rsidRPr="00C91ADA">
        <w:rPr>
          <w:rFonts w:asciiTheme="minorHAnsi" w:hAnsiTheme="minorHAnsi"/>
          <w:snapToGrid w:val="0"/>
        </w:rPr>
        <w:t xml:space="preserve">that </w:t>
      </w:r>
      <w:r w:rsidR="00185435" w:rsidRPr="00C91ADA">
        <w:rPr>
          <w:rFonts w:asciiTheme="minorHAnsi" w:hAnsiTheme="minorHAnsi"/>
          <w:snapToGrid w:val="0"/>
        </w:rPr>
        <w:t xml:space="preserve">the CUA </w:t>
      </w:r>
      <w:r w:rsidR="00110338" w:rsidRPr="00C91ADA">
        <w:rPr>
          <w:rFonts w:asciiTheme="minorHAnsi" w:hAnsiTheme="minorHAnsi"/>
          <w:snapToGrid w:val="0"/>
        </w:rPr>
        <w:t xml:space="preserve">included a </w:t>
      </w:r>
      <w:r w:rsidR="002970F9" w:rsidRPr="0042765C">
        <w:t>treatment switching rule for ezetimibe patients</w:t>
      </w:r>
      <w:r w:rsidR="00110338" w:rsidRPr="0042765C">
        <w:t xml:space="preserve"> that</w:t>
      </w:r>
      <w:r w:rsidR="002970F9" w:rsidRPr="0042765C">
        <w:t xml:space="preserve"> resulted in two distinct modelled patient populations based on whether patients were eligible or ineligible for PCSK9 </w:t>
      </w:r>
      <w:r w:rsidR="002970F9" w:rsidRPr="00352E1C">
        <w:t xml:space="preserve">inhibitor therapy. The PBAC agreed with the ESC that this resulted in a misleading base case </w:t>
      </w:r>
      <w:r w:rsidR="00110338" w:rsidRPr="00352E1C">
        <w:t>incremental cost effectiveness ratio (</w:t>
      </w:r>
      <w:r w:rsidR="002970F9" w:rsidRPr="00352E1C">
        <w:t>ICER</w:t>
      </w:r>
      <w:r w:rsidR="00110338" w:rsidRPr="00352E1C">
        <w:t xml:space="preserve">; </w:t>
      </w:r>
      <w:r w:rsidR="002970F9" w:rsidRPr="00352E1C">
        <w:t xml:space="preserve">see paragraph </w:t>
      </w:r>
      <w:r w:rsidR="002970F9" w:rsidRPr="0042765C">
        <w:fldChar w:fldCharType="begin" w:fldLock="1"/>
      </w:r>
      <w:r w:rsidR="002970F9" w:rsidRPr="00DB3FE7">
        <w:instrText xml:space="preserve"> REF _Ref131411654 \r \h </w:instrText>
      </w:r>
      <w:r w:rsidR="002970F9" w:rsidRPr="0042765C">
        <w:fldChar w:fldCharType="separate"/>
      </w:r>
      <w:r w:rsidR="00424520" w:rsidRPr="0042765C">
        <w:t>6.46</w:t>
      </w:r>
      <w:r w:rsidR="002970F9" w:rsidRPr="0042765C">
        <w:fldChar w:fldCharType="end"/>
      </w:r>
      <w:r w:rsidR="002970F9" w:rsidRPr="0042765C">
        <w:t>) and</w:t>
      </w:r>
      <w:r w:rsidR="00110338" w:rsidRPr="0042765C">
        <w:t>,</w:t>
      </w:r>
      <w:r w:rsidR="002970F9" w:rsidRPr="0042765C">
        <w:t xml:space="preserve"> along with several other inputs and assumptions identified in the sensitivity analyses (see </w:t>
      </w:r>
      <w:r w:rsidR="002970F9" w:rsidRPr="0042765C">
        <w:fldChar w:fldCharType="begin" w:fldLock="1"/>
      </w:r>
      <w:r w:rsidR="002970F9" w:rsidRPr="00DB3FE7">
        <w:instrText xml:space="preserve"> REF _Ref126857115 \h </w:instrText>
      </w:r>
      <w:r w:rsidR="002970F9" w:rsidRPr="0042765C">
        <w:fldChar w:fldCharType="separate"/>
      </w:r>
      <w:r w:rsidR="00424520" w:rsidRPr="0042765C">
        <w:t xml:space="preserve">Table </w:t>
      </w:r>
      <w:r w:rsidR="00424520" w:rsidRPr="0042765C">
        <w:rPr>
          <w:noProof/>
        </w:rPr>
        <w:t>11</w:t>
      </w:r>
      <w:r w:rsidR="002970F9" w:rsidRPr="0042765C">
        <w:fldChar w:fldCharType="end"/>
      </w:r>
      <w:r w:rsidR="002970F9" w:rsidRPr="0042765C">
        <w:t>)</w:t>
      </w:r>
      <w:r w:rsidR="00110338" w:rsidRPr="0042765C">
        <w:t>,</w:t>
      </w:r>
      <w:r w:rsidR="002970F9" w:rsidRPr="0042765C">
        <w:t xml:space="preserve"> made the CUA unreliable.</w:t>
      </w:r>
      <w:r w:rsidR="002970F9" w:rsidRPr="00C91ADA">
        <w:rPr>
          <w:rFonts w:asciiTheme="minorHAnsi" w:hAnsiTheme="minorHAnsi"/>
          <w:snapToGrid w:val="0"/>
        </w:rPr>
        <w:t xml:space="preserve"> </w:t>
      </w:r>
      <w:r w:rsidRPr="00C91ADA">
        <w:rPr>
          <w:rFonts w:asciiTheme="minorHAnsi" w:hAnsiTheme="minorHAnsi"/>
          <w:snapToGrid w:val="0"/>
        </w:rPr>
        <w:t xml:space="preserve">As the PBAC considered that inclisiran should have been positioned as a third line treatment, the </w:t>
      </w:r>
      <w:r w:rsidR="002970F9" w:rsidRPr="00C91ADA">
        <w:rPr>
          <w:rFonts w:asciiTheme="minorHAnsi" w:hAnsiTheme="minorHAnsi"/>
          <w:snapToGrid w:val="0"/>
        </w:rPr>
        <w:t>CUA</w:t>
      </w:r>
      <w:r w:rsidRPr="00C91ADA">
        <w:rPr>
          <w:rFonts w:asciiTheme="minorHAnsi" w:hAnsiTheme="minorHAnsi"/>
          <w:snapToGrid w:val="0"/>
        </w:rPr>
        <w:t xml:space="preserve"> was not informative for decision making.</w:t>
      </w:r>
    </w:p>
    <w:p w14:paraId="3A91367B" w14:textId="1D2187F9" w:rsidR="003E5EB6" w:rsidRPr="00C91ADA" w:rsidRDefault="00EF46E3" w:rsidP="00373E85">
      <w:pPr>
        <w:widowControl w:val="0"/>
        <w:numPr>
          <w:ilvl w:val="1"/>
          <w:numId w:val="1"/>
        </w:numPr>
        <w:spacing w:after="120"/>
        <w:rPr>
          <w:snapToGrid w:val="0"/>
        </w:rPr>
      </w:pPr>
      <w:bookmarkStart w:id="65" w:name="_Ref131423571"/>
      <w:r w:rsidRPr="00C91ADA">
        <w:rPr>
          <w:rFonts w:asciiTheme="minorHAnsi" w:hAnsiTheme="minorHAnsi"/>
          <w:snapToGrid w:val="0"/>
        </w:rPr>
        <w:t>The PBAC was unable to accept the CMA versus PCSK9 inhibitors as</w:t>
      </w:r>
      <w:r w:rsidR="00F5086C" w:rsidRPr="00C91ADA">
        <w:rPr>
          <w:rFonts w:asciiTheme="minorHAnsi" w:hAnsiTheme="minorHAnsi"/>
          <w:snapToGrid w:val="0"/>
        </w:rPr>
        <w:t xml:space="preserve"> presented in the submission due to the uncertainty with the claim of</w:t>
      </w:r>
      <w:r w:rsidR="00110338" w:rsidRPr="00C91ADA">
        <w:rPr>
          <w:rFonts w:asciiTheme="minorHAnsi" w:hAnsiTheme="minorHAnsi"/>
          <w:snapToGrid w:val="0"/>
        </w:rPr>
        <w:t xml:space="preserve"> </w:t>
      </w:r>
      <w:r w:rsidRPr="00C91ADA">
        <w:rPr>
          <w:rFonts w:asciiTheme="minorHAnsi" w:hAnsiTheme="minorHAnsi"/>
          <w:snapToGrid w:val="0"/>
        </w:rPr>
        <w:t>non-inferior</w:t>
      </w:r>
      <w:r w:rsidR="00110338" w:rsidRPr="00C91ADA">
        <w:rPr>
          <w:rFonts w:asciiTheme="minorHAnsi" w:hAnsiTheme="minorHAnsi"/>
          <w:snapToGrid w:val="0"/>
        </w:rPr>
        <w:t xml:space="preserve"> efficacy </w:t>
      </w:r>
      <w:r w:rsidRPr="00C91ADA">
        <w:rPr>
          <w:rFonts w:asciiTheme="minorHAnsi" w:hAnsiTheme="minorHAnsi"/>
          <w:snapToGrid w:val="0"/>
        </w:rPr>
        <w:t>(</w:t>
      </w:r>
      <w:r w:rsidR="00BB22AE" w:rsidRPr="00C91ADA">
        <w:rPr>
          <w:rFonts w:asciiTheme="minorHAnsi" w:hAnsiTheme="minorHAnsi"/>
          <w:snapToGrid w:val="0"/>
        </w:rPr>
        <w:t>see </w:t>
      </w:r>
      <w:r w:rsidRPr="00C91ADA">
        <w:rPr>
          <w:rFonts w:asciiTheme="minorHAnsi" w:hAnsiTheme="minorHAnsi"/>
          <w:snapToGrid w:val="0"/>
        </w:rPr>
        <w:t xml:space="preserve">paragraph </w:t>
      </w:r>
      <w:r w:rsidRPr="00C91ADA">
        <w:rPr>
          <w:rFonts w:asciiTheme="minorHAnsi" w:hAnsiTheme="minorHAnsi"/>
          <w:snapToGrid w:val="0"/>
        </w:rPr>
        <w:fldChar w:fldCharType="begin" w:fldLock="1"/>
      </w:r>
      <w:r w:rsidRPr="00C91ADA">
        <w:rPr>
          <w:rFonts w:asciiTheme="minorHAnsi" w:hAnsiTheme="minorHAnsi"/>
          <w:snapToGrid w:val="0"/>
        </w:rPr>
        <w:instrText xml:space="preserve"> REF _Ref131412601 \r \h </w:instrText>
      </w:r>
      <w:r w:rsidRPr="00C91ADA">
        <w:rPr>
          <w:rFonts w:asciiTheme="minorHAnsi" w:hAnsiTheme="minorHAnsi"/>
          <w:snapToGrid w:val="0"/>
        </w:rPr>
      </w:r>
      <w:r w:rsidRPr="00C91ADA">
        <w:rPr>
          <w:rFonts w:asciiTheme="minorHAnsi" w:hAnsiTheme="minorHAnsi"/>
          <w:snapToGrid w:val="0"/>
        </w:rPr>
        <w:fldChar w:fldCharType="separate"/>
      </w:r>
      <w:r w:rsidR="00424520" w:rsidRPr="00C91ADA">
        <w:rPr>
          <w:rFonts w:asciiTheme="minorHAnsi" w:hAnsiTheme="minorHAnsi"/>
          <w:snapToGrid w:val="0"/>
        </w:rPr>
        <w:t>7.10</w:t>
      </w:r>
      <w:r w:rsidRPr="00C91ADA">
        <w:rPr>
          <w:rFonts w:asciiTheme="minorHAnsi" w:hAnsiTheme="minorHAnsi"/>
          <w:snapToGrid w:val="0"/>
        </w:rPr>
        <w:fldChar w:fldCharType="end"/>
      </w:r>
      <w:r w:rsidRPr="00C91ADA">
        <w:rPr>
          <w:rFonts w:asciiTheme="minorHAnsi" w:hAnsiTheme="minorHAnsi"/>
          <w:snapToGrid w:val="0"/>
        </w:rPr>
        <w:t>). T</w:t>
      </w:r>
      <w:r w:rsidR="00504D05" w:rsidRPr="00C91ADA">
        <w:rPr>
          <w:rFonts w:asciiTheme="minorHAnsi" w:hAnsiTheme="minorHAnsi"/>
          <w:snapToGrid w:val="0"/>
        </w:rPr>
        <w:t xml:space="preserve">he PBAC </w:t>
      </w:r>
      <w:r w:rsidRPr="00C91ADA">
        <w:rPr>
          <w:rFonts w:asciiTheme="minorHAnsi" w:hAnsiTheme="minorHAnsi"/>
          <w:snapToGrid w:val="0"/>
        </w:rPr>
        <w:t xml:space="preserve">noted that the </w:t>
      </w:r>
      <w:r w:rsidR="00110338" w:rsidRPr="00C91ADA">
        <w:rPr>
          <w:rFonts w:asciiTheme="minorHAnsi" w:hAnsiTheme="minorHAnsi"/>
          <w:snapToGrid w:val="0"/>
        </w:rPr>
        <w:t xml:space="preserve">CMA </w:t>
      </w:r>
      <w:r w:rsidRPr="00C91ADA">
        <w:rPr>
          <w:rFonts w:asciiTheme="minorHAnsi" w:hAnsiTheme="minorHAnsi"/>
          <w:snapToGrid w:val="0"/>
        </w:rPr>
        <w:t>used evolocumab as a proxy for the PCSK9 inhibitors</w:t>
      </w:r>
      <w:r w:rsidR="004D4B75" w:rsidRPr="00C91ADA">
        <w:rPr>
          <w:rFonts w:asciiTheme="minorHAnsi" w:hAnsiTheme="minorHAnsi"/>
          <w:snapToGrid w:val="0"/>
        </w:rPr>
        <w:t xml:space="preserve"> which was considered appropriate t</w:t>
      </w:r>
      <w:r w:rsidR="00373E85" w:rsidRPr="00C91ADA">
        <w:rPr>
          <w:rFonts w:asciiTheme="minorHAnsi" w:hAnsiTheme="minorHAnsi"/>
          <w:snapToGrid w:val="0"/>
        </w:rPr>
        <w:t xml:space="preserve">o qualify for the same </w:t>
      </w:r>
      <w:r w:rsidR="003E5EB6" w:rsidRPr="00C91ADA">
        <w:rPr>
          <w:rFonts w:asciiTheme="minorHAnsi" w:hAnsiTheme="minorHAnsi"/>
          <w:snapToGrid w:val="0"/>
        </w:rPr>
        <w:t xml:space="preserve">PBS listings as evolocumab for </w:t>
      </w:r>
      <w:r w:rsidR="00373E85" w:rsidRPr="00C91ADA">
        <w:rPr>
          <w:rFonts w:asciiTheme="minorHAnsi" w:hAnsiTheme="minorHAnsi"/>
          <w:snapToGrid w:val="0"/>
        </w:rPr>
        <w:t xml:space="preserve">non-FH with ASCVD and HeFH. </w:t>
      </w:r>
      <w:r w:rsidR="004D4B75" w:rsidRPr="00C91ADA">
        <w:rPr>
          <w:rFonts w:asciiTheme="minorHAnsi" w:hAnsiTheme="minorHAnsi"/>
          <w:snapToGrid w:val="0"/>
        </w:rPr>
        <w:t xml:space="preserve">The PBAC advised that an </w:t>
      </w:r>
      <w:r w:rsidR="00373E85" w:rsidRPr="00C91ADA">
        <w:rPr>
          <w:rFonts w:asciiTheme="minorHAnsi" w:hAnsiTheme="minorHAnsi"/>
          <w:snapToGrid w:val="0"/>
        </w:rPr>
        <w:t>early re-entry resubmission with a revised CMA offering a lower price than evolocumab (in the order of 10%) to address the uncertainty in the clinical claim would be required.</w:t>
      </w:r>
      <w:bookmarkEnd w:id="65"/>
      <w:r w:rsidR="00373E85" w:rsidRPr="00C91ADA">
        <w:rPr>
          <w:rFonts w:asciiTheme="minorHAnsi" w:hAnsiTheme="minorHAnsi"/>
          <w:snapToGrid w:val="0"/>
        </w:rPr>
        <w:t xml:space="preserve"> </w:t>
      </w:r>
    </w:p>
    <w:p w14:paraId="18124C46" w14:textId="6DCB4F60" w:rsidR="00373E85" w:rsidRPr="00C91ADA" w:rsidRDefault="00373E85" w:rsidP="00373E85">
      <w:pPr>
        <w:widowControl w:val="0"/>
        <w:numPr>
          <w:ilvl w:val="1"/>
          <w:numId w:val="1"/>
        </w:numPr>
        <w:spacing w:after="120"/>
        <w:rPr>
          <w:snapToGrid w:val="0"/>
        </w:rPr>
      </w:pPr>
      <w:r w:rsidRPr="00C91ADA">
        <w:t xml:space="preserve">Alternatively, a standard re-entry resubmission would need to include further justification of non-inferiority and equivalent pricing </w:t>
      </w:r>
      <w:r w:rsidR="004D4B75" w:rsidRPr="00C91ADA">
        <w:t xml:space="preserve">compared to evolocumab </w:t>
      </w:r>
      <w:r w:rsidR="00D400E7" w:rsidRPr="00C91ADA">
        <w:t xml:space="preserve">for </w:t>
      </w:r>
      <w:r w:rsidR="004D4B75" w:rsidRPr="00C91ADA">
        <w:t xml:space="preserve">the </w:t>
      </w:r>
      <w:r w:rsidRPr="00C91ADA">
        <w:t xml:space="preserve">non-FH </w:t>
      </w:r>
      <w:r w:rsidR="00D400E7" w:rsidRPr="00C91ADA">
        <w:t xml:space="preserve">with </w:t>
      </w:r>
      <w:r w:rsidRPr="00C91ADA">
        <w:t>ASCVD</w:t>
      </w:r>
      <w:r w:rsidR="004D4B75" w:rsidRPr="00C91ADA">
        <w:t xml:space="preserve"> population</w:t>
      </w:r>
      <w:r w:rsidRPr="00C91ADA">
        <w:t>, with assessment of the MCID and a non-</w:t>
      </w:r>
      <w:r w:rsidR="00D400E7" w:rsidRPr="00C91ADA">
        <w:t>inferiority</w:t>
      </w:r>
      <w:r w:rsidRPr="00C91ADA">
        <w:t xml:space="preserve"> margin, further consideration of selected trials for inclusion in the comparative analysis, and address </w:t>
      </w:r>
      <w:r w:rsidR="004D4B75" w:rsidRPr="00C91ADA">
        <w:t xml:space="preserve">the </w:t>
      </w:r>
      <w:r w:rsidRPr="00C91ADA">
        <w:t>issues raised in the evaluation re</w:t>
      </w:r>
      <w:r w:rsidR="00D400E7" w:rsidRPr="00C91ADA">
        <w:t>garding</w:t>
      </w:r>
      <w:r w:rsidRPr="00C91ADA">
        <w:t xml:space="preserve"> </w:t>
      </w:r>
      <w:r w:rsidR="004D4B75" w:rsidRPr="00C91ADA">
        <w:t xml:space="preserve">use in the </w:t>
      </w:r>
      <w:r w:rsidRPr="00C91ADA">
        <w:t>statin intoleran</w:t>
      </w:r>
      <w:r w:rsidR="004D4B75" w:rsidRPr="00C91ADA">
        <w:t>t population</w:t>
      </w:r>
      <w:r w:rsidRPr="00C91ADA">
        <w:t>.</w:t>
      </w:r>
      <w:r w:rsidR="003E5EB6" w:rsidRPr="00C91ADA">
        <w:t xml:space="preserve"> A </w:t>
      </w:r>
      <w:r w:rsidR="003E5EB6" w:rsidRPr="00C91ADA">
        <w:rPr>
          <w:rFonts w:asciiTheme="minorHAnsi" w:hAnsiTheme="minorHAnsi"/>
          <w:snapToGrid w:val="0"/>
        </w:rPr>
        <w:t xml:space="preserve">lower price than evolocumab for HeFH would be required given inclisiran was inferior to evolocumab in this indication. </w:t>
      </w:r>
    </w:p>
    <w:p w14:paraId="27B3B58C" w14:textId="75D58466" w:rsidR="00AC52CD" w:rsidRPr="00C91ADA" w:rsidRDefault="00D33C89" w:rsidP="006A06A6">
      <w:pPr>
        <w:widowControl w:val="0"/>
        <w:numPr>
          <w:ilvl w:val="1"/>
          <w:numId w:val="1"/>
        </w:numPr>
        <w:spacing w:after="120"/>
        <w:rPr>
          <w:rFonts w:asciiTheme="minorHAnsi" w:hAnsiTheme="minorHAnsi"/>
          <w:snapToGrid w:val="0"/>
        </w:rPr>
      </w:pPr>
      <w:bookmarkStart w:id="66" w:name="_Ref131519571"/>
      <w:r w:rsidRPr="00C91ADA">
        <w:rPr>
          <w:rFonts w:asciiTheme="minorHAnsi" w:hAnsiTheme="minorHAnsi"/>
          <w:snapToGrid w:val="0"/>
        </w:rPr>
        <w:t xml:space="preserve">The PBAC </w:t>
      </w:r>
      <w:r w:rsidR="008F0DB1" w:rsidRPr="00C91ADA">
        <w:rPr>
          <w:rFonts w:asciiTheme="minorHAnsi" w:hAnsiTheme="minorHAnsi"/>
          <w:snapToGrid w:val="0"/>
        </w:rPr>
        <w:t xml:space="preserve">considered that </w:t>
      </w:r>
      <w:r w:rsidR="00D400E7" w:rsidRPr="00C91ADA">
        <w:rPr>
          <w:rFonts w:asciiTheme="minorHAnsi" w:hAnsiTheme="minorHAnsi"/>
          <w:snapToGrid w:val="0"/>
        </w:rPr>
        <w:t xml:space="preserve">a future resubmission would need </w:t>
      </w:r>
      <w:r w:rsidR="008F0DB1" w:rsidRPr="00C91ADA">
        <w:rPr>
          <w:rFonts w:asciiTheme="minorHAnsi" w:hAnsiTheme="minorHAnsi"/>
          <w:snapToGrid w:val="0"/>
        </w:rPr>
        <w:t xml:space="preserve">revised utilisation and financial impact estimates which aligned with the </w:t>
      </w:r>
      <w:r w:rsidR="00834CE7" w:rsidRPr="00C91ADA">
        <w:rPr>
          <w:rFonts w:asciiTheme="minorHAnsi" w:hAnsiTheme="minorHAnsi"/>
          <w:snapToGrid w:val="0"/>
        </w:rPr>
        <w:t xml:space="preserve">updated </w:t>
      </w:r>
      <w:r w:rsidR="004D4B75" w:rsidRPr="00C91ADA">
        <w:rPr>
          <w:rFonts w:asciiTheme="minorHAnsi" w:hAnsiTheme="minorHAnsi"/>
          <w:snapToGrid w:val="0"/>
        </w:rPr>
        <w:t>CMA</w:t>
      </w:r>
      <w:r w:rsidR="008F0DB1" w:rsidRPr="00C91ADA">
        <w:rPr>
          <w:rFonts w:asciiTheme="minorHAnsi" w:hAnsiTheme="minorHAnsi"/>
          <w:snapToGrid w:val="0"/>
        </w:rPr>
        <w:t>.</w:t>
      </w:r>
      <w:r w:rsidR="003E5EB6" w:rsidRPr="00C91ADA">
        <w:rPr>
          <w:rFonts w:asciiTheme="minorHAnsi" w:hAnsiTheme="minorHAnsi"/>
          <w:snapToGrid w:val="0"/>
        </w:rPr>
        <w:t xml:space="preserve"> For an early re-entry resubmission, these estimates should be based on a market share approach, with </w:t>
      </w:r>
      <w:r w:rsidR="006F02B6" w:rsidRPr="00C91ADA">
        <w:rPr>
          <w:rFonts w:asciiTheme="minorHAnsi" w:hAnsiTheme="minorHAnsi"/>
          <w:snapToGrid w:val="0"/>
        </w:rPr>
        <w:t>consideration</w:t>
      </w:r>
      <w:r w:rsidR="003E5EB6" w:rsidRPr="00C91ADA">
        <w:rPr>
          <w:rFonts w:asciiTheme="minorHAnsi" w:hAnsiTheme="minorHAnsi"/>
          <w:snapToGrid w:val="0"/>
        </w:rPr>
        <w:t xml:space="preserve"> of the cost of improved adherence as suggested in paragraph </w:t>
      </w:r>
      <w:r w:rsidR="003E5EB6" w:rsidRPr="00C91ADA">
        <w:rPr>
          <w:rFonts w:asciiTheme="minorHAnsi" w:hAnsiTheme="minorHAnsi"/>
          <w:snapToGrid w:val="0"/>
        </w:rPr>
        <w:fldChar w:fldCharType="begin" w:fldLock="1"/>
      </w:r>
      <w:r w:rsidR="003E5EB6" w:rsidRPr="00C91ADA">
        <w:rPr>
          <w:rFonts w:asciiTheme="minorHAnsi" w:hAnsiTheme="minorHAnsi"/>
          <w:snapToGrid w:val="0"/>
        </w:rPr>
        <w:instrText xml:space="preserve"> REF _Ref131519169 \r \h </w:instrText>
      </w:r>
      <w:r w:rsidR="003E5EB6" w:rsidRPr="00C91ADA">
        <w:rPr>
          <w:rFonts w:asciiTheme="minorHAnsi" w:hAnsiTheme="minorHAnsi"/>
          <w:snapToGrid w:val="0"/>
        </w:rPr>
      </w:r>
      <w:r w:rsidR="003E5EB6" w:rsidRPr="00C91ADA">
        <w:rPr>
          <w:rFonts w:asciiTheme="minorHAnsi" w:hAnsiTheme="minorHAnsi"/>
          <w:snapToGrid w:val="0"/>
        </w:rPr>
        <w:fldChar w:fldCharType="separate"/>
      </w:r>
      <w:r w:rsidR="00424520" w:rsidRPr="00C91ADA">
        <w:rPr>
          <w:rFonts w:asciiTheme="minorHAnsi" w:hAnsiTheme="minorHAnsi"/>
          <w:snapToGrid w:val="0"/>
        </w:rPr>
        <w:t>7.3</w:t>
      </w:r>
      <w:r w:rsidR="003E5EB6" w:rsidRPr="00C91ADA">
        <w:rPr>
          <w:rFonts w:asciiTheme="minorHAnsi" w:hAnsiTheme="minorHAnsi"/>
          <w:snapToGrid w:val="0"/>
        </w:rPr>
        <w:fldChar w:fldCharType="end"/>
      </w:r>
      <w:r w:rsidR="003E5EB6" w:rsidRPr="00C91ADA">
        <w:rPr>
          <w:rFonts w:asciiTheme="minorHAnsi" w:hAnsiTheme="minorHAnsi"/>
          <w:snapToGrid w:val="0"/>
        </w:rPr>
        <w:t>.</w:t>
      </w:r>
      <w:bookmarkEnd w:id="66"/>
      <w:r w:rsidR="003E5EB6" w:rsidRPr="00C91ADA">
        <w:rPr>
          <w:rFonts w:asciiTheme="minorHAnsi" w:hAnsiTheme="minorHAnsi"/>
          <w:snapToGrid w:val="0"/>
        </w:rPr>
        <w:t xml:space="preserve"> </w:t>
      </w:r>
    </w:p>
    <w:p w14:paraId="56BECAF1" w14:textId="2A6A1BBF" w:rsidR="00BB0AB3" w:rsidRPr="00C91ADA" w:rsidRDefault="00AC52CD" w:rsidP="006A06A6">
      <w:pPr>
        <w:widowControl w:val="0"/>
        <w:numPr>
          <w:ilvl w:val="1"/>
          <w:numId w:val="1"/>
        </w:numPr>
        <w:spacing w:after="120"/>
        <w:rPr>
          <w:rFonts w:asciiTheme="minorHAnsi" w:hAnsiTheme="minorHAnsi"/>
          <w:snapToGrid w:val="0"/>
        </w:rPr>
      </w:pPr>
      <w:r w:rsidRPr="00C91ADA">
        <w:rPr>
          <w:rFonts w:asciiTheme="minorHAnsi" w:hAnsiTheme="minorHAnsi"/>
          <w:snapToGrid w:val="0"/>
        </w:rPr>
        <w:t>The PBAC noted the offer in the pre-PB</w:t>
      </w:r>
      <w:r w:rsidR="00CF41AF" w:rsidRPr="00C91ADA">
        <w:rPr>
          <w:rFonts w:asciiTheme="minorHAnsi" w:hAnsiTheme="minorHAnsi"/>
          <w:snapToGrid w:val="0"/>
        </w:rPr>
        <w:t>A</w:t>
      </w:r>
      <w:r w:rsidRPr="00C91ADA">
        <w:rPr>
          <w:rFonts w:asciiTheme="minorHAnsi" w:hAnsiTheme="minorHAnsi"/>
          <w:snapToGrid w:val="0"/>
        </w:rPr>
        <w:t xml:space="preserve">C response </w:t>
      </w:r>
      <w:r w:rsidRPr="0042765C">
        <w:t xml:space="preserve">that the Sponsor would be willing to join the current PCSK9 inhibitor risk-sharing arrangement if it was recommended in the third line setting. The PBAC considered that this would be an </w:t>
      </w:r>
      <w:r w:rsidRPr="00352E1C">
        <w:t>appropriate approach</w:t>
      </w:r>
      <w:r w:rsidR="00CC40AD" w:rsidRPr="00352E1C">
        <w:t xml:space="preserve"> for </w:t>
      </w:r>
      <w:r w:rsidR="00D400E7" w:rsidRPr="00DB3FE7">
        <w:t xml:space="preserve">a future </w:t>
      </w:r>
      <w:r w:rsidR="00CC40AD" w:rsidRPr="00DB3FE7">
        <w:t>resubmission</w:t>
      </w:r>
      <w:r w:rsidR="003E5EB6" w:rsidRPr="00DB3FE7">
        <w:t xml:space="preserve"> given the listing of inclisiran </w:t>
      </w:r>
      <w:r w:rsidR="00D400E7" w:rsidRPr="00DB3FE7">
        <w:t>would</w:t>
      </w:r>
      <w:r w:rsidR="009E2155" w:rsidRPr="00DB3FE7">
        <w:t xml:space="preserve"> not </w:t>
      </w:r>
      <w:r w:rsidR="00D400E7" w:rsidRPr="00DB3FE7">
        <w:t xml:space="preserve">be </w:t>
      </w:r>
      <w:r w:rsidR="009E2155" w:rsidRPr="00DB3FE7">
        <w:t>intended to provide an additional line of therapy and the</w:t>
      </w:r>
      <w:r w:rsidR="003E5EB6" w:rsidRPr="00DB3FE7">
        <w:t xml:space="preserve"> Government</w:t>
      </w:r>
      <w:r w:rsidR="009E2155" w:rsidRPr="00DB3FE7">
        <w:t xml:space="preserve"> should not bear the risk of any additional cost</w:t>
      </w:r>
      <w:r w:rsidRPr="00DB3FE7">
        <w:t>.</w:t>
      </w:r>
    </w:p>
    <w:p w14:paraId="7DEF53A4" w14:textId="6226F2A1" w:rsidR="00B417D7" w:rsidRPr="00C91ADA" w:rsidRDefault="00B417D7" w:rsidP="00B417D7">
      <w:pPr>
        <w:widowControl w:val="0"/>
        <w:numPr>
          <w:ilvl w:val="1"/>
          <w:numId w:val="1"/>
        </w:numPr>
        <w:spacing w:after="120"/>
        <w:rPr>
          <w:rFonts w:asciiTheme="minorHAnsi" w:hAnsiTheme="minorHAnsi"/>
          <w:snapToGrid w:val="0"/>
        </w:rPr>
      </w:pPr>
      <w:bookmarkStart w:id="67" w:name="_Ref130374535"/>
      <w:r w:rsidRPr="00C91ADA">
        <w:rPr>
          <w:rFonts w:asciiTheme="minorHAnsi" w:hAnsiTheme="minorHAnsi"/>
          <w:snapToGrid w:val="0"/>
        </w:rPr>
        <w:t xml:space="preserve">The PBAC considered that any future resubmission should propose restrictions for inclisiran that were based on the current PBS restrictions for evolocumab for use in </w:t>
      </w:r>
      <w:r w:rsidR="005D4516" w:rsidRPr="00C91ADA">
        <w:rPr>
          <w:rFonts w:asciiTheme="minorHAnsi" w:hAnsiTheme="minorHAnsi"/>
          <w:snapToGrid w:val="0"/>
        </w:rPr>
        <w:t>HeFH</w:t>
      </w:r>
      <w:r w:rsidRPr="00C91ADA">
        <w:rPr>
          <w:rFonts w:asciiTheme="minorHAnsi" w:hAnsiTheme="minorHAnsi"/>
          <w:snapToGrid w:val="0"/>
        </w:rPr>
        <w:t xml:space="preserve"> and non</w:t>
      </w:r>
      <w:r w:rsidR="004D4B75" w:rsidRPr="00C91ADA">
        <w:rPr>
          <w:rFonts w:asciiTheme="minorHAnsi" w:hAnsiTheme="minorHAnsi"/>
          <w:snapToGrid w:val="0"/>
        </w:rPr>
        <w:t>-FH</w:t>
      </w:r>
      <w:r w:rsidR="005D4516" w:rsidRPr="00C91ADA">
        <w:rPr>
          <w:rFonts w:asciiTheme="minorHAnsi" w:hAnsiTheme="minorHAnsi"/>
          <w:snapToGrid w:val="0"/>
        </w:rPr>
        <w:t xml:space="preserve"> with symptomatic ASCVD</w:t>
      </w:r>
      <w:r w:rsidRPr="00C91ADA">
        <w:rPr>
          <w:rFonts w:asciiTheme="minorHAnsi" w:hAnsiTheme="minorHAnsi"/>
          <w:snapToGrid w:val="0"/>
        </w:rPr>
        <w:t>.</w:t>
      </w:r>
      <w:bookmarkEnd w:id="67"/>
      <w:r w:rsidRPr="00C91ADA">
        <w:rPr>
          <w:rFonts w:asciiTheme="minorHAnsi" w:hAnsiTheme="minorHAnsi"/>
          <w:snapToGrid w:val="0"/>
        </w:rPr>
        <w:t xml:space="preserve"> </w:t>
      </w:r>
    </w:p>
    <w:p w14:paraId="149D7975" w14:textId="108AA886" w:rsidR="008F0DB1" w:rsidRPr="00C91ADA" w:rsidRDefault="001B1A34" w:rsidP="00DA55FD">
      <w:pPr>
        <w:widowControl w:val="0"/>
        <w:numPr>
          <w:ilvl w:val="1"/>
          <w:numId w:val="1"/>
        </w:numPr>
        <w:spacing w:after="120"/>
        <w:rPr>
          <w:rFonts w:asciiTheme="minorHAnsi" w:hAnsiTheme="minorHAnsi"/>
          <w:snapToGrid w:val="0"/>
        </w:rPr>
      </w:pPr>
      <w:r w:rsidRPr="00C91ADA">
        <w:rPr>
          <w:rFonts w:asciiTheme="minorHAnsi" w:hAnsiTheme="minorHAnsi"/>
          <w:snapToGrid w:val="0"/>
        </w:rPr>
        <w:t xml:space="preserve">The PBAC considered the outstanding issues could be easily resolved in a simple resubmission for </w:t>
      </w:r>
      <w:r w:rsidR="008F0DB1" w:rsidRPr="00C91ADA">
        <w:rPr>
          <w:rFonts w:asciiTheme="minorHAnsi" w:hAnsiTheme="minorHAnsi"/>
          <w:snapToGrid w:val="0"/>
        </w:rPr>
        <w:t xml:space="preserve">inclisiran </w:t>
      </w:r>
      <w:r w:rsidRPr="00C91ADA">
        <w:rPr>
          <w:rFonts w:asciiTheme="minorHAnsi" w:hAnsiTheme="minorHAnsi"/>
          <w:snapToGrid w:val="0"/>
        </w:rPr>
        <w:t>using the early re-entry pathway. If the sponsor accepts this pathway, the following changes may address these outstanding issues without requiring further re-evaluation</w:t>
      </w:r>
      <w:r w:rsidR="008F0DB1" w:rsidRPr="00C91ADA">
        <w:rPr>
          <w:rFonts w:asciiTheme="minorHAnsi" w:hAnsiTheme="minorHAnsi"/>
          <w:snapToGrid w:val="0"/>
        </w:rPr>
        <w:t>:</w:t>
      </w:r>
    </w:p>
    <w:p w14:paraId="47AF8365" w14:textId="43B74262" w:rsidR="008F0DB1" w:rsidRPr="00C91ADA" w:rsidRDefault="008F0DB1" w:rsidP="00BA3310">
      <w:pPr>
        <w:widowControl w:val="0"/>
        <w:numPr>
          <w:ilvl w:val="1"/>
          <w:numId w:val="17"/>
        </w:numPr>
        <w:spacing w:after="120"/>
        <w:ind w:left="1080" w:hanging="360"/>
        <w:rPr>
          <w:rFonts w:asciiTheme="minorHAnsi" w:hAnsiTheme="minorHAnsi"/>
          <w:snapToGrid w:val="0"/>
        </w:rPr>
      </w:pPr>
      <w:r w:rsidRPr="00C91ADA">
        <w:rPr>
          <w:rFonts w:asciiTheme="minorHAnsi" w:hAnsiTheme="minorHAnsi"/>
          <w:snapToGrid w:val="0"/>
        </w:rPr>
        <w:t xml:space="preserve">Provide a revised </w:t>
      </w:r>
      <w:r w:rsidR="002E0590" w:rsidRPr="00C91ADA">
        <w:rPr>
          <w:rFonts w:asciiTheme="minorHAnsi" w:hAnsiTheme="minorHAnsi"/>
          <w:snapToGrid w:val="0"/>
        </w:rPr>
        <w:t>CMA</w:t>
      </w:r>
      <w:r w:rsidRPr="00C91ADA">
        <w:rPr>
          <w:rFonts w:asciiTheme="minorHAnsi" w:hAnsiTheme="minorHAnsi"/>
          <w:snapToGrid w:val="0"/>
        </w:rPr>
        <w:t xml:space="preserve"> between inclisiran and evolocumab </w:t>
      </w:r>
      <w:r w:rsidR="009E2155" w:rsidRPr="00C91ADA">
        <w:rPr>
          <w:rFonts w:asciiTheme="minorHAnsi" w:hAnsiTheme="minorHAnsi"/>
          <w:snapToGrid w:val="0"/>
        </w:rPr>
        <w:t>with a</w:t>
      </w:r>
      <w:r w:rsidR="006B1417" w:rsidRPr="00C91ADA">
        <w:rPr>
          <w:rFonts w:asciiTheme="minorHAnsi" w:hAnsiTheme="minorHAnsi"/>
          <w:snapToGrid w:val="0"/>
        </w:rPr>
        <w:t xml:space="preserve"> price offer</w:t>
      </w:r>
      <w:r w:rsidR="007A1A00" w:rsidRPr="00C91ADA">
        <w:rPr>
          <w:rFonts w:asciiTheme="minorHAnsi" w:hAnsiTheme="minorHAnsi"/>
          <w:snapToGrid w:val="0"/>
        </w:rPr>
        <w:t xml:space="preserve"> </w:t>
      </w:r>
      <w:r w:rsidR="006B1417" w:rsidRPr="00C91ADA">
        <w:rPr>
          <w:rFonts w:asciiTheme="minorHAnsi" w:hAnsiTheme="minorHAnsi"/>
          <w:snapToGrid w:val="0"/>
        </w:rPr>
        <w:t>as</w:t>
      </w:r>
      <w:r w:rsidRPr="00C91ADA">
        <w:rPr>
          <w:rFonts w:asciiTheme="minorHAnsi" w:hAnsiTheme="minorHAnsi"/>
          <w:snapToGrid w:val="0"/>
        </w:rPr>
        <w:t xml:space="preserve"> outlined in paragraph</w:t>
      </w:r>
      <w:r w:rsidR="006B1417" w:rsidRPr="00C91ADA">
        <w:rPr>
          <w:rFonts w:asciiTheme="minorHAnsi" w:hAnsiTheme="minorHAnsi"/>
          <w:snapToGrid w:val="0"/>
        </w:rPr>
        <w:t xml:space="preserve"> </w:t>
      </w:r>
      <w:r w:rsidR="00110338" w:rsidRPr="00C91ADA">
        <w:rPr>
          <w:rFonts w:asciiTheme="minorHAnsi" w:hAnsiTheme="minorHAnsi"/>
          <w:snapToGrid w:val="0"/>
        </w:rPr>
        <w:fldChar w:fldCharType="begin" w:fldLock="1"/>
      </w:r>
      <w:r w:rsidR="00110338" w:rsidRPr="00C91ADA">
        <w:rPr>
          <w:rFonts w:asciiTheme="minorHAnsi" w:hAnsiTheme="minorHAnsi"/>
          <w:snapToGrid w:val="0"/>
        </w:rPr>
        <w:instrText xml:space="preserve"> REF _Ref131423571 \r \h </w:instrText>
      </w:r>
      <w:r w:rsidR="00110338" w:rsidRPr="00C91ADA">
        <w:rPr>
          <w:rFonts w:asciiTheme="minorHAnsi" w:hAnsiTheme="minorHAnsi"/>
          <w:snapToGrid w:val="0"/>
        </w:rPr>
      </w:r>
      <w:r w:rsidR="00110338" w:rsidRPr="00C91ADA">
        <w:rPr>
          <w:rFonts w:asciiTheme="minorHAnsi" w:hAnsiTheme="minorHAnsi"/>
          <w:snapToGrid w:val="0"/>
        </w:rPr>
        <w:fldChar w:fldCharType="separate"/>
      </w:r>
      <w:r w:rsidR="00424520" w:rsidRPr="00C91ADA">
        <w:rPr>
          <w:rFonts w:asciiTheme="minorHAnsi" w:hAnsiTheme="minorHAnsi"/>
          <w:snapToGrid w:val="0"/>
        </w:rPr>
        <w:t>7.13</w:t>
      </w:r>
      <w:r w:rsidR="00110338" w:rsidRPr="00C91ADA">
        <w:rPr>
          <w:rFonts w:asciiTheme="minorHAnsi" w:hAnsiTheme="minorHAnsi"/>
          <w:snapToGrid w:val="0"/>
        </w:rPr>
        <w:fldChar w:fldCharType="end"/>
      </w:r>
      <w:r w:rsidR="00110338" w:rsidRPr="00C91ADA">
        <w:rPr>
          <w:rFonts w:asciiTheme="minorHAnsi" w:hAnsiTheme="minorHAnsi"/>
          <w:snapToGrid w:val="0"/>
        </w:rPr>
        <w:t xml:space="preserve">; </w:t>
      </w:r>
    </w:p>
    <w:p w14:paraId="59AAA46E" w14:textId="493281ED" w:rsidR="007E0E23" w:rsidRPr="00C91ADA" w:rsidRDefault="008F0DB1" w:rsidP="00BA3310">
      <w:pPr>
        <w:widowControl w:val="0"/>
        <w:numPr>
          <w:ilvl w:val="1"/>
          <w:numId w:val="17"/>
        </w:numPr>
        <w:spacing w:after="120"/>
        <w:ind w:left="1080" w:hanging="360"/>
        <w:rPr>
          <w:rFonts w:asciiTheme="minorHAnsi" w:hAnsiTheme="minorHAnsi"/>
          <w:snapToGrid w:val="0"/>
        </w:rPr>
      </w:pPr>
      <w:r w:rsidRPr="00C91ADA">
        <w:rPr>
          <w:rFonts w:asciiTheme="minorHAnsi" w:hAnsiTheme="minorHAnsi"/>
          <w:snapToGrid w:val="0"/>
        </w:rPr>
        <w:t xml:space="preserve">Provide revised financial impact estimates that align with the </w:t>
      </w:r>
      <w:r w:rsidR="007A1A00" w:rsidRPr="00C91ADA">
        <w:rPr>
          <w:rFonts w:asciiTheme="minorHAnsi" w:hAnsiTheme="minorHAnsi"/>
          <w:snapToGrid w:val="0"/>
        </w:rPr>
        <w:t xml:space="preserve">updated </w:t>
      </w:r>
      <w:r w:rsidR="004D4B75" w:rsidRPr="00C91ADA">
        <w:rPr>
          <w:rFonts w:asciiTheme="minorHAnsi" w:hAnsiTheme="minorHAnsi"/>
          <w:snapToGrid w:val="0"/>
        </w:rPr>
        <w:t>CMA</w:t>
      </w:r>
      <w:r w:rsidR="009E2155" w:rsidRPr="00C91ADA">
        <w:rPr>
          <w:rFonts w:asciiTheme="minorHAnsi" w:hAnsiTheme="minorHAnsi"/>
          <w:snapToGrid w:val="0"/>
        </w:rPr>
        <w:t xml:space="preserve"> as outlined in paragraph </w:t>
      </w:r>
      <w:r w:rsidR="009E2155" w:rsidRPr="00C91ADA">
        <w:rPr>
          <w:rFonts w:asciiTheme="minorHAnsi" w:hAnsiTheme="minorHAnsi"/>
          <w:snapToGrid w:val="0"/>
        </w:rPr>
        <w:fldChar w:fldCharType="begin" w:fldLock="1"/>
      </w:r>
      <w:r w:rsidR="009E2155" w:rsidRPr="00C91ADA">
        <w:rPr>
          <w:rFonts w:asciiTheme="minorHAnsi" w:hAnsiTheme="minorHAnsi"/>
          <w:snapToGrid w:val="0"/>
        </w:rPr>
        <w:instrText xml:space="preserve"> REF _Ref131519571 \r \h </w:instrText>
      </w:r>
      <w:r w:rsidR="009E2155" w:rsidRPr="00C91ADA">
        <w:rPr>
          <w:rFonts w:asciiTheme="minorHAnsi" w:hAnsiTheme="minorHAnsi"/>
          <w:snapToGrid w:val="0"/>
        </w:rPr>
      </w:r>
      <w:r w:rsidR="009E2155" w:rsidRPr="00C91ADA">
        <w:rPr>
          <w:rFonts w:asciiTheme="minorHAnsi" w:hAnsiTheme="minorHAnsi"/>
          <w:snapToGrid w:val="0"/>
        </w:rPr>
        <w:fldChar w:fldCharType="separate"/>
      </w:r>
      <w:r w:rsidR="00424520" w:rsidRPr="00C91ADA">
        <w:rPr>
          <w:rFonts w:asciiTheme="minorHAnsi" w:hAnsiTheme="minorHAnsi"/>
          <w:snapToGrid w:val="0"/>
        </w:rPr>
        <w:t>7.15</w:t>
      </w:r>
      <w:r w:rsidR="009E2155" w:rsidRPr="00C91ADA">
        <w:rPr>
          <w:rFonts w:asciiTheme="minorHAnsi" w:hAnsiTheme="minorHAnsi"/>
          <w:snapToGrid w:val="0"/>
        </w:rPr>
        <w:fldChar w:fldCharType="end"/>
      </w:r>
      <w:r w:rsidR="00A55E60" w:rsidRPr="00C91ADA">
        <w:rPr>
          <w:rFonts w:asciiTheme="minorHAnsi" w:hAnsiTheme="minorHAnsi"/>
          <w:snapToGrid w:val="0"/>
        </w:rPr>
        <w:t>;</w:t>
      </w:r>
    </w:p>
    <w:p w14:paraId="4E0AE908" w14:textId="2ABF9780" w:rsidR="007E0E23" w:rsidRPr="00C91ADA" w:rsidRDefault="008F0DB1" w:rsidP="00BA3310">
      <w:pPr>
        <w:widowControl w:val="0"/>
        <w:numPr>
          <w:ilvl w:val="1"/>
          <w:numId w:val="17"/>
        </w:numPr>
        <w:spacing w:after="120"/>
        <w:ind w:left="1080" w:hanging="360"/>
        <w:rPr>
          <w:rFonts w:asciiTheme="minorHAnsi" w:hAnsiTheme="minorHAnsi"/>
          <w:snapToGrid w:val="0"/>
        </w:rPr>
      </w:pPr>
      <w:r w:rsidRPr="00C91ADA">
        <w:rPr>
          <w:rFonts w:asciiTheme="minorHAnsi" w:hAnsiTheme="minorHAnsi"/>
          <w:snapToGrid w:val="0"/>
        </w:rPr>
        <w:t xml:space="preserve">Provide revised restrictions that align with the current PBS restrictions for evolocumab </w:t>
      </w:r>
      <w:r w:rsidR="009E2155" w:rsidRPr="00C91ADA">
        <w:rPr>
          <w:rFonts w:asciiTheme="minorHAnsi" w:hAnsiTheme="minorHAnsi"/>
          <w:snapToGrid w:val="0"/>
        </w:rPr>
        <w:t>as outlined in</w:t>
      </w:r>
      <w:r w:rsidRPr="00C91ADA">
        <w:rPr>
          <w:rFonts w:asciiTheme="minorHAnsi" w:hAnsiTheme="minorHAnsi"/>
          <w:snapToGrid w:val="0"/>
        </w:rPr>
        <w:t xml:space="preserve"> paragraph </w:t>
      </w:r>
      <w:r w:rsidR="007A1A00" w:rsidRPr="00C91ADA">
        <w:rPr>
          <w:rFonts w:asciiTheme="minorHAnsi" w:hAnsiTheme="minorHAnsi"/>
          <w:snapToGrid w:val="0"/>
        </w:rPr>
        <w:fldChar w:fldCharType="begin" w:fldLock="1"/>
      </w:r>
      <w:r w:rsidR="007A1A00" w:rsidRPr="00C91ADA">
        <w:rPr>
          <w:rFonts w:asciiTheme="minorHAnsi" w:hAnsiTheme="minorHAnsi"/>
          <w:snapToGrid w:val="0"/>
        </w:rPr>
        <w:instrText xml:space="preserve"> REF _Ref130374535 \r \h </w:instrText>
      </w:r>
      <w:r w:rsidR="007A1A00" w:rsidRPr="00C91ADA">
        <w:rPr>
          <w:rFonts w:asciiTheme="minorHAnsi" w:hAnsiTheme="minorHAnsi"/>
          <w:snapToGrid w:val="0"/>
        </w:rPr>
      </w:r>
      <w:r w:rsidR="007A1A00" w:rsidRPr="00C91ADA">
        <w:rPr>
          <w:rFonts w:asciiTheme="minorHAnsi" w:hAnsiTheme="minorHAnsi"/>
          <w:snapToGrid w:val="0"/>
        </w:rPr>
        <w:fldChar w:fldCharType="separate"/>
      </w:r>
      <w:r w:rsidR="00424520" w:rsidRPr="00C91ADA">
        <w:rPr>
          <w:rFonts w:asciiTheme="minorHAnsi" w:hAnsiTheme="minorHAnsi"/>
          <w:snapToGrid w:val="0"/>
        </w:rPr>
        <w:t>7.17</w:t>
      </w:r>
      <w:r w:rsidR="007A1A00" w:rsidRPr="00C91ADA">
        <w:rPr>
          <w:rFonts w:asciiTheme="minorHAnsi" w:hAnsiTheme="minorHAnsi"/>
          <w:snapToGrid w:val="0"/>
        </w:rPr>
        <w:fldChar w:fldCharType="end"/>
      </w:r>
      <w:r w:rsidR="007A1A00" w:rsidRPr="00C91ADA">
        <w:rPr>
          <w:rFonts w:asciiTheme="minorHAnsi" w:hAnsiTheme="minorHAnsi"/>
          <w:snapToGrid w:val="0"/>
        </w:rPr>
        <w:t>.</w:t>
      </w:r>
      <w:r w:rsidR="001B1A34" w:rsidRPr="00C91ADA">
        <w:rPr>
          <w:rFonts w:asciiTheme="minorHAnsi" w:hAnsiTheme="minorHAnsi"/>
          <w:snapToGrid w:val="0"/>
        </w:rPr>
        <w:t xml:space="preserve"> </w:t>
      </w:r>
    </w:p>
    <w:p w14:paraId="0085433B" w14:textId="77777777" w:rsidR="00005C20" w:rsidRPr="00C91ADA" w:rsidRDefault="001B1A34" w:rsidP="00005C20">
      <w:pPr>
        <w:widowControl w:val="0"/>
        <w:numPr>
          <w:ilvl w:val="1"/>
          <w:numId w:val="1"/>
        </w:numPr>
        <w:spacing w:after="120"/>
        <w:rPr>
          <w:rFonts w:asciiTheme="minorHAnsi" w:hAnsiTheme="minorHAnsi"/>
          <w:bCs/>
          <w:snapToGrid w:val="0"/>
        </w:rPr>
      </w:pPr>
      <w:r w:rsidRPr="00C91ADA">
        <w:rPr>
          <w:rFonts w:asciiTheme="minorHAnsi" w:hAnsiTheme="minorHAnsi"/>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r w:rsidR="00005C20" w:rsidRPr="00C91ADA">
        <w:rPr>
          <w:rFonts w:asciiTheme="minorHAnsi" w:hAnsiTheme="minorHAnsi"/>
          <w:bCs/>
          <w:snapToGrid w:val="0"/>
        </w:rPr>
        <w:t xml:space="preserve"> </w:t>
      </w:r>
    </w:p>
    <w:p w14:paraId="48AB1EA8" w14:textId="5D32CA3C" w:rsidR="00005C20" w:rsidRPr="00C91ADA" w:rsidRDefault="001B1A34" w:rsidP="00005C20">
      <w:pPr>
        <w:widowControl w:val="0"/>
        <w:numPr>
          <w:ilvl w:val="1"/>
          <w:numId w:val="1"/>
        </w:numPr>
        <w:spacing w:after="120"/>
        <w:rPr>
          <w:rFonts w:asciiTheme="minorHAnsi" w:hAnsiTheme="minorHAnsi"/>
          <w:bCs/>
          <w:snapToGrid w:val="0"/>
        </w:rPr>
      </w:pPr>
      <w:r w:rsidRPr="00C91ADA">
        <w:rPr>
          <w:rFonts w:asciiTheme="minorHAnsi" w:hAnsiTheme="minorHAnsi"/>
          <w:bCs/>
          <w:snapToGrid w:val="0"/>
        </w:rPr>
        <w:t xml:space="preserve">The PBAC noted that this submission is eligible for an Independent Review. </w:t>
      </w:r>
    </w:p>
    <w:p w14:paraId="7B80CE5C" w14:textId="7A772A9F" w:rsidR="001B1A34" w:rsidRPr="00C91ADA" w:rsidRDefault="001B1A34" w:rsidP="001B1A34">
      <w:pPr>
        <w:spacing w:before="240"/>
        <w:rPr>
          <w:rFonts w:asciiTheme="minorHAnsi" w:hAnsiTheme="minorHAnsi"/>
          <w:b/>
          <w:bCs/>
          <w:snapToGrid w:val="0"/>
        </w:rPr>
      </w:pPr>
      <w:r w:rsidRPr="00C91ADA">
        <w:rPr>
          <w:rFonts w:asciiTheme="minorHAnsi" w:hAnsiTheme="minorHAnsi"/>
          <w:b/>
          <w:bCs/>
          <w:snapToGrid w:val="0"/>
        </w:rPr>
        <w:t>Outcome:</w:t>
      </w:r>
    </w:p>
    <w:p w14:paraId="2F49B652" w14:textId="3CE0D0F1" w:rsidR="001B1A34" w:rsidRPr="0042765C" w:rsidRDefault="001B1A34" w:rsidP="00C91ADA">
      <w:pPr>
        <w:rPr>
          <w:rFonts w:asciiTheme="minorHAnsi" w:hAnsiTheme="minorHAnsi"/>
          <w:b/>
          <w:bCs/>
          <w:snapToGrid w:val="0"/>
        </w:rPr>
      </w:pPr>
      <w:r w:rsidRPr="00C91ADA">
        <w:rPr>
          <w:rFonts w:asciiTheme="minorHAnsi" w:hAnsiTheme="minorHAnsi"/>
          <w:bCs/>
          <w:snapToGrid w:val="0"/>
        </w:rPr>
        <w:t>Not recommended</w:t>
      </w:r>
    </w:p>
    <w:p w14:paraId="0A23929E" w14:textId="2351F4B1" w:rsidR="00BA3310" w:rsidRPr="00352E1C" w:rsidRDefault="00BA3310" w:rsidP="00BA3310">
      <w:pPr>
        <w:pStyle w:val="COMH1numbered"/>
        <w:ind w:left="720"/>
      </w:pPr>
      <w:r w:rsidRPr="00352E1C">
        <w:t>Context for Decision</w:t>
      </w:r>
    </w:p>
    <w:p w14:paraId="11BC7957" w14:textId="77777777" w:rsidR="00BA3310" w:rsidRPr="00C91ADA" w:rsidRDefault="00BA3310" w:rsidP="001F2A3B">
      <w:pPr>
        <w:spacing w:after="120"/>
        <w:ind w:left="720"/>
        <w:rPr>
          <w:rFonts w:asciiTheme="minorHAnsi" w:hAnsiTheme="minorHAnsi"/>
          <w:bCs/>
        </w:rPr>
      </w:pPr>
      <w:r w:rsidRPr="00C91ADA">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87C316" w14:textId="21B9FFA7" w:rsidR="00BA3310" w:rsidRPr="0042765C" w:rsidRDefault="00BA3310" w:rsidP="00BA3310">
      <w:pPr>
        <w:pStyle w:val="COMH1numbered"/>
        <w:ind w:left="720"/>
      </w:pPr>
      <w:r w:rsidRPr="0042765C">
        <w:t>Sponsor’s Comment</w:t>
      </w:r>
    </w:p>
    <w:p w14:paraId="4E0BEA59" w14:textId="71DDA2D9" w:rsidR="00BA3310" w:rsidRPr="00352E1C" w:rsidRDefault="00BA3310" w:rsidP="00544295">
      <w:pPr>
        <w:spacing w:after="120"/>
        <w:ind w:firstLine="720"/>
        <w:rPr>
          <w:rFonts w:asciiTheme="minorHAnsi" w:hAnsiTheme="minorHAnsi"/>
          <w:bCs/>
        </w:rPr>
      </w:pPr>
      <w:r w:rsidRPr="00352E1C">
        <w:rPr>
          <w:rFonts w:asciiTheme="minorHAnsi" w:hAnsiTheme="minorHAnsi"/>
          <w:bCs/>
        </w:rPr>
        <w:t>The sponsor had no comment.</w:t>
      </w:r>
    </w:p>
    <w:p w14:paraId="30D035C3" w14:textId="0174D2C3" w:rsidR="00125DEB" w:rsidRPr="00352E1C" w:rsidRDefault="00125DEB">
      <w:pPr>
        <w:jc w:val="left"/>
        <w:rPr>
          <w:rFonts w:asciiTheme="minorHAnsi" w:eastAsiaTheme="majorEastAsia" w:hAnsiTheme="minorHAnsi" w:cstheme="majorBidi"/>
          <w:b/>
          <w:bCs/>
          <w:spacing w:val="5"/>
          <w:kern w:val="28"/>
          <w:sz w:val="32"/>
          <w:szCs w:val="36"/>
        </w:rPr>
      </w:pPr>
      <w:r w:rsidRPr="00352E1C">
        <w:rPr>
          <w:bCs/>
        </w:rPr>
        <w:br w:type="page"/>
      </w:r>
    </w:p>
    <w:p w14:paraId="382B1364" w14:textId="5D103542" w:rsidR="00B85873" w:rsidRPr="00D71C83" w:rsidRDefault="00B85873" w:rsidP="00B85873">
      <w:pPr>
        <w:pStyle w:val="1MainTitle"/>
        <w:ind w:left="1134" w:hanging="1134"/>
        <w:rPr>
          <w:rFonts w:asciiTheme="minorHAnsi" w:eastAsia="Calibri" w:hAnsiTheme="minorHAnsi" w:cstheme="minorHAnsi"/>
          <w:color w:val="FF0000"/>
          <w:sz w:val="28"/>
          <w:szCs w:val="28"/>
        </w:rPr>
      </w:pPr>
      <w:r w:rsidRPr="00D71C83">
        <w:rPr>
          <w:rFonts w:asciiTheme="minorHAnsi" w:eastAsia="Calibri" w:hAnsiTheme="minorHAnsi" w:cstheme="minorHAnsi"/>
          <w:color w:val="FF0000"/>
          <w:sz w:val="28"/>
          <w:szCs w:val="28"/>
        </w:rPr>
        <w:t xml:space="preserve">Addendum to the </w:t>
      </w:r>
      <w:r w:rsidRPr="00D71C83">
        <w:rPr>
          <w:rFonts w:asciiTheme="minorHAnsi" w:eastAsia="Calibri" w:hAnsiTheme="minorHAnsi" w:cstheme="minorHAnsi"/>
          <w:color w:val="FF0000"/>
          <w:sz w:val="28"/>
          <w:szCs w:val="28"/>
        </w:rPr>
        <w:t>March</w:t>
      </w:r>
      <w:r w:rsidRPr="00D71C83">
        <w:rPr>
          <w:rFonts w:asciiTheme="minorHAnsi" w:eastAsia="Calibri" w:hAnsiTheme="minorHAnsi" w:cstheme="minorHAnsi"/>
          <w:color w:val="FF0000"/>
          <w:sz w:val="28"/>
          <w:szCs w:val="28"/>
        </w:rPr>
        <w:t xml:space="preserve"> 202</w:t>
      </w:r>
      <w:r w:rsidRPr="00D71C83">
        <w:rPr>
          <w:rFonts w:asciiTheme="minorHAnsi" w:eastAsia="Calibri" w:hAnsiTheme="minorHAnsi" w:cstheme="minorHAnsi"/>
          <w:color w:val="FF0000"/>
          <w:sz w:val="28"/>
          <w:szCs w:val="28"/>
        </w:rPr>
        <w:t>3</w:t>
      </w:r>
      <w:r w:rsidRPr="00D71C83">
        <w:rPr>
          <w:rFonts w:asciiTheme="minorHAnsi" w:eastAsia="Calibri" w:hAnsiTheme="minorHAnsi" w:cstheme="minorHAnsi"/>
          <w:color w:val="FF0000"/>
          <w:sz w:val="28"/>
          <w:szCs w:val="28"/>
        </w:rPr>
        <w:t xml:space="preserve"> PBAC PSD:</w:t>
      </w:r>
    </w:p>
    <w:p w14:paraId="58746B0B" w14:textId="34C129EB" w:rsidR="002D6E52" w:rsidRPr="00D2286B" w:rsidRDefault="002D6E52" w:rsidP="002D6E52">
      <w:pPr>
        <w:pStyle w:val="COMH1-non-numbered"/>
        <w:rPr>
          <w:sz w:val="36"/>
        </w:rPr>
      </w:pPr>
      <w:r w:rsidRPr="00DB3FE7">
        <w:rPr>
          <w:sz w:val="36"/>
        </w:rPr>
        <w:t>7.02</w:t>
      </w:r>
      <w:r w:rsidRPr="00DB3FE7">
        <w:rPr>
          <w:sz w:val="36"/>
        </w:rPr>
        <w:tab/>
        <w:t>INCLISIRAN,</w:t>
      </w:r>
      <w:r w:rsidRPr="00DB3FE7">
        <w:rPr>
          <w:sz w:val="36"/>
        </w:rPr>
        <w:br/>
        <w:t xml:space="preserve">Injection 284 mg in 1.5 </w:t>
      </w:r>
      <w:r w:rsidR="00A64433" w:rsidRPr="00DB3FE7">
        <w:rPr>
          <w:sz w:val="36"/>
        </w:rPr>
        <w:t>mL</w:t>
      </w:r>
      <w:r w:rsidR="00A64433" w:rsidRPr="0042765C">
        <w:rPr>
          <w:sz w:val="36"/>
        </w:rPr>
        <w:t xml:space="preserve"> </w:t>
      </w:r>
      <w:r w:rsidRPr="0042765C">
        <w:rPr>
          <w:sz w:val="36"/>
        </w:rPr>
        <w:t>single use pre-filled syringe,</w:t>
      </w:r>
      <w:r w:rsidRPr="0042765C">
        <w:rPr>
          <w:sz w:val="36"/>
        </w:rPr>
        <w:br/>
        <w:t>Leqvio</w:t>
      </w:r>
      <w:r w:rsidRPr="0042765C">
        <w:rPr>
          <w:sz w:val="36"/>
          <w:vertAlign w:val="superscript"/>
        </w:rPr>
        <w:t>®</w:t>
      </w:r>
      <w:r w:rsidRPr="00D2286B">
        <w:rPr>
          <w:sz w:val="36"/>
        </w:rPr>
        <w:t>,</w:t>
      </w:r>
      <w:r w:rsidRPr="00D2286B">
        <w:rPr>
          <w:sz w:val="36"/>
        </w:rPr>
        <w:br/>
        <w:t>Novartis Pharmaceuticals Australia Pty Limited.</w:t>
      </w:r>
    </w:p>
    <w:p w14:paraId="053B6BBA" w14:textId="77777777" w:rsidR="002D6E52" w:rsidRPr="00352E1C" w:rsidRDefault="002D6E52" w:rsidP="002D6E52">
      <w:pPr>
        <w:pStyle w:val="COMH1numbered"/>
        <w:numPr>
          <w:ilvl w:val="0"/>
          <w:numId w:val="1"/>
        </w:numPr>
        <w:ind w:left="720"/>
      </w:pPr>
      <w:r w:rsidRPr="00352E1C">
        <w:t xml:space="preserve">Background </w:t>
      </w:r>
    </w:p>
    <w:p w14:paraId="53A0732B" w14:textId="646124AC" w:rsidR="002D6E52" w:rsidRPr="0042765C" w:rsidRDefault="002D6E52" w:rsidP="002D6E52">
      <w:pPr>
        <w:pStyle w:val="3-BodyText"/>
        <w:numPr>
          <w:ilvl w:val="1"/>
          <w:numId w:val="1"/>
        </w:numPr>
        <w:rPr>
          <w:bCs/>
        </w:rPr>
      </w:pPr>
      <w:r w:rsidRPr="00DB3FE7">
        <w:t xml:space="preserve">At the March 2023 PBAC meeting, the PBAC did not recommend inclisiran for the treatment of hypercholesterolaemia and ASCVD. However, the PBAC did consider that the </w:t>
      </w:r>
      <w:r w:rsidRPr="00C91ADA">
        <w:rPr>
          <w:snapToGrid w:val="0"/>
        </w:rPr>
        <w:t xml:space="preserve">outstanding issues could be easily resolved in a simple resubmission for inclisiran using the early re-entry pathway. </w:t>
      </w:r>
      <w:r w:rsidR="006A6FF1" w:rsidRPr="00C91ADA">
        <w:rPr>
          <w:snapToGrid w:val="0"/>
        </w:rPr>
        <w:t>As </w:t>
      </w:r>
      <w:r w:rsidRPr="00C91ADA">
        <w:rPr>
          <w:snapToGrid w:val="0"/>
        </w:rPr>
        <w:t xml:space="preserve">per paragraph </w:t>
      </w:r>
      <w:r w:rsidRPr="00C91ADA">
        <w:rPr>
          <w:snapToGrid w:val="0"/>
        </w:rPr>
        <w:fldChar w:fldCharType="begin" w:fldLock="1"/>
      </w:r>
      <w:r w:rsidRPr="00C91ADA">
        <w:rPr>
          <w:snapToGrid w:val="0"/>
        </w:rPr>
        <w:instrText xml:space="preserve"> REF _Ref134446638 \r \h  \* MERGEFORMAT </w:instrText>
      </w:r>
      <w:r w:rsidRPr="00C91ADA">
        <w:rPr>
          <w:snapToGrid w:val="0"/>
        </w:rPr>
      </w:r>
      <w:r w:rsidRPr="00C91ADA">
        <w:rPr>
          <w:snapToGrid w:val="0"/>
        </w:rPr>
        <w:fldChar w:fldCharType="separate"/>
      </w:r>
      <w:r w:rsidRPr="00C91ADA">
        <w:rPr>
          <w:snapToGrid w:val="0"/>
        </w:rPr>
        <w:t>7.18</w:t>
      </w:r>
      <w:r w:rsidRPr="00C91ADA">
        <w:rPr>
          <w:snapToGrid w:val="0"/>
        </w:rPr>
        <w:fldChar w:fldCharType="end"/>
      </w:r>
      <w:r w:rsidRPr="00C91ADA">
        <w:rPr>
          <w:snapToGrid w:val="0"/>
        </w:rPr>
        <w:t>, the PBAC identified that a resubmission should present</w:t>
      </w:r>
      <w:r w:rsidRPr="0042765C">
        <w:t>:</w:t>
      </w:r>
    </w:p>
    <w:p w14:paraId="4D6F2617" w14:textId="1CF9096E" w:rsidR="002D6E52" w:rsidRPr="00DB3FE7" w:rsidRDefault="002D6E52" w:rsidP="002D6E52">
      <w:pPr>
        <w:pStyle w:val="ListParagraph"/>
        <w:numPr>
          <w:ilvl w:val="0"/>
          <w:numId w:val="18"/>
        </w:numPr>
        <w:ind w:left="1080" w:hanging="360"/>
      </w:pPr>
      <w:r w:rsidRPr="0042765C">
        <w:t xml:space="preserve">a </w:t>
      </w:r>
      <w:r w:rsidRPr="00DB3FE7">
        <w:t>CMA comparing inclisiran with evolocumab, which resulted in a price in the order of 10% lower than evolocumab to address the uncertainty in the clinical claim of non-inferior efficacy;</w:t>
      </w:r>
    </w:p>
    <w:p w14:paraId="3C1528A8" w14:textId="77777777" w:rsidR="002D6E52" w:rsidRPr="00DB3FE7" w:rsidRDefault="002D6E52" w:rsidP="002D6E52">
      <w:pPr>
        <w:pStyle w:val="ListParagraph"/>
        <w:numPr>
          <w:ilvl w:val="0"/>
          <w:numId w:val="18"/>
        </w:numPr>
        <w:ind w:left="1080" w:hanging="360"/>
      </w:pPr>
      <w:r w:rsidRPr="00DB3FE7">
        <w:t xml:space="preserve">revised financial estimates that aligned with the revised CMA; and </w:t>
      </w:r>
    </w:p>
    <w:p w14:paraId="12C588E1" w14:textId="458B4B49" w:rsidR="002D6E52" w:rsidRPr="00DB3FE7" w:rsidRDefault="002D6E52" w:rsidP="002D6E52">
      <w:pPr>
        <w:pStyle w:val="ListParagraph"/>
        <w:numPr>
          <w:ilvl w:val="0"/>
          <w:numId w:val="18"/>
        </w:numPr>
        <w:ind w:left="1080" w:hanging="360"/>
      </w:pPr>
      <w:r w:rsidRPr="00DB3FE7">
        <w:t>revised restrictions that aligned with the current PBS restrictions for evolocumab in patients with HeFH and non-FH with symptomatic ASCVD.</w:t>
      </w:r>
    </w:p>
    <w:p w14:paraId="3F20DD08" w14:textId="604CC208" w:rsidR="002D6E52" w:rsidRPr="0042765C" w:rsidRDefault="002D6E52" w:rsidP="002D6E52">
      <w:pPr>
        <w:pStyle w:val="3-BodyText"/>
        <w:numPr>
          <w:ilvl w:val="1"/>
          <w:numId w:val="1"/>
        </w:numPr>
        <w:rPr>
          <w:bCs/>
        </w:rPr>
      </w:pPr>
      <w:r w:rsidRPr="00DB3FE7">
        <w:t xml:space="preserve">The PBAC also previously considered it appropriate that inclisiran join the risk sharing arrangement for the currently listed PCSK9 inhibitors (evolocumab and alirocumab) if it was recommended in the third line setting. The listing of inclisiran would not be intended to provide an additional line of therapy and the Government should not bear the risk of any additional cost (paragraph </w:t>
      </w:r>
      <w:r w:rsidRPr="0042765C">
        <w:fldChar w:fldCharType="begin" w:fldLock="1"/>
      </w:r>
      <w:r w:rsidRPr="00DB3FE7">
        <w:instrText xml:space="preserve"> REF _Ref134447013 \r \h  \* MERGEFORMAT </w:instrText>
      </w:r>
      <w:r w:rsidRPr="0042765C">
        <w:fldChar w:fldCharType="separate"/>
      </w:r>
      <w:r w:rsidRPr="0042765C">
        <w:t>7.16</w:t>
      </w:r>
      <w:r w:rsidRPr="0042765C">
        <w:fldChar w:fldCharType="end"/>
      </w:r>
      <w:r w:rsidRPr="0042765C">
        <w:t>).</w:t>
      </w:r>
    </w:p>
    <w:p w14:paraId="6ACC45B5" w14:textId="77777777" w:rsidR="002D6E52" w:rsidRPr="00352E1C" w:rsidRDefault="002D6E52" w:rsidP="002D6E52">
      <w:pPr>
        <w:pStyle w:val="COMH1numbered"/>
        <w:numPr>
          <w:ilvl w:val="0"/>
          <w:numId w:val="1"/>
        </w:numPr>
        <w:ind w:left="720"/>
      </w:pPr>
      <w:r w:rsidRPr="00352E1C">
        <w:t>Requested listing</w:t>
      </w:r>
    </w:p>
    <w:p w14:paraId="399B2DBC" w14:textId="77777777" w:rsidR="002D6E52" w:rsidRPr="00DB3FE7" w:rsidRDefault="002D6E52" w:rsidP="002D6E52">
      <w:pPr>
        <w:pStyle w:val="3-BodyText"/>
        <w:numPr>
          <w:ilvl w:val="1"/>
          <w:numId w:val="1"/>
        </w:numPr>
        <w:rPr>
          <w:bCs/>
        </w:rPr>
      </w:pPr>
      <w:r w:rsidRPr="00DB3FE7">
        <w:rPr>
          <w:bCs/>
        </w:rPr>
        <w:t>The resubmission provided revised initial, continuing and grandfather restrictions for inclisiran that aligned with those for evolocumab for HeFH and non-FH with symptomatic ASCVD patients.</w:t>
      </w:r>
    </w:p>
    <w:p w14:paraId="11365E3D" w14:textId="77777777" w:rsidR="002D6E52" w:rsidRPr="00DB3FE7" w:rsidRDefault="002D6E52" w:rsidP="002D6E52">
      <w:pPr>
        <w:pStyle w:val="3-BodyText"/>
        <w:numPr>
          <w:ilvl w:val="1"/>
          <w:numId w:val="1"/>
        </w:numPr>
        <w:rPr>
          <w:bCs/>
        </w:rPr>
      </w:pPr>
      <w:r w:rsidRPr="00DB3FE7">
        <w:rPr>
          <w:bCs/>
        </w:rPr>
        <w:t>The resubmission proposed criteria that would allow patients to switch between inclisiran and the PCSK9 inhibitors.</w:t>
      </w:r>
    </w:p>
    <w:p w14:paraId="6DCA14F0" w14:textId="0DFC975C" w:rsidR="002D6E52" w:rsidRPr="00DB3FE7" w:rsidRDefault="002D6E52" w:rsidP="002D6E52">
      <w:pPr>
        <w:pStyle w:val="3-BodyText"/>
        <w:numPr>
          <w:ilvl w:val="1"/>
          <w:numId w:val="1"/>
        </w:numPr>
        <w:rPr>
          <w:bCs/>
        </w:rPr>
      </w:pPr>
      <w:r w:rsidRPr="00DB3FE7">
        <w:rPr>
          <w:bCs/>
        </w:rPr>
        <w:t xml:space="preserve">The resubmission stated that there would be between </w:t>
      </w:r>
      <w:r w:rsidR="00C2004A" w:rsidRPr="00C2004A">
        <w:rPr>
          <w:bCs/>
        </w:rPr>
        <w:t>500 to &lt; 5,000</w:t>
      </w:r>
      <w:r w:rsidR="00C2004A">
        <w:rPr>
          <w:bCs/>
        </w:rPr>
        <w:t xml:space="preserve"> </w:t>
      </w:r>
      <w:r w:rsidRPr="00DB3FE7">
        <w:rPr>
          <w:bCs/>
        </w:rPr>
        <w:t>patients enrolled in a patient familiarisation program that would require transitioning to PBS</w:t>
      </w:r>
      <w:r w:rsidR="006A6FF1" w:rsidRPr="00DB3FE7">
        <w:rPr>
          <w:bCs/>
        </w:rPr>
        <w:noBreakHyphen/>
      </w:r>
      <w:r w:rsidRPr="00DB3FE7">
        <w:rPr>
          <w:bCs/>
        </w:rPr>
        <w:t>subsidised treatment with a grandfathering restriction.</w:t>
      </w:r>
    </w:p>
    <w:p w14:paraId="7C921FAA" w14:textId="77777777" w:rsidR="002D6E52" w:rsidRPr="00DB3FE7" w:rsidRDefault="002D6E52" w:rsidP="002D6E52">
      <w:pPr>
        <w:pStyle w:val="COMH1numbered"/>
        <w:numPr>
          <w:ilvl w:val="0"/>
          <w:numId w:val="1"/>
        </w:numPr>
        <w:ind w:left="720"/>
      </w:pPr>
      <w:r w:rsidRPr="00DB3FE7">
        <w:t>Consideration of the evidence</w:t>
      </w:r>
    </w:p>
    <w:p w14:paraId="0CD5ACEE" w14:textId="77777777" w:rsidR="002D6E52" w:rsidRPr="00DB3FE7" w:rsidRDefault="002D6E52" w:rsidP="002D6E52">
      <w:pPr>
        <w:pStyle w:val="3-SubsectionHeading"/>
      </w:pPr>
      <w:r w:rsidRPr="00DB3FE7">
        <w:t>Clinical claim</w:t>
      </w:r>
    </w:p>
    <w:p w14:paraId="7C57D6C9" w14:textId="77777777" w:rsidR="002D6E52" w:rsidRPr="0042765C" w:rsidRDefault="002D6E52" w:rsidP="002D6E52">
      <w:pPr>
        <w:pStyle w:val="3-BodyText"/>
        <w:numPr>
          <w:ilvl w:val="1"/>
          <w:numId w:val="1"/>
        </w:numPr>
        <w:rPr>
          <w:bCs/>
        </w:rPr>
      </w:pPr>
      <w:r w:rsidRPr="00DB3FE7">
        <w:t xml:space="preserve">In March 2023, the PBAC considered that (paragraphs </w:t>
      </w:r>
      <w:r w:rsidRPr="0042765C">
        <w:fldChar w:fldCharType="begin" w:fldLock="1"/>
      </w:r>
      <w:r w:rsidRPr="00DB3FE7">
        <w:instrText xml:space="preserve"> REF _Ref134447355 \r \h </w:instrText>
      </w:r>
      <w:r w:rsidRPr="0042765C">
        <w:fldChar w:fldCharType="separate"/>
      </w:r>
      <w:r w:rsidRPr="0042765C">
        <w:t>7.10</w:t>
      </w:r>
      <w:r w:rsidRPr="0042765C">
        <w:fldChar w:fldCharType="end"/>
      </w:r>
      <w:r w:rsidRPr="0042765C">
        <w:t xml:space="preserve"> and </w:t>
      </w:r>
      <w:r w:rsidRPr="0042765C">
        <w:fldChar w:fldCharType="begin" w:fldLock="1"/>
      </w:r>
      <w:r w:rsidRPr="00DB3FE7">
        <w:instrText xml:space="preserve"> REF _Ref134447363 \r \h </w:instrText>
      </w:r>
      <w:r w:rsidRPr="0042765C">
        <w:fldChar w:fldCharType="separate"/>
      </w:r>
      <w:r w:rsidRPr="0042765C">
        <w:t>7.11</w:t>
      </w:r>
      <w:r w:rsidRPr="0042765C">
        <w:fldChar w:fldCharType="end"/>
      </w:r>
      <w:r w:rsidRPr="0042765C">
        <w:t>):</w:t>
      </w:r>
    </w:p>
    <w:p w14:paraId="50D7E34A" w14:textId="2E475859" w:rsidR="002D6E52" w:rsidRPr="00A774DF" w:rsidRDefault="002D6E52" w:rsidP="002D6E52">
      <w:pPr>
        <w:pStyle w:val="3-BodyText"/>
        <w:numPr>
          <w:ilvl w:val="1"/>
          <w:numId w:val="19"/>
        </w:numPr>
        <w:ind w:left="1080" w:hanging="360"/>
        <w:rPr>
          <w:bCs/>
        </w:rPr>
      </w:pPr>
      <w:r w:rsidRPr="00352E1C">
        <w:t>inclisiran was likely non-inferior in terms of efficacy compared to low dose alirocumab,</w:t>
      </w:r>
    </w:p>
    <w:p w14:paraId="05377AE8" w14:textId="77777777" w:rsidR="002D6E52" w:rsidRPr="00DB3FE7" w:rsidRDefault="002D6E52" w:rsidP="002D6E52">
      <w:pPr>
        <w:pStyle w:val="3-BodyText"/>
        <w:numPr>
          <w:ilvl w:val="1"/>
          <w:numId w:val="19"/>
        </w:numPr>
        <w:ind w:left="1080" w:hanging="360"/>
        <w:rPr>
          <w:bCs/>
        </w:rPr>
      </w:pPr>
      <w:r w:rsidRPr="00DB3FE7">
        <w:t>the claim that inclisiran was non-inferior compared to evolocumab in terms of efficacy was uncertain for the non-FH with ASCVD population;</w:t>
      </w:r>
    </w:p>
    <w:p w14:paraId="3C72D4C6" w14:textId="77777777" w:rsidR="002D6E52" w:rsidRPr="00DB3FE7" w:rsidRDefault="002D6E52" w:rsidP="002D6E52">
      <w:pPr>
        <w:pStyle w:val="3-BodyText"/>
        <w:numPr>
          <w:ilvl w:val="1"/>
          <w:numId w:val="19"/>
        </w:numPr>
        <w:ind w:left="1080" w:hanging="360"/>
        <w:rPr>
          <w:bCs/>
        </w:rPr>
      </w:pPr>
      <w:r w:rsidRPr="00DB3FE7">
        <w:t>inclisiran was inferior in terms of efficacy compared to evolocumab in the HeFH population; and</w:t>
      </w:r>
    </w:p>
    <w:p w14:paraId="1C597624" w14:textId="77777777" w:rsidR="002D6E52" w:rsidRPr="00DB3FE7" w:rsidRDefault="002D6E52" w:rsidP="002D6E52">
      <w:pPr>
        <w:pStyle w:val="3-BodyText"/>
        <w:numPr>
          <w:ilvl w:val="1"/>
          <w:numId w:val="19"/>
        </w:numPr>
        <w:ind w:left="1080" w:hanging="360"/>
        <w:rPr>
          <w:bCs/>
        </w:rPr>
      </w:pPr>
      <w:r w:rsidRPr="00DB3FE7">
        <w:t>the claim that inclisiran was non-inferior in terms of safety compared to the PSCK9 inhibitors was uncertain.</w:t>
      </w:r>
    </w:p>
    <w:p w14:paraId="2F15FE1F" w14:textId="77777777" w:rsidR="002D6E52" w:rsidRPr="00DB3FE7" w:rsidRDefault="002D6E52" w:rsidP="002D6E52">
      <w:pPr>
        <w:pStyle w:val="3-BodyText"/>
        <w:numPr>
          <w:ilvl w:val="1"/>
          <w:numId w:val="1"/>
        </w:numPr>
        <w:rPr>
          <w:bCs/>
        </w:rPr>
      </w:pPr>
      <w:r w:rsidRPr="00DB3FE7">
        <w:rPr>
          <w:bCs/>
        </w:rPr>
        <w:t>No new data was presented in the resubmission.</w:t>
      </w:r>
    </w:p>
    <w:p w14:paraId="79C2CA31" w14:textId="77777777" w:rsidR="002D6E52" w:rsidRPr="00DB3FE7" w:rsidRDefault="002D6E52" w:rsidP="002D6E52">
      <w:pPr>
        <w:pStyle w:val="3-SubsectionHeading"/>
        <w:rPr>
          <w:bCs/>
        </w:rPr>
      </w:pPr>
      <w:r w:rsidRPr="00DB3FE7">
        <w:t>Economic analysis</w:t>
      </w:r>
    </w:p>
    <w:p w14:paraId="40D3BF53" w14:textId="77777777" w:rsidR="002D6E52" w:rsidRPr="0042765C" w:rsidRDefault="002D6E52" w:rsidP="002D6E52">
      <w:pPr>
        <w:pStyle w:val="3-BodyText"/>
        <w:numPr>
          <w:ilvl w:val="1"/>
          <w:numId w:val="1"/>
        </w:numPr>
        <w:rPr>
          <w:bCs/>
        </w:rPr>
      </w:pPr>
      <w:r w:rsidRPr="00DB3FE7">
        <w:t xml:space="preserve">In March 2023, the PBAC was unable to accept the CMA versus evolocumab, as a proxy for all PSCK9 inhibitors, due to the uncertainties with the claims of non-inferior efficacy and advised that, to address the uncertainties, the price of inclisiran should be in the order of 10% lower than evolocumab (see paragraph </w:t>
      </w:r>
      <w:r w:rsidRPr="0042765C">
        <w:fldChar w:fldCharType="begin" w:fldLock="1"/>
      </w:r>
      <w:r w:rsidRPr="00DB3FE7">
        <w:instrText xml:space="preserve"> REF _Ref131423571 \r \h </w:instrText>
      </w:r>
      <w:r w:rsidRPr="0042765C">
        <w:fldChar w:fldCharType="separate"/>
      </w:r>
      <w:r w:rsidRPr="0042765C">
        <w:t>7.13</w:t>
      </w:r>
      <w:r w:rsidRPr="0042765C">
        <w:fldChar w:fldCharType="end"/>
      </w:r>
      <w:r w:rsidRPr="0042765C">
        <w:t>).</w:t>
      </w:r>
    </w:p>
    <w:p w14:paraId="165FA101" w14:textId="3107F60B" w:rsidR="002D6E52" w:rsidRPr="00352E1C" w:rsidRDefault="002D6E52" w:rsidP="002D6E52">
      <w:pPr>
        <w:pStyle w:val="3-BodyText"/>
        <w:numPr>
          <w:ilvl w:val="1"/>
          <w:numId w:val="1"/>
        </w:numPr>
        <w:rPr>
          <w:bCs/>
        </w:rPr>
      </w:pPr>
      <w:r w:rsidRPr="00352E1C">
        <w:rPr>
          <w:bCs/>
        </w:rPr>
        <w:t xml:space="preserve">The resubmission presented an updated CMA which was based on the published evolocumab prices from the December 2022 PBS schedule. It was otherwise unchanged. To address uncertainties identified during the March 2023 consideration, the resubmission proposed that a price discount of </w:t>
      </w:r>
      <w:r w:rsidR="00B650E1" w:rsidRPr="00D71C83">
        <w:rPr>
          <w:bCs/>
          <w:color w:val="000000"/>
          <w:w w:val="15"/>
          <w:shd w:val="solid" w:color="000000" w:fill="000000"/>
          <w:fitText w:val="-20" w:id="-1208278272"/>
          <w14:textFill>
            <w14:solidFill>
              <w14:srgbClr w14:val="000000">
                <w14:alpha w14:val="100000"/>
              </w14:srgbClr>
            </w14:solidFill>
          </w14:textFill>
        </w:rPr>
        <w:t xml:space="preserve">|  </w:t>
      </w:r>
      <w:r w:rsidR="00B650E1" w:rsidRPr="00D71C83">
        <w:rPr>
          <w:bCs/>
          <w:color w:val="000000"/>
          <w:spacing w:val="-69"/>
          <w:w w:val="15"/>
          <w:shd w:val="solid" w:color="000000" w:fill="000000"/>
          <w:fitText w:val="-20" w:id="-1208278272"/>
          <w14:textFill>
            <w14:solidFill>
              <w14:srgbClr w14:val="000000">
                <w14:alpha w14:val="100000"/>
              </w14:srgbClr>
            </w14:solidFill>
          </w14:textFill>
        </w:rPr>
        <w:t>|</w:t>
      </w:r>
      <w:r w:rsidRPr="0042765C">
        <w:rPr>
          <w:bCs/>
        </w:rPr>
        <w:t>% be applied to the cost minimised effective price of inclisiran.</w:t>
      </w:r>
    </w:p>
    <w:p w14:paraId="6DB072A3" w14:textId="02152374" w:rsidR="002D6E52" w:rsidRPr="0042765C" w:rsidRDefault="002D6E52" w:rsidP="002D6E52">
      <w:pPr>
        <w:pStyle w:val="Caption"/>
        <w:keepNext/>
        <w:spacing w:after="0"/>
        <w:rPr>
          <w:rFonts w:ascii="Arial Narrow" w:hAnsi="Arial Narrow"/>
          <w:b/>
          <w:bCs/>
          <w:i w:val="0"/>
          <w:iCs w:val="0"/>
          <w:color w:val="auto"/>
          <w:sz w:val="20"/>
          <w:szCs w:val="20"/>
        </w:rPr>
      </w:pPr>
      <w:r w:rsidRPr="00352E1C">
        <w:rPr>
          <w:rFonts w:ascii="Arial Narrow" w:hAnsi="Arial Narrow"/>
          <w:b/>
          <w:bCs/>
          <w:i w:val="0"/>
          <w:iCs w:val="0"/>
          <w:color w:val="auto"/>
          <w:sz w:val="20"/>
          <w:szCs w:val="20"/>
        </w:rPr>
        <w:t xml:space="preserve">Table </w:t>
      </w:r>
      <w:r w:rsidRPr="0042765C">
        <w:rPr>
          <w:rFonts w:ascii="Arial Narrow" w:hAnsi="Arial Narrow"/>
          <w:b/>
          <w:bCs/>
          <w:i w:val="0"/>
          <w:iCs w:val="0"/>
          <w:color w:val="auto"/>
          <w:sz w:val="20"/>
          <w:szCs w:val="20"/>
        </w:rPr>
        <w:fldChar w:fldCharType="begin" w:fldLock="1"/>
      </w:r>
      <w:r w:rsidRPr="00DB3FE7">
        <w:rPr>
          <w:rFonts w:ascii="Arial Narrow" w:hAnsi="Arial Narrow"/>
          <w:b/>
          <w:bCs/>
          <w:i w:val="0"/>
          <w:iCs w:val="0"/>
          <w:color w:val="auto"/>
          <w:sz w:val="20"/>
          <w:szCs w:val="20"/>
        </w:rPr>
        <w:instrText xml:space="preserve"> SEQ Table \* ARABIC </w:instrText>
      </w:r>
      <w:r w:rsidRPr="0042765C">
        <w:rPr>
          <w:rFonts w:ascii="Arial Narrow" w:hAnsi="Arial Narrow"/>
          <w:b/>
          <w:bCs/>
          <w:i w:val="0"/>
          <w:iCs w:val="0"/>
          <w:color w:val="auto"/>
          <w:sz w:val="20"/>
          <w:szCs w:val="20"/>
        </w:rPr>
        <w:fldChar w:fldCharType="separate"/>
      </w:r>
      <w:r w:rsidR="006D738C">
        <w:rPr>
          <w:rFonts w:ascii="Arial Narrow" w:hAnsi="Arial Narrow"/>
          <w:b/>
          <w:bCs/>
          <w:i w:val="0"/>
          <w:iCs w:val="0"/>
          <w:noProof/>
          <w:color w:val="auto"/>
          <w:sz w:val="20"/>
          <w:szCs w:val="20"/>
        </w:rPr>
        <w:t>16</w:t>
      </w:r>
      <w:r w:rsidRPr="0042765C">
        <w:rPr>
          <w:rFonts w:ascii="Arial Narrow" w:hAnsi="Arial Narrow"/>
          <w:b/>
          <w:bCs/>
          <w:i w:val="0"/>
          <w:iCs w:val="0"/>
          <w:color w:val="auto"/>
          <w:sz w:val="20"/>
          <w:szCs w:val="20"/>
        </w:rPr>
        <w:fldChar w:fldCharType="end"/>
      </w:r>
      <w:r w:rsidRPr="0042765C">
        <w:rPr>
          <w:rFonts w:ascii="Arial Narrow" w:hAnsi="Arial Narrow"/>
          <w:b/>
          <w:bCs/>
          <w:i w:val="0"/>
          <w:iCs w:val="0"/>
          <w:color w:val="auto"/>
          <w:sz w:val="20"/>
          <w:szCs w:val="20"/>
        </w:rPr>
        <w:t xml:space="preserve">: Updated results of the </w:t>
      </w:r>
      <w:r w:rsidR="00352E1C">
        <w:rPr>
          <w:rFonts w:ascii="Arial Narrow" w:hAnsi="Arial Narrow"/>
          <w:b/>
          <w:bCs/>
          <w:i w:val="0"/>
          <w:iCs w:val="0"/>
          <w:color w:val="auto"/>
          <w:sz w:val="20"/>
          <w:szCs w:val="20"/>
        </w:rPr>
        <w:t>CMA</w:t>
      </w:r>
    </w:p>
    <w:tbl>
      <w:tblPr>
        <w:tblW w:w="5000" w:type="pct"/>
        <w:tblLook w:val="04A0" w:firstRow="1" w:lastRow="0" w:firstColumn="1" w:lastColumn="0" w:noHBand="0" w:noVBand="1"/>
      </w:tblPr>
      <w:tblGrid>
        <w:gridCol w:w="4435"/>
        <w:gridCol w:w="2400"/>
        <w:gridCol w:w="2182"/>
      </w:tblGrid>
      <w:tr w:rsidR="002D6E52" w:rsidRPr="00DB3FE7" w14:paraId="17FA3D04" w14:textId="77777777" w:rsidTr="00533193">
        <w:trPr>
          <w:trHeight w:val="170"/>
        </w:trPr>
        <w:tc>
          <w:tcPr>
            <w:tcW w:w="24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2AB7CD" w14:textId="77777777" w:rsidR="002D6E52" w:rsidRPr="00352E1C" w:rsidRDefault="002D6E52" w:rsidP="00533193">
            <w:pPr>
              <w:keepNext/>
              <w:rPr>
                <w:rFonts w:ascii="Arial Narrow" w:hAnsi="Arial Narrow"/>
                <w:b/>
                <w:bCs/>
                <w:color w:val="000000"/>
                <w:sz w:val="20"/>
              </w:rPr>
            </w:pPr>
            <w:r w:rsidRPr="00352E1C">
              <w:rPr>
                <w:rFonts w:ascii="Arial Narrow" w:hAnsi="Arial Narrow"/>
                <w:b/>
                <w:bCs/>
                <w:color w:val="000000"/>
                <w:sz w:val="20"/>
              </w:rPr>
              <w:t>Evolocumab</w:t>
            </w:r>
          </w:p>
        </w:tc>
        <w:tc>
          <w:tcPr>
            <w:tcW w:w="1331" w:type="pct"/>
            <w:tcBorders>
              <w:top w:val="single" w:sz="4" w:space="0" w:color="auto"/>
              <w:left w:val="nil"/>
              <w:bottom w:val="single" w:sz="4" w:space="0" w:color="auto"/>
              <w:right w:val="single" w:sz="4" w:space="0" w:color="auto"/>
            </w:tcBorders>
            <w:shd w:val="clear" w:color="auto" w:fill="auto"/>
            <w:vAlign w:val="center"/>
            <w:hideMark/>
          </w:tcPr>
          <w:p w14:paraId="72D9EC31" w14:textId="77777777" w:rsidR="002D6E52" w:rsidRPr="00DB3FE7" w:rsidRDefault="002D6E52" w:rsidP="00533193">
            <w:pPr>
              <w:keepNext/>
              <w:jc w:val="center"/>
              <w:rPr>
                <w:rFonts w:ascii="Arial Narrow" w:hAnsi="Arial Narrow"/>
                <w:b/>
                <w:bCs/>
                <w:color w:val="000000"/>
                <w:sz w:val="20"/>
              </w:rPr>
            </w:pPr>
            <w:r w:rsidRPr="00DB3FE7">
              <w:rPr>
                <w:rFonts w:ascii="Arial Narrow" w:hAnsi="Arial Narrow"/>
                <w:b/>
                <w:bCs/>
                <w:color w:val="000000"/>
                <w:sz w:val="20"/>
              </w:rPr>
              <w:t>140 mg once fortnightly</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2D4700E6" w14:textId="77777777" w:rsidR="002D6E52" w:rsidRPr="00DB3FE7" w:rsidRDefault="002D6E52" w:rsidP="00533193">
            <w:pPr>
              <w:keepNext/>
              <w:jc w:val="center"/>
              <w:rPr>
                <w:rFonts w:ascii="Arial Narrow" w:hAnsi="Arial Narrow"/>
                <w:b/>
                <w:bCs/>
                <w:color w:val="000000"/>
                <w:sz w:val="20"/>
              </w:rPr>
            </w:pPr>
            <w:r w:rsidRPr="00DB3FE7">
              <w:rPr>
                <w:rFonts w:ascii="Arial Narrow" w:hAnsi="Arial Narrow"/>
                <w:b/>
                <w:bCs/>
                <w:color w:val="000000"/>
                <w:sz w:val="20"/>
              </w:rPr>
              <w:t>420 mg once monthly</w:t>
            </w:r>
          </w:p>
        </w:tc>
      </w:tr>
      <w:tr w:rsidR="002D6E52" w:rsidRPr="00DB3FE7" w14:paraId="36AE70A9"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76038489" w14:textId="103D3CFB"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Cost per dose (published AEMP)</w:t>
            </w:r>
            <w:r w:rsidR="00BC4AE3" w:rsidRPr="00DB3FE7">
              <w:rPr>
                <w:rFonts w:ascii="Arial Narrow" w:hAnsi="Arial Narrow"/>
                <w:color w:val="000000"/>
                <w:sz w:val="20"/>
              </w:rPr>
              <w:t xml:space="preserve"> </w:t>
            </w:r>
          </w:p>
        </w:tc>
        <w:tc>
          <w:tcPr>
            <w:tcW w:w="1331" w:type="pct"/>
            <w:tcBorders>
              <w:top w:val="nil"/>
              <w:left w:val="nil"/>
              <w:bottom w:val="single" w:sz="4" w:space="0" w:color="auto"/>
              <w:right w:val="single" w:sz="4" w:space="0" w:color="auto"/>
            </w:tcBorders>
            <w:shd w:val="clear" w:color="auto" w:fill="auto"/>
            <w:vAlign w:val="center"/>
            <w:hideMark/>
          </w:tcPr>
          <w:p w14:paraId="000083EB"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$146.50</w:t>
            </w:r>
          </w:p>
        </w:tc>
        <w:tc>
          <w:tcPr>
            <w:tcW w:w="1210" w:type="pct"/>
            <w:tcBorders>
              <w:top w:val="nil"/>
              <w:left w:val="nil"/>
              <w:bottom w:val="single" w:sz="4" w:space="0" w:color="auto"/>
              <w:right w:val="single" w:sz="4" w:space="0" w:color="auto"/>
            </w:tcBorders>
            <w:shd w:val="clear" w:color="auto" w:fill="auto"/>
            <w:vAlign w:val="center"/>
            <w:hideMark/>
          </w:tcPr>
          <w:p w14:paraId="2ED1837F"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$317.30</w:t>
            </w:r>
          </w:p>
        </w:tc>
      </w:tr>
      <w:tr w:rsidR="002D6E52" w:rsidRPr="00DB3FE7" w14:paraId="02CDEC27"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5D24DCA2"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Dose duration</w:t>
            </w:r>
          </w:p>
        </w:tc>
        <w:tc>
          <w:tcPr>
            <w:tcW w:w="1331" w:type="pct"/>
            <w:tcBorders>
              <w:top w:val="nil"/>
              <w:left w:val="nil"/>
              <w:bottom w:val="single" w:sz="4" w:space="0" w:color="auto"/>
              <w:right w:val="single" w:sz="4" w:space="0" w:color="auto"/>
            </w:tcBorders>
            <w:shd w:val="clear" w:color="auto" w:fill="auto"/>
            <w:vAlign w:val="center"/>
            <w:hideMark/>
          </w:tcPr>
          <w:p w14:paraId="6A311980"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2 weeks</w:t>
            </w:r>
          </w:p>
        </w:tc>
        <w:tc>
          <w:tcPr>
            <w:tcW w:w="1210" w:type="pct"/>
            <w:tcBorders>
              <w:top w:val="nil"/>
              <w:left w:val="nil"/>
              <w:bottom w:val="single" w:sz="4" w:space="0" w:color="auto"/>
              <w:right w:val="single" w:sz="4" w:space="0" w:color="auto"/>
            </w:tcBorders>
            <w:shd w:val="clear" w:color="auto" w:fill="auto"/>
            <w:vAlign w:val="center"/>
            <w:hideMark/>
          </w:tcPr>
          <w:p w14:paraId="78AC3DDB"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1 month</w:t>
            </w:r>
          </w:p>
        </w:tc>
      </w:tr>
      <w:tr w:rsidR="002D6E52" w:rsidRPr="00DB3FE7" w14:paraId="4330E83E"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30E955BB"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doses (over 27 months)</w:t>
            </w:r>
          </w:p>
        </w:tc>
        <w:tc>
          <w:tcPr>
            <w:tcW w:w="1331" w:type="pct"/>
            <w:tcBorders>
              <w:top w:val="nil"/>
              <w:left w:val="nil"/>
              <w:bottom w:val="single" w:sz="4" w:space="0" w:color="auto"/>
              <w:right w:val="single" w:sz="4" w:space="0" w:color="auto"/>
            </w:tcBorders>
            <w:shd w:val="clear" w:color="auto" w:fill="auto"/>
            <w:vAlign w:val="center"/>
            <w:hideMark/>
          </w:tcPr>
          <w:p w14:paraId="028ABE4E"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58.7</w:t>
            </w:r>
          </w:p>
        </w:tc>
        <w:tc>
          <w:tcPr>
            <w:tcW w:w="1210" w:type="pct"/>
            <w:tcBorders>
              <w:top w:val="nil"/>
              <w:left w:val="nil"/>
              <w:bottom w:val="single" w:sz="4" w:space="0" w:color="auto"/>
              <w:right w:val="single" w:sz="4" w:space="0" w:color="auto"/>
            </w:tcBorders>
            <w:shd w:val="clear" w:color="auto" w:fill="auto"/>
            <w:vAlign w:val="center"/>
            <w:hideMark/>
          </w:tcPr>
          <w:p w14:paraId="1FB378E0"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27.0</w:t>
            </w:r>
          </w:p>
        </w:tc>
      </w:tr>
      <w:tr w:rsidR="002D6E52" w:rsidRPr="00DB3FE7" w14:paraId="00586104"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464A6C36" w14:textId="64981D5E"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medicine cost 27 months</w:t>
            </w:r>
          </w:p>
        </w:tc>
        <w:tc>
          <w:tcPr>
            <w:tcW w:w="1331" w:type="pct"/>
            <w:tcBorders>
              <w:top w:val="nil"/>
              <w:left w:val="nil"/>
              <w:bottom w:val="single" w:sz="4" w:space="0" w:color="auto"/>
              <w:right w:val="single" w:sz="4" w:space="0" w:color="auto"/>
            </w:tcBorders>
            <w:shd w:val="clear" w:color="auto" w:fill="auto"/>
            <w:vAlign w:val="center"/>
            <w:hideMark/>
          </w:tcPr>
          <w:p w14:paraId="30263DB8"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$8,599.55</w:t>
            </w:r>
          </w:p>
        </w:tc>
        <w:tc>
          <w:tcPr>
            <w:tcW w:w="1210" w:type="pct"/>
            <w:tcBorders>
              <w:top w:val="nil"/>
              <w:left w:val="nil"/>
              <w:bottom w:val="single" w:sz="4" w:space="0" w:color="auto"/>
              <w:right w:val="single" w:sz="4" w:space="0" w:color="auto"/>
            </w:tcBorders>
            <w:shd w:val="clear" w:color="auto" w:fill="auto"/>
            <w:vAlign w:val="center"/>
            <w:hideMark/>
          </w:tcPr>
          <w:p w14:paraId="461A771D"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$8,567.10</w:t>
            </w:r>
          </w:p>
        </w:tc>
      </w:tr>
      <w:tr w:rsidR="002D6E52" w:rsidRPr="00DB3FE7" w14:paraId="1504515C"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598E82E2"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administration cost</w:t>
            </w:r>
          </w:p>
        </w:tc>
        <w:tc>
          <w:tcPr>
            <w:tcW w:w="1331" w:type="pct"/>
            <w:tcBorders>
              <w:top w:val="nil"/>
              <w:left w:val="nil"/>
              <w:bottom w:val="single" w:sz="4" w:space="0" w:color="auto"/>
              <w:right w:val="single" w:sz="4" w:space="0" w:color="auto"/>
            </w:tcBorders>
            <w:shd w:val="clear" w:color="auto" w:fill="auto"/>
            <w:vAlign w:val="center"/>
            <w:hideMark/>
          </w:tcPr>
          <w:p w14:paraId="4B400D4A"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$0</w:t>
            </w:r>
          </w:p>
        </w:tc>
        <w:tc>
          <w:tcPr>
            <w:tcW w:w="1210" w:type="pct"/>
            <w:tcBorders>
              <w:top w:val="nil"/>
              <w:left w:val="nil"/>
              <w:bottom w:val="single" w:sz="4" w:space="0" w:color="auto"/>
              <w:right w:val="single" w:sz="4" w:space="0" w:color="auto"/>
            </w:tcBorders>
            <w:shd w:val="clear" w:color="auto" w:fill="auto"/>
            <w:vAlign w:val="center"/>
            <w:hideMark/>
          </w:tcPr>
          <w:p w14:paraId="734ABB67"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$0</w:t>
            </w:r>
          </w:p>
        </w:tc>
      </w:tr>
      <w:tr w:rsidR="002D6E52" w:rsidRPr="00DB3FE7" w14:paraId="07BB3F9A"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61B20279" w14:textId="079F069B"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drug + administration costs</w:t>
            </w:r>
          </w:p>
        </w:tc>
        <w:tc>
          <w:tcPr>
            <w:tcW w:w="1331" w:type="pct"/>
            <w:tcBorders>
              <w:top w:val="nil"/>
              <w:left w:val="nil"/>
              <w:bottom w:val="single" w:sz="4" w:space="0" w:color="auto"/>
              <w:right w:val="single" w:sz="4" w:space="0" w:color="auto"/>
            </w:tcBorders>
            <w:shd w:val="clear" w:color="auto" w:fill="auto"/>
            <w:vAlign w:val="center"/>
            <w:hideMark/>
          </w:tcPr>
          <w:p w14:paraId="0515C3D0"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$8,599.55</w:t>
            </w:r>
          </w:p>
        </w:tc>
        <w:tc>
          <w:tcPr>
            <w:tcW w:w="1210" w:type="pct"/>
            <w:tcBorders>
              <w:top w:val="nil"/>
              <w:left w:val="nil"/>
              <w:bottom w:val="single" w:sz="4" w:space="0" w:color="auto"/>
              <w:right w:val="single" w:sz="4" w:space="0" w:color="auto"/>
            </w:tcBorders>
            <w:shd w:val="clear" w:color="auto" w:fill="auto"/>
            <w:vAlign w:val="center"/>
            <w:hideMark/>
          </w:tcPr>
          <w:p w14:paraId="2F05AC99"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$8,567.10</w:t>
            </w:r>
          </w:p>
        </w:tc>
      </w:tr>
      <w:tr w:rsidR="002D6E52" w:rsidRPr="00DB3FE7" w14:paraId="39CBE60D"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3583BE81"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PBS usage (evolocumab)</w:t>
            </w:r>
          </w:p>
        </w:tc>
        <w:tc>
          <w:tcPr>
            <w:tcW w:w="1331" w:type="pct"/>
            <w:tcBorders>
              <w:top w:val="nil"/>
              <w:left w:val="nil"/>
              <w:bottom w:val="single" w:sz="4" w:space="0" w:color="auto"/>
              <w:right w:val="single" w:sz="4" w:space="0" w:color="auto"/>
            </w:tcBorders>
            <w:shd w:val="clear" w:color="auto" w:fill="auto"/>
            <w:vAlign w:val="center"/>
            <w:hideMark/>
          </w:tcPr>
          <w:p w14:paraId="1A302040"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84.60%</w:t>
            </w:r>
          </w:p>
        </w:tc>
        <w:tc>
          <w:tcPr>
            <w:tcW w:w="1210" w:type="pct"/>
            <w:tcBorders>
              <w:top w:val="nil"/>
              <w:left w:val="nil"/>
              <w:bottom w:val="single" w:sz="4" w:space="0" w:color="auto"/>
              <w:right w:val="single" w:sz="4" w:space="0" w:color="auto"/>
            </w:tcBorders>
            <w:shd w:val="clear" w:color="auto" w:fill="auto"/>
            <w:vAlign w:val="center"/>
            <w:hideMark/>
          </w:tcPr>
          <w:p w14:paraId="4351F25E"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15.40%</w:t>
            </w:r>
          </w:p>
        </w:tc>
      </w:tr>
      <w:tr w:rsidR="002D6E52" w:rsidRPr="00DB3FE7" w14:paraId="53FB9630" w14:textId="77777777" w:rsidTr="00533193">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5E455BC2"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Weighted average cost of evolocumab</w:t>
            </w:r>
          </w:p>
        </w:tc>
        <w:tc>
          <w:tcPr>
            <w:tcW w:w="2541" w:type="pct"/>
            <w:gridSpan w:val="2"/>
            <w:tcBorders>
              <w:top w:val="single" w:sz="4" w:space="0" w:color="auto"/>
              <w:left w:val="nil"/>
              <w:bottom w:val="single" w:sz="4" w:space="0" w:color="auto"/>
              <w:right w:val="single" w:sz="4" w:space="0" w:color="auto"/>
            </w:tcBorders>
            <w:shd w:val="clear" w:color="auto" w:fill="auto"/>
            <w:vAlign w:val="center"/>
            <w:hideMark/>
          </w:tcPr>
          <w:p w14:paraId="25DE15EB"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$8,594.55</w:t>
            </w:r>
          </w:p>
        </w:tc>
      </w:tr>
      <w:tr w:rsidR="002D6E52" w:rsidRPr="00DB3FE7" w14:paraId="3656BAE5" w14:textId="77777777" w:rsidTr="00533193">
        <w:trPr>
          <w:trHeight w:val="60"/>
        </w:trPr>
        <w:tc>
          <w:tcPr>
            <w:tcW w:w="24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75BD83A7" w14:textId="77777777" w:rsidR="002D6E52" w:rsidRPr="00DB3FE7" w:rsidRDefault="002D6E52" w:rsidP="00533193">
            <w:pPr>
              <w:keepNext/>
              <w:rPr>
                <w:rFonts w:ascii="Arial Narrow" w:hAnsi="Arial Narrow"/>
                <w:b/>
                <w:bCs/>
                <w:color w:val="000000"/>
                <w:sz w:val="20"/>
              </w:rPr>
            </w:pPr>
            <w:r w:rsidRPr="00DB3FE7">
              <w:rPr>
                <w:rFonts w:ascii="Arial Narrow" w:hAnsi="Arial Narrow"/>
                <w:b/>
                <w:bCs/>
                <w:color w:val="000000"/>
                <w:sz w:val="20"/>
              </w:rPr>
              <w:t>Inclisiran</w:t>
            </w:r>
          </w:p>
        </w:tc>
        <w:tc>
          <w:tcPr>
            <w:tcW w:w="2541"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270A42B" w14:textId="77777777" w:rsidR="002D6E52" w:rsidRPr="00DB3FE7" w:rsidRDefault="002D6E52" w:rsidP="00533193">
            <w:pPr>
              <w:keepNext/>
              <w:rPr>
                <w:rFonts w:ascii="Arial Narrow" w:hAnsi="Arial Narrow"/>
                <w:b/>
                <w:bCs/>
                <w:color w:val="000000"/>
                <w:sz w:val="20"/>
              </w:rPr>
            </w:pPr>
            <w:r w:rsidRPr="00DB3FE7">
              <w:rPr>
                <w:rFonts w:ascii="Arial Narrow" w:hAnsi="Arial Narrow"/>
                <w:b/>
                <w:bCs/>
                <w:color w:val="000000"/>
                <w:sz w:val="20"/>
              </w:rPr>
              <w:t>284 mg (at 0 months, 3 months and then every 6 months)</w:t>
            </w:r>
          </w:p>
        </w:tc>
      </w:tr>
      <w:tr w:rsidR="002D6E52" w:rsidRPr="00DB3FE7" w14:paraId="34AF5E41"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384CC2A7"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doses (over 27 months)</w:t>
            </w:r>
          </w:p>
        </w:tc>
        <w:tc>
          <w:tcPr>
            <w:tcW w:w="2541" w:type="pct"/>
            <w:gridSpan w:val="2"/>
            <w:tcBorders>
              <w:top w:val="single" w:sz="4" w:space="0" w:color="auto"/>
              <w:left w:val="nil"/>
              <w:bottom w:val="single" w:sz="4" w:space="0" w:color="auto"/>
              <w:right w:val="single" w:sz="4" w:space="0" w:color="auto"/>
            </w:tcBorders>
            <w:shd w:val="clear" w:color="auto" w:fill="auto"/>
            <w:vAlign w:val="center"/>
            <w:hideMark/>
          </w:tcPr>
          <w:p w14:paraId="73D45AE1"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5</w:t>
            </w:r>
          </w:p>
        </w:tc>
      </w:tr>
      <w:tr w:rsidR="002D6E52" w:rsidRPr="00DB3FE7" w14:paraId="71C71F90"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46BFA879" w14:textId="0E576033"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drug + administration costs</w:t>
            </w:r>
            <w:r w:rsidR="00BC4AE3" w:rsidRPr="00DB3FE7">
              <w:rPr>
                <w:rFonts w:ascii="Arial Narrow" w:hAnsi="Arial Narrow"/>
                <w:color w:val="000000"/>
                <w:sz w:val="20"/>
              </w:rPr>
              <w:t xml:space="preserve"> ($)</w:t>
            </w:r>
          </w:p>
        </w:tc>
        <w:tc>
          <w:tcPr>
            <w:tcW w:w="2541" w:type="pct"/>
            <w:gridSpan w:val="2"/>
            <w:tcBorders>
              <w:top w:val="single" w:sz="4" w:space="0" w:color="auto"/>
              <w:left w:val="nil"/>
              <w:bottom w:val="single" w:sz="4" w:space="0" w:color="auto"/>
              <w:right w:val="single" w:sz="4" w:space="0" w:color="auto"/>
            </w:tcBorders>
            <w:shd w:val="solid" w:color="000000" w:fill="000000"/>
            <w:vAlign w:val="center"/>
            <w:hideMark/>
          </w:tcPr>
          <w:p w14:paraId="41AF0106" w14:textId="667049E1" w:rsidR="002D6E52" w:rsidRPr="0042765C" w:rsidRDefault="00B650E1" w:rsidP="00533193">
            <w:pPr>
              <w:keepNext/>
              <w:jc w:val="center"/>
              <w:rPr>
                <w:rFonts w:ascii="Arial Narrow" w:hAnsi="Arial Narrow"/>
                <w:color w:val="000000"/>
                <w:sz w:val="20"/>
              </w:rPr>
            </w:pPr>
            <w:r w:rsidRPr="00B650E1">
              <w:rPr>
                <w:rFonts w:ascii="Arial Narrow" w:hAnsi="Arial Narrow"/>
                <w:color w:val="000000"/>
                <w:sz w:val="20"/>
                <w14:textFill>
                  <w14:solidFill>
                    <w14:srgbClr w14:val="000000">
                      <w14:alpha w14:val="100000"/>
                    </w14:srgbClr>
                  </w14:solidFill>
                </w14:textFill>
              </w:rPr>
              <w:t>|</w:t>
            </w:r>
          </w:p>
        </w:tc>
      </w:tr>
      <w:tr w:rsidR="002D6E52" w:rsidRPr="00DB3FE7" w14:paraId="34FE5BAB"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7F12D616"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Total administration costs (= 5 x $18.20; MBS item 3)</w:t>
            </w:r>
          </w:p>
        </w:tc>
        <w:tc>
          <w:tcPr>
            <w:tcW w:w="2541" w:type="pct"/>
            <w:gridSpan w:val="2"/>
            <w:tcBorders>
              <w:top w:val="single" w:sz="4" w:space="0" w:color="auto"/>
              <w:left w:val="nil"/>
              <w:bottom w:val="single" w:sz="4" w:space="0" w:color="auto"/>
              <w:right w:val="single" w:sz="4" w:space="0" w:color="auto"/>
            </w:tcBorders>
            <w:shd w:val="clear" w:color="auto" w:fill="auto"/>
            <w:vAlign w:val="center"/>
            <w:hideMark/>
          </w:tcPr>
          <w:p w14:paraId="10AC1716"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$91.00</w:t>
            </w:r>
          </w:p>
        </w:tc>
      </w:tr>
      <w:tr w:rsidR="002D6E52" w:rsidRPr="00DB3FE7" w14:paraId="7B7FC32F"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1D0F7D33" w14:textId="5F681E6E" w:rsidR="002D6E52" w:rsidRPr="0042765C" w:rsidRDefault="002D6E52" w:rsidP="00533193">
            <w:pPr>
              <w:keepNext/>
              <w:rPr>
                <w:rFonts w:ascii="Arial Narrow" w:hAnsi="Arial Narrow"/>
                <w:color w:val="000000"/>
                <w:sz w:val="20"/>
              </w:rPr>
            </w:pPr>
            <w:r w:rsidRPr="00DB3FE7">
              <w:rPr>
                <w:rFonts w:ascii="Arial Narrow" w:hAnsi="Arial Narrow"/>
                <w:color w:val="000000"/>
                <w:sz w:val="20"/>
              </w:rPr>
              <w:t>Total drug costs ($</w:t>
            </w:r>
            <w:r w:rsidR="00B650E1" w:rsidRPr="00B650E1">
              <w:rPr>
                <w:rFonts w:ascii="Arial Narrow" w:hAnsi="Arial Narrow"/>
                <w:color w:val="000000"/>
                <w:spacing w:val="9"/>
                <w:sz w:val="20"/>
                <w:shd w:val="solid" w:color="000000" w:fill="000000"/>
                <w:fitText w:val="310" w:id="-1208278271"/>
                <w14:textFill>
                  <w14:solidFill>
                    <w14:srgbClr w14:val="000000">
                      <w14:alpha w14:val="100000"/>
                    </w14:srgbClr>
                  </w14:solidFill>
                </w14:textFill>
              </w:rPr>
              <w:t>||  |</w:t>
            </w:r>
            <w:r w:rsidR="00B650E1" w:rsidRPr="00B650E1">
              <w:rPr>
                <w:rFonts w:ascii="Arial Narrow" w:hAnsi="Arial Narrow"/>
                <w:color w:val="000000"/>
                <w:spacing w:val="4"/>
                <w:sz w:val="20"/>
                <w:shd w:val="solid" w:color="000000" w:fill="000000"/>
                <w:fitText w:val="310" w:id="-1208278271"/>
                <w14:textFill>
                  <w14:solidFill>
                    <w14:srgbClr w14:val="000000">
                      <w14:alpha w14:val="100000"/>
                    </w14:srgbClr>
                  </w14:solidFill>
                </w14:textFill>
              </w:rPr>
              <w:t>|</w:t>
            </w:r>
            <w:r w:rsidRPr="0042765C">
              <w:rPr>
                <w:rFonts w:ascii="Arial Narrow" w:hAnsi="Arial Narrow"/>
                <w:color w:val="000000"/>
                <w:sz w:val="20"/>
              </w:rPr>
              <w:t xml:space="preserve"> - $91.00)</w:t>
            </w:r>
            <w:r w:rsidR="00BC4AE3" w:rsidRPr="0042765C">
              <w:rPr>
                <w:rFonts w:ascii="Arial Narrow" w:hAnsi="Arial Narrow"/>
                <w:color w:val="000000"/>
                <w:sz w:val="20"/>
              </w:rPr>
              <w:t xml:space="preserve"> ($)</w:t>
            </w:r>
          </w:p>
        </w:tc>
        <w:tc>
          <w:tcPr>
            <w:tcW w:w="2541" w:type="pct"/>
            <w:gridSpan w:val="2"/>
            <w:tcBorders>
              <w:top w:val="single" w:sz="4" w:space="0" w:color="auto"/>
              <w:left w:val="nil"/>
              <w:bottom w:val="single" w:sz="4" w:space="0" w:color="auto"/>
              <w:right w:val="single" w:sz="4" w:space="0" w:color="auto"/>
            </w:tcBorders>
            <w:shd w:val="solid" w:color="000000" w:fill="000000"/>
            <w:vAlign w:val="center"/>
            <w:hideMark/>
          </w:tcPr>
          <w:p w14:paraId="7642CB57" w14:textId="5512762F" w:rsidR="002D6E52" w:rsidRPr="0042765C" w:rsidRDefault="00B650E1" w:rsidP="00533193">
            <w:pPr>
              <w:keepNext/>
              <w:jc w:val="center"/>
              <w:rPr>
                <w:rFonts w:ascii="Arial Narrow" w:hAnsi="Arial Narrow"/>
                <w:color w:val="000000"/>
                <w:sz w:val="20"/>
              </w:rPr>
            </w:pPr>
            <w:r w:rsidRPr="00B650E1">
              <w:rPr>
                <w:rFonts w:ascii="Arial Narrow" w:hAnsi="Arial Narrow"/>
                <w:color w:val="000000"/>
                <w:sz w:val="20"/>
                <w14:textFill>
                  <w14:solidFill>
                    <w14:srgbClr w14:val="000000">
                      <w14:alpha w14:val="100000"/>
                    </w14:srgbClr>
                  </w14:solidFill>
                </w14:textFill>
              </w:rPr>
              <w:t>|</w:t>
            </w:r>
          </w:p>
        </w:tc>
      </w:tr>
      <w:tr w:rsidR="002D6E52" w:rsidRPr="00DB3FE7" w14:paraId="53D24061" w14:textId="77777777" w:rsidTr="00B650E1">
        <w:trPr>
          <w:trHeight w:val="17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6F6FE891" w14:textId="432268CC"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Published AEMP (total drug costs divided by number of doses)</w:t>
            </w:r>
            <w:r w:rsidR="00BC4AE3" w:rsidRPr="00DB3FE7">
              <w:rPr>
                <w:rFonts w:ascii="Arial Narrow" w:hAnsi="Arial Narrow"/>
                <w:color w:val="000000"/>
                <w:sz w:val="20"/>
              </w:rPr>
              <w:t xml:space="preserve"> ($)</w:t>
            </w:r>
          </w:p>
        </w:tc>
        <w:tc>
          <w:tcPr>
            <w:tcW w:w="2541" w:type="pct"/>
            <w:gridSpan w:val="2"/>
            <w:tcBorders>
              <w:top w:val="single" w:sz="4" w:space="0" w:color="auto"/>
              <w:left w:val="nil"/>
              <w:bottom w:val="single" w:sz="4" w:space="0" w:color="auto"/>
              <w:right w:val="single" w:sz="4" w:space="0" w:color="auto"/>
            </w:tcBorders>
            <w:shd w:val="solid" w:color="000000" w:fill="000000"/>
            <w:vAlign w:val="center"/>
            <w:hideMark/>
          </w:tcPr>
          <w:p w14:paraId="333A04AD" w14:textId="740C60B3" w:rsidR="002D6E52" w:rsidRPr="0042765C" w:rsidRDefault="00B650E1" w:rsidP="00533193">
            <w:pPr>
              <w:keepNext/>
              <w:jc w:val="center"/>
              <w:rPr>
                <w:rFonts w:ascii="Arial Narrow" w:hAnsi="Arial Narrow"/>
                <w:color w:val="000000"/>
                <w:sz w:val="20"/>
              </w:rPr>
            </w:pPr>
            <w:r w:rsidRPr="00B650E1">
              <w:rPr>
                <w:rFonts w:ascii="Arial Narrow" w:hAnsi="Arial Narrow"/>
                <w:color w:val="000000"/>
                <w:sz w:val="20"/>
                <w14:textFill>
                  <w14:solidFill>
                    <w14:srgbClr w14:val="000000">
                      <w14:alpha w14:val="100000"/>
                    </w14:srgbClr>
                  </w14:solidFill>
                </w14:textFill>
              </w:rPr>
              <w:t>|</w:t>
            </w:r>
          </w:p>
        </w:tc>
      </w:tr>
      <w:tr w:rsidR="002D6E52" w:rsidRPr="00DB3FE7" w14:paraId="50D9B072"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43FCB9C8"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Evolocumab SPA rebate</w:t>
            </w:r>
          </w:p>
        </w:tc>
        <w:tc>
          <w:tcPr>
            <w:tcW w:w="2541" w:type="pct"/>
            <w:gridSpan w:val="2"/>
            <w:tcBorders>
              <w:top w:val="single" w:sz="4" w:space="0" w:color="auto"/>
              <w:left w:val="nil"/>
              <w:bottom w:val="single" w:sz="4" w:space="0" w:color="auto"/>
              <w:right w:val="single" w:sz="4" w:space="0" w:color="auto"/>
            </w:tcBorders>
            <w:shd w:val="clear" w:color="auto" w:fill="auto"/>
            <w:vAlign w:val="center"/>
            <w:hideMark/>
          </w:tcPr>
          <w:p w14:paraId="517000C0" w14:textId="77777777" w:rsidR="002D6E52" w:rsidRPr="00DB3FE7" w:rsidRDefault="002D6E52" w:rsidP="00533193">
            <w:pPr>
              <w:keepNext/>
              <w:jc w:val="center"/>
              <w:rPr>
                <w:rFonts w:ascii="Arial Narrow" w:hAnsi="Arial Narrow"/>
                <w:color w:val="000000"/>
                <w:sz w:val="20"/>
              </w:rPr>
            </w:pPr>
            <w:r w:rsidRPr="00DB3FE7">
              <w:rPr>
                <w:rFonts w:ascii="Arial Narrow" w:hAnsi="Arial Narrow"/>
                <w:color w:val="000000"/>
                <w:sz w:val="20"/>
              </w:rPr>
              <w:t>Unknown</w:t>
            </w:r>
          </w:p>
        </w:tc>
      </w:tr>
      <w:tr w:rsidR="002D6E52" w:rsidRPr="00DB3FE7" w14:paraId="72A2CF2B" w14:textId="77777777" w:rsidTr="00B650E1">
        <w:trPr>
          <w:trHeight w:val="298"/>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4A52F86E" w14:textId="1A441359"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Published AEMP minus rebate (Published AEMP x (1-rebate))</w:t>
            </w:r>
            <w:r w:rsidR="00BC4AE3" w:rsidRPr="00DB3FE7">
              <w:rPr>
                <w:rFonts w:ascii="Arial Narrow" w:hAnsi="Arial Narrow"/>
                <w:color w:val="000000"/>
                <w:sz w:val="20"/>
              </w:rPr>
              <w:t xml:space="preserve"> ($)</w:t>
            </w:r>
          </w:p>
        </w:tc>
        <w:tc>
          <w:tcPr>
            <w:tcW w:w="2541" w:type="pct"/>
            <w:gridSpan w:val="2"/>
            <w:tcBorders>
              <w:top w:val="single" w:sz="4" w:space="0" w:color="auto"/>
              <w:left w:val="nil"/>
              <w:bottom w:val="single" w:sz="4" w:space="0" w:color="auto"/>
              <w:right w:val="single" w:sz="4" w:space="0" w:color="auto"/>
            </w:tcBorders>
            <w:shd w:val="solid" w:color="000000" w:fill="000000"/>
            <w:vAlign w:val="center"/>
            <w:hideMark/>
          </w:tcPr>
          <w:p w14:paraId="6C1166D4" w14:textId="22D21D3A" w:rsidR="002D6E52" w:rsidRPr="0042765C" w:rsidRDefault="00B650E1" w:rsidP="00533193">
            <w:pPr>
              <w:keepNext/>
              <w:jc w:val="center"/>
              <w:rPr>
                <w:rFonts w:ascii="Arial Narrow" w:hAnsi="Arial Narrow"/>
                <w:color w:val="000000"/>
                <w:sz w:val="20"/>
              </w:rPr>
            </w:pPr>
            <w:r w:rsidRPr="00B650E1">
              <w:rPr>
                <w:rFonts w:ascii="Arial Narrow" w:hAnsi="Arial Narrow"/>
                <w:color w:val="000000"/>
                <w:sz w:val="20"/>
                <w14:textFill>
                  <w14:solidFill>
                    <w14:srgbClr w14:val="000000">
                      <w14:alpha w14:val="100000"/>
                    </w14:srgbClr>
                  </w14:solidFill>
                </w14:textFill>
              </w:rPr>
              <w:t>|</w:t>
            </w:r>
          </w:p>
        </w:tc>
      </w:tr>
      <w:tr w:rsidR="002D6E52" w:rsidRPr="00DB3FE7" w14:paraId="3BB77A95"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6AF2A412" w14:textId="77777777" w:rsidR="002D6E52" w:rsidRPr="00DB3FE7" w:rsidRDefault="002D6E52" w:rsidP="00533193">
            <w:pPr>
              <w:keepNext/>
              <w:rPr>
                <w:rFonts w:ascii="Arial Narrow" w:hAnsi="Arial Narrow"/>
                <w:color w:val="000000"/>
                <w:sz w:val="20"/>
              </w:rPr>
            </w:pPr>
            <w:r w:rsidRPr="00DB3FE7">
              <w:rPr>
                <w:rFonts w:ascii="Arial Narrow" w:hAnsi="Arial Narrow"/>
                <w:color w:val="000000"/>
                <w:sz w:val="20"/>
              </w:rPr>
              <w:t>Proposed inclisiran discount</w:t>
            </w:r>
          </w:p>
        </w:tc>
        <w:tc>
          <w:tcPr>
            <w:tcW w:w="2541" w:type="pct"/>
            <w:gridSpan w:val="2"/>
            <w:tcBorders>
              <w:top w:val="single" w:sz="4" w:space="0" w:color="auto"/>
              <w:left w:val="nil"/>
              <w:bottom w:val="single" w:sz="4" w:space="0" w:color="auto"/>
              <w:right w:val="single" w:sz="4" w:space="0" w:color="auto"/>
            </w:tcBorders>
            <w:shd w:val="clear" w:color="auto" w:fill="auto"/>
            <w:vAlign w:val="center"/>
            <w:hideMark/>
          </w:tcPr>
          <w:p w14:paraId="798D45B0" w14:textId="4E0392BA" w:rsidR="002D6E52" w:rsidRPr="0042765C" w:rsidRDefault="00B650E1" w:rsidP="00533193">
            <w:pPr>
              <w:keepNext/>
              <w:jc w:val="center"/>
              <w:rPr>
                <w:rFonts w:ascii="Arial Narrow" w:hAnsi="Arial Narrow"/>
                <w:color w:val="000000"/>
                <w:sz w:val="20"/>
              </w:rPr>
            </w:pPr>
            <w:r w:rsidRPr="00B650E1">
              <w:rPr>
                <w:rFonts w:ascii="Arial Narrow" w:hAnsi="Arial Narrow"/>
                <w:color w:val="000000"/>
                <w:sz w:val="20"/>
                <w:shd w:val="solid" w:color="000000" w:fill="000000"/>
                <w14:textFill>
                  <w14:solidFill>
                    <w14:srgbClr w14:val="000000">
                      <w14:alpha w14:val="100000"/>
                    </w14:srgbClr>
                  </w14:solidFill>
                </w14:textFill>
              </w:rPr>
              <w:t>|</w:t>
            </w:r>
            <w:r w:rsidR="002D6E52" w:rsidRPr="0042765C">
              <w:rPr>
                <w:rFonts w:ascii="Arial Narrow" w:hAnsi="Arial Narrow"/>
                <w:color w:val="000000"/>
                <w:sz w:val="20"/>
              </w:rPr>
              <w:t>%</w:t>
            </w:r>
          </w:p>
        </w:tc>
      </w:tr>
      <w:tr w:rsidR="002D6E52" w:rsidRPr="00DB3FE7" w14:paraId="4FA874BE" w14:textId="77777777" w:rsidTr="00B650E1">
        <w:trPr>
          <w:trHeight w:val="60"/>
        </w:trPr>
        <w:tc>
          <w:tcPr>
            <w:tcW w:w="2459" w:type="pct"/>
            <w:tcBorders>
              <w:top w:val="nil"/>
              <w:left w:val="single" w:sz="4" w:space="0" w:color="auto"/>
              <w:bottom w:val="single" w:sz="4" w:space="0" w:color="auto"/>
              <w:right w:val="single" w:sz="4" w:space="0" w:color="auto"/>
            </w:tcBorders>
            <w:shd w:val="clear" w:color="auto" w:fill="auto"/>
            <w:vAlign w:val="center"/>
            <w:hideMark/>
          </w:tcPr>
          <w:p w14:paraId="08E67389" w14:textId="3E99DB55" w:rsidR="002D6E52" w:rsidRPr="0042765C" w:rsidRDefault="002D6E52" w:rsidP="00533193">
            <w:pPr>
              <w:keepNext/>
              <w:rPr>
                <w:rFonts w:ascii="Arial Narrow" w:hAnsi="Arial Narrow"/>
                <w:color w:val="000000"/>
                <w:sz w:val="20"/>
              </w:rPr>
            </w:pPr>
            <w:r w:rsidRPr="00DB3FE7">
              <w:rPr>
                <w:rFonts w:ascii="Arial Narrow" w:hAnsi="Arial Narrow"/>
                <w:color w:val="000000"/>
                <w:sz w:val="20"/>
              </w:rPr>
              <w:t>Effective AEMP (Published AEMP minus SPA x (1-</w:t>
            </w:r>
            <w:r w:rsidR="00B650E1" w:rsidRPr="00B650E1">
              <w:rPr>
                <w:rFonts w:ascii="Arial Narrow" w:hAnsi="Arial Narrow"/>
                <w:color w:val="000000"/>
                <w:spacing w:val="9"/>
                <w:sz w:val="20"/>
                <w:shd w:val="solid" w:color="000000" w:fill="000000"/>
                <w:fitText w:val="310" w:id="-1208278270"/>
                <w14:textFill>
                  <w14:solidFill>
                    <w14:srgbClr w14:val="000000">
                      <w14:alpha w14:val="100000"/>
                    </w14:srgbClr>
                  </w14:solidFill>
                </w14:textFill>
              </w:rPr>
              <w:t>||  |</w:t>
            </w:r>
            <w:r w:rsidR="00B650E1" w:rsidRPr="00B650E1">
              <w:rPr>
                <w:rFonts w:ascii="Arial Narrow" w:hAnsi="Arial Narrow"/>
                <w:color w:val="000000"/>
                <w:spacing w:val="4"/>
                <w:sz w:val="20"/>
                <w:shd w:val="solid" w:color="000000" w:fill="000000"/>
                <w:fitText w:val="310" w:id="-1208278270"/>
                <w14:textFill>
                  <w14:solidFill>
                    <w14:srgbClr w14:val="000000">
                      <w14:alpha w14:val="100000"/>
                    </w14:srgbClr>
                  </w14:solidFill>
                </w14:textFill>
              </w:rPr>
              <w:t>|</w:t>
            </w:r>
            <w:r w:rsidRPr="0042765C">
              <w:rPr>
                <w:rFonts w:ascii="Arial Narrow" w:hAnsi="Arial Narrow"/>
                <w:color w:val="000000"/>
                <w:sz w:val="20"/>
              </w:rPr>
              <w:t>%))</w:t>
            </w:r>
            <w:r w:rsidR="00BC4AE3" w:rsidRPr="0042765C">
              <w:rPr>
                <w:rFonts w:ascii="Arial Narrow" w:hAnsi="Arial Narrow"/>
                <w:color w:val="000000"/>
                <w:sz w:val="20"/>
              </w:rPr>
              <w:t xml:space="preserve"> ($)</w:t>
            </w:r>
          </w:p>
        </w:tc>
        <w:tc>
          <w:tcPr>
            <w:tcW w:w="2541" w:type="pct"/>
            <w:gridSpan w:val="2"/>
            <w:tcBorders>
              <w:top w:val="single" w:sz="4" w:space="0" w:color="auto"/>
              <w:left w:val="nil"/>
              <w:bottom w:val="single" w:sz="4" w:space="0" w:color="auto"/>
              <w:right w:val="single" w:sz="4" w:space="0" w:color="auto"/>
            </w:tcBorders>
            <w:shd w:val="solid" w:color="000000" w:fill="000000"/>
            <w:vAlign w:val="center"/>
            <w:hideMark/>
          </w:tcPr>
          <w:p w14:paraId="0BEAF43D" w14:textId="576E7512" w:rsidR="002D6E52" w:rsidRPr="0042765C" w:rsidRDefault="00B650E1" w:rsidP="00533193">
            <w:pPr>
              <w:keepNext/>
              <w:jc w:val="center"/>
              <w:rPr>
                <w:rFonts w:ascii="Arial Narrow" w:hAnsi="Arial Narrow"/>
                <w:color w:val="000000"/>
                <w:sz w:val="20"/>
              </w:rPr>
            </w:pPr>
            <w:r w:rsidRPr="00B650E1">
              <w:rPr>
                <w:rFonts w:ascii="Arial Narrow" w:hAnsi="Arial Narrow"/>
                <w:color w:val="000000"/>
                <w:sz w:val="20"/>
                <w14:textFill>
                  <w14:solidFill>
                    <w14:srgbClr w14:val="000000">
                      <w14:alpha w14:val="100000"/>
                    </w14:srgbClr>
                  </w14:solidFill>
                </w14:textFill>
              </w:rPr>
              <w:t>|</w:t>
            </w:r>
          </w:p>
        </w:tc>
      </w:tr>
    </w:tbl>
    <w:p w14:paraId="0C9379CA" w14:textId="7FFDD9CD" w:rsidR="002D6E52" w:rsidRPr="00DB3FE7" w:rsidRDefault="002D6E52" w:rsidP="002D6E52">
      <w:pPr>
        <w:pStyle w:val="TableFooter"/>
      </w:pPr>
      <w:r w:rsidRPr="00DB3FE7">
        <w:t>Source: Table 1 of the early re-entry submission</w:t>
      </w:r>
    </w:p>
    <w:p w14:paraId="10B3E8EB" w14:textId="77777777" w:rsidR="002D6E52" w:rsidRPr="00DB3FE7" w:rsidRDefault="002D6E52" w:rsidP="002D6E52">
      <w:pPr>
        <w:pStyle w:val="TableFooter"/>
      </w:pPr>
      <w:r w:rsidRPr="00DB3FE7">
        <w:t>AEMP = approved ex-manufacturer price; MBS = Medicare Benefits Schedule; SPA = special pricing arrangement</w:t>
      </w:r>
    </w:p>
    <w:p w14:paraId="60FB2B21" w14:textId="77777777" w:rsidR="002D6E52" w:rsidRPr="00DB3FE7" w:rsidRDefault="002D6E52" w:rsidP="002D6E52">
      <w:pPr>
        <w:pStyle w:val="TableFooter"/>
      </w:pPr>
    </w:p>
    <w:p w14:paraId="1EB26DD4" w14:textId="0D61D3EF" w:rsidR="002D6E52" w:rsidRPr="0042765C" w:rsidRDefault="002D6E52" w:rsidP="002D6E52">
      <w:pPr>
        <w:pStyle w:val="3-BodyText"/>
        <w:numPr>
          <w:ilvl w:val="1"/>
          <w:numId w:val="1"/>
        </w:numPr>
        <w:rPr>
          <w:bCs/>
        </w:rPr>
      </w:pPr>
      <w:r w:rsidRPr="00DB3FE7">
        <w:rPr>
          <w:bCs/>
        </w:rPr>
        <w:t xml:space="preserve">Based on the CMA and including the </w:t>
      </w:r>
      <w:r w:rsidR="00B650E1" w:rsidRPr="00B650E1">
        <w:rPr>
          <w:bCs/>
          <w:color w:val="000000"/>
          <w:w w:val="61"/>
          <w:shd w:val="solid" w:color="000000" w:fill="000000"/>
          <w:fitText w:val="475" w:id="-1208278269"/>
          <w14:textFill>
            <w14:solidFill>
              <w14:srgbClr w14:val="000000">
                <w14:alpha w14:val="100000"/>
              </w14:srgbClr>
            </w14:solidFill>
          </w14:textFill>
        </w:rPr>
        <w:t>|||  ||</w:t>
      </w:r>
      <w:r w:rsidR="00B650E1" w:rsidRPr="00B650E1">
        <w:rPr>
          <w:bCs/>
          <w:color w:val="000000"/>
          <w:spacing w:val="5"/>
          <w:w w:val="61"/>
          <w:shd w:val="solid" w:color="000000" w:fill="000000"/>
          <w:fitText w:val="475" w:id="-1208278269"/>
          <w14:textFill>
            <w14:solidFill>
              <w14:srgbClr w14:val="000000">
                <w14:alpha w14:val="100000"/>
              </w14:srgbClr>
            </w14:solidFill>
          </w14:textFill>
        </w:rPr>
        <w:t>|</w:t>
      </w:r>
      <w:r w:rsidRPr="0042765C">
        <w:rPr>
          <w:bCs/>
        </w:rPr>
        <w:t>% discount, the resubmission estimated that the published ex-manufacturer price of inclisiran would be $</w:t>
      </w:r>
      <w:r w:rsidR="00B650E1" w:rsidRPr="00D71C83">
        <w:rPr>
          <w:bCs/>
          <w:color w:val="000000"/>
          <w:w w:val="15"/>
          <w:shd w:val="solid" w:color="000000" w:fill="000000"/>
          <w:fitText w:val="-20" w:id="-1208278268"/>
          <w14:textFill>
            <w14:solidFill>
              <w14:srgbClr w14:val="000000">
                <w14:alpha w14:val="100000"/>
              </w14:srgbClr>
            </w14:solidFill>
          </w14:textFill>
        </w:rPr>
        <w:t xml:space="preserve">|  </w:t>
      </w:r>
      <w:r w:rsidR="00B650E1" w:rsidRPr="00D71C83">
        <w:rPr>
          <w:bCs/>
          <w:color w:val="000000"/>
          <w:spacing w:val="-69"/>
          <w:w w:val="15"/>
          <w:shd w:val="solid" w:color="000000" w:fill="000000"/>
          <w:fitText w:val="-20" w:id="-1208278268"/>
          <w14:textFill>
            <w14:solidFill>
              <w14:srgbClr w14:val="000000">
                <w14:alpha w14:val="100000"/>
              </w14:srgbClr>
            </w14:solidFill>
          </w14:textFill>
        </w:rPr>
        <w:t>|</w:t>
      </w:r>
      <w:r w:rsidRPr="0042765C">
        <w:rPr>
          <w:bCs/>
        </w:rPr>
        <w:t xml:space="preserve"> (DPMQ = $</w:t>
      </w:r>
      <w:r w:rsidR="00B650E1" w:rsidRPr="00D71C83">
        <w:rPr>
          <w:bCs/>
          <w:color w:val="000000"/>
          <w:w w:val="15"/>
          <w:shd w:val="solid" w:color="000000" w:fill="000000"/>
          <w:fitText w:val="-20" w:id="-1208278267"/>
          <w14:textFill>
            <w14:solidFill>
              <w14:srgbClr w14:val="000000">
                <w14:alpha w14:val="100000"/>
              </w14:srgbClr>
            </w14:solidFill>
          </w14:textFill>
        </w:rPr>
        <w:t xml:space="preserve">|  </w:t>
      </w:r>
      <w:r w:rsidR="00B650E1" w:rsidRPr="00D71C83">
        <w:rPr>
          <w:bCs/>
          <w:color w:val="000000"/>
          <w:spacing w:val="-69"/>
          <w:w w:val="15"/>
          <w:shd w:val="solid" w:color="000000" w:fill="000000"/>
          <w:fitText w:val="-20" w:id="-1208278267"/>
          <w14:textFill>
            <w14:solidFill>
              <w14:srgbClr w14:val="000000">
                <w14:alpha w14:val="100000"/>
              </w14:srgbClr>
            </w14:solidFill>
          </w14:textFill>
        </w:rPr>
        <w:t>|</w:t>
      </w:r>
      <w:r w:rsidRPr="0042765C">
        <w:rPr>
          <w:bCs/>
        </w:rPr>
        <w:t>).</w:t>
      </w:r>
    </w:p>
    <w:p w14:paraId="3E2C1384" w14:textId="77777777" w:rsidR="002D6E52" w:rsidRPr="00352E1C" w:rsidRDefault="002D6E52" w:rsidP="002D6E52">
      <w:pPr>
        <w:pStyle w:val="3-SubsectionHeading"/>
      </w:pPr>
      <w:r w:rsidRPr="00352E1C">
        <w:t>Estimated PBS usage and financial implications</w:t>
      </w:r>
    </w:p>
    <w:p w14:paraId="3BF57CF4" w14:textId="77777777" w:rsidR="002D6E52" w:rsidRPr="0042765C" w:rsidRDefault="002D6E52" w:rsidP="002D6E52">
      <w:pPr>
        <w:pStyle w:val="3-BodyText"/>
        <w:numPr>
          <w:ilvl w:val="1"/>
          <w:numId w:val="1"/>
        </w:numPr>
        <w:rPr>
          <w:bCs/>
        </w:rPr>
      </w:pPr>
      <w:r w:rsidRPr="00DB3FE7">
        <w:rPr>
          <w:bCs/>
        </w:rPr>
        <w:t xml:space="preserve">In March 2023, the PBAC advised that revised utilisation and financial impact estimates which (i) aligned with the updated CMA; (ii) were based on a market share approach; and (iii) considered the cost of improved adherence, would be required (paragraph </w:t>
      </w:r>
      <w:r w:rsidRPr="0042765C">
        <w:rPr>
          <w:bCs/>
        </w:rPr>
        <w:fldChar w:fldCharType="begin" w:fldLock="1"/>
      </w:r>
      <w:r w:rsidRPr="00DB3FE7">
        <w:rPr>
          <w:bCs/>
        </w:rPr>
        <w:instrText xml:space="preserve"> REF _Ref131519571 \r \h </w:instrText>
      </w:r>
      <w:r w:rsidRPr="0042765C">
        <w:rPr>
          <w:bCs/>
        </w:rPr>
      </w:r>
      <w:r w:rsidRPr="0042765C">
        <w:rPr>
          <w:bCs/>
        </w:rPr>
        <w:fldChar w:fldCharType="separate"/>
      </w:r>
      <w:r w:rsidRPr="0042765C">
        <w:rPr>
          <w:bCs/>
        </w:rPr>
        <w:t>7.15</w:t>
      </w:r>
      <w:r w:rsidRPr="0042765C">
        <w:rPr>
          <w:bCs/>
        </w:rPr>
        <w:fldChar w:fldCharType="end"/>
      </w:r>
      <w:r w:rsidRPr="0042765C">
        <w:rPr>
          <w:bCs/>
        </w:rPr>
        <w:t>).</w:t>
      </w:r>
    </w:p>
    <w:p w14:paraId="53C779DA" w14:textId="77777777" w:rsidR="002D6E52" w:rsidRPr="00352E1C" w:rsidRDefault="002D6E52" w:rsidP="002D6E52">
      <w:pPr>
        <w:pStyle w:val="3-BodyText"/>
        <w:numPr>
          <w:ilvl w:val="1"/>
          <w:numId w:val="1"/>
        </w:numPr>
        <w:rPr>
          <w:bCs/>
        </w:rPr>
      </w:pPr>
      <w:r w:rsidRPr="00352E1C">
        <w:rPr>
          <w:bCs/>
        </w:rPr>
        <w:t>The resubmission presented revised estimates based on a market share approach that assumed that inclisiran would substitute for evolocumab and alirocumab. The key inputs are summarised in the table below.</w:t>
      </w:r>
    </w:p>
    <w:p w14:paraId="269A788A" w14:textId="77777777" w:rsidR="002D6E52" w:rsidRPr="0042765C" w:rsidRDefault="002D6E52" w:rsidP="002D6E52">
      <w:pPr>
        <w:pStyle w:val="TableHeading"/>
      </w:pPr>
      <w:r w:rsidRPr="00352E1C">
        <w:t xml:space="preserve">Table </w:t>
      </w:r>
      <w:r w:rsidR="00E1209D" w:rsidRPr="0042765C">
        <w:fldChar w:fldCharType="begin" w:fldLock="1"/>
      </w:r>
      <w:r w:rsidR="00E1209D" w:rsidRPr="00DB3FE7">
        <w:instrText xml:space="preserve"> SEQ Table \* ARABIC </w:instrText>
      </w:r>
      <w:r w:rsidR="00E1209D" w:rsidRPr="0042765C">
        <w:fldChar w:fldCharType="separate"/>
      </w:r>
      <w:r w:rsidRPr="0042765C">
        <w:rPr>
          <w:noProof/>
        </w:rPr>
        <w:t>17</w:t>
      </w:r>
      <w:r w:rsidR="00E1209D" w:rsidRPr="0042765C">
        <w:rPr>
          <w:noProof/>
        </w:rPr>
        <w:fldChar w:fldCharType="end"/>
      </w:r>
      <w:r w:rsidRPr="0042765C">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95"/>
        <w:gridCol w:w="6622"/>
      </w:tblGrid>
      <w:tr w:rsidR="002D6E52" w:rsidRPr="00DB3FE7" w14:paraId="05FD61B9" w14:textId="77777777" w:rsidTr="00533193">
        <w:trPr>
          <w:cantSplit/>
          <w:tblHeader/>
        </w:trPr>
        <w:tc>
          <w:tcPr>
            <w:tcW w:w="1328" w:type="pct"/>
            <w:tcBorders>
              <w:bottom w:val="single" w:sz="4" w:space="0" w:color="auto"/>
            </w:tcBorders>
            <w:shd w:val="clear" w:color="auto" w:fill="auto"/>
            <w:vAlign w:val="center"/>
          </w:tcPr>
          <w:p w14:paraId="0F0EFF88" w14:textId="77777777" w:rsidR="002D6E52" w:rsidRPr="00352E1C" w:rsidRDefault="002D6E52" w:rsidP="00533193">
            <w:pPr>
              <w:keepNext/>
              <w:jc w:val="left"/>
              <w:rPr>
                <w:rFonts w:ascii="Arial Narrow" w:eastAsiaTheme="majorEastAsia" w:hAnsi="Arial Narrow" w:cs="Times New Roman"/>
                <w:b/>
                <w:sz w:val="20"/>
              </w:rPr>
            </w:pPr>
            <w:r w:rsidRPr="00352E1C">
              <w:rPr>
                <w:rFonts w:ascii="Arial Narrow" w:eastAsiaTheme="majorEastAsia" w:hAnsi="Arial Narrow" w:cs="Times New Roman"/>
                <w:b/>
                <w:sz w:val="20"/>
              </w:rPr>
              <w:t>Parameter</w:t>
            </w:r>
          </w:p>
        </w:tc>
        <w:tc>
          <w:tcPr>
            <w:tcW w:w="3672" w:type="pct"/>
            <w:tcBorders>
              <w:bottom w:val="single" w:sz="4" w:space="0" w:color="auto"/>
            </w:tcBorders>
            <w:shd w:val="clear" w:color="auto" w:fill="auto"/>
            <w:vAlign w:val="center"/>
          </w:tcPr>
          <w:p w14:paraId="4D6DBD20" w14:textId="77777777" w:rsidR="002D6E52" w:rsidRPr="00DB3FE7" w:rsidRDefault="002D6E52" w:rsidP="00533193">
            <w:pPr>
              <w:keepNext/>
              <w:jc w:val="left"/>
              <w:rPr>
                <w:rFonts w:ascii="Arial Narrow" w:eastAsiaTheme="majorEastAsia" w:hAnsi="Arial Narrow" w:cs="Times New Roman"/>
                <w:b/>
                <w:sz w:val="20"/>
              </w:rPr>
            </w:pPr>
            <w:r w:rsidRPr="00DB3FE7">
              <w:rPr>
                <w:rFonts w:ascii="Arial Narrow" w:eastAsiaTheme="majorEastAsia" w:hAnsi="Arial Narrow" w:cs="Times New Roman"/>
                <w:b/>
                <w:sz w:val="20"/>
              </w:rPr>
              <w:t>Values and source</w:t>
            </w:r>
          </w:p>
        </w:tc>
      </w:tr>
      <w:tr w:rsidR="002D6E52" w:rsidRPr="00DB3FE7" w14:paraId="29082821" w14:textId="77777777" w:rsidTr="00533193">
        <w:trPr>
          <w:cantSplit/>
        </w:trPr>
        <w:tc>
          <w:tcPr>
            <w:tcW w:w="1328" w:type="pct"/>
            <w:shd w:val="clear" w:color="auto" w:fill="auto"/>
            <w:vAlign w:val="center"/>
          </w:tcPr>
          <w:p w14:paraId="649ABBAA"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 xml:space="preserve">Market for evolocumab and alirocumab </w:t>
            </w:r>
          </w:p>
        </w:tc>
        <w:tc>
          <w:tcPr>
            <w:tcW w:w="3672" w:type="pct"/>
            <w:shd w:val="clear" w:color="auto" w:fill="auto"/>
            <w:vAlign w:val="center"/>
          </w:tcPr>
          <w:p w14:paraId="1F1E5136"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 PBS items numbers for evolocumab (11484K, 11985T, 11986W, 11485L) and alirocumab (12607M, 12608N, 12604J, 13613W) in non-FH and HeFH patients.</w:t>
            </w:r>
          </w:p>
          <w:p w14:paraId="691E4008"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 non-FH and HeFH PBS scripts dispensed between 2019 and 2022 were assumed to represent script numbers in patients with LDL ≥ 2.6 mmol/L. Total scripts are expected to increase at a slower rate over the first 6 years of listing.</w:t>
            </w:r>
          </w:p>
          <w:p w14:paraId="488B74AF"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 script numbers for patients with LDL ≥ 1.8 &lt; 2.6 mmol/L were assumed to be equal to the midpoint of the range provided in the July 2022 evolocumab PSD.</w:t>
            </w:r>
          </w:p>
        </w:tc>
      </w:tr>
      <w:tr w:rsidR="002D6E52" w:rsidRPr="00DB3FE7" w14:paraId="386992F6" w14:textId="77777777" w:rsidTr="00533193">
        <w:trPr>
          <w:cantSplit/>
        </w:trPr>
        <w:tc>
          <w:tcPr>
            <w:tcW w:w="1328" w:type="pct"/>
            <w:shd w:val="clear" w:color="auto" w:fill="auto"/>
            <w:vAlign w:val="center"/>
          </w:tcPr>
          <w:p w14:paraId="38F84990"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Substitution of evolocumab and alirocumab with inclisiran</w:t>
            </w:r>
          </w:p>
        </w:tc>
        <w:tc>
          <w:tcPr>
            <w:tcW w:w="3672" w:type="pct"/>
            <w:shd w:val="clear" w:color="auto" w:fill="auto"/>
            <w:vAlign w:val="center"/>
          </w:tcPr>
          <w:p w14:paraId="282AEF68" w14:textId="77777777" w:rsidR="002D6E52" w:rsidRPr="00D33149" w:rsidRDefault="002D6E52" w:rsidP="00533193">
            <w:pPr>
              <w:keepNext/>
              <w:jc w:val="left"/>
              <w:rPr>
                <w:rFonts w:ascii="Arial Narrow" w:eastAsiaTheme="majorEastAsia" w:hAnsi="Arial Narrow" w:cstheme="majorBidi"/>
                <w:bCs/>
                <w:sz w:val="20"/>
              </w:rPr>
            </w:pPr>
            <w:r w:rsidRPr="00D33149">
              <w:rPr>
                <w:rFonts w:ascii="Arial Narrow" w:eastAsiaTheme="majorEastAsia" w:hAnsi="Arial Narrow" w:cstheme="majorBidi"/>
                <w:bCs/>
                <w:sz w:val="20"/>
              </w:rPr>
              <w:t>Year 1: 15%, Year 2: 20% Year 3: 33%; Year 4: 33%; Year 5: 33%; Year 6: 33%</w:t>
            </w:r>
          </w:p>
          <w:p w14:paraId="122F374F" w14:textId="77777777" w:rsidR="002D6E52" w:rsidRPr="00DB3FE7" w:rsidRDefault="002D6E52" w:rsidP="00533193">
            <w:pPr>
              <w:keepNext/>
              <w:jc w:val="left"/>
              <w:rPr>
                <w:rFonts w:ascii="Arial Narrow" w:eastAsiaTheme="majorEastAsia" w:hAnsi="Arial Narrow" w:cstheme="majorBidi"/>
                <w:bCs/>
                <w:sz w:val="20"/>
              </w:rPr>
            </w:pPr>
            <w:r w:rsidRPr="00D33149">
              <w:rPr>
                <w:rFonts w:ascii="Arial Narrow" w:eastAsiaTheme="majorEastAsia" w:hAnsi="Arial Narrow" w:cstheme="majorBidi"/>
                <w:bCs/>
                <w:sz w:val="20"/>
              </w:rPr>
              <w:t>Substitution was considered to be equal across evolocumab and alirocumab (i.e. in Year 1 inclisiran substituted for 15% of evolocumab scripts and 15% of alirocumab scripts).</w:t>
            </w:r>
          </w:p>
        </w:tc>
      </w:tr>
      <w:tr w:rsidR="002D6E52" w:rsidRPr="00DB3FE7" w14:paraId="1F38A2CA" w14:textId="77777777" w:rsidTr="00533193">
        <w:trPr>
          <w:cantSplit/>
        </w:trPr>
        <w:tc>
          <w:tcPr>
            <w:tcW w:w="1328" w:type="pct"/>
            <w:tcBorders>
              <w:bottom w:val="single" w:sz="4" w:space="0" w:color="auto"/>
            </w:tcBorders>
            <w:shd w:val="clear" w:color="auto" w:fill="auto"/>
            <w:vAlign w:val="center"/>
          </w:tcPr>
          <w:p w14:paraId="4537C939"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Grandfather patients</w:t>
            </w:r>
          </w:p>
        </w:tc>
        <w:tc>
          <w:tcPr>
            <w:tcW w:w="3672" w:type="pct"/>
            <w:tcBorders>
              <w:bottom w:val="single" w:sz="4" w:space="0" w:color="auto"/>
            </w:tcBorders>
            <w:shd w:val="clear" w:color="auto" w:fill="auto"/>
            <w:vAlign w:val="center"/>
          </w:tcPr>
          <w:p w14:paraId="082F7217"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Assumed to be captured within the script estimates for the recently expanded evolocumab listing.</w:t>
            </w:r>
          </w:p>
        </w:tc>
      </w:tr>
      <w:tr w:rsidR="002D6E52" w:rsidRPr="00DB3FE7" w14:paraId="332FA887" w14:textId="77777777" w:rsidTr="00533193">
        <w:trPr>
          <w:cantSplit/>
        </w:trPr>
        <w:tc>
          <w:tcPr>
            <w:tcW w:w="1328" w:type="pct"/>
            <w:shd w:val="clear" w:color="auto" w:fill="auto"/>
            <w:vAlign w:val="center"/>
          </w:tcPr>
          <w:p w14:paraId="5AC9EF54"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Adherence</w:t>
            </w:r>
          </w:p>
        </w:tc>
        <w:tc>
          <w:tcPr>
            <w:tcW w:w="3672" w:type="pct"/>
            <w:shd w:val="clear" w:color="auto" w:fill="auto"/>
            <w:vAlign w:val="center"/>
          </w:tcPr>
          <w:p w14:paraId="0FEF6274"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Evolocumab = 80% remain on treatment over 12 months (evolocumab DUSC analysis, February 2023)</w:t>
            </w:r>
          </w:p>
          <w:p w14:paraId="6DA0B60F"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Alirocumab = 80% (assumed to be equal to evolocumab)</w:t>
            </w:r>
          </w:p>
          <w:p w14:paraId="497546F3" w14:textId="77777777" w:rsidR="002D6E52" w:rsidRPr="00DB3FE7" w:rsidRDefault="002D6E52" w:rsidP="00533193">
            <w:pPr>
              <w:keepNext/>
              <w:jc w:val="left"/>
              <w:rPr>
                <w:rFonts w:ascii="Arial Narrow" w:eastAsiaTheme="majorEastAsia" w:hAnsi="Arial Narrow" w:cstheme="majorBidi"/>
                <w:bCs/>
                <w:sz w:val="20"/>
              </w:rPr>
            </w:pPr>
            <w:r w:rsidRPr="00DB3FE7">
              <w:rPr>
                <w:rFonts w:ascii="Arial Narrow" w:eastAsiaTheme="majorEastAsia" w:hAnsi="Arial Narrow" w:cstheme="majorBidi"/>
                <w:bCs/>
                <w:sz w:val="20"/>
              </w:rPr>
              <w:t>Inclisiran = 88% (assumption, due to 6-monthly dosing)</w:t>
            </w:r>
          </w:p>
        </w:tc>
      </w:tr>
    </w:tbl>
    <w:p w14:paraId="46610B20" w14:textId="48998450" w:rsidR="002D6E52" w:rsidRPr="00DB3FE7" w:rsidRDefault="002D6E52" w:rsidP="002D6E52">
      <w:pPr>
        <w:pStyle w:val="TableFooter"/>
      </w:pPr>
      <w:r w:rsidRPr="00DB3FE7">
        <w:t>Source: early re-entry submission</w:t>
      </w:r>
    </w:p>
    <w:p w14:paraId="13F49A6D" w14:textId="77777777" w:rsidR="002D6E52" w:rsidRPr="00DB3FE7" w:rsidRDefault="002D6E52" w:rsidP="002D6E52">
      <w:pPr>
        <w:pStyle w:val="TableFooter"/>
      </w:pPr>
      <w:r w:rsidRPr="00DB3FE7">
        <w:t>HeFH = heterozygous familial hypercholesterolaemia; LDL = low-density lipoprotein; non-FH = non-familial hypercholesterolaemia; PBS = Pharmaceutical Benefits Scheme</w:t>
      </w:r>
    </w:p>
    <w:p w14:paraId="29D50C3C" w14:textId="77777777" w:rsidR="002D6E52" w:rsidRPr="00DB3FE7" w:rsidRDefault="002D6E52" w:rsidP="002D6E52">
      <w:pPr>
        <w:pStyle w:val="TableFooter"/>
      </w:pPr>
    </w:p>
    <w:p w14:paraId="6D431BF5" w14:textId="77777777" w:rsidR="002D6E52" w:rsidRPr="0042765C" w:rsidRDefault="002D6E52" w:rsidP="002D6E52">
      <w:pPr>
        <w:pStyle w:val="3-BodyText"/>
        <w:numPr>
          <w:ilvl w:val="1"/>
          <w:numId w:val="1"/>
        </w:numPr>
        <w:rPr>
          <w:bCs/>
        </w:rPr>
      </w:pPr>
      <w:r w:rsidRPr="00DB3FE7">
        <w:rPr>
          <w:bCs/>
        </w:rPr>
        <w:t xml:space="preserve">The results of the revised financial impact estimates are presented in </w:t>
      </w:r>
      <w:r w:rsidRPr="0042765C">
        <w:rPr>
          <w:rFonts w:ascii="Calibri" w:hAnsi="Calibri" w:cs="Calibri"/>
          <w:bCs/>
        </w:rPr>
        <w:fldChar w:fldCharType="begin" w:fldLock="1"/>
      </w:r>
      <w:r w:rsidRPr="00DB3FE7">
        <w:rPr>
          <w:rFonts w:ascii="Calibri" w:hAnsi="Calibri" w:cs="Calibri"/>
          <w:bCs/>
        </w:rPr>
        <w:instrText xml:space="preserve"> REF _Ref134451424 \h  \* MERGEFORMAT </w:instrText>
      </w:r>
      <w:r w:rsidRPr="0042765C">
        <w:rPr>
          <w:rFonts w:ascii="Calibri" w:hAnsi="Calibri" w:cs="Calibri"/>
          <w:bCs/>
        </w:rPr>
      </w:r>
      <w:r w:rsidRPr="0042765C">
        <w:rPr>
          <w:rFonts w:ascii="Calibri" w:hAnsi="Calibri" w:cs="Calibri"/>
          <w:bCs/>
        </w:rPr>
        <w:fldChar w:fldCharType="separate"/>
      </w:r>
      <w:r w:rsidRPr="0042765C">
        <w:rPr>
          <w:rFonts w:ascii="Calibri" w:hAnsi="Calibri" w:cs="Calibri"/>
          <w:bCs/>
        </w:rPr>
        <w:t xml:space="preserve">Table </w:t>
      </w:r>
      <w:r w:rsidRPr="0042765C">
        <w:rPr>
          <w:rFonts w:ascii="Calibri" w:hAnsi="Calibri" w:cs="Calibri"/>
          <w:bCs/>
          <w:noProof/>
        </w:rPr>
        <w:t>18</w:t>
      </w:r>
      <w:r w:rsidRPr="0042765C">
        <w:rPr>
          <w:rFonts w:ascii="Calibri" w:hAnsi="Calibri" w:cs="Calibri"/>
          <w:bCs/>
        </w:rPr>
        <w:fldChar w:fldCharType="end"/>
      </w:r>
      <w:r w:rsidRPr="0042765C">
        <w:rPr>
          <w:rFonts w:ascii="Calibri" w:hAnsi="Calibri" w:cs="Calibri"/>
          <w:bCs/>
        </w:rPr>
        <w:t>.</w:t>
      </w:r>
    </w:p>
    <w:p w14:paraId="42946EC1" w14:textId="77777777" w:rsidR="002D6E52" w:rsidRPr="0042765C" w:rsidRDefault="002D6E52" w:rsidP="002D6E52">
      <w:pPr>
        <w:pStyle w:val="Caption"/>
        <w:keepNext/>
        <w:spacing w:after="0"/>
        <w:rPr>
          <w:rFonts w:ascii="Arial Narrow" w:hAnsi="Arial Narrow"/>
          <w:b/>
          <w:bCs/>
          <w:i w:val="0"/>
          <w:iCs w:val="0"/>
          <w:color w:val="auto"/>
          <w:sz w:val="20"/>
          <w:szCs w:val="20"/>
        </w:rPr>
      </w:pPr>
      <w:bookmarkStart w:id="68" w:name="_Ref134451424"/>
      <w:bookmarkStart w:id="69" w:name="_Ref134451417"/>
      <w:r w:rsidRPr="0042765C">
        <w:rPr>
          <w:rFonts w:ascii="Arial Narrow" w:hAnsi="Arial Narrow"/>
          <w:b/>
          <w:bCs/>
          <w:i w:val="0"/>
          <w:iCs w:val="0"/>
          <w:color w:val="auto"/>
          <w:sz w:val="20"/>
          <w:szCs w:val="20"/>
        </w:rPr>
        <w:t xml:space="preserve">Table </w:t>
      </w:r>
      <w:r w:rsidRPr="0042765C">
        <w:rPr>
          <w:rFonts w:ascii="Arial Narrow" w:hAnsi="Arial Narrow"/>
          <w:b/>
          <w:bCs/>
          <w:i w:val="0"/>
          <w:iCs w:val="0"/>
          <w:color w:val="auto"/>
          <w:sz w:val="20"/>
          <w:szCs w:val="20"/>
        </w:rPr>
        <w:fldChar w:fldCharType="begin" w:fldLock="1"/>
      </w:r>
      <w:r w:rsidRPr="00DB3FE7">
        <w:rPr>
          <w:rFonts w:ascii="Arial Narrow" w:hAnsi="Arial Narrow"/>
          <w:b/>
          <w:bCs/>
          <w:i w:val="0"/>
          <w:iCs w:val="0"/>
          <w:color w:val="auto"/>
          <w:sz w:val="20"/>
          <w:szCs w:val="20"/>
        </w:rPr>
        <w:instrText xml:space="preserve"> SEQ Table \* ARABIC </w:instrText>
      </w:r>
      <w:r w:rsidRPr="0042765C">
        <w:rPr>
          <w:rFonts w:ascii="Arial Narrow" w:hAnsi="Arial Narrow"/>
          <w:b/>
          <w:bCs/>
          <w:i w:val="0"/>
          <w:iCs w:val="0"/>
          <w:color w:val="auto"/>
          <w:sz w:val="20"/>
          <w:szCs w:val="20"/>
        </w:rPr>
        <w:fldChar w:fldCharType="separate"/>
      </w:r>
      <w:r w:rsidRPr="0042765C">
        <w:rPr>
          <w:rFonts w:ascii="Arial Narrow" w:hAnsi="Arial Narrow"/>
          <w:b/>
          <w:bCs/>
          <w:i w:val="0"/>
          <w:iCs w:val="0"/>
          <w:noProof/>
          <w:color w:val="auto"/>
          <w:sz w:val="20"/>
          <w:szCs w:val="20"/>
        </w:rPr>
        <w:t>18</w:t>
      </w:r>
      <w:r w:rsidRPr="0042765C">
        <w:rPr>
          <w:rFonts w:ascii="Arial Narrow" w:hAnsi="Arial Narrow"/>
          <w:b/>
          <w:bCs/>
          <w:i w:val="0"/>
          <w:iCs w:val="0"/>
          <w:color w:val="auto"/>
          <w:sz w:val="20"/>
          <w:szCs w:val="20"/>
        </w:rPr>
        <w:fldChar w:fldCharType="end"/>
      </w:r>
      <w:bookmarkEnd w:id="68"/>
      <w:r w:rsidRPr="0042765C">
        <w:rPr>
          <w:rFonts w:ascii="Arial Narrow" w:hAnsi="Arial Narrow"/>
          <w:b/>
          <w:bCs/>
          <w:i w:val="0"/>
          <w:iCs w:val="0"/>
          <w:color w:val="auto"/>
          <w:sz w:val="20"/>
          <w:szCs w:val="20"/>
        </w:rPr>
        <w:t>: Revised financial impact estimates</w:t>
      </w:r>
      <w:bookmarkEnd w:id="69"/>
    </w:p>
    <w:tbl>
      <w:tblPr>
        <w:tblStyle w:val="TableGrid"/>
        <w:tblW w:w="9235" w:type="dxa"/>
        <w:tblLayout w:type="fixed"/>
        <w:tblLook w:val="04A0" w:firstRow="1" w:lastRow="0" w:firstColumn="1" w:lastColumn="0" w:noHBand="0" w:noVBand="1"/>
      </w:tblPr>
      <w:tblGrid>
        <w:gridCol w:w="2035"/>
        <w:gridCol w:w="1200"/>
        <w:gridCol w:w="1200"/>
        <w:gridCol w:w="1200"/>
        <w:gridCol w:w="1200"/>
        <w:gridCol w:w="1200"/>
        <w:gridCol w:w="1200"/>
      </w:tblGrid>
      <w:tr w:rsidR="002D6E52" w:rsidRPr="00DB3FE7" w14:paraId="0219BF2F" w14:textId="77777777" w:rsidTr="00533193">
        <w:trPr>
          <w:trHeight w:val="154"/>
        </w:trPr>
        <w:tc>
          <w:tcPr>
            <w:tcW w:w="2035" w:type="dxa"/>
            <w:tcBorders>
              <w:bottom w:val="single" w:sz="4" w:space="0" w:color="auto"/>
            </w:tcBorders>
            <w:noWrap/>
            <w:tcMar>
              <w:left w:w="40" w:type="dxa"/>
              <w:right w:w="40" w:type="dxa"/>
            </w:tcMar>
          </w:tcPr>
          <w:p w14:paraId="5369B98E" w14:textId="77777777" w:rsidR="002D6E52" w:rsidRPr="00352E1C" w:rsidRDefault="002D6E52" w:rsidP="00533193">
            <w:pPr>
              <w:pStyle w:val="PBACTabletext0"/>
              <w:spacing w:after="0"/>
              <w:rPr>
                <w:sz w:val="19"/>
                <w:szCs w:val="19"/>
              </w:rPr>
            </w:pPr>
          </w:p>
        </w:tc>
        <w:tc>
          <w:tcPr>
            <w:tcW w:w="1200" w:type="dxa"/>
            <w:tcBorders>
              <w:bottom w:val="single" w:sz="4" w:space="0" w:color="auto"/>
            </w:tcBorders>
            <w:tcMar>
              <w:left w:w="40" w:type="dxa"/>
              <w:right w:w="40" w:type="dxa"/>
            </w:tcMar>
            <w:vAlign w:val="center"/>
          </w:tcPr>
          <w:p w14:paraId="1A005574" w14:textId="77777777" w:rsidR="002D6E52" w:rsidRPr="00DB3FE7" w:rsidRDefault="002D6E52" w:rsidP="00533193">
            <w:pPr>
              <w:pStyle w:val="PBACTabletext0"/>
              <w:spacing w:after="0"/>
              <w:jc w:val="center"/>
              <w:rPr>
                <w:b/>
                <w:bCs/>
                <w:sz w:val="19"/>
                <w:szCs w:val="19"/>
              </w:rPr>
            </w:pPr>
            <w:r w:rsidRPr="00DB3FE7">
              <w:rPr>
                <w:b/>
                <w:bCs/>
                <w:sz w:val="19"/>
                <w:szCs w:val="19"/>
              </w:rPr>
              <w:t>Year 1 (2023)</w:t>
            </w:r>
          </w:p>
        </w:tc>
        <w:tc>
          <w:tcPr>
            <w:tcW w:w="1200" w:type="dxa"/>
            <w:tcBorders>
              <w:bottom w:val="single" w:sz="4" w:space="0" w:color="auto"/>
            </w:tcBorders>
            <w:tcMar>
              <w:left w:w="40" w:type="dxa"/>
              <w:right w:w="40" w:type="dxa"/>
            </w:tcMar>
            <w:vAlign w:val="center"/>
          </w:tcPr>
          <w:p w14:paraId="19DB06F4" w14:textId="77777777" w:rsidR="002D6E52" w:rsidRPr="00DB3FE7" w:rsidRDefault="002D6E52" w:rsidP="00533193">
            <w:pPr>
              <w:pStyle w:val="PBACTabletext0"/>
              <w:spacing w:after="0"/>
              <w:jc w:val="center"/>
              <w:rPr>
                <w:b/>
                <w:bCs/>
                <w:sz w:val="19"/>
                <w:szCs w:val="19"/>
              </w:rPr>
            </w:pPr>
            <w:r w:rsidRPr="00DB3FE7">
              <w:rPr>
                <w:b/>
                <w:bCs/>
                <w:sz w:val="19"/>
                <w:szCs w:val="19"/>
              </w:rPr>
              <w:t>Year 2 (2024)</w:t>
            </w:r>
          </w:p>
        </w:tc>
        <w:tc>
          <w:tcPr>
            <w:tcW w:w="1200" w:type="dxa"/>
            <w:tcBorders>
              <w:bottom w:val="single" w:sz="4" w:space="0" w:color="auto"/>
            </w:tcBorders>
            <w:tcMar>
              <w:left w:w="40" w:type="dxa"/>
              <w:right w:w="40" w:type="dxa"/>
            </w:tcMar>
            <w:vAlign w:val="center"/>
          </w:tcPr>
          <w:p w14:paraId="02A680E2" w14:textId="77777777" w:rsidR="002D6E52" w:rsidRPr="00DB3FE7" w:rsidRDefault="002D6E52" w:rsidP="00533193">
            <w:pPr>
              <w:pStyle w:val="PBACTabletext0"/>
              <w:spacing w:after="0"/>
              <w:jc w:val="center"/>
              <w:rPr>
                <w:b/>
                <w:bCs/>
                <w:sz w:val="19"/>
                <w:szCs w:val="19"/>
              </w:rPr>
            </w:pPr>
            <w:r w:rsidRPr="00DB3FE7">
              <w:rPr>
                <w:b/>
                <w:bCs/>
                <w:sz w:val="19"/>
                <w:szCs w:val="19"/>
              </w:rPr>
              <w:t>Year 3 (2025)</w:t>
            </w:r>
          </w:p>
        </w:tc>
        <w:tc>
          <w:tcPr>
            <w:tcW w:w="1200" w:type="dxa"/>
            <w:tcBorders>
              <w:bottom w:val="single" w:sz="4" w:space="0" w:color="auto"/>
            </w:tcBorders>
            <w:tcMar>
              <w:left w:w="40" w:type="dxa"/>
              <w:right w:w="40" w:type="dxa"/>
            </w:tcMar>
            <w:vAlign w:val="center"/>
          </w:tcPr>
          <w:p w14:paraId="48AB0118" w14:textId="77777777" w:rsidR="002D6E52" w:rsidRPr="00DB3FE7" w:rsidRDefault="002D6E52" w:rsidP="00533193">
            <w:pPr>
              <w:pStyle w:val="PBACTabletext0"/>
              <w:spacing w:after="0"/>
              <w:jc w:val="center"/>
              <w:rPr>
                <w:b/>
                <w:bCs/>
                <w:sz w:val="19"/>
                <w:szCs w:val="19"/>
              </w:rPr>
            </w:pPr>
            <w:r w:rsidRPr="00DB3FE7">
              <w:rPr>
                <w:b/>
                <w:bCs/>
                <w:sz w:val="19"/>
                <w:szCs w:val="19"/>
              </w:rPr>
              <w:t>Year 4 (2026)</w:t>
            </w:r>
          </w:p>
        </w:tc>
        <w:tc>
          <w:tcPr>
            <w:tcW w:w="1200" w:type="dxa"/>
            <w:tcBorders>
              <w:bottom w:val="single" w:sz="4" w:space="0" w:color="auto"/>
            </w:tcBorders>
            <w:noWrap/>
            <w:tcMar>
              <w:left w:w="40" w:type="dxa"/>
              <w:right w:w="40" w:type="dxa"/>
            </w:tcMar>
            <w:vAlign w:val="center"/>
          </w:tcPr>
          <w:p w14:paraId="6355C8E4" w14:textId="77777777" w:rsidR="002D6E52" w:rsidRPr="00DB3FE7" w:rsidRDefault="002D6E52" w:rsidP="00533193">
            <w:pPr>
              <w:pStyle w:val="PBACTabletext0"/>
              <w:spacing w:after="0"/>
              <w:jc w:val="center"/>
              <w:rPr>
                <w:b/>
                <w:bCs/>
                <w:sz w:val="19"/>
                <w:szCs w:val="19"/>
              </w:rPr>
            </w:pPr>
            <w:r w:rsidRPr="00DB3FE7">
              <w:rPr>
                <w:b/>
                <w:bCs/>
                <w:sz w:val="19"/>
                <w:szCs w:val="19"/>
              </w:rPr>
              <w:t>Year 5 (2027)</w:t>
            </w:r>
          </w:p>
        </w:tc>
        <w:tc>
          <w:tcPr>
            <w:tcW w:w="1200" w:type="dxa"/>
            <w:tcBorders>
              <w:bottom w:val="single" w:sz="4" w:space="0" w:color="auto"/>
            </w:tcBorders>
            <w:noWrap/>
            <w:tcMar>
              <w:left w:w="40" w:type="dxa"/>
              <w:right w:w="40" w:type="dxa"/>
            </w:tcMar>
            <w:vAlign w:val="center"/>
          </w:tcPr>
          <w:p w14:paraId="6D08B522" w14:textId="77777777" w:rsidR="002D6E52" w:rsidRPr="00DB3FE7" w:rsidRDefault="002D6E52" w:rsidP="00533193">
            <w:pPr>
              <w:pStyle w:val="PBACTabletext0"/>
              <w:spacing w:after="0"/>
              <w:jc w:val="center"/>
              <w:rPr>
                <w:b/>
                <w:bCs/>
                <w:sz w:val="19"/>
                <w:szCs w:val="19"/>
                <w:vertAlign w:val="superscript"/>
              </w:rPr>
            </w:pPr>
            <w:r w:rsidRPr="00DB3FE7">
              <w:rPr>
                <w:b/>
                <w:bCs/>
                <w:sz w:val="19"/>
                <w:szCs w:val="19"/>
              </w:rPr>
              <w:t>Year 6 (2028)</w:t>
            </w:r>
          </w:p>
        </w:tc>
      </w:tr>
      <w:tr w:rsidR="002D6E52" w:rsidRPr="00DB3FE7" w14:paraId="1047C1D9" w14:textId="77777777" w:rsidTr="00533193">
        <w:trPr>
          <w:trHeight w:val="154"/>
        </w:trPr>
        <w:tc>
          <w:tcPr>
            <w:tcW w:w="4435" w:type="dxa"/>
            <w:gridSpan w:val="3"/>
            <w:tcBorders>
              <w:right w:val="nil"/>
            </w:tcBorders>
            <w:shd w:val="clear" w:color="auto" w:fill="auto"/>
            <w:noWrap/>
            <w:tcMar>
              <w:left w:w="40" w:type="dxa"/>
              <w:right w:w="40" w:type="dxa"/>
            </w:tcMar>
          </w:tcPr>
          <w:p w14:paraId="30C81BDB" w14:textId="77777777" w:rsidR="002D6E52" w:rsidRPr="00DB3FE7" w:rsidRDefault="002D6E52" w:rsidP="00533193">
            <w:pPr>
              <w:pStyle w:val="PBACTabletext0"/>
              <w:spacing w:after="0"/>
              <w:rPr>
                <w:b/>
                <w:bCs/>
                <w:sz w:val="19"/>
                <w:szCs w:val="19"/>
              </w:rPr>
            </w:pPr>
            <w:r w:rsidRPr="00DB3FE7">
              <w:rPr>
                <w:b/>
                <w:bCs/>
                <w:sz w:val="19"/>
                <w:szCs w:val="19"/>
              </w:rPr>
              <w:t>Total and substituted market non-FH and HeFH market</w:t>
            </w:r>
          </w:p>
        </w:tc>
        <w:tc>
          <w:tcPr>
            <w:tcW w:w="1200" w:type="dxa"/>
            <w:tcBorders>
              <w:left w:val="nil"/>
              <w:right w:val="nil"/>
            </w:tcBorders>
            <w:shd w:val="clear" w:color="auto" w:fill="auto"/>
            <w:tcMar>
              <w:left w:w="40" w:type="dxa"/>
              <w:right w:w="40" w:type="dxa"/>
            </w:tcMar>
            <w:vAlign w:val="center"/>
          </w:tcPr>
          <w:p w14:paraId="07E179BB" w14:textId="77777777" w:rsidR="002D6E52" w:rsidRPr="00DB3FE7" w:rsidRDefault="002D6E52" w:rsidP="00533193">
            <w:pPr>
              <w:pStyle w:val="PBACTabletext0"/>
              <w:spacing w:after="0"/>
              <w:jc w:val="center"/>
              <w:rPr>
                <w:b/>
                <w:bCs/>
                <w:sz w:val="19"/>
                <w:szCs w:val="19"/>
              </w:rPr>
            </w:pPr>
          </w:p>
        </w:tc>
        <w:tc>
          <w:tcPr>
            <w:tcW w:w="1200" w:type="dxa"/>
            <w:tcBorders>
              <w:left w:val="nil"/>
              <w:right w:val="nil"/>
            </w:tcBorders>
            <w:shd w:val="clear" w:color="auto" w:fill="auto"/>
            <w:tcMar>
              <w:left w:w="40" w:type="dxa"/>
              <w:right w:w="40" w:type="dxa"/>
            </w:tcMar>
            <w:vAlign w:val="center"/>
          </w:tcPr>
          <w:p w14:paraId="7007A4E4" w14:textId="77777777" w:rsidR="002D6E52" w:rsidRPr="00DB3FE7" w:rsidRDefault="002D6E52" w:rsidP="00533193">
            <w:pPr>
              <w:pStyle w:val="PBACTabletext0"/>
              <w:spacing w:after="0"/>
              <w:jc w:val="center"/>
              <w:rPr>
                <w:b/>
                <w:bCs/>
                <w:sz w:val="19"/>
                <w:szCs w:val="19"/>
              </w:rPr>
            </w:pPr>
          </w:p>
        </w:tc>
        <w:tc>
          <w:tcPr>
            <w:tcW w:w="1200" w:type="dxa"/>
            <w:tcBorders>
              <w:left w:val="nil"/>
              <w:right w:val="single" w:sz="4" w:space="0" w:color="auto"/>
            </w:tcBorders>
            <w:shd w:val="clear" w:color="auto" w:fill="auto"/>
            <w:noWrap/>
            <w:tcMar>
              <w:left w:w="40" w:type="dxa"/>
              <w:right w:w="40" w:type="dxa"/>
            </w:tcMar>
            <w:vAlign w:val="center"/>
          </w:tcPr>
          <w:p w14:paraId="704DB43D" w14:textId="77777777" w:rsidR="002D6E52" w:rsidRPr="00DB3FE7" w:rsidRDefault="002D6E52" w:rsidP="00533193">
            <w:pPr>
              <w:pStyle w:val="PBACTabletext0"/>
              <w:spacing w:after="0"/>
              <w:jc w:val="center"/>
              <w:rPr>
                <w:b/>
                <w:bCs/>
                <w:sz w:val="19"/>
                <w:szCs w:val="19"/>
              </w:rPr>
            </w:pPr>
          </w:p>
        </w:tc>
        <w:tc>
          <w:tcPr>
            <w:tcW w:w="1200" w:type="dxa"/>
            <w:tcBorders>
              <w:left w:val="single" w:sz="4" w:space="0" w:color="auto"/>
              <w:right w:val="single" w:sz="4" w:space="0" w:color="auto"/>
            </w:tcBorders>
            <w:shd w:val="clear" w:color="auto" w:fill="auto"/>
            <w:noWrap/>
            <w:tcMar>
              <w:left w:w="40" w:type="dxa"/>
              <w:right w:w="40" w:type="dxa"/>
            </w:tcMar>
            <w:vAlign w:val="center"/>
          </w:tcPr>
          <w:p w14:paraId="70087A46" w14:textId="77777777" w:rsidR="002D6E52" w:rsidRPr="00DB3FE7" w:rsidRDefault="002D6E52" w:rsidP="00533193">
            <w:pPr>
              <w:pStyle w:val="PBACTabletext0"/>
              <w:spacing w:after="0"/>
              <w:jc w:val="center"/>
              <w:rPr>
                <w:b/>
                <w:bCs/>
                <w:sz w:val="19"/>
                <w:szCs w:val="19"/>
              </w:rPr>
            </w:pPr>
          </w:p>
        </w:tc>
      </w:tr>
      <w:tr w:rsidR="002D6E52" w:rsidRPr="00DB3FE7" w14:paraId="5EA542AB" w14:textId="77777777" w:rsidTr="00533193">
        <w:trPr>
          <w:trHeight w:val="154"/>
        </w:trPr>
        <w:tc>
          <w:tcPr>
            <w:tcW w:w="2035" w:type="dxa"/>
            <w:noWrap/>
            <w:tcMar>
              <w:left w:w="40" w:type="dxa"/>
              <w:right w:w="40" w:type="dxa"/>
            </w:tcMar>
            <w:vAlign w:val="center"/>
          </w:tcPr>
          <w:p w14:paraId="2BE46365" w14:textId="77777777" w:rsidR="002D6E52" w:rsidRPr="00DB3FE7" w:rsidRDefault="002D6E52" w:rsidP="00533193">
            <w:pPr>
              <w:pStyle w:val="PBACTabletext0"/>
              <w:spacing w:after="0"/>
              <w:rPr>
                <w:sz w:val="19"/>
                <w:szCs w:val="19"/>
              </w:rPr>
            </w:pPr>
            <w:r w:rsidRPr="00DB3FE7">
              <w:rPr>
                <w:sz w:val="19"/>
                <w:szCs w:val="19"/>
              </w:rPr>
              <w:t xml:space="preserve">Evolocumab script numbers </w:t>
            </w:r>
          </w:p>
        </w:tc>
        <w:tc>
          <w:tcPr>
            <w:tcW w:w="1200" w:type="dxa"/>
            <w:tcMar>
              <w:left w:w="40" w:type="dxa"/>
              <w:right w:w="40" w:type="dxa"/>
            </w:tcMar>
            <w:vAlign w:val="center"/>
          </w:tcPr>
          <w:p w14:paraId="73C5F10E" w14:textId="35A811F2"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1</w:t>
            </w:r>
          </w:p>
        </w:tc>
        <w:tc>
          <w:tcPr>
            <w:tcW w:w="1200" w:type="dxa"/>
            <w:tcMar>
              <w:left w:w="40" w:type="dxa"/>
              <w:right w:w="40" w:type="dxa"/>
            </w:tcMar>
            <w:vAlign w:val="center"/>
          </w:tcPr>
          <w:p w14:paraId="0BBD9E59" w14:textId="6E39F201"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1</w:t>
            </w:r>
          </w:p>
        </w:tc>
        <w:tc>
          <w:tcPr>
            <w:tcW w:w="1200" w:type="dxa"/>
            <w:tcMar>
              <w:left w:w="40" w:type="dxa"/>
              <w:right w:w="40" w:type="dxa"/>
            </w:tcMar>
            <w:vAlign w:val="center"/>
          </w:tcPr>
          <w:p w14:paraId="04708458" w14:textId="64AB8A08"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2</w:t>
            </w:r>
          </w:p>
        </w:tc>
        <w:tc>
          <w:tcPr>
            <w:tcW w:w="1200" w:type="dxa"/>
            <w:tcMar>
              <w:left w:w="40" w:type="dxa"/>
              <w:right w:w="40" w:type="dxa"/>
            </w:tcMar>
            <w:vAlign w:val="center"/>
          </w:tcPr>
          <w:p w14:paraId="6B91C66F" w14:textId="38B7B97E"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2</w:t>
            </w:r>
          </w:p>
        </w:tc>
        <w:tc>
          <w:tcPr>
            <w:tcW w:w="1200" w:type="dxa"/>
            <w:noWrap/>
            <w:tcMar>
              <w:left w:w="40" w:type="dxa"/>
              <w:right w:w="40" w:type="dxa"/>
            </w:tcMar>
            <w:vAlign w:val="center"/>
          </w:tcPr>
          <w:p w14:paraId="52767F71" w14:textId="742BD3E1"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2</w:t>
            </w:r>
          </w:p>
        </w:tc>
        <w:tc>
          <w:tcPr>
            <w:tcW w:w="1200" w:type="dxa"/>
            <w:noWrap/>
            <w:tcMar>
              <w:left w:w="40" w:type="dxa"/>
              <w:right w:w="40" w:type="dxa"/>
            </w:tcMar>
            <w:vAlign w:val="center"/>
          </w:tcPr>
          <w:p w14:paraId="2703FA47" w14:textId="2217A219"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2</w:t>
            </w:r>
          </w:p>
        </w:tc>
      </w:tr>
      <w:tr w:rsidR="002D6E52" w:rsidRPr="00DB3FE7" w14:paraId="45BD3E48" w14:textId="77777777" w:rsidTr="00533193">
        <w:trPr>
          <w:trHeight w:val="154"/>
        </w:trPr>
        <w:tc>
          <w:tcPr>
            <w:tcW w:w="2035" w:type="dxa"/>
            <w:noWrap/>
            <w:tcMar>
              <w:left w:w="40" w:type="dxa"/>
              <w:right w:w="40" w:type="dxa"/>
            </w:tcMar>
            <w:vAlign w:val="center"/>
          </w:tcPr>
          <w:p w14:paraId="04FB81E7" w14:textId="77777777" w:rsidR="002D6E52" w:rsidRPr="00DB3FE7" w:rsidRDefault="002D6E52" w:rsidP="00533193">
            <w:pPr>
              <w:pStyle w:val="PBACTabletext0"/>
              <w:spacing w:after="0"/>
              <w:rPr>
                <w:sz w:val="19"/>
                <w:szCs w:val="19"/>
              </w:rPr>
            </w:pPr>
            <w:r w:rsidRPr="00DB3FE7">
              <w:rPr>
                <w:sz w:val="19"/>
                <w:szCs w:val="19"/>
              </w:rPr>
              <w:t>Alirocumab script numbers</w:t>
            </w:r>
          </w:p>
        </w:tc>
        <w:tc>
          <w:tcPr>
            <w:tcW w:w="1200" w:type="dxa"/>
            <w:tcMar>
              <w:left w:w="40" w:type="dxa"/>
              <w:right w:w="40" w:type="dxa"/>
            </w:tcMar>
            <w:vAlign w:val="center"/>
          </w:tcPr>
          <w:p w14:paraId="3FB31DFC" w14:textId="72ABCC5A"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3</w:t>
            </w:r>
          </w:p>
        </w:tc>
        <w:tc>
          <w:tcPr>
            <w:tcW w:w="1200" w:type="dxa"/>
            <w:tcMar>
              <w:left w:w="40" w:type="dxa"/>
              <w:right w:w="40" w:type="dxa"/>
            </w:tcMar>
            <w:vAlign w:val="center"/>
          </w:tcPr>
          <w:p w14:paraId="559226AF" w14:textId="2A4874CA"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3</w:t>
            </w:r>
          </w:p>
        </w:tc>
        <w:tc>
          <w:tcPr>
            <w:tcW w:w="1200" w:type="dxa"/>
            <w:tcMar>
              <w:left w:w="40" w:type="dxa"/>
              <w:right w:w="40" w:type="dxa"/>
            </w:tcMar>
            <w:vAlign w:val="center"/>
          </w:tcPr>
          <w:p w14:paraId="62E2F51E" w14:textId="08CD4D47"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c>
          <w:tcPr>
            <w:tcW w:w="1200" w:type="dxa"/>
            <w:tcMar>
              <w:left w:w="40" w:type="dxa"/>
              <w:right w:w="40" w:type="dxa"/>
            </w:tcMar>
            <w:vAlign w:val="center"/>
          </w:tcPr>
          <w:p w14:paraId="37E26F2B" w14:textId="3A5CDF3B"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c>
          <w:tcPr>
            <w:tcW w:w="1200" w:type="dxa"/>
            <w:noWrap/>
            <w:tcMar>
              <w:left w:w="40" w:type="dxa"/>
              <w:right w:w="40" w:type="dxa"/>
            </w:tcMar>
            <w:vAlign w:val="center"/>
          </w:tcPr>
          <w:p w14:paraId="04CF9459" w14:textId="67E7A6B4"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c>
          <w:tcPr>
            <w:tcW w:w="1200" w:type="dxa"/>
            <w:noWrap/>
            <w:tcMar>
              <w:left w:w="40" w:type="dxa"/>
              <w:right w:w="40" w:type="dxa"/>
            </w:tcMar>
            <w:vAlign w:val="center"/>
          </w:tcPr>
          <w:p w14:paraId="2A7AD800" w14:textId="1B88A0EB"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r>
      <w:tr w:rsidR="002D6E52" w:rsidRPr="00DB3FE7" w14:paraId="2D315B68" w14:textId="77777777" w:rsidTr="00533193">
        <w:trPr>
          <w:trHeight w:val="154"/>
        </w:trPr>
        <w:tc>
          <w:tcPr>
            <w:tcW w:w="2035" w:type="dxa"/>
            <w:noWrap/>
            <w:tcMar>
              <w:left w:w="40" w:type="dxa"/>
              <w:right w:w="40" w:type="dxa"/>
            </w:tcMar>
            <w:vAlign w:val="center"/>
          </w:tcPr>
          <w:p w14:paraId="080B3889" w14:textId="77777777" w:rsidR="002D6E52" w:rsidRPr="009D5406" w:rsidRDefault="002D6E52" w:rsidP="00533193">
            <w:pPr>
              <w:pStyle w:val="PBACTabletext0"/>
              <w:spacing w:after="0"/>
              <w:rPr>
                <w:sz w:val="19"/>
                <w:szCs w:val="19"/>
              </w:rPr>
            </w:pPr>
            <w:r w:rsidRPr="009D5406">
              <w:rPr>
                <w:sz w:val="19"/>
                <w:szCs w:val="19"/>
              </w:rPr>
              <w:t>Inclisiran uptake</w:t>
            </w:r>
          </w:p>
        </w:tc>
        <w:tc>
          <w:tcPr>
            <w:tcW w:w="1200" w:type="dxa"/>
            <w:tcMar>
              <w:left w:w="40" w:type="dxa"/>
              <w:right w:w="40" w:type="dxa"/>
            </w:tcMar>
            <w:vAlign w:val="center"/>
          </w:tcPr>
          <w:p w14:paraId="31849438" w14:textId="77777777" w:rsidR="002D6E52" w:rsidRPr="00D33149" w:rsidRDefault="002D6E52" w:rsidP="00533193">
            <w:pPr>
              <w:pStyle w:val="PBACTabletext0"/>
              <w:spacing w:after="0"/>
              <w:jc w:val="center"/>
              <w:rPr>
                <w:sz w:val="19"/>
                <w:szCs w:val="19"/>
              </w:rPr>
            </w:pPr>
            <w:r w:rsidRPr="00C91ADA">
              <w:rPr>
                <w:sz w:val="19"/>
                <w:szCs w:val="19"/>
              </w:rPr>
              <w:t>15</w:t>
            </w:r>
            <w:r w:rsidRPr="00D33149">
              <w:rPr>
                <w:sz w:val="19"/>
                <w:szCs w:val="19"/>
              </w:rPr>
              <w:t>%</w:t>
            </w:r>
          </w:p>
        </w:tc>
        <w:tc>
          <w:tcPr>
            <w:tcW w:w="1200" w:type="dxa"/>
            <w:tcMar>
              <w:left w:w="40" w:type="dxa"/>
              <w:right w:w="40" w:type="dxa"/>
            </w:tcMar>
            <w:vAlign w:val="center"/>
          </w:tcPr>
          <w:p w14:paraId="463707E1" w14:textId="77777777" w:rsidR="002D6E52" w:rsidRPr="00D33149" w:rsidRDefault="002D6E52" w:rsidP="00533193">
            <w:pPr>
              <w:pStyle w:val="PBACTabletext0"/>
              <w:spacing w:after="0"/>
              <w:jc w:val="center"/>
              <w:rPr>
                <w:sz w:val="19"/>
                <w:szCs w:val="19"/>
              </w:rPr>
            </w:pPr>
            <w:r w:rsidRPr="00C91ADA">
              <w:rPr>
                <w:sz w:val="19"/>
                <w:szCs w:val="19"/>
              </w:rPr>
              <w:t>20</w:t>
            </w:r>
            <w:r w:rsidRPr="00D33149">
              <w:rPr>
                <w:sz w:val="19"/>
                <w:szCs w:val="19"/>
              </w:rPr>
              <w:t>%</w:t>
            </w:r>
          </w:p>
        </w:tc>
        <w:tc>
          <w:tcPr>
            <w:tcW w:w="1200" w:type="dxa"/>
            <w:tcMar>
              <w:left w:w="40" w:type="dxa"/>
              <w:right w:w="40" w:type="dxa"/>
            </w:tcMar>
            <w:vAlign w:val="center"/>
          </w:tcPr>
          <w:p w14:paraId="48360CEB" w14:textId="77777777" w:rsidR="002D6E52" w:rsidRPr="00D33149" w:rsidRDefault="002D6E52" w:rsidP="00533193">
            <w:pPr>
              <w:pStyle w:val="PBACTabletext0"/>
              <w:spacing w:after="0"/>
              <w:jc w:val="center"/>
              <w:rPr>
                <w:sz w:val="19"/>
                <w:szCs w:val="19"/>
              </w:rPr>
            </w:pPr>
            <w:r w:rsidRPr="00C91ADA">
              <w:rPr>
                <w:sz w:val="19"/>
                <w:szCs w:val="19"/>
              </w:rPr>
              <w:t>33</w:t>
            </w:r>
            <w:r w:rsidRPr="00D33149">
              <w:rPr>
                <w:sz w:val="19"/>
                <w:szCs w:val="19"/>
              </w:rPr>
              <w:t>%</w:t>
            </w:r>
          </w:p>
        </w:tc>
        <w:tc>
          <w:tcPr>
            <w:tcW w:w="1200" w:type="dxa"/>
            <w:tcMar>
              <w:left w:w="40" w:type="dxa"/>
              <w:right w:w="40" w:type="dxa"/>
            </w:tcMar>
            <w:vAlign w:val="center"/>
          </w:tcPr>
          <w:p w14:paraId="5C9A6677" w14:textId="77777777" w:rsidR="002D6E52" w:rsidRPr="00D33149" w:rsidRDefault="002D6E52" w:rsidP="00533193">
            <w:pPr>
              <w:pStyle w:val="PBACTabletext0"/>
              <w:spacing w:after="0"/>
              <w:jc w:val="center"/>
              <w:rPr>
                <w:sz w:val="19"/>
                <w:szCs w:val="19"/>
              </w:rPr>
            </w:pPr>
            <w:r w:rsidRPr="00C91ADA">
              <w:rPr>
                <w:sz w:val="19"/>
                <w:szCs w:val="19"/>
              </w:rPr>
              <w:t>33</w:t>
            </w:r>
            <w:r w:rsidRPr="00D33149">
              <w:rPr>
                <w:sz w:val="19"/>
                <w:szCs w:val="19"/>
              </w:rPr>
              <w:t>%</w:t>
            </w:r>
          </w:p>
        </w:tc>
        <w:tc>
          <w:tcPr>
            <w:tcW w:w="1200" w:type="dxa"/>
            <w:noWrap/>
            <w:tcMar>
              <w:left w:w="40" w:type="dxa"/>
              <w:right w:w="40" w:type="dxa"/>
            </w:tcMar>
            <w:vAlign w:val="center"/>
          </w:tcPr>
          <w:p w14:paraId="2A59CDEE" w14:textId="77777777" w:rsidR="002D6E52" w:rsidRPr="00D33149" w:rsidRDefault="002D6E52" w:rsidP="00533193">
            <w:pPr>
              <w:pStyle w:val="PBACTabletext0"/>
              <w:spacing w:after="0"/>
              <w:jc w:val="center"/>
              <w:rPr>
                <w:sz w:val="19"/>
                <w:szCs w:val="19"/>
              </w:rPr>
            </w:pPr>
            <w:r w:rsidRPr="00C91ADA">
              <w:rPr>
                <w:sz w:val="19"/>
                <w:szCs w:val="19"/>
              </w:rPr>
              <w:t>33</w:t>
            </w:r>
            <w:r w:rsidRPr="00D33149">
              <w:rPr>
                <w:sz w:val="19"/>
                <w:szCs w:val="19"/>
              </w:rPr>
              <w:t>%</w:t>
            </w:r>
          </w:p>
        </w:tc>
        <w:tc>
          <w:tcPr>
            <w:tcW w:w="1200" w:type="dxa"/>
            <w:noWrap/>
            <w:tcMar>
              <w:left w:w="40" w:type="dxa"/>
              <w:right w:w="40" w:type="dxa"/>
            </w:tcMar>
            <w:vAlign w:val="center"/>
          </w:tcPr>
          <w:p w14:paraId="523DF01D" w14:textId="77777777" w:rsidR="002D6E52" w:rsidRPr="00D33149" w:rsidRDefault="002D6E52" w:rsidP="00533193">
            <w:pPr>
              <w:pStyle w:val="PBACTabletext0"/>
              <w:spacing w:after="0"/>
              <w:jc w:val="center"/>
              <w:rPr>
                <w:sz w:val="19"/>
                <w:szCs w:val="19"/>
              </w:rPr>
            </w:pPr>
            <w:r w:rsidRPr="00C91ADA">
              <w:rPr>
                <w:sz w:val="19"/>
                <w:szCs w:val="19"/>
              </w:rPr>
              <w:t>33</w:t>
            </w:r>
            <w:r w:rsidRPr="00D33149">
              <w:rPr>
                <w:sz w:val="19"/>
                <w:szCs w:val="19"/>
              </w:rPr>
              <w:t>%</w:t>
            </w:r>
          </w:p>
        </w:tc>
      </w:tr>
      <w:tr w:rsidR="002D6E52" w:rsidRPr="00DB3FE7" w14:paraId="61E8D2C0" w14:textId="77777777" w:rsidTr="00533193">
        <w:trPr>
          <w:trHeight w:val="154"/>
        </w:trPr>
        <w:tc>
          <w:tcPr>
            <w:tcW w:w="2035" w:type="dxa"/>
            <w:noWrap/>
            <w:tcMar>
              <w:left w:w="40" w:type="dxa"/>
              <w:right w:w="40" w:type="dxa"/>
            </w:tcMar>
            <w:vAlign w:val="center"/>
          </w:tcPr>
          <w:p w14:paraId="598C7A93" w14:textId="77777777" w:rsidR="002D6E52" w:rsidRPr="00DB3FE7" w:rsidRDefault="002D6E52" w:rsidP="00533193">
            <w:pPr>
              <w:pStyle w:val="PBACTabletext0"/>
              <w:spacing w:after="0"/>
              <w:rPr>
                <w:sz w:val="19"/>
                <w:szCs w:val="19"/>
              </w:rPr>
            </w:pPr>
            <w:r w:rsidRPr="00DB3FE7">
              <w:rPr>
                <w:sz w:val="19"/>
                <w:szCs w:val="19"/>
              </w:rPr>
              <w:t>Evolocumab substituted scripts</w:t>
            </w:r>
          </w:p>
        </w:tc>
        <w:tc>
          <w:tcPr>
            <w:tcW w:w="1200" w:type="dxa"/>
            <w:tcMar>
              <w:left w:w="40" w:type="dxa"/>
              <w:right w:w="40" w:type="dxa"/>
            </w:tcMar>
            <w:vAlign w:val="center"/>
          </w:tcPr>
          <w:p w14:paraId="7D47326A" w14:textId="73FB2013"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6"/>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6"/>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6"/>
                <w14:textFill>
                  <w14:solidFill>
                    <w14:srgbClr w14:val="000000">
                      <w14:alpha w14:val="100000"/>
                    </w14:srgbClr>
                  </w14:solidFill>
                </w14:textFill>
              </w:rPr>
              <w:t xml:space="preserve">　</w:t>
            </w:r>
            <w:r w:rsidR="00D919F6" w:rsidRPr="00DB3FE7">
              <w:rPr>
                <w:sz w:val="19"/>
                <w:szCs w:val="19"/>
                <w:vertAlign w:val="superscript"/>
              </w:rPr>
              <w:t>5</w:t>
            </w:r>
          </w:p>
        </w:tc>
        <w:tc>
          <w:tcPr>
            <w:tcW w:w="1200" w:type="dxa"/>
            <w:tcMar>
              <w:left w:w="40" w:type="dxa"/>
              <w:right w:w="40" w:type="dxa"/>
            </w:tcMar>
            <w:vAlign w:val="center"/>
          </w:tcPr>
          <w:p w14:paraId="2F66049F" w14:textId="0B7F21FA"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5"/>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5"/>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5"/>
                <w14:textFill>
                  <w14:solidFill>
                    <w14:srgbClr w14:val="000000">
                      <w14:alpha w14:val="100000"/>
                    </w14:srgbClr>
                  </w14:solidFill>
                </w14:textFill>
              </w:rPr>
              <w:t xml:space="preserve">　</w:t>
            </w:r>
            <w:r w:rsidR="00D919F6" w:rsidRPr="00DB3FE7">
              <w:rPr>
                <w:sz w:val="19"/>
                <w:szCs w:val="19"/>
                <w:vertAlign w:val="superscript"/>
              </w:rPr>
              <w:t>6</w:t>
            </w:r>
          </w:p>
        </w:tc>
        <w:tc>
          <w:tcPr>
            <w:tcW w:w="1200" w:type="dxa"/>
            <w:tcMar>
              <w:left w:w="40" w:type="dxa"/>
              <w:right w:w="40" w:type="dxa"/>
            </w:tcMar>
            <w:vAlign w:val="center"/>
          </w:tcPr>
          <w:p w14:paraId="77CC01D4" w14:textId="2F7850C9"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4"/>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4"/>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4"/>
                <w14:textFill>
                  <w14:solidFill>
                    <w14:srgbClr w14:val="000000">
                      <w14:alpha w14:val="100000"/>
                    </w14:srgbClr>
                  </w14:solidFill>
                </w14:textFill>
              </w:rPr>
              <w:t xml:space="preserve">　</w:t>
            </w:r>
            <w:r w:rsidR="00D919F6" w:rsidRPr="00DB3FE7">
              <w:rPr>
                <w:sz w:val="19"/>
                <w:szCs w:val="19"/>
                <w:vertAlign w:val="superscript"/>
              </w:rPr>
              <w:t>7</w:t>
            </w:r>
          </w:p>
        </w:tc>
        <w:tc>
          <w:tcPr>
            <w:tcW w:w="1200" w:type="dxa"/>
            <w:tcMar>
              <w:left w:w="40" w:type="dxa"/>
              <w:right w:w="40" w:type="dxa"/>
            </w:tcMar>
            <w:vAlign w:val="center"/>
          </w:tcPr>
          <w:p w14:paraId="686F1973" w14:textId="167B7C9C"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3"/>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3"/>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3"/>
                <w14:textFill>
                  <w14:solidFill>
                    <w14:srgbClr w14:val="000000">
                      <w14:alpha w14:val="100000"/>
                    </w14:srgbClr>
                  </w14:solidFill>
                </w14:textFill>
              </w:rPr>
              <w:t xml:space="preserve">　</w:t>
            </w:r>
            <w:r w:rsidR="00D919F6" w:rsidRPr="00DB3FE7">
              <w:rPr>
                <w:sz w:val="19"/>
                <w:szCs w:val="19"/>
                <w:vertAlign w:val="superscript"/>
              </w:rPr>
              <w:t>7</w:t>
            </w:r>
          </w:p>
        </w:tc>
        <w:tc>
          <w:tcPr>
            <w:tcW w:w="1200" w:type="dxa"/>
            <w:noWrap/>
            <w:tcMar>
              <w:left w:w="40" w:type="dxa"/>
              <w:right w:w="40" w:type="dxa"/>
            </w:tcMar>
            <w:vAlign w:val="center"/>
          </w:tcPr>
          <w:p w14:paraId="09303F4D" w14:textId="1DA524FC"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2"/>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2"/>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2"/>
                <w14:textFill>
                  <w14:solidFill>
                    <w14:srgbClr w14:val="000000">
                      <w14:alpha w14:val="100000"/>
                    </w14:srgbClr>
                  </w14:solidFill>
                </w14:textFill>
              </w:rPr>
              <w:t xml:space="preserve">　</w:t>
            </w:r>
            <w:r w:rsidR="00D919F6" w:rsidRPr="00DB3FE7">
              <w:rPr>
                <w:sz w:val="19"/>
                <w:szCs w:val="19"/>
                <w:vertAlign w:val="superscript"/>
              </w:rPr>
              <w:t>7</w:t>
            </w:r>
          </w:p>
        </w:tc>
        <w:tc>
          <w:tcPr>
            <w:tcW w:w="1200" w:type="dxa"/>
            <w:noWrap/>
            <w:tcMar>
              <w:left w:w="40" w:type="dxa"/>
              <w:right w:w="40" w:type="dxa"/>
            </w:tcMar>
            <w:vAlign w:val="center"/>
          </w:tcPr>
          <w:p w14:paraId="1AF91D61" w14:textId="403F70C1"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1"/>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1"/>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1"/>
                <w14:textFill>
                  <w14:solidFill>
                    <w14:srgbClr w14:val="000000">
                      <w14:alpha w14:val="100000"/>
                    </w14:srgbClr>
                  </w14:solidFill>
                </w14:textFill>
              </w:rPr>
              <w:t xml:space="preserve">　</w:t>
            </w:r>
            <w:r w:rsidR="00D919F6" w:rsidRPr="00DB3FE7">
              <w:rPr>
                <w:sz w:val="19"/>
                <w:szCs w:val="19"/>
                <w:vertAlign w:val="superscript"/>
              </w:rPr>
              <w:t>7</w:t>
            </w:r>
          </w:p>
        </w:tc>
      </w:tr>
      <w:tr w:rsidR="002D6E52" w:rsidRPr="00DB3FE7" w14:paraId="5D04CC56" w14:textId="77777777" w:rsidTr="00533193">
        <w:trPr>
          <w:trHeight w:val="154"/>
        </w:trPr>
        <w:tc>
          <w:tcPr>
            <w:tcW w:w="2035" w:type="dxa"/>
            <w:tcBorders>
              <w:bottom w:val="single" w:sz="4" w:space="0" w:color="auto"/>
            </w:tcBorders>
            <w:noWrap/>
            <w:tcMar>
              <w:left w:w="40" w:type="dxa"/>
              <w:right w:w="40" w:type="dxa"/>
            </w:tcMar>
            <w:vAlign w:val="center"/>
          </w:tcPr>
          <w:p w14:paraId="3BE9F8A6" w14:textId="77777777" w:rsidR="002D6E52" w:rsidRPr="00DB3FE7" w:rsidRDefault="002D6E52" w:rsidP="00533193">
            <w:pPr>
              <w:pStyle w:val="PBACTabletext0"/>
              <w:spacing w:after="0"/>
              <w:rPr>
                <w:sz w:val="19"/>
                <w:szCs w:val="19"/>
              </w:rPr>
            </w:pPr>
            <w:r w:rsidRPr="00DB3FE7">
              <w:rPr>
                <w:sz w:val="19"/>
                <w:szCs w:val="19"/>
              </w:rPr>
              <w:t>Alirocumab substituted scripts</w:t>
            </w:r>
          </w:p>
        </w:tc>
        <w:tc>
          <w:tcPr>
            <w:tcW w:w="1200" w:type="dxa"/>
            <w:tcBorders>
              <w:bottom w:val="single" w:sz="4" w:space="0" w:color="auto"/>
            </w:tcBorders>
            <w:tcMar>
              <w:left w:w="40" w:type="dxa"/>
              <w:right w:w="40" w:type="dxa"/>
            </w:tcMar>
            <w:vAlign w:val="center"/>
          </w:tcPr>
          <w:p w14:paraId="19F4DD89" w14:textId="27FDCABB"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60"/>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60"/>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60"/>
                <w14:textFill>
                  <w14:solidFill>
                    <w14:srgbClr w14:val="000000">
                      <w14:alpha w14:val="100000"/>
                    </w14:srgbClr>
                  </w14:solidFill>
                </w14:textFill>
              </w:rPr>
              <w:t xml:space="preserve">　</w:t>
            </w:r>
            <w:r w:rsidR="00D919F6" w:rsidRPr="00DB3FE7">
              <w:rPr>
                <w:sz w:val="19"/>
                <w:szCs w:val="19"/>
                <w:vertAlign w:val="superscript"/>
              </w:rPr>
              <w:t>8</w:t>
            </w:r>
          </w:p>
        </w:tc>
        <w:tc>
          <w:tcPr>
            <w:tcW w:w="1200" w:type="dxa"/>
            <w:tcBorders>
              <w:bottom w:val="single" w:sz="4" w:space="0" w:color="auto"/>
            </w:tcBorders>
            <w:tcMar>
              <w:left w:w="40" w:type="dxa"/>
              <w:right w:w="40" w:type="dxa"/>
            </w:tcMar>
            <w:vAlign w:val="center"/>
          </w:tcPr>
          <w:p w14:paraId="61E39374" w14:textId="4328BFAB"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59"/>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59"/>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59"/>
                <w14:textFill>
                  <w14:solidFill>
                    <w14:srgbClr w14:val="000000">
                      <w14:alpha w14:val="100000"/>
                    </w14:srgbClr>
                  </w14:solidFill>
                </w14:textFill>
              </w:rPr>
              <w:t xml:space="preserve">　</w:t>
            </w:r>
            <w:r w:rsidR="00D919F6" w:rsidRPr="00DB3FE7">
              <w:rPr>
                <w:sz w:val="19"/>
                <w:szCs w:val="19"/>
                <w:vertAlign w:val="superscript"/>
              </w:rPr>
              <w:t>8</w:t>
            </w:r>
          </w:p>
        </w:tc>
        <w:tc>
          <w:tcPr>
            <w:tcW w:w="1200" w:type="dxa"/>
            <w:tcBorders>
              <w:bottom w:val="single" w:sz="4" w:space="0" w:color="auto"/>
            </w:tcBorders>
            <w:tcMar>
              <w:left w:w="40" w:type="dxa"/>
              <w:right w:w="40" w:type="dxa"/>
            </w:tcMar>
            <w:vAlign w:val="center"/>
          </w:tcPr>
          <w:p w14:paraId="729CBC4D" w14:textId="2E7D7FD8"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58"/>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58"/>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58"/>
                <w14:textFill>
                  <w14:solidFill>
                    <w14:srgbClr w14:val="000000">
                      <w14:alpha w14:val="100000"/>
                    </w14:srgbClr>
                  </w14:solidFill>
                </w14:textFill>
              </w:rPr>
              <w:t xml:space="preserve">　</w:t>
            </w:r>
            <w:r w:rsidR="00D919F6" w:rsidRPr="00DB3FE7">
              <w:rPr>
                <w:sz w:val="19"/>
                <w:szCs w:val="19"/>
                <w:vertAlign w:val="superscript"/>
              </w:rPr>
              <w:t>8</w:t>
            </w:r>
          </w:p>
        </w:tc>
        <w:tc>
          <w:tcPr>
            <w:tcW w:w="1200" w:type="dxa"/>
            <w:tcBorders>
              <w:bottom w:val="single" w:sz="4" w:space="0" w:color="auto"/>
            </w:tcBorders>
            <w:tcMar>
              <w:left w:w="40" w:type="dxa"/>
              <w:right w:w="40" w:type="dxa"/>
            </w:tcMar>
            <w:vAlign w:val="center"/>
          </w:tcPr>
          <w:p w14:paraId="01F0DD26" w14:textId="2B422F94"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57"/>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57"/>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57"/>
                <w14:textFill>
                  <w14:solidFill>
                    <w14:srgbClr w14:val="000000">
                      <w14:alpha w14:val="100000"/>
                    </w14:srgbClr>
                  </w14:solidFill>
                </w14:textFill>
              </w:rPr>
              <w:t xml:space="preserve">　</w:t>
            </w:r>
            <w:r w:rsidR="00D919F6" w:rsidRPr="00DB3FE7">
              <w:rPr>
                <w:sz w:val="19"/>
                <w:szCs w:val="19"/>
                <w:vertAlign w:val="superscript"/>
              </w:rPr>
              <w:t>8</w:t>
            </w:r>
          </w:p>
        </w:tc>
        <w:tc>
          <w:tcPr>
            <w:tcW w:w="1200" w:type="dxa"/>
            <w:tcBorders>
              <w:bottom w:val="single" w:sz="4" w:space="0" w:color="auto"/>
            </w:tcBorders>
            <w:noWrap/>
            <w:tcMar>
              <w:left w:w="40" w:type="dxa"/>
              <w:right w:w="40" w:type="dxa"/>
            </w:tcMar>
            <w:vAlign w:val="center"/>
          </w:tcPr>
          <w:p w14:paraId="1060A1FF" w14:textId="52AD5C9A"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56"/>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56"/>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56"/>
                <w14:textFill>
                  <w14:solidFill>
                    <w14:srgbClr w14:val="000000">
                      <w14:alpha w14:val="100000"/>
                    </w14:srgbClr>
                  </w14:solidFill>
                </w14:textFill>
              </w:rPr>
              <w:t xml:space="preserve">　</w:t>
            </w:r>
            <w:r w:rsidR="00D919F6" w:rsidRPr="00DB3FE7">
              <w:rPr>
                <w:sz w:val="19"/>
                <w:szCs w:val="19"/>
                <w:vertAlign w:val="superscript"/>
              </w:rPr>
              <w:t>3</w:t>
            </w:r>
          </w:p>
        </w:tc>
        <w:tc>
          <w:tcPr>
            <w:tcW w:w="1200" w:type="dxa"/>
            <w:tcBorders>
              <w:bottom w:val="single" w:sz="4" w:space="0" w:color="auto"/>
            </w:tcBorders>
            <w:noWrap/>
            <w:tcMar>
              <w:left w:w="40" w:type="dxa"/>
              <w:right w:w="40" w:type="dxa"/>
            </w:tcMar>
            <w:vAlign w:val="center"/>
          </w:tcPr>
          <w:p w14:paraId="6633670A" w14:textId="3DF7F1E6"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272"/>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272"/>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272"/>
                <w14:textFill>
                  <w14:solidFill>
                    <w14:srgbClr w14:val="000000">
                      <w14:alpha w14:val="100000"/>
                    </w14:srgbClr>
                  </w14:solidFill>
                </w14:textFill>
              </w:rPr>
              <w:t xml:space="preserve">　</w:t>
            </w:r>
            <w:r w:rsidR="00D919F6" w:rsidRPr="00DB3FE7">
              <w:rPr>
                <w:sz w:val="19"/>
                <w:szCs w:val="19"/>
                <w:vertAlign w:val="superscript"/>
              </w:rPr>
              <w:t>3</w:t>
            </w:r>
          </w:p>
        </w:tc>
      </w:tr>
      <w:tr w:rsidR="002D6E52" w:rsidRPr="00DB3FE7" w14:paraId="11C89367" w14:textId="77777777" w:rsidTr="00533193">
        <w:trPr>
          <w:trHeight w:val="154"/>
        </w:trPr>
        <w:tc>
          <w:tcPr>
            <w:tcW w:w="9235" w:type="dxa"/>
            <w:gridSpan w:val="7"/>
            <w:tcBorders>
              <w:right w:val="single" w:sz="4" w:space="0" w:color="auto"/>
            </w:tcBorders>
            <w:shd w:val="clear" w:color="auto" w:fill="auto"/>
            <w:noWrap/>
            <w:tcMar>
              <w:left w:w="40" w:type="dxa"/>
              <w:right w:w="40" w:type="dxa"/>
            </w:tcMar>
          </w:tcPr>
          <w:p w14:paraId="1C1FFA0D" w14:textId="77777777" w:rsidR="002D6E52" w:rsidRPr="00DB3FE7" w:rsidRDefault="002D6E52" w:rsidP="00533193">
            <w:pPr>
              <w:pStyle w:val="PBACTabletext0"/>
              <w:spacing w:after="0"/>
              <w:rPr>
                <w:rFonts w:ascii="Arial" w:hAnsi="Arial"/>
                <w:b/>
                <w:bCs/>
                <w:sz w:val="19"/>
                <w:szCs w:val="19"/>
              </w:rPr>
            </w:pPr>
            <w:r w:rsidRPr="00DB3FE7">
              <w:rPr>
                <w:b/>
                <w:bCs/>
                <w:sz w:val="19"/>
                <w:szCs w:val="19"/>
              </w:rPr>
              <w:t>Script numbers and financial impact assuming equal adherence</w:t>
            </w:r>
          </w:p>
        </w:tc>
      </w:tr>
      <w:tr w:rsidR="002D6E52" w:rsidRPr="00DB3FE7" w14:paraId="4B96DD84" w14:textId="77777777" w:rsidTr="00533193">
        <w:trPr>
          <w:trHeight w:val="154"/>
        </w:trPr>
        <w:tc>
          <w:tcPr>
            <w:tcW w:w="2035" w:type="dxa"/>
            <w:noWrap/>
            <w:tcMar>
              <w:left w:w="40" w:type="dxa"/>
              <w:right w:w="40" w:type="dxa"/>
            </w:tcMar>
          </w:tcPr>
          <w:p w14:paraId="56CB7F41" w14:textId="77777777" w:rsidR="002D6E52" w:rsidRPr="00DB3FE7" w:rsidRDefault="002D6E52" w:rsidP="00533193">
            <w:pPr>
              <w:pStyle w:val="PBACTabletext0"/>
              <w:spacing w:after="0"/>
              <w:rPr>
                <w:sz w:val="19"/>
                <w:szCs w:val="19"/>
              </w:rPr>
            </w:pPr>
            <w:r w:rsidRPr="00DB3FE7">
              <w:rPr>
                <w:sz w:val="19"/>
                <w:szCs w:val="19"/>
              </w:rPr>
              <w:t xml:space="preserve">Inclisiran script numbers </w:t>
            </w:r>
          </w:p>
        </w:tc>
        <w:tc>
          <w:tcPr>
            <w:tcW w:w="1200" w:type="dxa"/>
            <w:tcMar>
              <w:left w:w="40" w:type="dxa"/>
              <w:right w:w="40" w:type="dxa"/>
            </w:tcMar>
            <w:vAlign w:val="center"/>
          </w:tcPr>
          <w:p w14:paraId="57DDBA3A" w14:textId="03DABACB"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8</w:t>
            </w:r>
          </w:p>
        </w:tc>
        <w:tc>
          <w:tcPr>
            <w:tcW w:w="1200" w:type="dxa"/>
            <w:tcMar>
              <w:left w:w="40" w:type="dxa"/>
              <w:right w:w="40" w:type="dxa"/>
            </w:tcMar>
            <w:vAlign w:val="center"/>
          </w:tcPr>
          <w:p w14:paraId="703E2633" w14:textId="045BE0E4"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3</w:t>
            </w:r>
          </w:p>
        </w:tc>
        <w:tc>
          <w:tcPr>
            <w:tcW w:w="1200" w:type="dxa"/>
            <w:tcMar>
              <w:left w:w="40" w:type="dxa"/>
              <w:right w:w="40" w:type="dxa"/>
            </w:tcMar>
            <w:vAlign w:val="center"/>
          </w:tcPr>
          <w:p w14:paraId="1B4C5848" w14:textId="49E202EF"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c>
          <w:tcPr>
            <w:tcW w:w="1200" w:type="dxa"/>
            <w:tcMar>
              <w:left w:w="40" w:type="dxa"/>
              <w:right w:w="40" w:type="dxa"/>
            </w:tcMar>
            <w:vAlign w:val="center"/>
          </w:tcPr>
          <w:p w14:paraId="5AE38F68" w14:textId="7EFE6152"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c>
          <w:tcPr>
            <w:tcW w:w="1200" w:type="dxa"/>
            <w:noWrap/>
            <w:tcMar>
              <w:left w:w="40" w:type="dxa"/>
              <w:right w:w="40" w:type="dxa"/>
            </w:tcMar>
            <w:vAlign w:val="center"/>
          </w:tcPr>
          <w:p w14:paraId="67016D09" w14:textId="3503D852"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c>
          <w:tcPr>
            <w:tcW w:w="1200" w:type="dxa"/>
            <w:noWrap/>
            <w:tcMar>
              <w:left w:w="40" w:type="dxa"/>
              <w:right w:w="40" w:type="dxa"/>
            </w:tcMar>
            <w:vAlign w:val="center"/>
          </w:tcPr>
          <w:p w14:paraId="3CC0CD75" w14:textId="00EA8876"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4</w:t>
            </w:r>
          </w:p>
        </w:tc>
      </w:tr>
      <w:tr w:rsidR="002D6E52" w:rsidRPr="00DB3FE7" w14:paraId="07D4AC4B" w14:textId="77777777" w:rsidTr="00533193">
        <w:trPr>
          <w:trHeight w:val="154"/>
        </w:trPr>
        <w:tc>
          <w:tcPr>
            <w:tcW w:w="2035" w:type="dxa"/>
            <w:noWrap/>
            <w:tcMar>
              <w:left w:w="40" w:type="dxa"/>
              <w:right w:w="40" w:type="dxa"/>
            </w:tcMar>
          </w:tcPr>
          <w:p w14:paraId="75BCECE3" w14:textId="3F6C100E" w:rsidR="002D6E52" w:rsidRPr="00DB3FE7" w:rsidRDefault="002D6E52" w:rsidP="00533193">
            <w:pPr>
              <w:pStyle w:val="PBACTabletext0"/>
              <w:spacing w:after="0"/>
              <w:rPr>
                <w:sz w:val="19"/>
                <w:szCs w:val="19"/>
              </w:rPr>
            </w:pPr>
            <w:r w:rsidRPr="00DB3FE7">
              <w:rPr>
                <w:sz w:val="19"/>
                <w:szCs w:val="19"/>
              </w:rPr>
              <w:t>Total cost to PBS/RBS of inclisiran (after co-payment)</w:t>
            </w:r>
            <w:r w:rsidR="00761FB8" w:rsidRPr="00DB3FE7">
              <w:rPr>
                <w:sz w:val="19"/>
                <w:szCs w:val="19"/>
              </w:rPr>
              <w:t xml:space="preserve"> ($)</w:t>
            </w:r>
          </w:p>
        </w:tc>
        <w:tc>
          <w:tcPr>
            <w:tcW w:w="1200" w:type="dxa"/>
            <w:tcMar>
              <w:left w:w="40" w:type="dxa"/>
              <w:right w:w="40" w:type="dxa"/>
            </w:tcMar>
            <w:vAlign w:val="center"/>
          </w:tcPr>
          <w:p w14:paraId="6BD8BBCB" w14:textId="4B807250" w:rsidR="002D6E52" w:rsidRPr="00DB3FE7" w:rsidRDefault="00B650E1" w:rsidP="00533193">
            <w:pPr>
              <w:pStyle w:val="PBACTabletext0"/>
              <w:spacing w:after="0"/>
              <w:jc w:val="center"/>
              <w:rPr>
                <w:sz w:val="19"/>
                <w:szCs w:val="19"/>
                <w:vertAlign w:val="superscript"/>
              </w:rPr>
            </w:pPr>
            <w:r w:rsidRPr="00B650E1">
              <w:rPr>
                <w:color w:val="000000"/>
                <w:sz w:val="19"/>
                <w:szCs w:val="19"/>
                <w:shd w:val="solid" w:color="000000" w:fill="000000"/>
                <w14:textFill>
                  <w14:solidFill>
                    <w14:srgbClr w14:val="000000">
                      <w14:alpha w14:val="100000"/>
                    </w14:srgbClr>
                  </w14:solidFill>
                </w14:textFill>
              </w:rPr>
              <w:t>|</w:t>
            </w:r>
            <w:r w:rsidR="00D919F6" w:rsidRPr="00DB3FE7">
              <w:rPr>
                <w:sz w:val="19"/>
                <w:szCs w:val="19"/>
                <w:vertAlign w:val="superscript"/>
              </w:rPr>
              <w:t>9</w:t>
            </w:r>
          </w:p>
        </w:tc>
        <w:tc>
          <w:tcPr>
            <w:tcW w:w="1200" w:type="dxa"/>
            <w:tcMar>
              <w:left w:w="40" w:type="dxa"/>
              <w:right w:w="40" w:type="dxa"/>
            </w:tcMar>
            <w:vAlign w:val="center"/>
          </w:tcPr>
          <w:p w14:paraId="74A95A59" w14:textId="7CC81196" w:rsidR="002D6E52" w:rsidRPr="00DB3FE7" w:rsidRDefault="00B650E1" w:rsidP="00533193">
            <w:pPr>
              <w:pStyle w:val="PBACTabletext0"/>
              <w:spacing w:after="0"/>
              <w:jc w:val="center"/>
              <w:rPr>
                <w:sz w:val="19"/>
                <w:szCs w:val="19"/>
                <w:vertAlign w:val="superscript"/>
              </w:rPr>
            </w:pPr>
            <w:r w:rsidRPr="00D71C83">
              <w:rPr>
                <w:rFonts w:hint="eastAsia"/>
                <w:color w:val="000000"/>
                <w:w w:val="15"/>
                <w:sz w:val="19"/>
                <w:szCs w:val="19"/>
                <w:shd w:val="solid" w:color="000000" w:fill="000000"/>
                <w:fitText w:val="15" w:id="-1208278271"/>
                <w14:textFill>
                  <w14:solidFill>
                    <w14:srgbClr w14:val="000000">
                      <w14:alpha w14:val="100000"/>
                    </w14:srgbClr>
                  </w14:solidFill>
                </w14:textFill>
              </w:rPr>
              <w:t xml:space="preserve">　</w:t>
            </w:r>
            <w:r w:rsidRPr="00D71C83">
              <w:rPr>
                <w:color w:val="000000"/>
                <w:w w:val="15"/>
                <w:sz w:val="19"/>
                <w:szCs w:val="19"/>
                <w:shd w:val="solid" w:color="000000" w:fill="000000"/>
                <w:fitText w:val="15" w:id="-1208278271"/>
                <w14:textFill>
                  <w14:solidFill>
                    <w14:srgbClr w14:val="000000">
                      <w14:alpha w14:val="100000"/>
                    </w14:srgbClr>
                  </w14:solidFill>
                </w14:textFill>
              </w:rPr>
              <w:t>|</w:t>
            </w:r>
            <w:r w:rsidRPr="00D71C83">
              <w:rPr>
                <w:rFonts w:hint="eastAsia"/>
                <w:color w:val="000000"/>
                <w:spacing w:val="-47"/>
                <w:w w:val="15"/>
                <w:sz w:val="19"/>
                <w:szCs w:val="19"/>
                <w:shd w:val="solid" w:color="000000" w:fill="000000"/>
                <w:fitText w:val="15" w:id="-1208278271"/>
                <w14:textFill>
                  <w14:solidFill>
                    <w14:srgbClr w14:val="000000">
                      <w14:alpha w14:val="100000"/>
                    </w14:srgbClr>
                  </w14:solidFill>
                </w14:textFill>
              </w:rPr>
              <w:t xml:space="preserve">　</w:t>
            </w:r>
            <w:r w:rsidR="00373DFB" w:rsidRPr="00DB3FE7">
              <w:rPr>
                <w:sz w:val="19"/>
                <w:szCs w:val="19"/>
                <w:vertAlign w:val="superscript"/>
              </w:rPr>
              <w:t>10</w:t>
            </w:r>
          </w:p>
        </w:tc>
        <w:tc>
          <w:tcPr>
            <w:tcW w:w="1200" w:type="dxa"/>
            <w:tcMar>
              <w:left w:w="40" w:type="dxa"/>
              <w:right w:w="40" w:type="dxa"/>
            </w:tcMar>
            <w:vAlign w:val="center"/>
          </w:tcPr>
          <w:p w14:paraId="1FFBEF10" w14:textId="63CE991F" w:rsidR="002D6E52" w:rsidRPr="00DB3FE7" w:rsidRDefault="00B650E1" w:rsidP="00533193">
            <w:pPr>
              <w:pStyle w:val="PBACTabletext0"/>
              <w:spacing w:after="0"/>
              <w:jc w:val="center"/>
              <w:rPr>
                <w:sz w:val="19"/>
                <w:szCs w:val="19"/>
                <w:vertAlign w:val="superscript"/>
              </w:rPr>
            </w:pPr>
            <w:r w:rsidRPr="00D71C83">
              <w:rPr>
                <w:rFonts w:hint="eastAsia"/>
                <w:color w:val="000000"/>
                <w:w w:val="15"/>
                <w:sz w:val="19"/>
                <w:szCs w:val="19"/>
                <w:shd w:val="solid" w:color="000000" w:fill="000000"/>
                <w:fitText w:val="15" w:id="-1208278270"/>
                <w14:textFill>
                  <w14:solidFill>
                    <w14:srgbClr w14:val="000000">
                      <w14:alpha w14:val="100000"/>
                    </w14:srgbClr>
                  </w14:solidFill>
                </w14:textFill>
              </w:rPr>
              <w:t xml:space="preserve">　</w:t>
            </w:r>
            <w:r w:rsidRPr="00D71C83">
              <w:rPr>
                <w:color w:val="000000"/>
                <w:w w:val="15"/>
                <w:sz w:val="19"/>
                <w:szCs w:val="19"/>
                <w:shd w:val="solid" w:color="000000" w:fill="000000"/>
                <w:fitText w:val="15" w:id="-1208278270"/>
                <w14:textFill>
                  <w14:solidFill>
                    <w14:srgbClr w14:val="000000">
                      <w14:alpha w14:val="100000"/>
                    </w14:srgbClr>
                  </w14:solidFill>
                </w14:textFill>
              </w:rPr>
              <w:t>|</w:t>
            </w:r>
            <w:r w:rsidRPr="00D71C83">
              <w:rPr>
                <w:rFonts w:hint="eastAsia"/>
                <w:color w:val="000000"/>
                <w:spacing w:val="-47"/>
                <w:w w:val="15"/>
                <w:sz w:val="19"/>
                <w:szCs w:val="19"/>
                <w:shd w:val="solid" w:color="000000" w:fill="000000"/>
                <w:fitText w:val="15" w:id="-1208278270"/>
                <w14:textFill>
                  <w14:solidFill>
                    <w14:srgbClr w14:val="000000">
                      <w14:alpha w14:val="100000"/>
                    </w14:srgbClr>
                  </w14:solidFill>
                </w14:textFill>
              </w:rPr>
              <w:t xml:space="preserve">　</w:t>
            </w:r>
            <w:r w:rsidR="00373DFB" w:rsidRPr="00DB3FE7">
              <w:rPr>
                <w:sz w:val="19"/>
                <w:szCs w:val="19"/>
                <w:vertAlign w:val="superscript"/>
              </w:rPr>
              <w:t>11</w:t>
            </w:r>
          </w:p>
        </w:tc>
        <w:tc>
          <w:tcPr>
            <w:tcW w:w="1200" w:type="dxa"/>
            <w:tcMar>
              <w:left w:w="40" w:type="dxa"/>
              <w:right w:w="40" w:type="dxa"/>
            </w:tcMar>
            <w:vAlign w:val="center"/>
          </w:tcPr>
          <w:p w14:paraId="1F0EED7D" w14:textId="099505AB" w:rsidR="002D6E52" w:rsidRPr="00DB3FE7" w:rsidRDefault="00B650E1" w:rsidP="00533193">
            <w:pPr>
              <w:pStyle w:val="PBACTabletext0"/>
              <w:spacing w:after="0"/>
              <w:jc w:val="center"/>
              <w:rPr>
                <w:sz w:val="19"/>
                <w:szCs w:val="19"/>
                <w:vertAlign w:val="superscript"/>
              </w:rPr>
            </w:pPr>
            <w:r w:rsidRPr="00D71C83">
              <w:rPr>
                <w:rFonts w:hint="eastAsia"/>
                <w:color w:val="000000"/>
                <w:w w:val="15"/>
                <w:sz w:val="19"/>
                <w:szCs w:val="19"/>
                <w:shd w:val="solid" w:color="000000" w:fill="000000"/>
                <w:fitText w:val="15" w:id="-1208278269"/>
                <w14:textFill>
                  <w14:solidFill>
                    <w14:srgbClr w14:val="000000">
                      <w14:alpha w14:val="100000"/>
                    </w14:srgbClr>
                  </w14:solidFill>
                </w14:textFill>
              </w:rPr>
              <w:t xml:space="preserve">　</w:t>
            </w:r>
            <w:r w:rsidRPr="00D71C83">
              <w:rPr>
                <w:color w:val="000000"/>
                <w:w w:val="15"/>
                <w:sz w:val="19"/>
                <w:szCs w:val="19"/>
                <w:shd w:val="solid" w:color="000000" w:fill="000000"/>
                <w:fitText w:val="15" w:id="-1208278269"/>
                <w14:textFill>
                  <w14:solidFill>
                    <w14:srgbClr w14:val="000000">
                      <w14:alpha w14:val="100000"/>
                    </w14:srgbClr>
                  </w14:solidFill>
                </w14:textFill>
              </w:rPr>
              <w:t>|</w:t>
            </w:r>
            <w:r w:rsidRPr="00D71C83">
              <w:rPr>
                <w:rFonts w:hint="eastAsia"/>
                <w:color w:val="000000"/>
                <w:spacing w:val="-47"/>
                <w:w w:val="15"/>
                <w:sz w:val="19"/>
                <w:szCs w:val="19"/>
                <w:shd w:val="solid" w:color="000000" w:fill="000000"/>
                <w:fitText w:val="15" w:id="-1208278269"/>
                <w14:textFill>
                  <w14:solidFill>
                    <w14:srgbClr w14:val="000000">
                      <w14:alpha w14:val="100000"/>
                    </w14:srgbClr>
                  </w14:solidFill>
                </w14:textFill>
              </w:rPr>
              <w:t xml:space="preserve">　</w:t>
            </w:r>
            <w:r w:rsidR="00373DFB" w:rsidRPr="00DB3FE7">
              <w:rPr>
                <w:sz w:val="19"/>
                <w:szCs w:val="19"/>
                <w:vertAlign w:val="superscript"/>
              </w:rPr>
              <w:t>11</w:t>
            </w:r>
          </w:p>
        </w:tc>
        <w:tc>
          <w:tcPr>
            <w:tcW w:w="1200" w:type="dxa"/>
            <w:noWrap/>
            <w:tcMar>
              <w:left w:w="40" w:type="dxa"/>
              <w:right w:w="40" w:type="dxa"/>
            </w:tcMar>
            <w:vAlign w:val="center"/>
          </w:tcPr>
          <w:p w14:paraId="1AB9A27D" w14:textId="3D5655A9" w:rsidR="002D6E52" w:rsidRPr="00DB3FE7" w:rsidRDefault="00B650E1" w:rsidP="00533193">
            <w:pPr>
              <w:pStyle w:val="PBACTabletext0"/>
              <w:spacing w:after="0"/>
              <w:jc w:val="center"/>
              <w:rPr>
                <w:sz w:val="19"/>
                <w:szCs w:val="19"/>
                <w:vertAlign w:val="superscript"/>
              </w:rPr>
            </w:pPr>
            <w:r w:rsidRPr="00D71C83">
              <w:rPr>
                <w:rFonts w:hint="eastAsia"/>
                <w:color w:val="000000"/>
                <w:w w:val="15"/>
                <w:sz w:val="19"/>
                <w:szCs w:val="19"/>
                <w:shd w:val="solid" w:color="000000" w:fill="000000"/>
                <w:fitText w:val="15" w:id="-1208278268"/>
                <w14:textFill>
                  <w14:solidFill>
                    <w14:srgbClr w14:val="000000">
                      <w14:alpha w14:val="100000"/>
                    </w14:srgbClr>
                  </w14:solidFill>
                </w14:textFill>
              </w:rPr>
              <w:t xml:space="preserve">　</w:t>
            </w:r>
            <w:r w:rsidRPr="00D71C83">
              <w:rPr>
                <w:color w:val="000000"/>
                <w:w w:val="15"/>
                <w:sz w:val="19"/>
                <w:szCs w:val="19"/>
                <w:shd w:val="solid" w:color="000000" w:fill="000000"/>
                <w:fitText w:val="15" w:id="-1208278268"/>
                <w14:textFill>
                  <w14:solidFill>
                    <w14:srgbClr w14:val="000000">
                      <w14:alpha w14:val="100000"/>
                    </w14:srgbClr>
                  </w14:solidFill>
                </w14:textFill>
              </w:rPr>
              <w:t>|</w:t>
            </w:r>
            <w:r w:rsidRPr="00D71C83">
              <w:rPr>
                <w:rFonts w:hint="eastAsia"/>
                <w:color w:val="000000"/>
                <w:spacing w:val="-47"/>
                <w:w w:val="15"/>
                <w:sz w:val="19"/>
                <w:szCs w:val="19"/>
                <w:shd w:val="solid" w:color="000000" w:fill="000000"/>
                <w:fitText w:val="15" w:id="-1208278268"/>
                <w14:textFill>
                  <w14:solidFill>
                    <w14:srgbClr w14:val="000000">
                      <w14:alpha w14:val="100000"/>
                    </w14:srgbClr>
                  </w14:solidFill>
                </w14:textFill>
              </w:rPr>
              <w:t xml:space="preserve">　</w:t>
            </w:r>
            <w:r w:rsidR="00373DFB" w:rsidRPr="00DB3FE7">
              <w:rPr>
                <w:sz w:val="19"/>
                <w:szCs w:val="19"/>
                <w:vertAlign w:val="superscript"/>
              </w:rPr>
              <w:t>11</w:t>
            </w:r>
          </w:p>
        </w:tc>
        <w:tc>
          <w:tcPr>
            <w:tcW w:w="1200" w:type="dxa"/>
            <w:noWrap/>
            <w:tcMar>
              <w:left w:w="40" w:type="dxa"/>
              <w:right w:w="40" w:type="dxa"/>
            </w:tcMar>
            <w:vAlign w:val="center"/>
          </w:tcPr>
          <w:p w14:paraId="5E9B5339" w14:textId="6FD46E24" w:rsidR="002D6E52" w:rsidRPr="00DB3FE7" w:rsidRDefault="00B650E1" w:rsidP="00533193">
            <w:pPr>
              <w:pStyle w:val="PBACTabletext0"/>
              <w:spacing w:after="0"/>
              <w:jc w:val="center"/>
              <w:rPr>
                <w:sz w:val="19"/>
                <w:szCs w:val="19"/>
                <w:vertAlign w:val="superscript"/>
              </w:rPr>
            </w:pPr>
            <w:r w:rsidRPr="00D71C83">
              <w:rPr>
                <w:rFonts w:hint="eastAsia"/>
                <w:color w:val="000000"/>
                <w:w w:val="15"/>
                <w:sz w:val="19"/>
                <w:szCs w:val="19"/>
                <w:shd w:val="solid" w:color="000000" w:fill="000000"/>
                <w:fitText w:val="15" w:id="-1208278016"/>
                <w14:textFill>
                  <w14:solidFill>
                    <w14:srgbClr w14:val="000000">
                      <w14:alpha w14:val="100000"/>
                    </w14:srgbClr>
                  </w14:solidFill>
                </w14:textFill>
              </w:rPr>
              <w:t xml:space="preserve">　</w:t>
            </w:r>
            <w:r w:rsidRPr="00D71C83">
              <w:rPr>
                <w:color w:val="000000"/>
                <w:w w:val="15"/>
                <w:sz w:val="19"/>
                <w:szCs w:val="19"/>
                <w:shd w:val="solid" w:color="000000" w:fill="000000"/>
                <w:fitText w:val="15" w:id="-1208278016"/>
                <w14:textFill>
                  <w14:solidFill>
                    <w14:srgbClr w14:val="000000">
                      <w14:alpha w14:val="100000"/>
                    </w14:srgbClr>
                  </w14:solidFill>
                </w14:textFill>
              </w:rPr>
              <w:t>|</w:t>
            </w:r>
            <w:r w:rsidRPr="00D71C83">
              <w:rPr>
                <w:rFonts w:hint="eastAsia"/>
                <w:color w:val="000000"/>
                <w:spacing w:val="-47"/>
                <w:w w:val="15"/>
                <w:sz w:val="19"/>
                <w:szCs w:val="19"/>
                <w:shd w:val="solid" w:color="000000" w:fill="000000"/>
                <w:fitText w:val="15" w:id="-1208278016"/>
                <w14:textFill>
                  <w14:solidFill>
                    <w14:srgbClr w14:val="000000">
                      <w14:alpha w14:val="100000"/>
                    </w14:srgbClr>
                  </w14:solidFill>
                </w14:textFill>
              </w:rPr>
              <w:t xml:space="preserve">　</w:t>
            </w:r>
            <w:r w:rsidR="00373DFB" w:rsidRPr="00DB3FE7">
              <w:rPr>
                <w:sz w:val="19"/>
                <w:szCs w:val="19"/>
                <w:vertAlign w:val="superscript"/>
              </w:rPr>
              <w:t>11</w:t>
            </w:r>
          </w:p>
        </w:tc>
      </w:tr>
      <w:tr w:rsidR="002D6E52" w:rsidRPr="00DB3FE7" w14:paraId="4555C47E" w14:textId="77777777" w:rsidTr="00533193">
        <w:trPr>
          <w:trHeight w:val="154"/>
        </w:trPr>
        <w:tc>
          <w:tcPr>
            <w:tcW w:w="2035" w:type="dxa"/>
            <w:noWrap/>
            <w:tcMar>
              <w:left w:w="40" w:type="dxa"/>
              <w:right w:w="40" w:type="dxa"/>
            </w:tcMar>
          </w:tcPr>
          <w:p w14:paraId="04E27305" w14:textId="2EAAEF7D" w:rsidR="002D6E52" w:rsidRPr="00DB3FE7" w:rsidRDefault="002D6E52" w:rsidP="00533193">
            <w:pPr>
              <w:pStyle w:val="PBACTabletext0"/>
              <w:spacing w:after="0"/>
              <w:rPr>
                <w:sz w:val="19"/>
                <w:szCs w:val="19"/>
              </w:rPr>
            </w:pPr>
            <w:r w:rsidRPr="00DB3FE7">
              <w:rPr>
                <w:sz w:val="19"/>
                <w:szCs w:val="19"/>
              </w:rPr>
              <w:t>Cost savings to PBS/RBS from substituted evolocumab and alirocumab scripts (after co-payment)</w:t>
            </w:r>
            <w:r w:rsidR="00761FB8" w:rsidRPr="00DB3FE7">
              <w:rPr>
                <w:sz w:val="19"/>
                <w:szCs w:val="19"/>
              </w:rPr>
              <w:t xml:space="preserve"> ($)</w:t>
            </w:r>
          </w:p>
        </w:tc>
        <w:tc>
          <w:tcPr>
            <w:tcW w:w="1200" w:type="dxa"/>
            <w:tcMar>
              <w:left w:w="40" w:type="dxa"/>
              <w:right w:w="40" w:type="dxa"/>
            </w:tcMar>
            <w:vAlign w:val="center"/>
          </w:tcPr>
          <w:p w14:paraId="7E633C03" w14:textId="502BEE4F" w:rsidR="002D6E52" w:rsidRPr="00DB3FE7" w:rsidRDefault="002D6E52" w:rsidP="00533193">
            <w:pPr>
              <w:pStyle w:val="PBACTabletext0"/>
              <w:spacing w:after="0"/>
              <w:jc w:val="center"/>
              <w:rPr>
                <w:sz w:val="19"/>
                <w:szCs w:val="19"/>
                <w:vertAlign w:val="superscript"/>
              </w:rPr>
            </w:pPr>
            <w:r w:rsidRPr="00DB3FE7">
              <w:rPr>
                <w:sz w:val="19"/>
                <w:szCs w:val="19"/>
              </w:rPr>
              <w:t>-</w:t>
            </w:r>
            <w:r w:rsidR="00B650E1" w:rsidRPr="00D71C83">
              <w:rPr>
                <w:rFonts w:hint="eastAsia"/>
                <w:color w:val="000000"/>
                <w:w w:val="15"/>
                <w:sz w:val="19"/>
                <w:szCs w:val="19"/>
                <w:shd w:val="solid" w:color="000000" w:fill="000000"/>
                <w:fitText w:val="15" w:id="-1208278015"/>
                <w14:textFill>
                  <w14:solidFill>
                    <w14:srgbClr w14:val="000000">
                      <w14:alpha w14:val="100000"/>
                    </w14:srgbClr>
                  </w14:solidFill>
                </w14:textFill>
              </w:rPr>
              <w:t xml:space="preserve">　</w:t>
            </w:r>
            <w:r w:rsidR="00B650E1" w:rsidRPr="00D71C83">
              <w:rPr>
                <w:color w:val="000000"/>
                <w:w w:val="15"/>
                <w:sz w:val="19"/>
                <w:szCs w:val="19"/>
                <w:shd w:val="solid" w:color="000000" w:fill="000000"/>
                <w:fitText w:val="15" w:id="-1208278015"/>
                <w14:textFill>
                  <w14:solidFill>
                    <w14:srgbClr w14:val="000000">
                      <w14:alpha w14:val="100000"/>
                    </w14:srgbClr>
                  </w14:solidFill>
                </w14:textFill>
              </w:rPr>
              <w:t>|</w:t>
            </w:r>
            <w:r w:rsidR="00B650E1" w:rsidRPr="00D71C83">
              <w:rPr>
                <w:rFonts w:hint="eastAsia"/>
                <w:color w:val="000000"/>
                <w:spacing w:val="-47"/>
                <w:w w:val="15"/>
                <w:sz w:val="19"/>
                <w:szCs w:val="19"/>
                <w:shd w:val="solid" w:color="000000" w:fill="000000"/>
                <w:fitText w:val="15" w:id="-1208278015"/>
                <w14:textFill>
                  <w14:solidFill>
                    <w14:srgbClr w14:val="000000">
                      <w14:alpha w14:val="100000"/>
                    </w14:srgbClr>
                  </w14:solidFill>
                </w14:textFill>
              </w:rPr>
              <w:t xml:space="preserve">　</w:t>
            </w:r>
            <w:r w:rsidR="00373DFB" w:rsidRPr="00DB3FE7">
              <w:rPr>
                <w:sz w:val="19"/>
                <w:szCs w:val="19"/>
                <w:vertAlign w:val="superscript"/>
              </w:rPr>
              <w:t>9</w:t>
            </w:r>
          </w:p>
        </w:tc>
        <w:tc>
          <w:tcPr>
            <w:tcW w:w="1200" w:type="dxa"/>
            <w:tcMar>
              <w:left w:w="40" w:type="dxa"/>
              <w:right w:w="40" w:type="dxa"/>
            </w:tcMar>
            <w:vAlign w:val="center"/>
          </w:tcPr>
          <w:p w14:paraId="40023DF2" w14:textId="7CA35244" w:rsidR="002D6E52" w:rsidRPr="00C91ADA" w:rsidRDefault="002D6E52" w:rsidP="00533193">
            <w:pPr>
              <w:pStyle w:val="PBACTabletext0"/>
              <w:spacing w:after="0"/>
              <w:jc w:val="center"/>
              <w:rPr>
                <w:sz w:val="19"/>
                <w:szCs w:val="19"/>
                <w:vertAlign w:val="superscript"/>
              </w:rPr>
            </w:pPr>
            <w:r w:rsidRPr="00DB3FE7">
              <w:rPr>
                <w:sz w:val="19"/>
                <w:szCs w:val="19"/>
              </w:rPr>
              <w:t>-</w:t>
            </w:r>
            <w:r w:rsidR="00B650E1" w:rsidRPr="00B650E1">
              <w:rPr>
                <w:rFonts w:hint="eastAsia"/>
                <w:color w:val="000000"/>
                <w:w w:val="15"/>
                <w:sz w:val="19"/>
                <w:szCs w:val="19"/>
                <w:shd w:val="solid" w:color="000000" w:fill="000000"/>
                <w:fitText w:val="45" w:id="-1208278014"/>
                <w14:textFill>
                  <w14:solidFill>
                    <w14:srgbClr w14:val="000000">
                      <w14:alpha w14:val="100000"/>
                    </w14:srgbClr>
                  </w14:solidFill>
                </w14:textFill>
              </w:rPr>
              <w:t xml:space="preserve">　</w:t>
            </w:r>
            <w:r w:rsidR="00B650E1" w:rsidRPr="00B650E1">
              <w:rPr>
                <w:color w:val="000000"/>
                <w:w w:val="15"/>
                <w:sz w:val="19"/>
                <w:szCs w:val="19"/>
                <w:shd w:val="solid" w:color="000000" w:fill="000000"/>
                <w:fitText w:val="45" w:id="-1208278014"/>
                <w14:textFill>
                  <w14:solidFill>
                    <w14:srgbClr w14:val="000000">
                      <w14:alpha w14:val="100000"/>
                    </w14:srgbClr>
                  </w14:solidFill>
                </w14:textFill>
              </w:rPr>
              <w:t>|</w:t>
            </w:r>
            <w:r w:rsidR="00B650E1" w:rsidRPr="00B650E1">
              <w:rPr>
                <w:rFonts w:hint="eastAsia"/>
                <w:color w:val="000000"/>
                <w:spacing w:val="-17"/>
                <w:w w:val="15"/>
                <w:sz w:val="19"/>
                <w:szCs w:val="19"/>
                <w:shd w:val="solid" w:color="000000" w:fill="000000"/>
                <w:fitText w:val="45" w:id="-1208278014"/>
                <w14:textFill>
                  <w14:solidFill>
                    <w14:srgbClr w14:val="000000">
                      <w14:alpha w14:val="100000"/>
                    </w14:srgbClr>
                  </w14:solidFill>
                </w14:textFill>
              </w:rPr>
              <w:t xml:space="preserve">　</w:t>
            </w:r>
            <w:r w:rsidR="00E92108" w:rsidRPr="00DB3FE7">
              <w:rPr>
                <w:sz w:val="19"/>
                <w:szCs w:val="19"/>
                <w:vertAlign w:val="superscript"/>
              </w:rPr>
              <w:t>10</w:t>
            </w:r>
          </w:p>
        </w:tc>
        <w:tc>
          <w:tcPr>
            <w:tcW w:w="1200" w:type="dxa"/>
            <w:tcMar>
              <w:left w:w="40" w:type="dxa"/>
              <w:right w:w="40" w:type="dxa"/>
            </w:tcMar>
            <w:vAlign w:val="center"/>
          </w:tcPr>
          <w:p w14:paraId="310F3452" w14:textId="7A745368" w:rsidR="002D6E52" w:rsidRPr="00C91ADA" w:rsidRDefault="002D6E52" w:rsidP="00533193">
            <w:pPr>
              <w:pStyle w:val="PBACTabletext0"/>
              <w:spacing w:after="0"/>
              <w:jc w:val="center"/>
              <w:rPr>
                <w:sz w:val="19"/>
                <w:szCs w:val="19"/>
                <w:vertAlign w:val="superscript"/>
              </w:rPr>
            </w:pPr>
            <w:r w:rsidRPr="0042765C">
              <w:rPr>
                <w:sz w:val="19"/>
                <w:szCs w:val="19"/>
              </w:rPr>
              <w:t>-</w:t>
            </w:r>
            <w:r w:rsidR="00B650E1" w:rsidRPr="00B650E1">
              <w:rPr>
                <w:rFonts w:hint="eastAsia"/>
                <w:color w:val="000000"/>
                <w:w w:val="15"/>
                <w:sz w:val="19"/>
                <w:szCs w:val="19"/>
                <w:shd w:val="solid" w:color="000000" w:fill="000000"/>
                <w:fitText w:val="45" w:id="-1208278013"/>
                <w14:textFill>
                  <w14:solidFill>
                    <w14:srgbClr w14:val="000000">
                      <w14:alpha w14:val="100000"/>
                    </w14:srgbClr>
                  </w14:solidFill>
                </w14:textFill>
              </w:rPr>
              <w:t xml:space="preserve">　</w:t>
            </w:r>
            <w:r w:rsidR="00B650E1" w:rsidRPr="00B650E1">
              <w:rPr>
                <w:color w:val="000000"/>
                <w:w w:val="15"/>
                <w:sz w:val="19"/>
                <w:szCs w:val="19"/>
                <w:shd w:val="solid" w:color="000000" w:fill="000000"/>
                <w:fitText w:val="45" w:id="-1208278013"/>
                <w14:textFill>
                  <w14:solidFill>
                    <w14:srgbClr w14:val="000000">
                      <w14:alpha w14:val="100000"/>
                    </w14:srgbClr>
                  </w14:solidFill>
                </w14:textFill>
              </w:rPr>
              <w:t>|</w:t>
            </w:r>
            <w:r w:rsidR="00B650E1" w:rsidRPr="00B650E1">
              <w:rPr>
                <w:rFonts w:hint="eastAsia"/>
                <w:color w:val="000000"/>
                <w:spacing w:val="-17"/>
                <w:w w:val="15"/>
                <w:sz w:val="19"/>
                <w:szCs w:val="19"/>
                <w:shd w:val="solid" w:color="000000" w:fill="000000"/>
                <w:fitText w:val="45" w:id="-1208278013"/>
                <w14:textFill>
                  <w14:solidFill>
                    <w14:srgbClr w14:val="000000">
                      <w14:alpha w14:val="100000"/>
                    </w14:srgbClr>
                  </w14:solidFill>
                </w14:textFill>
              </w:rPr>
              <w:t xml:space="preserve">　</w:t>
            </w:r>
            <w:r w:rsidR="00E92108" w:rsidRPr="0042765C">
              <w:rPr>
                <w:sz w:val="19"/>
                <w:szCs w:val="19"/>
                <w:vertAlign w:val="superscript"/>
              </w:rPr>
              <w:t>11</w:t>
            </w:r>
          </w:p>
        </w:tc>
        <w:tc>
          <w:tcPr>
            <w:tcW w:w="1200" w:type="dxa"/>
            <w:tcMar>
              <w:left w:w="40" w:type="dxa"/>
              <w:right w:w="40" w:type="dxa"/>
            </w:tcMar>
            <w:vAlign w:val="center"/>
          </w:tcPr>
          <w:p w14:paraId="2F570B9A" w14:textId="5A7B0E47" w:rsidR="002D6E52" w:rsidRPr="00C91ADA" w:rsidRDefault="002D6E52" w:rsidP="00533193">
            <w:pPr>
              <w:pStyle w:val="PBACTabletext0"/>
              <w:spacing w:after="0"/>
              <w:jc w:val="center"/>
              <w:rPr>
                <w:sz w:val="19"/>
                <w:szCs w:val="19"/>
                <w:vertAlign w:val="superscript"/>
              </w:rPr>
            </w:pPr>
            <w:r w:rsidRPr="0042765C">
              <w:rPr>
                <w:sz w:val="19"/>
                <w:szCs w:val="19"/>
              </w:rPr>
              <w:t>-</w:t>
            </w:r>
            <w:r w:rsidR="00B650E1" w:rsidRPr="00B650E1">
              <w:rPr>
                <w:rFonts w:hint="eastAsia"/>
                <w:color w:val="000000"/>
                <w:w w:val="15"/>
                <w:sz w:val="19"/>
                <w:szCs w:val="19"/>
                <w:shd w:val="solid" w:color="000000" w:fill="000000"/>
                <w:fitText w:val="45" w:id="-1208278012"/>
                <w14:textFill>
                  <w14:solidFill>
                    <w14:srgbClr w14:val="000000">
                      <w14:alpha w14:val="100000"/>
                    </w14:srgbClr>
                  </w14:solidFill>
                </w14:textFill>
              </w:rPr>
              <w:t xml:space="preserve">　</w:t>
            </w:r>
            <w:r w:rsidR="00B650E1" w:rsidRPr="00B650E1">
              <w:rPr>
                <w:color w:val="000000"/>
                <w:w w:val="15"/>
                <w:sz w:val="19"/>
                <w:szCs w:val="19"/>
                <w:shd w:val="solid" w:color="000000" w:fill="000000"/>
                <w:fitText w:val="45" w:id="-1208278012"/>
                <w14:textFill>
                  <w14:solidFill>
                    <w14:srgbClr w14:val="000000">
                      <w14:alpha w14:val="100000"/>
                    </w14:srgbClr>
                  </w14:solidFill>
                </w14:textFill>
              </w:rPr>
              <w:t>|</w:t>
            </w:r>
            <w:r w:rsidR="00B650E1" w:rsidRPr="00B650E1">
              <w:rPr>
                <w:rFonts w:hint="eastAsia"/>
                <w:color w:val="000000"/>
                <w:spacing w:val="-17"/>
                <w:w w:val="15"/>
                <w:sz w:val="19"/>
                <w:szCs w:val="19"/>
                <w:shd w:val="solid" w:color="000000" w:fill="000000"/>
                <w:fitText w:val="45" w:id="-1208278012"/>
                <w14:textFill>
                  <w14:solidFill>
                    <w14:srgbClr w14:val="000000">
                      <w14:alpha w14:val="100000"/>
                    </w14:srgbClr>
                  </w14:solidFill>
                </w14:textFill>
              </w:rPr>
              <w:t xml:space="preserve">　</w:t>
            </w:r>
            <w:r w:rsidR="00E92108" w:rsidRPr="0042765C">
              <w:rPr>
                <w:sz w:val="19"/>
                <w:szCs w:val="19"/>
                <w:vertAlign w:val="superscript"/>
              </w:rPr>
              <w:t>11</w:t>
            </w:r>
          </w:p>
        </w:tc>
        <w:tc>
          <w:tcPr>
            <w:tcW w:w="1200" w:type="dxa"/>
            <w:noWrap/>
            <w:tcMar>
              <w:left w:w="40" w:type="dxa"/>
              <w:right w:w="40" w:type="dxa"/>
            </w:tcMar>
            <w:vAlign w:val="center"/>
          </w:tcPr>
          <w:p w14:paraId="3964D64E" w14:textId="45F92873" w:rsidR="002D6E52" w:rsidRPr="00C91ADA" w:rsidRDefault="002D6E52" w:rsidP="00533193">
            <w:pPr>
              <w:pStyle w:val="PBACTabletext0"/>
              <w:spacing w:after="0"/>
              <w:jc w:val="center"/>
              <w:rPr>
                <w:sz w:val="19"/>
                <w:szCs w:val="19"/>
                <w:vertAlign w:val="superscript"/>
              </w:rPr>
            </w:pPr>
            <w:r w:rsidRPr="0042765C">
              <w:rPr>
                <w:sz w:val="19"/>
                <w:szCs w:val="19"/>
              </w:rPr>
              <w:t>-</w:t>
            </w:r>
            <w:r w:rsidR="00B650E1" w:rsidRPr="00B650E1">
              <w:rPr>
                <w:rFonts w:hint="eastAsia"/>
                <w:color w:val="000000"/>
                <w:w w:val="15"/>
                <w:sz w:val="19"/>
                <w:szCs w:val="19"/>
                <w:shd w:val="solid" w:color="000000" w:fill="000000"/>
                <w:fitText w:val="45" w:id="-1208278011"/>
                <w14:textFill>
                  <w14:solidFill>
                    <w14:srgbClr w14:val="000000">
                      <w14:alpha w14:val="100000"/>
                    </w14:srgbClr>
                  </w14:solidFill>
                </w14:textFill>
              </w:rPr>
              <w:t xml:space="preserve">　</w:t>
            </w:r>
            <w:r w:rsidR="00B650E1" w:rsidRPr="00B650E1">
              <w:rPr>
                <w:color w:val="000000"/>
                <w:w w:val="15"/>
                <w:sz w:val="19"/>
                <w:szCs w:val="19"/>
                <w:shd w:val="solid" w:color="000000" w:fill="000000"/>
                <w:fitText w:val="45" w:id="-1208278011"/>
                <w14:textFill>
                  <w14:solidFill>
                    <w14:srgbClr w14:val="000000">
                      <w14:alpha w14:val="100000"/>
                    </w14:srgbClr>
                  </w14:solidFill>
                </w14:textFill>
              </w:rPr>
              <w:t>|</w:t>
            </w:r>
            <w:r w:rsidR="00B650E1" w:rsidRPr="00B650E1">
              <w:rPr>
                <w:rFonts w:hint="eastAsia"/>
                <w:color w:val="000000"/>
                <w:spacing w:val="-17"/>
                <w:w w:val="15"/>
                <w:sz w:val="19"/>
                <w:szCs w:val="19"/>
                <w:shd w:val="solid" w:color="000000" w:fill="000000"/>
                <w:fitText w:val="45" w:id="-1208278011"/>
                <w14:textFill>
                  <w14:solidFill>
                    <w14:srgbClr w14:val="000000">
                      <w14:alpha w14:val="100000"/>
                    </w14:srgbClr>
                  </w14:solidFill>
                </w14:textFill>
              </w:rPr>
              <w:t xml:space="preserve">　</w:t>
            </w:r>
            <w:r w:rsidR="00E92108" w:rsidRPr="0042765C">
              <w:rPr>
                <w:sz w:val="19"/>
                <w:szCs w:val="19"/>
                <w:vertAlign w:val="superscript"/>
              </w:rPr>
              <w:t>12</w:t>
            </w:r>
          </w:p>
        </w:tc>
        <w:tc>
          <w:tcPr>
            <w:tcW w:w="1200" w:type="dxa"/>
            <w:noWrap/>
            <w:tcMar>
              <w:left w:w="40" w:type="dxa"/>
              <w:right w:w="40" w:type="dxa"/>
            </w:tcMar>
            <w:vAlign w:val="center"/>
          </w:tcPr>
          <w:p w14:paraId="6C7E537D" w14:textId="23484BA5" w:rsidR="002D6E52" w:rsidRPr="00C91ADA" w:rsidRDefault="002D6E52" w:rsidP="00533193">
            <w:pPr>
              <w:pStyle w:val="PBACTabletext0"/>
              <w:spacing w:after="0"/>
              <w:jc w:val="center"/>
              <w:rPr>
                <w:sz w:val="19"/>
                <w:szCs w:val="19"/>
                <w:vertAlign w:val="superscript"/>
              </w:rPr>
            </w:pPr>
            <w:r w:rsidRPr="0042765C">
              <w:rPr>
                <w:sz w:val="19"/>
                <w:szCs w:val="19"/>
              </w:rPr>
              <w:t>-</w:t>
            </w:r>
            <w:r w:rsidR="00B650E1" w:rsidRPr="00B650E1">
              <w:rPr>
                <w:rFonts w:hint="eastAsia"/>
                <w:color w:val="000000"/>
                <w:w w:val="15"/>
                <w:sz w:val="19"/>
                <w:szCs w:val="19"/>
                <w:shd w:val="solid" w:color="000000" w:fill="000000"/>
                <w:fitText w:val="45" w:id="-1208278010"/>
                <w14:textFill>
                  <w14:solidFill>
                    <w14:srgbClr w14:val="000000">
                      <w14:alpha w14:val="100000"/>
                    </w14:srgbClr>
                  </w14:solidFill>
                </w14:textFill>
              </w:rPr>
              <w:t xml:space="preserve">　</w:t>
            </w:r>
            <w:r w:rsidR="00B650E1" w:rsidRPr="00B650E1">
              <w:rPr>
                <w:color w:val="000000"/>
                <w:w w:val="15"/>
                <w:sz w:val="19"/>
                <w:szCs w:val="19"/>
                <w:shd w:val="solid" w:color="000000" w:fill="000000"/>
                <w:fitText w:val="45" w:id="-1208278010"/>
                <w14:textFill>
                  <w14:solidFill>
                    <w14:srgbClr w14:val="000000">
                      <w14:alpha w14:val="100000"/>
                    </w14:srgbClr>
                  </w14:solidFill>
                </w14:textFill>
              </w:rPr>
              <w:t>|</w:t>
            </w:r>
            <w:r w:rsidR="00B650E1" w:rsidRPr="00B650E1">
              <w:rPr>
                <w:rFonts w:hint="eastAsia"/>
                <w:color w:val="000000"/>
                <w:spacing w:val="-17"/>
                <w:w w:val="15"/>
                <w:sz w:val="19"/>
                <w:szCs w:val="19"/>
                <w:shd w:val="solid" w:color="000000" w:fill="000000"/>
                <w:fitText w:val="45" w:id="-1208278010"/>
                <w14:textFill>
                  <w14:solidFill>
                    <w14:srgbClr w14:val="000000">
                      <w14:alpha w14:val="100000"/>
                    </w14:srgbClr>
                  </w14:solidFill>
                </w14:textFill>
              </w:rPr>
              <w:t xml:space="preserve">　</w:t>
            </w:r>
            <w:r w:rsidR="00E92108" w:rsidRPr="0042765C">
              <w:rPr>
                <w:sz w:val="19"/>
                <w:szCs w:val="19"/>
                <w:vertAlign w:val="superscript"/>
              </w:rPr>
              <w:t>12</w:t>
            </w:r>
          </w:p>
        </w:tc>
      </w:tr>
      <w:tr w:rsidR="002D6E52" w:rsidRPr="00DB3FE7" w14:paraId="5506935C" w14:textId="77777777" w:rsidTr="00533193">
        <w:trPr>
          <w:trHeight w:val="154"/>
        </w:trPr>
        <w:tc>
          <w:tcPr>
            <w:tcW w:w="2035" w:type="dxa"/>
            <w:noWrap/>
            <w:tcMar>
              <w:left w:w="40" w:type="dxa"/>
              <w:right w:w="40" w:type="dxa"/>
            </w:tcMar>
          </w:tcPr>
          <w:p w14:paraId="065FE6C6" w14:textId="55E12B14" w:rsidR="002D6E52" w:rsidRPr="00DB3FE7" w:rsidRDefault="002D6E52" w:rsidP="00533193">
            <w:pPr>
              <w:pStyle w:val="PBACTabletext0"/>
              <w:spacing w:after="0"/>
              <w:rPr>
                <w:b/>
                <w:bCs/>
                <w:sz w:val="19"/>
                <w:szCs w:val="19"/>
              </w:rPr>
            </w:pPr>
            <w:r w:rsidRPr="00DB3FE7">
              <w:rPr>
                <w:b/>
                <w:bCs/>
                <w:sz w:val="19"/>
                <w:szCs w:val="19"/>
              </w:rPr>
              <w:t>Net cost to PBS/RBS (after co-payment)</w:t>
            </w:r>
            <w:r w:rsidR="00761FB8" w:rsidRPr="00DB3FE7">
              <w:rPr>
                <w:b/>
                <w:bCs/>
                <w:sz w:val="19"/>
                <w:szCs w:val="19"/>
              </w:rPr>
              <w:t xml:space="preserve"> ($)</w:t>
            </w:r>
          </w:p>
        </w:tc>
        <w:tc>
          <w:tcPr>
            <w:tcW w:w="1200" w:type="dxa"/>
            <w:tcMar>
              <w:left w:w="40" w:type="dxa"/>
              <w:right w:w="40" w:type="dxa"/>
            </w:tcMar>
            <w:vAlign w:val="center"/>
          </w:tcPr>
          <w:p w14:paraId="2824FAF8" w14:textId="7E4ED243" w:rsidR="002D6E52" w:rsidRPr="00C91ADA" w:rsidRDefault="00B650E1" w:rsidP="00533193">
            <w:pPr>
              <w:pStyle w:val="PBACTabletext0"/>
              <w:spacing w:after="0"/>
              <w:jc w:val="center"/>
              <w:rPr>
                <w:sz w:val="19"/>
                <w:szCs w:val="19"/>
                <w:vertAlign w:val="superscript"/>
              </w:rPr>
            </w:pPr>
            <w:r w:rsidRPr="00B650E1">
              <w:rPr>
                <w:rFonts w:hint="eastAsia"/>
                <w:b/>
                <w:bCs/>
                <w:color w:val="000000"/>
                <w:w w:val="15"/>
                <w:sz w:val="19"/>
                <w:szCs w:val="19"/>
                <w:shd w:val="solid" w:color="000000" w:fill="000000"/>
                <w:fitText w:val="60" w:id="-1208278009"/>
                <w14:textFill>
                  <w14:solidFill>
                    <w14:srgbClr w14:val="000000">
                      <w14:alpha w14:val="100000"/>
                    </w14:srgbClr>
                  </w14:solidFill>
                </w14:textFill>
              </w:rPr>
              <w:t xml:space="preserve">　</w:t>
            </w:r>
            <w:r w:rsidRPr="00B650E1">
              <w:rPr>
                <w:b/>
                <w:bCs/>
                <w:color w:val="000000"/>
                <w:w w:val="15"/>
                <w:sz w:val="19"/>
                <w:szCs w:val="19"/>
                <w:shd w:val="solid" w:color="000000" w:fill="000000"/>
                <w:fitText w:val="60" w:id="-1208278009"/>
                <w14:textFill>
                  <w14:solidFill>
                    <w14:srgbClr w14:val="000000">
                      <w14:alpha w14:val="100000"/>
                    </w14:srgbClr>
                  </w14:solidFill>
                </w14:textFill>
              </w:rPr>
              <w:t>|</w:t>
            </w:r>
            <w:r w:rsidRPr="00B650E1">
              <w:rPr>
                <w:rFonts w:hint="eastAsia"/>
                <w:b/>
                <w:bCs/>
                <w:color w:val="000000"/>
                <w:spacing w:val="-2"/>
                <w:w w:val="15"/>
                <w:sz w:val="19"/>
                <w:szCs w:val="19"/>
                <w:shd w:val="solid" w:color="000000" w:fill="000000"/>
                <w:fitText w:val="60" w:id="-1208278009"/>
                <w14:textFill>
                  <w14:solidFill>
                    <w14:srgbClr w14:val="000000">
                      <w14:alpha w14:val="100000"/>
                    </w14:srgbClr>
                  </w14:solidFill>
                </w14:textFill>
              </w:rPr>
              <w:t xml:space="preserve">　</w:t>
            </w:r>
            <w:r w:rsidR="00D6081B" w:rsidRPr="00DB3FE7">
              <w:rPr>
                <w:sz w:val="19"/>
                <w:szCs w:val="19"/>
                <w:vertAlign w:val="superscript"/>
              </w:rPr>
              <w:t>13</w:t>
            </w:r>
          </w:p>
        </w:tc>
        <w:tc>
          <w:tcPr>
            <w:tcW w:w="1200" w:type="dxa"/>
            <w:tcMar>
              <w:left w:w="40" w:type="dxa"/>
              <w:right w:w="40" w:type="dxa"/>
            </w:tcMar>
            <w:vAlign w:val="center"/>
          </w:tcPr>
          <w:p w14:paraId="2DBCC90C" w14:textId="6C9D5CE7" w:rsidR="002D6E52" w:rsidRPr="00C91ADA" w:rsidRDefault="00B650E1" w:rsidP="00533193">
            <w:pPr>
              <w:pStyle w:val="PBACTabletext0"/>
              <w:spacing w:after="0"/>
              <w:jc w:val="center"/>
              <w:rPr>
                <w:sz w:val="19"/>
                <w:szCs w:val="19"/>
                <w:vertAlign w:val="superscript"/>
              </w:rPr>
            </w:pPr>
            <w:r w:rsidRPr="00B650E1">
              <w:rPr>
                <w:rFonts w:hint="eastAsia"/>
                <w:b/>
                <w:bCs/>
                <w:color w:val="000000"/>
                <w:w w:val="15"/>
                <w:sz w:val="19"/>
                <w:szCs w:val="19"/>
                <w:shd w:val="solid" w:color="000000" w:fill="000000"/>
                <w:fitText w:val="60" w:id="-1208278008"/>
                <w14:textFill>
                  <w14:solidFill>
                    <w14:srgbClr w14:val="000000">
                      <w14:alpha w14:val="100000"/>
                    </w14:srgbClr>
                  </w14:solidFill>
                </w14:textFill>
              </w:rPr>
              <w:t xml:space="preserve">　</w:t>
            </w:r>
            <w:r w:rsidRPr="00B650E1">
              <w:rPr>
                <w:b/>
                <w:bCs/>
                <w:color w:val="000000"/>
                <w:w w:val="15"/>
                <w:sz w:val="19"/>
                <w:szCs w:val="19"/>
                <w:shd w:val="solid" w:color="000000" w:fill="000000"/>
                <w:fitText w:val="60" w:id="-1208278008"/>
                <w14:textFill>
                  <w14:solidFill>
                    <w14:srgbClr w14:val="000000">
                      <w14:alpha w14:val="100000"/>
                    </w14:srgbClr>
                  </w14:solidFill>
                </w14:textFill>
              </w:rPr>
              <w:t>|</w:t>
            </w:r>
            <w:r w:rsidRPr="00B650E1">
              <w:rPr>
                <w:rFonts w:hint="eastAsia"/>
                <w:b/>
                <w:bCs/>
                <w:color w:val="000000"/>
                <w:spacing w:val="-2"/>
                <w:w w:val="15"/>
                <w:sz w:val="19"/>
                <w:szCs w:val="19"/>
                <w:shd w:val="solid" w:color="000000" w:fill="000000"/>
                <w:fitText w:val="60" w:id="-1208278008"/>
                <w14:textFill>
                  <w14:solidFill>
                    <w14:srgbClr w14:val="000000">
                      <w14:alpha w14:val="100000"/>
                    </w14:srgbClr>
                  </w14:solidFill>
                </w14:textFill>
              </w:rPr>
              <w:t xml:space="preserve">　</w:t>
            </w:r>
            <w:r w:rsidR="00D6081B" w:rsidRPr="0042765C">
              <w:rPr>
                <w:sz w:val="19"/>
                <w:szCs w:val="19"/>
                <w:vertAlign w:val="superscript"/>
              </w:rPr>
              <w:t>13</w:t>
            </w:r>
          </w:p>
        </w:tc>
        <w:tc>
          <w:tcPr>
            <w:tcW w:w="1200" w:type="dxa"/>
            <w:tcMar>
              <w:left w:w="40" w:type="dxa"/>
              <w:right w:w="40" w:type="dxa"/>
            </w:tcMar>
            <w:vAlign w:val="center"/>
          </w:tcPr>
          <w:p w14:paraId="3E7999BE" w14:textId="148E7252" w:rsidR="002D6E52" w:rsidRPr="00C91ADA" w:rsidRDefault="00B650E1" w:rsidP="00533193">
            <w:pPr>
              <w:pStyle w:val="PBACTabletext0"/>
              <w:spacing w:after="0"/>
              <w:jc w:val="center"/>
              <w:rPr>
                <w:sz w:val="19"/>
                <w:szCs w:val="19"/>
                <w:vertAlign w:val="superscript"/>
              </w:rPr>
            </w:pPr>
            <w:r w:rsidRPr="00B650E1">
              <w:rPr>
                <w:rFonts w:hint="eastAsia"/>
                <w:b/>
                <w:bCs/>
                <w:color w:val="000000"/>
                <w:w w:val="15"/>
                <w:sz w:val="19"/>
                <w:szCs w:val="19"/>
                <w:shd w:val="solid" w:color="000000" w:fill="000000"/>
                <w:fitText w:val="60" w:id="-1208278007"/>
                <w14:textFill>
                  <w14:solidFill>
                    <w14:srgbClr w14:val="000000">
                      <w14:alpha w14:val="100000"/>
                    </w14:srgbClr>
                  </w14:solidFill>
                </w14:textFill>
              </w:rPr>
              <w:t xml:space="preserve">　</w:t>
            </w:r>
            <w:r w:rsidRPr="00B650E1">
              <w:rPr>
                <w:b/>
                <w:bCs/>
                <w:color w:val="000000"/>
                <w:w w:val="15"/>
                <w:sz w:val="19"/>
                <w:szCs w:val="19"/>
                <w:shd w:val="solid" w:color="000000" w:fill="000000"/>
                <w:fitText w:val="60" w:id="-1208278007"/>
                <w14:textFill>
                  <w14:solidFill>
                    <w14:srgbClr w14:val="000000">
                      <w14:alpha w14:val="100000"/>
                    </w14:srgbClr>
                  </w14:solidFill>
                </w14:textFill>
              </w:rPr>
              <w:t>|</w:t>
            </w:r>
            <w:r w:rsidRPr="00B650E1">
              <w:rPr>
                <w:rFonts w:hint="eastAsia"/>
                <w:b/>
                <w:bCs/>
                <w:color w:val="000000"/>
                <w:spacing w:val="-2"/>
                <w:w w:val="15"/>
                <w:sz w:val="19"/>
                <w:szCs w:val="19"/>
                <w:shd w:val="solid" w:color="000000" w:fill="000000"/>
                <w:fitText w:val="60" w:id="-1208278007"/>
                <w14:textFill>
                  <w14:solidFill>
                    <w14:srgbClr w14:val="000000">
                      <w14:alpha w14:val="100000"/>
                    </w14:srgbClr>
                  </w14:solidFill>
                </w14:textFill>
              </w:rPr>
              <w:t xml:space="preserve">　</w:t>
            </w:r>
            <w:r w:rsidR="00D6081B" w:rsidRPr="0042765C">
              <w:rPr>
                <w:sz w:val="19"/>
                <w:szCs w:val="19"/>
                <w:vertAlign w:val="superscript"/>
              </w:rPr>
              <w:t>13</w:t>
            </w:r>
          </w:p>
        </w:tc>
        <w:tc>
          <w:tcPr>
            <w:tcW w:w="1200" w:type="dxa"/>
            <w:tcMar>
              <w:left w:w="40" w:type="dxa"/>
              <w:right w:w="40" w:type="dxa"/>
            </w:tcMar>
            <w:vAlign w:val="center"/>
          </w:tcPr>
          <w:p w14:paraId="5A0BD355" w14:textId="5F686E4C" w:rsidR="002D6E52" w:rsidRPr="00C91ADA" w:rsidRDefault="00B650E1" w:rsidP="00533193">
            <w:pPr>
              <w:pStyle w:val="PBACTabletext0"/>
              <w:spacing w:after="0"/>
              <w:jc w:val="center"/>
              <w:rPr>
                <w:sz w:val="19"/>
                <w:szCs w:val="19"/>
                <w:vertAlign w:val="superscript"/>
              </w:rPr>
            </w:pPr>
            <w:r w:rsidRPr="00B650E1">
              <w:rPr>
                <w:rFonts w:hint="eastAsia"/>
                <w:b/>
                <w:bCs/>
                <w:color w:val="000000"/>
                <w:w w:val="15"/>
                <w:sz w:val="19"/>
                <w:szCs w:val="19"/>
                <w:shd w:val="solid" w:color="000000" w:fill="000000"/>
                <w:fitText w:val="60" w:id="-1208278006"/>
                <w14:textFill>
                  <w14:solidFill>
                    <w14:srgbClr w14:val="000000">
                      <w14:alpha w14:val="100000"/>
                    </w14:srgbClr>
                  </w14:solidFill>
                </w14:textFill>
              </w:rPr>
              <w:t xml:space="preserve">　</w:t>
            </w:r>
            <w:r w:rsidRPr="00B650E1">
              <w:rPr>
                <w:b/>
                <w:bCs/>
                <w:color w:val="000000"/>
                <w:w w:val="15"/>
                <w:sz w:val="19"/>
                <w:szCs w:val="19"/>
                <w:shd w:val="solid" w:color="000000" w:fill="000000"/>
                <w:fitText w:val="60" w:id="-1208278006"/>
                <w14:textFill>
                  <w14:solidFill>
                    <w14:srgbClr w14:val="000000">
                      <w14:alpha w14:val="100000"/>
                    </w14:srgbClr>
                  </w14:solidFill>
                </w14:textFill>
              </w:rPr>
              <w:t>|</w:t>
            </w:r>
            <w:r w:rsidRPr="00B650E1">
              <w:rPr>
                <w:rFonts w:hint="eastAsia"/>
                <w:b/>
                <w:bCs/>
                <w:color w:val="000000"/>
                <w:spacing w:val="-2"/>
                <w:w w:val="15"/>
                <w:sz w:val="19"/>
                <w:szCs w:val="19"/>
                <w:shd w:val="solid" w:color="000000" w:fill="000000"/>
                <w:fitText w:val="60" w:id="-1208278006"/>
                <w14:textFill>
                  <w14:solidFill>
                    <w14:srgbClr w14:val="000000">
                      <w14:alpha w14:val="100000"/>
                    </w14:srgbClr>
                  </w14:solidFill>
                </w14:textFill>
              </w:rPr>
              <w:t xml:space="preserve">　</w:t>
            </w:r>
            <w:r w:rsidR="00D6081B" w:rsidRPr="0042765C">
              <w:rPr>
                <w:sz w:val="19"/>
                <w:szCs w:val="19"/>
                <w:vertAlign w:val="superscript"/>
              </w:rPr>
              <w:t>13</w:t>
            </w:r>
          </w:p>
        </w:tc>
        <w:tc>
          <w:tcPr>
            <w:tcW w:w="1200" w:type="dxa"/>
            <w:noWrap/>
            <w:tcMar>
              <w:left w:w="40" w:type="dxa"/>
              <w:right w:w="40" w:type="dxa"/>
            </w:tcMar>
            <w:vAlign w:val="center"/>
          </w:tcPr>
          <w:p w14:paraId="12B73E65" w14:textId="6B20250A" w:rsidR="002D6E52" w:rsidRPr="00C91ADA" w:rsidRDefault="00B650E1" w:rsidP="00533193">
            <w:pPr>
              <w:pStyle w:val="PBACTabletext0"/>
              <w:spacing w:after="0"/>
              <w:jc w:val="center"/>
              <w:rPr>
                <w:sz w:val="19"/>
                <w:szCs w:val="19"/>
                <w:vertAlign w:val="superscript"/>
              </w:rPr>
            </w:pPr>
            <w:r w:rsidRPr="00B650E1">
              <w:rPr>
                <w:rFonts w:hint="eastAsia"/>
                <w:b/>
                <w:bCs/>
                <w:color w:val="000000"/>
                <w:w w:val="15"/>
                <w:sz w:val="19"/>
                <w:szCs w:val="19"/>
                <w:shd w:val="solid" w:color="000000" w:fill="000000"/>
                <w:fitText w:val="60" w:id="-1208278005"/>
                <w14:textFill>
                  <w14:solidFill>
                    <w14:srgbClr w14:val="000000">
                      <w14:alpha w14:val="100000"/>
                    </w14:srgbClr>
                  </w14:solidFill>
                </w14:textFill>
              </w:rPr>
              <w:t xml:space="preserve">　</w:t>
            </w:r>
            <w:r w:rsidRPr="00B650E1">
              <w:rPr>
                <w:b/>
                <w:bCs/>
                <w:color w:val="000000"/>
                <w:w w:val="15"/>
                <w:sz w:val="19"/>
                <w:szCs w:val="19"/>
                <w:shd w:val="solid" w:color="000000" w:fill="000000"/>
                <w:fitText w:val="60" w:id="-1208278005"/>
                <w14:textFill>
                  <w14:solidFill>
                    <w14:srgbClr w14:val="000000">
                      <w14:alpha w14:val="100000"/>
                    </w14:srgbClr>
                  </w14:solidFill>
                </w14:textFill>
              </w:rPr>
              <w:t>|</w:t>
            </w:r>
            <w:r w:rsidRPr="00B650E1">
              <w:rPr>
                <w:rFonts w:hint="eastAsia"/>
                <w:b/>
                <w:bCs/>
                <w:color w:val="000000"/>
                <w:spacing w:val="-2"/>
                <w:w w:val="15"/>
                <w:sz w:val="19"/>
                <w:szCs w:val="19"/>
                <w:shd w:val="solid" w:color="000000" w:fill="000000"/>
                <w:fitText w:val="60" w:id="-1208278005"/>
                <w14:textFill>
                  <w14:solidFill>
                    <w14:srgbClr w14:val="000000">
                      <w14:alpha w14:val="100000"/>
                    </w14:srgbClr>
                  </w14:solidFill>
                </w14:textFill>
              </w:rPr>
              <w:t xml:space="preserve">　</w:t>
            </w:r>
            <w:r w:rsidR="00D6081B" w:rsidRPr="0042765C">
              <w:rPr>
                <w:sz w:val="19"/>
                <w:szCs w:val="19"/>
                <w:vertAlign w:val="superscript"/>
              </w:rPr>
              <w:t>13</w:t>
            </w:r>
          </w:p>
        </w:tc>
        <w:tc>
          <w:tcPr>
            <w:tcW w:w="1200" w:type="dxa"/>
            <w:noWrap/>
            <w:tcMar>
              <w:left w:w="40" w:type="dxa"/>
              <w:right w:w="40" w:type="dxa"/>
            </w:tcMar>
            <w:vAlign w:val="center"/>
          </w:tcPr>
          <w:p w14:paraId="1AE16C5B" w14:textId="4C00705F" w:rsidR="002D6E52" w:rsidRPr="00C91ADA" w:rsidRDefault="00B650E1" w:rsidP="00533193">
            <w:pPr>
              <w:pStyle w:val="PBACTabletext0"/>
              <w:spacing w:after="0"/>
              <w:jc w:val="center"/>
              <w:rPr>
                <w:sz w:val="19"/>
                <w:szCs w:val="19"/>
                <w:vertAlign w:val="superscript"/>
              </w:rPr>
            </w:pPr>
            <w:r w:rsidRPr="00B650E1">
              <w:rPr>
                <w:rFonts w:hint="eastAsia"/>
                <w:b/>
                <w:bCs/>
                <w:color w:val="000000"/>
                <w:w w:val="15"/>
                <w:sz w:val="19"/>
                <w:szCs w:val="19"/>
                <w:shd w:val="solid" w:color="000000" w:fill="000000"/>
                <w:fitText w:val="60" w:id="-1208278004"/>
                <w14:textFill>
                  <w14:solidFill>
                    <w14:srgbClr w14:val="000000">
                      <w14:alpha w14:val="100000"/>
                    </w14:srgbClr>
                  </w14:solidFill>
                </w14:textFill>
              </w:rPr>
              <w:t xml:space="preserve">　</w:t>
            </w:r>
            <w:r w:rsidRPr="00B650E1">
              <w:rPr>
                <w:b/>
                <w:bCs/>
                <w:color w:val="000000"/>
                <w:w w:val="15"/>
                <w:sz w:val="19"/>
                <w:szCs w:val="19"/>
                <w:shd w:val="solid" w:color="000000" w:fill="000000"/>
                <w:fitText w:val="60" w:id="-1208278004"/>
                <w14:textFill>
                  <w14:solidFill>
                    <w14:srgbClr w14:val="000000">
                      <w14:alpha w14:val="100000"/>
                    </w14:srgbClr>
                  </w14:solidFill>
                </w14:textFill>
              </w:rPr>
              <w:t>|</w:t>
            </w:r>
            <w:r w:rsidRPr="00B650E1">
              <w:rPr>
                <w:rFonts w:hint="eastAsia"/>
                <w:b/>
                <w:bCs/>
                <w:color w:val="000000"/>
                <w:spacing w:val="-2"/>
                <w:w w:val="15"/>
                <w:sz w:val="19"/>
                <w:szCs w:val="19"/>
                <w:shd w:val="solid" w:color="000000" w:fill="000000"/>
                <w:fitText w:val="60" w:id="-1208278004"/>
                <w14:textFill>
                  <w14:solidFill>
                    <w14:srgbClr w14:val="000000">
                      <w14:alpha w14:val="100000"/>
                    </w14:srgbClr>
                  </w14:solidFill>
                </w14:textFill>
              </w:rPr>
              <w:t xml:space="preserve">　</w:t>
            </w:r>
            <w:r w:rsidR="00D6081B" w:rsidRPr="0042765C">
              <w:rPr>
                <w:sz w:val="19"/>
                <w:szCs w:val="19"/>
                <w:vertAlign w:val="superscript"/>
              </w:rPr>
              <w:t>13</w:t>
            </w:r>
          </w:p>
        </w:tc>
      </w:tr>
      <w:tr w:rsidR="002D6E52" w:rsidRPr="00DB3FE7" w14:paraId="306A4C3D" w14:textId="77777777" w:rsidTr="00533193">
        <w:trPr>
          <w:trHeight w:val="154"/>
        </w:trPr>
        <w:tc>
          <w:tcPr>
            <w:tcW w:w="9235" w:type="dxa"/>
            <w:gridSpan w:val="7"/>
            <w:noWrap/>
            <w:tcMar>
              <w:left w:w="40" w:type="dxa"/>
              <w:right w:w="40" w:type="dxa"/>
            </w:tcMar>
          </w:tcPr>
          <w:p w14:paraId="78500204" w14:textId="77777777" w:rsidR="002D6E52" w:rsidRPr="00DB3FE7" w:rsidRDefault="002D6E52" w:rsidP="00533193">
            <w:pPr>
              <w:pStyle w:val="PBACTabletext0"/>
              <w:spacing w:after="0"/>
              <w:rPr>
                <w:b/>
                <w:bCs/>
                <w:sz w:val="19"/>
                <w:szCs w:val="19"/>
              </w:rPr>
            </w:pPr>
            <w:r w:rsidRPr="00DB3FE7">
              <w:rPr>
                <w:b/>
                <w:bCs/>
                <w:sz w:val="19"/>
                <w:szCs w:val="19"/>
              </w:rPr>
              <w:t>PBAC recommended changes</w:t>
            </w:r>
          </w:p>
        </w:tc>
      </w:tr>
      <w:tr w:rsidR="002D6E52" w:rsidRPr="00DB3FE7" w14:paraId="29C6C8E9" w14:textId="77777777" w:rsidTr="00533193">
        <w:trPr>
          <w:trHeight w:val="154"/>
        </w:trPr>
        <w:tc>
          <w:tcPr>
            <w:tcW w:w="2035" w:type="dxa"/>
            <w:noWrap/>
            <w:tcMar>
              <w:left w:w="40" w:type="dxa"/>
              <w:right w:w="40" w:type="dxa"/>
            </w:tcMar>
          </w:tcPr>
          <w:p w14:paraId="78FB9281" w14:textId="77777777" w:rsidR="002D6E52" w:rsidRPr="009D5406" w:rsidRDefault="002D6E52" w:rsidP="00533193">
            <w:pPr>
              <w:pStyle w:val="PBACTabletext0"/>
              <w:spacing w:after="0"/>
              <w:rPr>
                <w:sz w:val="19"/>
                <w:szCs w:val="19"/>
              </w:rPr>
            </w:pPr>
            <w:r w:rsidRPr="009D5406">
              <w:rPr>
                <w:sz w:val="19"/>
                <w:szCs w:val="19"/>
              </w:rPr>
              <w:t>Inclisiran uptake</w:t>
            </w:r>
          </w:p>
        </w:tc>
        <w:tc>
          <w:tcPr>
            <w:tcW w:w="1200" w:type="dxa"/>
            <w:tcMar>
              <w:left w:w="40" w:type="dxa"/>
              <w:right w:w="40" w:type="dxa"/>
            </w:tcMar>
            <w:vAlign w:val="center"/>
          </w:tcPr>
          <w:p w14:paraId="6630509A" w14:textId="77777777" w:rsidR="002D6E52" w:rsidRPr="009D5406" w:rsidRDefault="002D6E52" w:rsidP="00533193">
            <w:pPr>
              <w:pStyle w:val="PBACTabletext0"/>
              <w:spacing w:after="0"/>
              <w:jc w:val="center"/>
              <w:rPr>
                <w:sz w:val="19"/>
                <w:szCs w:val="19"/>
              </w:rPr>
            </w:pPr>
            <w:r w:rsidRPr="00C91ADA">
              <w:rPr>
                <w:sz w:val="19"/>
                <w:szCs w:val="19"/>
              </w:rPr>
              <w:t>20</w:t>
            </w:r>
            <w:r w:rsidRPr="009D5406">
              <w:rPr>
                <w:sz w:val="19"/>
                <w:szCs w:val="19"/>
              </w:rPr>
              <w:t>%</w:t>
            </w:r>
          </w:p>
        </w:tc>
        <w:tc>
          <w:tcPr>
            <w:tcW w:w="1200" w:type="dxa"/>
            <w:tcMar>
              <w:left w:w="40" w:type="dxa"/>
              <w:right w:w="40" w:type="dxa"/>
            </w:tcMar>
            <w:vAlign w:val="center"/>
          </w:tcPr>
          <w:p w14:paraId="669119F5" w14:textId="77777777" w:rsidR="002D6E52" w:rsidRPr="009D5406" w:rsidRDefault="002D6E52" w:rsidP="00533193">
            <w:pPr>
              <w:pStyle w:val="PBACTabletext0"/>
              <w:spacing w:after="0"/>
              <w:jc w:val="center"/>
              <w:rPr>
                <w:sz w:val="19"/>
                <w:szCs w:val="19"/>
              </w:rPr>
            </w:pPr>
            <w:r w:rsidRPr="00C91ADA">
              <w:rPr>
                <w:sz w:val="19"/>
                <w:szCs w:val="19"/>
              </w:rPr>
              <w:t>30</w:t>
            </w:r>
            <w:r w:rsidRPr="009D5406">
              <w:rPr>
                <w:sz w:val="19"/>
                <w:szCs w:val="19"/>
              </w:rPr>
              <w:t>%</w:t>
            </w:r>
          </w:p>
        </w:tc>
        <w:tc>
          <w:tcPr>
            <w:tcW w:w="1200" w:type="dxa"/>
            <w:tcMar>
              <w:left w:w="40" w:type="dxa"/>
              <w:right w:w="40" w:type="dxa"/>
            </w:tcMar>
            <w:vAlign w:val="center"/>
          </w:tcPr>
          <w:p w14:paraId="679DA910" w14:textId="77777777" w:rsidR="002D6E52" w:rsidRPr="009D5406" w:rsidRDefault="002D6E52" w:rsidP="00533193">
            <w:pPr>
              <w:pStyle w:val="PBACTabletext0"/>
              <w:spacing w:after="0"/>
              <w:jc w:val="center"/>
              <w:rPr>
                <w:sz w:val="19"/>
                <w:szCs w:val="19"/>
              </w:rPr>
            </w:pPr>
            <w:r w:rsidRPr="00C91ADA">
              <w:rPr>
                <w:sz w:val="19"/>
                <w:szCs w:val="19"/>
              </w:rPr>
              <w:t>40</w:t>
            </w:r>
            <w:r w:rsidRPr="009D5406">
              <w:rPr>
                <w:sz w:val="19"/>
                <w:szCs w:val="19"/>
              </w:rPr>
              <w:t>%</w:t>
            </w:r>
          </w:p>
        </w:tc>
        <w:tc>
          <w:tcPr>
            <w:tcW w:w="1200" w:type="dxa"/>
            <w:tcMar>
              <w:left w:w="40" w:type="dxa"/>
              <w:right w:w="40" w:type="dxa"/>
            </w:tcMar>
            <w:vAlign w:val="center"/>
          </w:tcPr>
          <w:p w14:paraId="266BBB95" w14:textId="77777777" w:rsidR="002D6E52" w:rsidRPr="009D5406" w:rsidRDefault="002D6E52" w:rsidP="00533193">
            <w:pPr>
              <w:pStyle w:val="PBACTabletext0"/>
              <w:spacing w:after="0"/>
              <w:jc w:val="center"/>
              <w:rPr>
                <w:sz w:val="19"/>
                <w:szCs w:val="19"/>
              </w:rPr>
            </w:pPr>
            <w:r w:rsidRPr="00C91ADA">
              <w:rPr>
                <w:sz w:val="19"/>
                <w:szCs w:val="19"/>
              </w:rPr>
              <w:t>50</w:t>
            </w:r>
            <w:r w:rsidRPr="009D5406">
              <w:rPr>
                <w:sz w:val="19"/>
                <w:szCs w:val="19"/>
              </w:rPr>
              <w:t>%</w:t>
            </w:r>
          </w:p>
        </w:tc>
        <w:tc>
          <w:tcPr>
            <w:tcW w:w="1200" w:type="dxa"/>
            <w:noWrap/>
            <w:tcMar>
              <w:left w:w="40" w:type="dxa"/>
              <w:right w:w="40" w:type="dxa"/>
            </w:tcMar>
            <w:vAlign w:val="center"/>
          </w:tcPr>
          <w:p w14:paraId="0E0804C5" w14:textId="77777777" w:rsidR="002D6E52" w:rsidRPr="009D5406" w:rsidRDefault="002D6E52" w:rsidP="00533193">
            <w:pPr>
              <w:pStyle w:val="PBACTabletext0"/>
              <w:spacing w:after="0"/>
              <w:jc w:val="center"/>
              <w:rPr>
                <w:sz w:val="19"/>
                <w:szCs w:val="19"/>
              </w:rPr>
            </w:pPr>
            <w:r w:rsidRPr="00C91ADA">
              <w:rPr>
                <w:sz w:val="19"/>
                <w:szCs w:val="19"/>
              </w:rPr>
              <w:t>50</w:t>
            </w:r>
            <w:r w:rsidRPr="009D5406">
              <w:rPr>
                <w:sz w:val="19"/>
                <w:szCs w:val="19"/>
              </w:rPr>
              <w:t>%</w:t>
            </w:r>
          </w:p>
        </w:tc>
        <w:tc>
          <w:tcPr>
            <w:tcW w:w="1200" w:type="dxa"/>
            <w:noWrap/>
            <w:tcMar>
              <w:left w:w="40" w:type="dxa"/>
              <w:right w:w="40" w:type="dxa"/>
            </w:tcMar>
            <w:vAlign w:val="center"/>
          </w:tcPr>
          <w:p w14:paraId="64ABB189" w14:textId="77777777" w:rsidR="002D6E52" w:rsidRPr="009D5406" w:rsidRDefault="002D6E52" w:rsidP="00533193">
            <w:pPr>
              <w:pStyle w:val="PBACTabletext0"/>
              <w:spacing w:after="0"/>
              <w:jc w:val="center"/>
              <w:rPr>
                <w:sz w:val="19"/>
                <w:szCs w:val="19"/>
              </w:rPr>
            </w:pPr>
            <w:r w:rsidRPr="00C91ADA">
              <w:rPr>
                <w:sz w:val="19"/>
                <w:szCs w:val="19"/>
              </w:rPr>
              <w:t>50</w:t>
            </w:r>
            <w:r w:rsidRPr="009D5406">
              <w:rPr>
                <w:sz w:val="19"/>
                <w:szCs w:val="19"/>
              </w:rPr>
              <w:t>%</w:t>
            </w:r>
          </w:p>
        </w:tc>
      </w:tr>
      <w:tr w:rsidR="002D6E52" w:rsidRPr="00DB3FE7" w14:paraId="56ED532F" w14:textId="77777777" w:rsidTr="00533193">
        <w:trPr>
          <w:trHeight w:val="154"/>
        </w:trPr>
        <w:tc>
          <w:tcPr>
            <w:tcW w:w="2035" w:type="dxa"/>
            <w:noWrap/>
            <w:tcMar>
              <w:left w:w="40" w:type="dxa"/>
              <w:right w:w="40" w:type="dxa"/>
            </w:tcMar>
          </w:tcPr>
          <w:p w14:paraId="4A165AF3" w14:textId="418CFF93" w:rsidR="002D6E52" w:rsidRPr="00DB3FE7" w:rsidRDefault="002D6E52" w:rsidP="00533193">
            <w:pPr>
              <w:pStyle w:val="PBACTabletext0"/>
              <w:spacing w:after="0"/>
              <w:rPr>
                <w:sz w:val="19"/>
                <w:szCs w:val="19"/>
              </w:rPr>
            </w:pPr>
            <w:r w:rsidRPr="00DB3FE7">
              <w:rPr>
                <w:sz w:val="19"/>
                <w:szCs w:val="19"/>
              </w:rPr>
              <w:t>Total cost of PBS/RPBS of inclisiran (after co-payment)</w:t>
            </w:r>
            <w:r w:rsidR="00761FB8" w:rsidRPr="00DB3FE7">
              <w:rPr>
                <w:sz w:val="19"/>
                <w:szCs w:val="19"/>
              </w:rPr>
              <w:t xml:space="preserve"> ($)</w:t>
            </w:r>
          </w:p>
        </w:tc>
        <w:tc>
          <w:tcPr>
            <w:tcW w:w="1200" w:type="dxa"/>
            <w:tcMar>
              <w:left w:w="40" w:type="dxa"/>
              <w:right w:w="40" w:type="dxa"/>
            </w:tcMar>
            <w:vAlign w:val="center"/>
          </w:tcPr>
          <w:p w14:paraId="56AC00FB" w14:textId="324D0A04" w:rsidR="002D6E52" w:rsidRPr="00C91ADA" w:rsidRDefault="00B650E1" w:rsidP="00533193">
            <w:pPr>
              <w:pStyle w:val="PBACTabletext0"/>
              <w:spacing w:after="0"/>
              <w:jc w:val="center"/>
              <w:rPr>
                <w:sz w:val="19"/>
                <w:szCs w:val="19"/>
                <w:vertAlign w:val="superscript"/>
              </w:rPr>
            </w:pPr>
            <w:r w:rsidRPr="00B650E1">
              <w:rPr>
                <w:rFonts w:hint="eastAsia"/>
                <w:color w:val="000000"/>
                <w:w w:val="15"/>
                <w:szCs w:val="20"/>
                <w:shd w:val="solid" w:color="000000" w:fill="000000"/>
                <w:fitText w:val="45" w:id="-1208278003"/>
                <w14:textFill>
                  <w14:solidFill>
                    <w14:srgbClr w14:val="000000">
                      <w14:alpha w14:val="100000"/>
                    </w14:srgbClr>
                  </w14:solidFill>
                </w14:textFill>
              </w:rPr>
              <w:t xml:space="preserve">　</w:t>
            </w:r>
            <w:r w:rsidRPr="00B650E1">
              <w:rPr>
                <w:color w:val="000000"/>
                <w:w w:val="15"/>
                <w:szCs w:val="20"/>
                <w:shd w:val="solid" w:color="000000" w:fill="000000"/>
                <w:fitText w:val="45" w:id="-1208278003"/>
                <w14:textFill>
                  <w14:solidFill>
                    <w14:srgbClr w14:val="000000">
                      <w14:alpha w14:val="100000"/>
                    </w14:srgbClr>
                  </w14:solidFill>
                </w14:textFill>
              </w:rPr>
              <w:t>|</w:t>
            </w:r>
            <w:r w:rsidRPr="00B650E1">
              <w:rPr>
                <w:rFonts w:hint="eastAsia"/>
                <w:color w:val="000000"/>
                <w:spacing w:val="-30"/>
                <w:w w:val="15"/>
                <w:szCs w:val="20"/>
                <w:shd w:val="solid" w:color="000000" w:fill="000000"/>
                <w:fitText w:val="45" w:id="-1208278003"/>
                <w14:textFill>
                  <w14:solidFill>
                    <w14:srgbClr w14:val="000000">
                      <w14:alpha w14:val="100000"/>
                    </w14:srgbClr>
                  </w14:solidFill>
                </w14:textFill>
              </w:rPr>
              <w:t xml:space="preserve">　</w:t>
            </w:r>
            <w:r w:rsidR="00D6081B" w:rsidRPr="00DB3FE7">
              <w:rPr>
                <w:color w:val="000000"/>
                <w:szCs w:val="20"/>
                <w:vertAlign w:val="superscript"/>
              </w:rPr>
              <w:t>10</w:t>
            </w:r>
          </w:p>
        </w:tc>
        <w:tc>
          <w:tcPr>
            <w:tcW w:w="1200" w:type="dxa"/>
            <w:tcMar>
              <w:left w:w="40" w:type="dxa"/>
              <w:right w:w="40" w:type="dxa"/>
            </w:tcMar>
            <w:vAlign w:val="center"/>
          </w:tcPr>
          <w:p w14:paraId="1FAE7BD2" w14:textId="1A28EF24" w:rsidR="002D6E52" w:rsidRPr="00C91ADA" w:rsidRDefault="00B650E1" w:rsidP="00533193">
            <w:pPr>
              <w:pStyle w:val="PBACTabletext0"/>
              <w:spacing w:after="0"/>
              <w:jc w:val="center"/>
              <w:rPr>
                <w:sz w:val="19"/>
                <w:szCs w:val="19"/>
                <w:vertAlign w:val="superscript"/>
              </w:rPr>
            </w:pPr>
            <w:r w:rsidRPr="00B650E1">
              <w:rPr>
                <w:rFonts w:hint="eastAsia"/>
                <w:color w:val="000000"/>
                <w:w w:val="15"/>
                <w:szCs w:val="20"/>
                <w:shd w:val="solid" w:color="000000" w:fill="000000"/>
                <w:fitText w:val="45" w:id="-1208278002"/>
                <w14:textFill>
                  <w14:solidFill>
                    <w14:srgbClr w14:val="000000">
                      <w14:alpha w14:val="100000"/>
                    </w14:srgbClr>
                  </w14:solidFill>
                </w14:textFill>
              </w:rPr>
              <w:t xml:space="preserve">　</w:t>
            </w:r>
            <w:r w:rsidRPr="00B650E1">
              <w:rPr>
                <w:color w:val="000000"/>
                <w:w w:val="15"/>
                <w:szCs w:val="20"/>
                <w:shd w:val="solid" w:color="000000" w:fill="000000"/>
                <w:fitText w:val="45" w:id="-1208278002"/>
                <w14:textFill>
                  <w14:solidFill>
                    <w14:srgbClr w14:val="000000">
                      <w14:alpha w14:val="100000"/>
                    </w14:srgbClr>
                  </w14:solidFill>
                </w14:textFill>
              </w:rPr>
              <w:t>|</w:t>
            </w:r>
            <w:r w:rsidRPr="00B650E1">
              <w:rPr>
                <w:rFonts w:hint="eastAsia"/>
                <w:color w:val="000000"/>
                <w:spacing w:val="-30"/>
                <w:w w:val="15"/>
                <w:szCs w:val="20"/>
                <w:shd w:val="solid" w:color="000000" w:fill="000000"/>
                <w:fitText w:val="45" w:id="-1208278002"/>
                <w14:textFill>
                  <w14:solidFill>
                    <w14:srgbClr w14:val="000000">
                      <w14:alpha w14:val="100000"/>
                    </w14:srgbClr>
                  </w14:solidFill>
                </w14:textFill>
              </w:rPr>
              <w:t xml:space="preserve">　</w:t>
            </w:r>
            <w:r w:rsidR="00D6081B" w:rsidRPr="0042765C">
              <w:rPr>
                <w:color w:val="000000"/>
                <w:szCs w:val="20"/>
                <w:vertAlign w:val="superscript"/>
              </w:rPr>
              <w:t>11</w:t>
            </w:r>
          </w:p>
        </w:tc>
        <w:tc>
          <w:tcPr>
            <w:tcW w:w="1200" w:type="dxa"/>
            <w:tcMar>
              <w:left w:w="40" w:type="dxa"/>
              <w:right w:w="40" w:type="dxa"/>
            </w:tcMar>
            <w:vAlign w:val="center"/>
          </w:tcPr>
          <w:p w14:paraId="03D0EA94" w14:textId="12AD9503" w:rsidR="002D6E52" w:rsidRPr="00C91ADA" w:rsidRDefault="00B650E1" w:rsidP="00533193">
            <w:pPr>
              <w:pStyle w:val="PBACTabletext0"/>
              <w:spacing w:after="0"/>
              <w:jc w:val="center"/>
              <w:rPr>
                <w:sz w:val="19"/>
                <w:szCs w:val="19"/>
                <w:vertAlign w:val="superscript"/>
              </w:rPr>
            </w:pPr>
            <w:r w:rsidRPr="00B650E1">
              <w:rPr>
                <w:rFonts w:hint="eastAsia"/>
                <w:color w:val="000000"/>
                <w:w w:val="15"/>
                <w:szCs w:val="20"/>
                <w:shd w:val="solid" w:color="000000" w:fill="000000"/>
                <w:fitText w:val="45" w:id="-1208278001"/>
                <w14:textFill>
                  <w14:solidFill>
                    <w14:srgbClr w14:val="000000">
                      <w14:alpha w14:val="100000"/>
                    </w14:srgbClr>
                  </w14:solidFill>
                </w14:textFill>
              </w:rPr>
              <w:t xml:space="preserve">　</w:t>
            </w:r>
            <w:r w:rsidRPr="00B650E1">
              <w:rPr>
                <w:color w:val="000000"/>
                <w:w w:val="15"/>
                <w:szCs w:val="20"/>
                <w:shd w:val="solid" w:color="000000" w:fill="000000"/>
                <w:fitText w:val="45" w:id="-1208278001"/>
                <w14:textFill>
                  <w14:solidFill>
                    <w14:srgbClr w14:val="000000">
                      <w14:alpha w14:val="100000"/>
                    </w14:srgbClr>
                  </w14:solidFill>
                </w14:textFill>
              </w:rPr>
              <w:t>|</w:t>
            </w:r>
            <w:r w:rsidRPr="00B650E1">
              <w:rPr>
                <w:rFonts w:hint="eastAsia"/>
                <w:color w:val="000000"/>
                <w:spacing w:val="-30"/>
                <w:w w:val="15"/>
                <w:szCs w:val="20"/>
                <w:shd w:val="solid" w:color="000000" w:fill="000000"/>
                <w:fitText w:val="45" w:id="-1208278001"/>
                <w14:textFill>
                  <w14:solidFill>
                    <w14:srgbClr w14:val="000000">
                      <w14:alpha w14:val="100000"/>
                    </w14:srgbClr>
                  </w14:solidFill>
                </w14:textFill>
              </w:rPr>
              <w:t xml:space="preserve">　</w:t>
            </w:r>
            <w:r w:rsidR="00D6081B" w:rsidRPr="0042765C">
              <w:rPr>
                <w:color w:val="000000"/>
                <w:szCs w:val="20"/>
                <w:vertAlign w:val="superscript"/>
              </w:rPr>
              <w:t>12</w:t>
            </w:r>
          </w:p>
        </w:tc>
        <w:tc>
          <w:tcPr>
            <w:tcW w:w="1200" w:type="dxa"/>
            <w:tcMar>
              <w:left w:w="40" w:type="dxa"/>
              <w:right w:w="40" w:type="dxa"/>
            </w:tcMar>
            <w:vAlign w:val="center"/>
          </w:tcPr>
          <w:p w14:paraId="00C3E797" w14:textId="43E55B4D" w:rsidR="002D6E52" w:rsidRPr="00C91ADA" w:rsidRDefault="00B650E1" w:rsidP="00533193">
            <w:pPr>
              <w:pStyle w:val="PBACTabletext0"/>
              <w:spacing w:after="0"/>
              <w:jc w:val="center"/>
              <w:rPr>
                <w:sz w:val="19"/>
                <w:szCs w:val="19"/>
                <w:vertAlign w:val="superscript"/>
              </w:rPr>
            </w:pPr>
            <w:r w:rsidRPr="00B650E1">
              <w:rPr>
                <w:rFonts w:hint="eastAsia"/>
                <w:color w:val="000000"/>
                <w:w w:val="15"/>
                <w:szCs w:val="20"/>
                <w:shd w:val="solid" w:color="000000" w:fill="000000"/>
                <w:fitText w:val="45" w:id="-1208278000"/>
                <w14:textFill>
                  <w14:solidFill>
                    <w14:srgbClr w14:val="000000">
                      <w14:alpha w14:val="100000"/>
                    </w14:srgbClr>
                  </w14:solidFill>
                </w14:textFill>
              </w:rPr>
              <w:t xml:space="preserve">　</w:t>
            </w:r>
            <w:r w:rsidRPr="00B650E1">
              <w:rPr>
                <w:color w:val="000000"/>
                <w:w w:val="15"/>
                <w:szCs w:val="20"/>
                <w:shd w:val="solid" w:color="000000" w:fill="000000"/>
                <w:fitText w:val="45" w:id="-1208278000"/>
                <w14:textFill>
                  <w14:solidFill>
                    <w14:srgbClr w14:val="000000">
                      <w14:alpha w14:val="100000"/>
                    </w14:srgbClr>
                  </w14:solidFill>
                </w14:textFill>
              </w:rPr>
              <w:t>|</w:t>
            </w:r>
            <w:r w:rsidRPr="00B650E1">
              <w:rPr>
                <w:rFonts w:hint="eastAsia"/>
                <w:color w:val="000000"/>
                <w:spacing w:val="-30"/>
                <w:w w:val="15"/>
                <w:szCs w:val="20"/>
                <w:shd w:val="solid" w:color="000000" w:fill="000000"/>
                <w:fitText w:val="45" w:id="-1208278000"/>
                <w14:textFill>
                  <w14:solidFill>
                    <w14:srgbClr w14:val="000000">
                      <w14:alpha w14:val="100000"/>
                    </w14:srgbClr>
                  </w14:solidFill>
                </w14:textFill>
              </w:rPr>
              <w:t xml:space="preserve">　</w:t>
            </w:r>
            <w:r w:rsidR="00D6081B" w:rsidRPr="0042765C">
              <w:rPr>
                <w:color w:val="000000"/>
                <w:szCs w:val="20"/>
                <w:vertAlign w:val="superscript"/>
              </w:rPr>
              <w:t>12</w:t>
            </w:r>
          </w:p>
        </w:tc>
        <w:tc>
          <w:tcPr>
            <w:tcW w:w="1200" w:type="dxa"/>
            <w:noWrap/>
            <w:tcMar>
              <w:left w:w="40" w:type="dxa"/>
              <w:right w:w="40" w:type="dxa"/>
            </w:tcMar>
            <w:vAlign w:val="center"/>
          </w:tcPr>
          <w:p w14:paraId="76984BB1" w14:textId="1322099E" w:rsidR="002D6E52" w:rsidRPr="00C91ADA" w:rsidRDefault="00B650E1" w:rsidP="00533193">
            <w:pPr>
              <w:pStyle w:val="PBACTabletext0"/>
              <w:spacing w:after="0"/>
              <w:jc w:val="center"/>
              <w:rPr>
                <w:sz w:val="19"/>
                <w:szCs w:val="19"/>
                <w:vertAlign w:val="superscript"/>
              </w:rPr>
            </w:pPr>
            <w:r w:rsidRPr="00B650E1">
              <w:rPr>
                <w:rFonts w:hint="eastAsia"/>
                <w:color w:val="000000"/>
                <w:w w:val="15"/>
                <w:szCs w:val="20"/>
                <w:shd w:val="solid" w:color="000000" w:fill="000000"/>
                <w:fitText w:val="45" w:id="-1208278016"/>
                <w14:textFill>
                  <w14:solidFill>
                    <w14:srgbClr w14:val="000000">
                      <w14:alpha w14:val="100000"/>
                    </w14:srgbClr>
                  </w14:solidFill>
                </w14:textFill>
              </w:rPr>
              <w:t xml:space="preserve">　</w:t>
            </w:r>
            <w:r w:rsidRPr="00B650E1">
              <w:rPr>
                <w:color w:val="000000"/>
                <w:w w:val="15"/>
                <w:szCs w:val="20"/>
                <w:shd w:val="solid" w:color="000000" w:fill="000000"/>
                <w:fitText w:val="45" w:id="-1208278016"/>
                <w14:textFill>
                  <w14:solidFill>
                    <w14:srgbClr w14:val="000000">
                      <w14:alpha w14:val="100000"/>
                    </w14:srgbClr>
                  </w14:solidFill>
                </w14:textFill>
              </w:rPr>
              <w:t>|</w:t>
            </w:r>
            <w:r w:rsidRPr="00B650E1">
              <w:rPr>
                <w:rFonts w:hint="eastAsia"/>
                <w:color w:val="000000"/>
                <w:spacing w:val="-30"/>
                <w:w w:val="15"/>
                <w:szCs w:val="20"/>
                <w:shd w:val="solid" w:color="000000" w:fill="000000"/>
                <w:fitText w:val="45" w:id="-1208278016"/>
                <w14:textFill>
                  <w14:solidFill>
                    <w14:srgbClr w14:val="000000">
                      <w14:alpha w14:val="100000"/>
                    </w14:srgbClr>
                  </w14:solidFill>
                </w14:textFill>
              </w:rPr>
              <w:t xml:space="preserve">　</w:t>
            </w:r>
            <w:r w:rsidR="00D6081B" w:rsidRPr="0042765C">
              <w:rPr>
                <w:color w:val="000000"/>
                <w:szCs w:val="20"/>
                <w:vertAlign w:val="superscript"/>
              </w:rPr>
              <w:t>14</w:t>
            </w:r>
          </w:p>
        </w:tc>
        <w:tc>
          <w:tcPr>
            <w:tcW w:w="1200" w:type="dxa"/>
            <w:noWrap/>
            <w:tcMar>
              <w:left w:w="40" w:type="dxa"/>
              <w:right w:w="40" w:type="dxa"/>
            </w:tcMar>
            <w:vAlign w:val="center"/>
          </w:tcPr>
          <w:p w14:paraId="4B9CBC36" w14:textId="36006DB6" w:rsidR="002D6E52" w:rsidRPr="00C91ADA" w:rsidRDefault="00B650E1" w:rsidP="00533193">
            <w:pPr>
              <w:pStyle w:val="PBACTabletext0"/>
              <w:spacing w:after="0"/>
              <w:jc w:val="center"/>
              <w:rPr>
                <w:sz w:val="19"/>
                <w:szCs w:val="19"/>
                <w:vertAlign w:val="superscript"/>
              </w:rPr>
            </w:pPr>
            <w:r w:rsidRPr="00B650E1">
              <w:rPr>
                <w:rFonts w:hint="eastAsia"/>
                <w:color w:val="000000"/>
                <w:w w:val="15"/>
                <w:szCs w:val="20"/>
                <w:shd w:val="solid" w:color="000000" w:fill="000000"/>
                <w:fitText w:val="45" w:id="-1208278015"/>
                <w14:textFill>
                  <w14:solidFill>
                    <w14:srgbClr w14:val="000000">
                      <w14:alpha w14:val="100000"/>
                    </w14:srgbClr>
                  </w14:solidFill>
                </w14:textFill>
              </w:rPr>
              <w:t xml:space="preserve">　</w:t>
            </w:r>
            <w:r w:rsidRPr="00B650E1">
              <w:rPr>
                <w:color w:val="000000"/>
                <w:w w:val="15"/>
                <w:szCs w:val="20"/>
                <w:shd w:val="solid" w:color="000000" w:fill="000000"/>
                <w:fitText w:val="45" w:id="-1208278015"/>
                <w14:textFill>
                  <w14:solidFill>
                    <w14:srgbClr w14:val="000000">
                      <w14:alpha w14:val="100000"/>
                    </w14:srgbClr>
                  </w14:solidFill>
                </w14:textFill>
              </w:rPr>
              <w:t>|</w:t>
            </w:r>
            <w:r w:rsidRPr="00B650E1">
              <w:rPr>
                <w:rFonts w:hint="eastAsia"/>
                <w:color w:val="000000"/>
                <w:spacing w:val="-30"/>
                <w:w w:val="15"/>
                <w:szCs w:val="20"/>
                <w:shd w:val="solid" w:color="000000" w:fill="000000"/>
                <w:fitText w:val="45" w:id="-1208278015"/>
                <w14:textFill>
                  <w14:solidFill>
                    <w14:srgbClr w14:val="000000">
                      <w14:alpha w14:val="100000"/>
                    </w14:srgbClr>
                  </w14:solidFill>
                </w14:textFill>
              </w:rPr>
              <w:t xml:space="preserve">　</w:t>
            </w:r>
            <w:r w:rsidR="00D6081B" w:rsidRPr="0042765C">
              <w:rPr>
                <w:color w:val="000000"/>
                <w:szCs w:val="20"/>
                <w:vertAlign w:val="superscript"/>
              </w:rPr>
              <w:t>14</w:t>
            </w:r>
          </w:p>
        </w:tc>
      </w:tr>
      <w:tr w:rsidR="002D6E52" w:rsidRPr="00DB3FE7" w14:paraId="67027460" w14:textId="77777777" w:rsidTr="00533193">
        <w:trPr>
          <w:trHeight w:val="154"/>
        </w:trPr>
        <w:tc>
          <w:tcPr>
            <w:tcW w:w="2035" w:type="dxa"/>
            <w:noWrap/>
            <w:tcMar>
              <w:left w:w="40" w:type="dxa"/>
              <w:right w:w="40" w:type="dxa"/>
            </w:tcMar>
          </w:tcPr>
          <w:p w14:paraId="699D1DAB" w14:textId="44AAD877" w:rsidR="002D6E52" w:rsidRPr="00DB3FE7" w:rsidRDefault="002D6E52" w:rsidP="00533193">
            <w:pPr>
              <w:pStyle w:val="PBACTabletext0"/>
              <w:spacing w:after="0"/>
              <w:rPr>
                <w:sz w:val="19"/>
                <w:szCs w:val="19"/>
              </w:rPr>
            </w:pPr>
            <w:r w:rsidRPr="00DB3FE7">
              <w:rPr>
                <w:sz w:val="19"/>
                <w:szCs w:val="19"/>
              </w:rPr>
              <w:t>Cost savings to PBS/RBS from substituted evolocumab and alirocumab scripts (after co-payment)</w:t>
            </w:r>
            <w:r w:rsidR="00761FB8" w:rsidRPr="00DB3FE7">
              <w:rPr>
                <w:sz w:val="19"/>
                <w:szCs w:val="19"/>
              </w:rPr>
              <w:t xml:space="preserve"> ($)</w:t>
            </w:r>
          </w:p>
        </w:tc>
        <w:tc>
          <w:tcPr>
            <w:tcW w:w="1200" w:type="dxa"/>
            <w:tcMar>
              <w:left w:w="40" w:type="dxa"/>
              <w:right w:w="40" w:type="dxa"/>
            </w:tcMar>
            <w:vAlign w:val="center"/>
          </w:tcPr>
          <w:p w14:paraId="4B882307" w14:textId="278990F2" w:rsidR="002D6E52" w:rsidRPr="00C91ADA" w:rsidRDefault="002D6E52" w:rsidP="00533193">
            <w:pPr>
              <w:pStyle w:val="PBACTabletext0"/>
              <w:spacing w:after="0"/>
              <w:jc w:val="center"/>
              <w:rPr>
                <w:szCs w:val="20"/>
                <w:vertAlign w:val="superscript"/>
              </w:rPr>
            </w:pPr>
            <w:r w:rsidRPr="00C91ADA">
              <w:rPr>
                <w:szCs w:val="20"/>
              </w:rPr>
              <w:t>-</w:t>
            </w:r>
            <w:r w:rsidR="00B650E1" w:rsidRPr="00B650E1">
              <w:rPr>
                <w:rFonts w:hint="eastAsia"/>
                <w:color w:val="000000"/>
                <w:w w:val="16"/>
                <w:szCs w:val="20"/>
                <w:shd w:val="solid" w:color="000000" w:fill="000000"/>
                <w:fitText w:val="75" w:id="-1208278014"/>
                <w14:textFill>
                  <w14:solidFill>
                    <w14:srgbClr w14:val="000000">
                      <w14:alpha w14:val="100000"/>
                    </w14:srgbClr>
                  </w14:solidFill>
                </w14:textFill>
              </w:rPr>
              <w:t xml:space="preserve">　</w:t>
            </w:r>
            <w:r w:rsidR="00B650E1" w:rsidRPr="00B650E1">
              <w:rPr>
                <w:color w:val="000000"/>
                <w:w w:val="16"/>
                <w:szCs w:val="20"/>
                <w:shd w:val="solid" w:color="000000" w:fill="000000"/>
                <w:fitText w:val="75" w:id="-1208278014"/>
                <w14:textFill>
                  <w14:solidFill>
                    <w14:srgbClr w14:val="000000">
                      <w14:alpha w14:val="100000"/>
                    </w14:srgbClr>
                  </w14:solidFill>
                </w14:textFill>
              </w:rPr>
              <w:t>|</w:t>
            </w:r>
            <w:r w:rsidR="00B650E1" w:rsidRPr="00B650E1">
              <w:rPr>
                <w:rFonts w:hint="eastAsia"/>
                <w:color w:val="000000"/>
                <w:spacing w:val="5"/>
                <w:w w:val="16"/>
                <w:szCs w:val="20"/>
                <w:shd w:val="solid" w:color="000000" w:fill="000000"/>
                <w:fitText w:val="75" w:id="-1208278014"/>
                <w14:textFill>
                  <w14:solidFill>
                    <w14:srgbClr w14:val="000000">
                      <w14:alpha w14:val="100000"/>
                    </w14:srgbClr>
                  </w14:solidFill>
                </w14:textFill>
              </w:rPr>
              <w:t xml:space="preserve">　</w:t>
            </w:r>
            <w:r w:rsidR="00D6081B" w:rsidRPr="0042765C">
              <w:rPr>
                <w:szCs w:val="20"/>
                <w:vertAlign w:val="superscript"/>
              </w:rPr>
              <w:t>10</w:t>
            </w:r>
          </w:p>
        </w:tc>
        <w:tc>
          <w:tcPr>
            <w:tcW w:w="1200" w:type="dxa"/>
            <w:tcMar>
              <w:left w:w="40" w:type="dxa"/>
              <w:right w:w="40" w:type="dxa"/>
            </w:tcMar>
            <w:vAlign w:val="center"/>
          </w:tcPr>
          <w:p w14:paraId="40B4B1B0" w14:textId="3DDD904F" w:rsidR="002D6E52" w:rsidRPr="00C91ADA" w:rsidRDefault="002D6E52" w:rsidP="00533193">
            <w:pPr>
              <w:pStyle w:val="PBACTabletext0"/>
              <w:spacing w:after="0"/>
              <w:jc w:val="center"/>
              <w:rPr>
                <w:szCs w:val="20"/>
                <w:vertAlign w:val="superscript"/>
              </w:rPr>
            </w:pPr>
            <w:r w:rsidRPr="00C91ADA">
              <w:rPr>
                <w:szCs w:val="20"/>
              </w:rPr>
              <w:t>-</w:t>
            </w:r>
            <w:r w:rsidR="00B650E1" w:rsidRPr="00B650E1">
              <w:rPr>
                <w:rFonts w:hint="eastAsia"/>
                <w:color w:val="000000"/>
                <w:w w:val="16"/>
                <w:szCs w:val="20"/>
                <w:shd w:val="solid" w:color="000000" w:fill="000000"/>
                <w:fitText w:val="75" w:id="-1208278013"/>
                <w14:textFill>
                  <w14:solidFill>
                    <w14:srgbClr w14:val="000000">
                      <w14:alpha w14:val="100000"/>
                    </w14:srgbClr>
                  </w14:solidFill>
                </w14:textFill>
              </w:rPr>
              <w:t xml:space="preserve">　</w:t>
            </w:r>
            <w:r w:rsidR="00B650E1" w:rsidRPr="00B650E1">
              <w:rPr>
                <w:color w:val="000000"/>
                <w:w w:val="16"/>
                <w:szCs w:val="20"/>
                <w:shd w:val="solid" w:color="000000" w:fill="000000"/>
                <w:fitText w:val="75" w:id="-1208278013"/>
                <w14:textFill>
                  <w14:solidFill>
                    <w14:srgbClr w14:val="000000">
                      <w14:alpha w14:val="100000"/>
                    </w14:srgbClr>
                  </w14:solidFill>
                </w14:textFill>
              </w:rPr>
              <w:t>|</w:t>
            </w:r>
            <w:r w:rsidR="00B650E1" w:rsidRPr="00B650E1">
              <w:rPr>
                <w:rFonts w:hint="eastAsia"/>
                <w:color w:val="000000"/>
                <w:spacing w:val="5"/>
                <w:w w:val="16"/>
                <w:szCs w:val="20"/>
                <w:shd w:val="solid" w:color="000000" w:fill="000000"/>
                <w:fitText w:val="75" w:id="-1208278013"/>
                <w14:textFill>
                  <w14:solidFill>
                    <w14:srgbClr w14:val="000000">
                      <w14:alpha w14:val="100000"/>
                    </w14:srgbClr>
                  </w14:solidFill>
                </w14:textFill>
              </w:rPr>
              <w:t xml:space="preserve">　</w:t>
            </w:r>
            <w:r w:rsidR="00D6081B" w:rsidRPr="0042765C">
              <w:rPr>
                <w:szCs w:val="20"/>
                <w:vertAlign w:val="superscript"/>
              </w:rPr>
              <w:t>11</w:t>
            </w:r>
          </w:p>
        </w:tc>
        <w:tc>
          <w:tcPr>
            <w:tcW w:w="1200" w:type="dxa"/>
            <w:tcMar>
              <w:left w:w="40" w:type="dxa"/>
              <w:right w:w="40" w:type="dxa"/>
            </w:tcMar>
            <w:vAlign w:val="center"/>
          </w:tcPr>
          <w:p w14:paraId="6F118739" w14:textId="450895AF" w:rsidR="002D6E52" w:rsidRPr="00C91ADA" w:rsidRDefault="002D6E52" w:rsidP="00533193">
            <w:pPr>
              <w:pStyle w:val="PBACTabletext0"/>
              <w:spacing w:after="0"/>
              <w:jc w:val="center"/>
              <w:rPr>
                <w:szCs w:val="20"/>
                <w:vertAlign w:val="superscript"/>
              </w:rPr>
            </w:pPr>
            <w:r w:rsidRPr="00C91ADA">
              <w:rPr>
                <w:szCs w:val="20"/>
              </w:rPr>
              <w:t>-</w:t>
            </w:r>
            <w:r w:rsidR="00B650E1" w:rsidRPr="00B650E1">
              <w:rPr>
                <w:rFonts w:hint="eastAsia"/>
                <w:color w:val="000000"/>
                <w:w w:val="16"/>
                <w:szCs w:val="20"/>
                <w:shd w:val="solid" w:color="000000" w:fill="000000"/>
                <w:fitText w:val="75" w:id="-1208278012"/>
                <w14:textFill>
                  <w14:solidFill>
                    <w14:srgbClr w14:val="000000">
                      <w14:alpha w14:val="100000"/>
                    </w14:srgbClr>
                  </w14:solidFill>
                </w14:textFill>
              </w:rPr>
              <w:t xml:space="preserve">　</w:t>
            </w:r>
            <w:r w:rsidR="00B650E1" w:rsidRPr="00B650E1">
              <w:rPr>
                <w:color w:val="000000"/>
                <w:w w:val="16"/>
                <w:szCs w:val="20"/>
                <w:shd w:val="solid" w:color="000000" w:fill="000000"/>
                <w:fitText w:val="75" w:id="-1208278012"/>
                <w14:textFill>
                  <w14:solidFill>
                    <w14:srgbClr w14:val="000000">
                      <w14:alpha w14:val="100000"/>
                    </w14:srgbClr>
                  </w14:solidFill>
                </w14:textFill>
              </w:rPr>
              <w:t>|</w:t>
            </w:r>
            <w:r w:rsidR="00B650E1" w:rsidRPr="00B650E1">
              <w:rPr>
                <w:rFonts w:hint="eastAsia"/>
                <w:color w:val="000000"/>
                <w:spacing w:val="5"/>
                <w:w w:val="16"/>
                <w:szCs w:val="20"/>
                <w:shd w:val="solid" w:color="000000" w:fill="000000"/>
                <w:fitText w:val="75" w:id="-1208278012"/>
                <w14:textFill>
                  <w14:solidFill>
                    <w14:srgbClr w14:val="000000">
                      <w14:alpha w14:val="100000"/>
                    </w14:srgbClr>
                  </w14:solidFill>
                </w14:textFill>
              </w:rPr>
              <w:t xml:space="preserve">　</w:t>
            </w:r>
            <w:r w:rsidR="00D6081B" w:rsidRPr="0042765C">
              <w:rPr>
                <w:szCs w:val="20"/>
                <w:vertAlign w:val="superscript"/>
              </w:rPr>
              <w:t>14</w:t>
            </w:r>
          </w:p>
        </w:tc>
        <w:tc>
          <w:tcPr>
            <w:tcW w:w="1200" w:type="dxa"/>
            <w:tcMar>
              <w:left w:w="40" w:type="dxa"/>
              <w:right w:w="40" w:type="dxa"/>
            </w:tcMar>
            <w:vAlign w:val="center"/>
          </w:tcPr>
          <w:p w14:paraId="0E7D9131" w14:textId="5CE462AC" w:rsidR="002D6E52" w:rsidRPr="00C91ADA" w:rsidRDefault="002D6E52" w:rsidP="00533193">
            <w:pPr>
              <w:pStyle w:val="PBACTabletext0"/>
              <w:spacing w:after="0"/>
              <w:jc w:val="center"/>
              <w:rPr>
                <w:szCs w:val="20"/>
                <w:vertAlign w:val="superscript"/>
              </w:rPr>
            </w:pPr>
            <w:r w:rsidRPr="00C91ADA">
              <w:rPr>
                <w:szCs w:val="20"/>
              </w:rPr>
              <w:t>-</w:t>
            </w:r>
            <w:r w:rsidR="00B650E1" w:rsidRPr="00B650E1">
              <w:rPr>
                <w:rFonts w:hint="eastAsia"/>
                <w:color w:val="000000"/>
                <w:w w:val="16"/>
                <w:szCs w:val="20"/>
                <w:shd w:val="solid" w:color="000000" w:fill="000000"/>
                <w:fitText w:val="75" w:id="-1208278011"/>
                <w14:textFill>
                  <w14:solidFill>
                    <w14:srgbClr w14:val="000000">
                      <w14:alpha w14:val="100000"/>
                    </w14:srgbClr>
                  </w14:solidFill>
                </w14:textFill>
              </w:rPr>
              <w:t xml:space="preserve">　</w:t>
            </w:r>
            <w:r w:rsidR="00B650E1" w:rsidRPr="00B650E1">
              <w:rPr>
                <w:color w:val="000000"/>
                <w:w w:val="16"/>
                <w:szCs w:val="20"/>
                <w:shd w:val="solid" w:color="000000" w:fill="000000"/>
                <w:fitText w:val="75" w:id="-1208278011"/>
                <w14:textFill>
                  <w14:solidFill>
                    <w14:srgbClr w14:val="000000">
                      <w14:alpha w14:val="100000"/>
                    </w14:srgbClr>
                  </w14:solidFill>
                </w14:textFill>
              </w:rPr>
              <w:t>|</w:t>
            </w:r>
            <w:r w:rsidR="00B650E1" w:rsidRPr="00B650E1">
              <w:rPr>
                <w:rFonts w:hint="eastAsia"/>
                <w:color w:val="000000"/>
                <w:spacing w:val="5"/>
                <w:w w:val="16"/>
                <w:szCs w:val="20"/>
                <w:shd w:val="solid" w:color="000000" w:fill="000000"/>
                <w:fitText w:val="75" w:id="-1208278011"/>
                <w14:textFill>
                  <w14:solidFill>
                    <w14:srgbClr w14:val="000000">
                      <w14:alpha w14:val="100000"/>
                    </w14:srgbClr>
                  </w14:solidFill>
                </w14:textFill>
              </w:rPr>
              <w:t xml:space="preserve">　</w:t>
            </w:r>
            <w:r w:rsidR="00D6081B" w:rsidRPr="0042765C">
              <w:rPr>
                <w:szCs w:val="20"/>
                <w:vertAlign w:val="superscript"/>
              </w:rPr>
              <w:t>14</w:t>
            </w:r>
          </w:p>
        </w:tc>
        <w:tc>
          <w:tcPr>
            <w:tcW w:w="1200" w:type="dxa"/>
            <w:noWrap/>
            <w:tcMar>
              <w:left w:w="40" w:type="dxa"/>
              <w:right w:w="40" w:type="dxa"/>
            </w:tcMar>
            <w:vAlign w:val="center"/>
          </w:tcPr>
          <w:p w14:paraId="0237C578" w14:textId="7FE9C338" w:rsidR="002D6E52" w:rsidRPr="00C91ADA" w:rsidRDefault="002D6E52" w:rsidP="00533193">
            <w:pPr>
              <w:pStyle w:val="PBACTabletext0"/>
              <w:spacing w:after="0"/>
              <w:jc w:val="center"/>
              <w:rPr>
                <w:szCs w:val="20"/>
                <w:vertAlign w:val="superscript"/>
              </w:rPr>
            </w:pPr>
            <w:r w:rsidRPr="00C91ADA">
              <w:rPr>
                <w:szCs w:val="20"/>
              </w:rPr>
              <w:t>-</w:t>
            </w:r>
            <w:r w:rsidR="00B650E1" w:rsidRPr="00B650E1">
              <w:rPr>
                <w:rFonts w:hint="eastAsia"/>
                <w:color w:val="000000"/>
                <w:w w:val="16"/>
                <w:szCs w:val="20"/>
                <w:shd w:val="solid" w:color="000000" w:fill="000000"/>
                <w:fitText w:val="75" w:id="-1208278010"/>
                <w14:textFill>
                  <w14:solidFill>
                    <w14:srgbClr w14:val="000000">
                      <w14:alpha w14:val="100000"/>
                    </w14:srgbClr>
                  </w14:solidFill>
                </w14:textFill>
              </w:rPr>
              <w:t xml:space="preserve">　</w:t>
            </w:r>
            <w:r w:rsidR="00B650E1" w:rsidRPr="00B650E1">
              <w:rPr>
                <w:color w:val="000000"/>
                <w:w w:val="16"/>
                <w:szCs w:val="20"/>
                <w:shd w:val="solid" w:color="000000" w:fill="000000"/>
                <w:fitText w:val="75" w:id="-1208278010"/>
                <w14:textFill>
                  <w14:solidFill>
                    <w14:srgbClr w14:val="000000">
                      <w14:alpha w14:val="100000"/>
                    </w14:srgbClr>
                  </w14:solidFill>
                </w14:textFill>
              </w:rPr>
              <w:t>|</w:t>
            </w:r>
            <w:r w:rsidR="00B650E1" w:rsidRPr="00B650E1">
              <w:rPr>
                <w:rFonts w:hint="eastAsia"/>
                <w:color w:val="000000"/>
                <w:spacing w:val="5"/>
                <w:w w:val="16"/>
                <w:szCs w:val="20"/>
                <w:shd w:val="solid" w:color="000000" w:fill="000000"/>
                <w:fitText w:val="75" w:id="-1208278010"/>
                <w14:textFill>
                  <w14:solidFill>
                    <w14:srgbClr w14:val="000000">
                      <w14:alpha w14:val="100000"/>
                    </w14:srgbClr>
                  </w14:solidFill>
                </w14:textFill>
              </w:rPr>
              <w:t xml:space="preserve">　</w:t>
            </w:r>
            <w:r w:rsidR="00D6081B" w:rsidRPr="0042765C">
              <w:rPr>
                <w:szCs w:val="20"/>
                <w:vertAlign w:val="superscript"/>
              </w:rPr>
              <w:t>14</w:t>
            </w:r>
          </w:p>
        </w:tc>
        <w:tc>
          <w:tcPr>
            <w:tcW w:w="1200" w:type="dxa"/>
            <w:noWrap/>
            <w:tcMar>
              <w:left w:w="40" w:type="dxa"/>
              <w:right w:w="40" w:type="dxa"/>
            </w:tcMar>
            <w:vAlign w:val="center"/>
          </w:tcPr>
          <w:p w14:paraId="309F36B4" w14:textId="6FD638F6" w:rsidR="002D6E52" w:rsidRPr="00C91ADA" w:rsidRDefault="002D6E52" w:rsidP="00533193">
            <w:pPr>
              <w:pStyle w:val="PBACTabletext0"/>
              <w:spacing w:after="0"/>
              <w:jc w:val="center"/>
              <w:rPr>
                <w:szCs w:val="20"/>
                <w:vertAlign w:val="superscript"/>
              </w:rPr>
            </w:pPr>
            <w:r w:rsidRPr="00C91ADA">
              <w:rPr>
                <w:szCs w:val="20"/>
              </w:rPr>
              <w:t>-</w:t>
            </w:r>
            <w:r w:rsidR="00B650E1" w:rsidRPr="00B650E1">
              <w:rPr>
                <w:rFonts w:hint="eastAsia"/>
                <w:color w:val="000000"/>
                <w:w w:val="16"/>
                <w:szCs w:val="20"/>
                <w:shd w:val="solid" w:color="000000" w:fill="000000"/>
                <w:fitText w:val="75" w:id="-1208278009"/>
                <w14:textFill>
                  <w14:solidFill>
                    <w14:srgbClr w14:val="000000">
                      <w14:alpha w14:val="100000"/>
                    </w14:srgbClr>
                  </w14:solidFill>
                </w14:textFill>
              </w:rPr>
              <w:t xml:space="preserve">　</w:t>
            </w:r>
            <w:r w:rsidR="00B650E1" w:rsidRPr="00B650E1">
              <w:rPr>
                <w:color w:val="000000"/>
                <w:w w:val="16"/>
                <w:szCs w:val="20"/>
                <w:shd w:val="solid" w:color="000000" w:fill="000000"/>
                <w:fitText w:val="75" w:id="-1208278009"/>
                <w14:textFill>
                  <w14:solidFill>
                    <w14:srgbClr w14:val="000000">
                      <w14:alpha w14:val="100000"/>
                    </w14:srgbClr>
                  </w14:solidFill>
                </w14:textFill>
              </w:rPr>
              <w:t>|</w:t>
            </w:r>
            <w:r w:rsidR="00B650E1" w:rsidRPr="00B650E1">
              <w:rPr>
                <w:rFonts w:hint="eastAsia"/>
                <w:color w:val="000000"/>
                <w:spacing w:val="5"/>
                <w:w w:val="16"/>
                <w:szCs w:val="20"/>
                <w:shd w:val="solid" w:color="000000" w:fill="000000"/>
                <w:fitText w:val="75" w:id="-1208278009"/>
                <w14:textFill>
                  <w14:solidFill>
                    <w14:srgbClr w14:val="000000">
                      <w14:alpha w14:val="100000"/>
                    </w14:srgbClr>
                  </w14:solidFill>
                </w14:textFill>
              </w:rPr>
              <w:t xml:space="preserve">　</w:t>
            </w:r>
            <w:r w:rsidR="00D6081B" w:rsidRPr="0042765C">
              <w:rPr>
                <w:szCs w:val="20"/>
                <w:vertAlign w:val="superscript"/>
              </w:rPr>
              <w:t>14</w:t>
            </w:r>
          </w:p>
        </w:tc>
      </w:tr>
      <w:tr w:rsidR="002D6E52" w:rsidRPr="00DB3FE7" w14:paraId="4BAAD56E" w14:textId="77777777" w:rsidTr="00533193">
        <w:trPr>
          <w:trHeight w:val="154"/>
        </w:trPr>
        <w:tc>
          <w:tcPr>
            <w:tcW w:w="2035" w:type="dxa"/>
            <w:noWrap/>
            <w:tcMar>
              <w:left w:w="40" w:type="dxa"/>
              <w:right w:w="40" w:type="dxa"/>
            </w:tcMar>
          </w:tcPr>
          <w:p w14:paraId="643787AD" w14:textId="22A8D563" w:rsidR="002D6E52" w:rsidRPr="00DB3FE7" w:rsidRDefault="002D6E52" w:rsidP="00533193">
            <w:pPr>
              <w:pStyle w:val="PBACTabletext0"/>
              <w:spacing w:after="0"/>
              <w:rPr>
                <w:b/>
                <w:bCs/>
                <w:sz w:val="19"/>
                <w:szCs w:val="19"/>
              </w:rPr>
            </w:pPr>
            <w:r w:rsidRPr="00DB3FE7">
              <w:rPr>
                <w:b/>
                <w:bCs/>
                <w:sz w:val="19"/>
                <w:szCs w:val="19"/>
              </w:rPr>
              <w:t>Net cost to PBS/RPBS (after co-payment)</w:t>
            </w:r>
            <w:r w:rsidR="00761FB8" w:rsidRPr="00DB3FE7">
              <w:rPr>
                <w:b/>
                <w:bCs/>
                <w:sz w:val="19"/>
                <w:szCs w:val="19"/>
              </w:rPr>
              <w:t xml:space="preserve"> ($)</w:t>
            </w:r>
          </w:p>
        </w:tc>
        <w:tc>
          <w:tcPr>
            <w:tcW w:w="1200" w:type="dxa"/>
            <w:tcMar>
              <w:left w:w="40" w:type="dxa"/>
              <w:right w:w="40" w:type="dxa"/>
            </w:tcMar>
            <w:vAlign w:val="center"/>
          </w:tcPr>
          <w:p w14:paraId="415CDAE7" w14:textId="4F16DAD6" w:rsidR="002D6E52" w:rsidRPr="00C91ADA" w:rsidRDefault="00B650E1" w:rsidP="00533193">
            <w:pPr>
              <w:pStyle w:val="PBACTabletext0"/>
              <w:spacing w:after="0"/>
              <w:jc w:val="center"/>
              <w:rPr>
                <w:szCs w:val="20"/>
                <w:vertAlign w:val="superscript"/>
              </w:rPr>
            </w:pPr>
            <w:r w:rsidRPr="00B650E1">
              <w:rPr>
                <w:rFonts w:hint="eastAsia"/>
                <w:b/>
                <w:bCs/>
                <w:color w:val="000000"/>
                <w:w w:val="20"/>
                <w:szCs w:val="20"/>
                <w:shd w:val="solid" w:color="000000" w:fill="000000"/>
                <w:fitText w:val="90" w:id="-1208278008"/>
                <w14:textFill>
                  <w14:solidFill>
                    <w14:srgbClr w14:val="000000">
                      <w14:alpha w14:val="100000"/>
                    </w14:srgbClr>
                  </w14:solidFill>
                </w14:textFill>
              </w:rPr>
              <w:t xml:space="preserve">　</w:t>
            </w:r>
            <w:r w:rsidRPr="00B650E1">
              <w:rPr>
                <w:b/>
                <w:bCs/>
                <w:color w:val="000000"/>
                <w:w w:val="20"/>
                <w:szCs w:val="20"/>
                <w:shd w:val="solid" w:color="000000" w:fill="000000"/>
                <w:fitText w:val="90" w:id="-1208278008"/>
                <w14:textFill>
                  <w14:solidFill>
                    <w14:srgbClr w14:val="000000">
                      <w14:alpha w14:val="100000"/>
                    </w14:srgbClr>
                  </w14:solidFill>
                </w14:textFill>
              </w:rPr>
              <w:t>|</w:t>
            </w:r>
            <w:r w:rsidRPr="00B650E1">
              <w:rPr>
                <w:rFonts w:hint="eastAsia"/>
                <w:b/>
                <w:bCs/>
                <w:color w:val="000000"/>
                <w:spacing w:val="2"/>
                <w:w w:val="20"/>
                <w:szCs w:val="20"/>
                <w:shd w:val="solid" w:color="000000" w:fill="000000"/>
                <w:fitText w:val="90" w:id="-1208278008"/>
                <w14:textFill>
                  <w14:solidFill>
                    <w14:srgbClr w14:val="000000">
                      <w14:alpha w14:val="100000"/>
                    </w14:srgbClr>
                  </w14:solidFill>
                </w14:textFill>
              </w:rPr>
              <w:t xml:space="preserve">　</w:t>
            </w:r>
            <w:r w:rsidR="00D6081B" w:rsidRPr="00DB3FE7">
              <w:rPr>
                <w:szCs w:val="20"/>
                <w:vertAlign w:val="superscript"/>
              </w:rPr>
              <w:t>13</w:t>
            </w:r>
          </w:p>
        </w:tc>
        <w:tc>
          <w:tcPr>
            <w:tcW w:w="1200" w:type="dxa"/>
            <w:tcMar>
              <w:left w:w="40" w:type="dxa"/>
              <w:right w:w="40" w:type="dxa"/>
            </w:tcMar>
            <w:vAlign w:val="center"/>
          </w:tcPr>
          <w:p w14:paraId="2246AEB4" w14:textId="4A17332B" w:rsidR="002D6E52" w:rsidRPr="00C91ADA" w:rsidRDefault="00B650E1" w:rsidP="00533193">
            <w:pPr>
              <w:pStyle w:val="PBACTabletext0"/>
              <w:spacing w:after="0"/>
              <w:jc w:val="center"/>
              <w:rPr>
                <w:szCs w:val="20"/>
                <w:vertAlign w:val="superscript"/>
              </w:rPr>
            </w:pPr>
            <w:r w:rsidRPr="00B650E1">
              <w:rPr>
                <w:rFonts w:hint="eastAsia"/>
                <w:b/>
                <w:bCs/>
                <w:color w:val="000000"/>
                <w:w w:val="20"/>
                <w:szCs w:val="20"/>
                <w:shd w:val="solid" w:color="000000" w:fill="000000"/>
                <w:fitText w:val="90" w:id="-1208278007"/>
                <w14:textFill>
                  <w14:solidFill>
                    <w14:srgbClr w14:val="000000">
                      <w14:alpha w14:val="100000"/>
                    </w14:srgbClr>
                  </w14:solidFill>
                </w14:textFill>
              </w:rPr>
              <w:t xml:space="preserve">　</w:t>
            </w:r>
            <w:r w:rsidRPr="00B650E1">
              <w:rPr>
                <w:b/>
                <w:bCs/>
                <w:color w:val="000000"/>
                <w:w w:val="20"/>
                <w:szCs w:val="20"/>
                <w:shd w:val="solid" w:color="000000" w:fill="000000"/>
                <w:fitText w:val="90" w:id="-1208278007"/>
                <w14:textFill>
                  <w14:solidFill>
                    <w14:srgbClr w14:val="000000">
                      <w14:alpha w14:val="100000"/>
                    </w14:srgbClr>
                  </w14:solidFill>
                </w14:textFill>
              </w:rPr>
              <w:t>|</w:t>
            </w:r>
            <w:r w:rsidRPr="00B650E1">
              <w:rPr>
                <w:rFonts w:hint="eastAsia"/>
                <w:b/>
                <w:bCs/>
                <w:color w:val="000000"/>
                <w:spacing w:val="2"/>
                <w:w w:val="20"/>
                <w:szCs w:val="20"/>
                <w:shd w:val="solid" w:color="000000" w:fill="000000"/>
                <w:fitText w:val="90" w:id="-1208278007"/>
                <w14:textFill>
                  <w14:solidFill>
                    <w14:srgbClr w14:val="000000">
                      <w14:alpha w14:val="100000"/>
                    </w14:srgbClr>
                  </w14:solidFill>
                </w14:textFill>
              </w:rPr>
              <w:t xml:space="preserve">　</w:t>
            </w:r>
            <w:r w:rsidR="00D6081B" w:rsidRPr="0042765C">
              <w:rPr>
                <w:szCs w:val="20"/>
                <w:vertAlign w:val="superscript"/>
              </w:rPr>
              <w:t>13</w:t>
            </w:r>
          </w:p>
        </w:tc>
        <w:tc>
          <w:tcPr>
            <w:tcW w:w="1200" w:type="dxa"/>
            <w:tcMar>
              <w:left w:w="40" w:type="dxa"/>
              <w:right w:w="40" w:type="dxa"/>
            </w:tcMar>
            <w:vAlign w:val="center"/>
          </w:tcPr>
          <w:p w14:paraId="0CA9009E" w14:textId="15C22ABF" w:rsidR="002D6E52" w:rsidRPr="00C91ADA" w:rsidRDefault="00B650E1" w:rsidP="00533193">
            <w:pPr>
              <w:pStyle w:val="PBACTabletext0"/>
              <w:spacing w:after="0"/>
              <w:jc w:val="center"/>
              <w:rPr>
                <w:szCs w:val="20"/>
                <w:vertAlign w:val="superscript"/>
              </w:rPr>
            </w:pPr>
            <w:r w:rsidRPr="00B650E1">
              <w:rPr>
                <w:rFonts w:hint="eastAsia"/>
                <w:b/>
                <w:bCs/>
                <w:color w:val="000000"/>
                <w:w w:val="20"/>
                <w:szCs w:val="20"/>
                <w:shd w:val="solid" w:color="000000" w:fill="000000"/>
                <w:fitText w:val="90" w:id="-1208278006"/>
                <w14:textFill>
                  <w14:solidFill>
                    <w14:srgbClr w14:val="000000">
                      <w14:alpha w14:val="100000"/>
                    </w14:srgbClr>
                  </w14:solidFill>
                </w14:textFill>
              </w:rPr>
              <w:t xml:space="preserve">　</w:t>
            </w:r>
            <w:r w:rsidRPr="00B650E1">
              <w:rPr>
                <w:b/>
                <w:bCs/>
                <w:color w:val="000000"/>
                <w:w w:val="20"/>
                <w:szCs w:val="20"/>
                <w:shd w:val="solid" w:color="000000" w:fill="000000"/>
                <w:fitText w:val="90" w:id="-1208278006"/>
                <w14:textFill>
                  <w14:solidFill>
                    <w14:srgbClr w14:val="000000">
                      <w14:alpha w14:val="100000"/>
                    </w14:srgbClr>
                  </w14:solidFill>
                </w14:textFill>
              </w:rPr>
              <w:t>|</w:t>
            </w:r>
            <w:r w:rsidRPr="00B650E1">
              <w:rPr>
                <w:rFonts w:hint="eastAsia"/>
                <w:b/>
                <w:bCs/>
                <w:color w:val="000000"/>
                <w:spacing w:val="2"/>
                <w:w w:val="20"/>
                <w:szCs w:val="20"/>
                <w:shd w:val="solid" w:color="000000" w:fill="000000"/>
                <w:fitText w:val="90" w:id="-1208278006"/>
                <w14:textFill>
                  <w14:solidFill>
                    <w14:srgbClr w14:val="000000">
                      <w14:alpha w14:val="100000"/>
                    </w14:srgbClr>
                  </w14:solidFill>
                </w14:textFill>
              </w:rPr>
              <w:t xml:space="preserve">　</w:t>
            </w:r>
            <w:r w:rsidR="00D6081B" w:rsidRPr="0042765C">
              <w:rPr>
                <w:szCs w:val="20"/>
                <w:vertAlign w:val="superscript"/>
              </w:rPr>
              <w:t>13</w:t>
            </w:r>
          </w:p>
        </w:tc>
        <w:tc>
          <w:tcPr>
            <w:tcW w:w="1200" w:type="dxa"/>
            <w:tcMar>
              <w:left w:w="40" w:type="dxa"/>
              <w:right w:w="40" w:type="dxa"/>
            </w:tcMar>
            <w:vAlign w:val="center"/>
          </w:tcPr>
          <w:p w14:paraId="4A895CFA" w14:textId="1EE89914" w:rsidR="002D6E52" w:rsidRPr="00C91ADA" w:rsidRDefault="00B650E1" w:rsidP="00533193">
            <w:pPr>
              <w:pStyle w:val="PBACTabletext0"/>
              <w:spacing w:after="0"/>
              <w:jc w:val="center"/>
              <w:rPr>
                <w:szCs w:val="20"/>
                <w:vertAlign w:val="superscript"/>
              </w:rPr>
            </w:pPr>
            <w:r w:rsidRPr="00B650E1">
              <w:rPr>
                <w:rFonts w:hint="eastAsia"/>
                <w:b/>
                <w:bCs/>
                <w:color w:val="000000"/>
                <w:w w:val="20"/>
                <w:szCs w:val="20"/>
                <w:shd w:val="solid" w:color="000000" w:fill="000000"/>
                <w:fitText w:val="90" w:id="-1208278005"/>
                <w14:textFill>
                  <w14:solidFill>
                    <w14:srgbClr w14:val="000000">
                      <w14:alpha w14:val="100000"/>
                    </w14:srgbClr>
                  </w14:solidFill>
                </w14:textFill>
              </w:rPr>
              <w:t xml:space="preserve">　</w:t>
            </w:r>
            <w:r w:rsidRPr="00B650E1">
              <w:rPr>
                <w:b/>
                <w:bCs/>
                <w:color w:val="000000"/>
                <w:w w:val="20"/>
                <w:szCs w:val="20"/>
                <w:shd w:val="solid" w:color="000000" w:fill="000000"/>
                <w:fitText w:val="90" w:id="-1208278005"/>
                <w14:textFill>
                  <w14:solidFill>
                    <w14:srgbClr w14:val="000000">
                      <w14:alpha w14:val="100000"/>
                    </w14:srgbClr>
                  </w14:solidFill>
                </w14:textFill>
              </w:rPr>
              <w:t>|</w:t>
            </w:r>
            <w:r w:rsidRPr="00B650E1">
              <w:rPr>
                <w:rFonts w:hint="eastAsia"/>
                <w:b/>
                <w:bCs/>
                <w:color w:val="000000"/>
                <w:spacing w:val="2"/>
                <w:w w:val="20"/>
                <w:szCs w:val="20"/>
                <w:shd w:val="solid" w:color="000000" w:fill="000000"/>
                <w:fitText w:val="90" w:id="-1208278005"/>
                <w14:textFill>
                  <w14:solidFill>
                    <w14:srgbClr w14:val="000000">
                      <w14:alpha w14:val="100000"/>
                    </w14:srgbClr>
                  </w14:solidFill>
                </w14:textFill>
              </w:rPr>
              <w:t xml:space="preserve">　</w:t>
            </w:r>
            <w:r w:rsidR="00D6081B" w:rsidRPr="0042765C">
              <w:rPr>
                <w:szCs w:val="20"/>
                <w:vertAlign w:val="superscript"/>
              </w:rPr>
              <w:t>13</w:t>
            </w:r>
          </w:p>
        </w:tc>
        <w:tc>
          <w:tcPr>
            <w:tcW w:w="1200" w:type="dxa"/>
            <w:noWrap/>
            <w:tcMar>
              <w:left w:w="40" w:type="dxa"/>
              <w:right w:w="40" w:type="dxa"/>
            </w:tcMar>
            <w:vAlign w:val="center"/>
          </w:tcPr>
          <w:p w14:paraId="12C0C9C6" w14:textId="656127B6" w:rsidR="002D6E52" w:rsidRPr="00C91ADA" w:rsidRDefault="00B650E1" w:rsidP="00533193">
            <w:pPr>
              <w:pStyle w:val="PBACTabletext0"/>
              <w:spacing w:after="0"/>
              <w:jc w:val="center"/>
              <w:rPr>
                <w:szCs w:val="20"/>
                <w:vertAlign w:val="superscript"/>
              </w:rPr>
            </w:pPr>
            <w:r w:rsidRPr="00B650E1">
              <w:rPr>
                <w:rFonts w:hint="eastAsia"/>
                <w:b/>
                <w:bCs/>
                <w:color w:val="000000"/>
                <w:w w:val="20"/>
                <w:szCs w:val="20"/>
                <w:shd w:val="solid" w:color="000000" w:fill="000000"/>
                <w:fitText w:val="90" w:id="-1208278004"/>
                <w14:textFill>
                  <w14:solidFill>
                    <w14:srgbClr w14:val="000000">
                      <w14:alpha w14:val="100000"/>
                    </w14:srgbClr>
                  </w14:solidFill>
                </w14:textFill>
              </w:rPr>
              <w:t xml:space="preserve">　</w:t>
            </w:r>
            <w:r w:rsidRPr="00B650E1">
              <w:rPr>
                <w:b/>
                <w:bCs/>
                <w:color w:val="000000"/>
                <w:w w:val="20"/>
                <w:szCs w:val="20"/>
                <w:shd w:val="solid" w:color="000000" w:fill="000000"/>
                <w:fitText w:val="90" w:id="-1208278004"/>
                <w14:textFill>
                  <w14:solidFill>
                    <w14:srgbClr w14:val="000000">
                      <w14:alpha w14:val="100000"/>
                    </w14:srgbClr>
                  </w14:solidFill>
                </w14:textFill>
              </w:rPr>
              <w:t>|</w:t>
            </w:r>
            <w:r w:rsidRPr="00B650E1">
              <w:rPr>
                <w:rFonts w:hint="eastAsia"/>
                <w:b/>
                <w:bCs/>
                <w:color w:val="000000"/>
                <w:spacing w:val="2"/>
                <w:w w:val="20"/>
                <w:szCs w:val="20"/>
                <w:shd w:val="solid" w:color="000000" w:fill="000000"/>
                <w:fitText w:val="90" w:id="-1208278004"/>
                <w14:textFill>
                  <w14:solidFill>
                    <w14:srgbClr w14:val="000000">
                      <w14:alpha w14:val="100000"/>
                    </w14:srgbClr>
                  </w14:solidFill>
                </w14:textFill>
              </w:rPr>
              <w:t xml:space="preserve">　</w:t>
            </w:r>
            <w:r w:rsidR="00D6081B" w:rsidRPr="0042765C">
              <w:rPr>
                <w:szCs w:val="20"/>
                <w:vertAlign w:val="superscript"/>
              </w:rPr>
              <w:t>13</w:t>
            </w:r>
          </w:p>
        </w:tc>
        <w:tc>
          <w:tcPr>
            <w:tcW w:w="1200" w:type="dxa"/>
            <w:noWrap/>
            <w:tcMar>
              <w:left w:w="40" w:type="dxa"/>
              <w:right w:w="40" w:type="dxa"/>
            </w:tcMar>
            <w:vAlign w:val="center"/>
          </w:tcPr>
          <w:p w14:paraId="09097A70" w14:textId="35264E82" w:rsidR="002D6E52" w:rsidRPr="00C91ADA" w:rsidRDefault="00B650E1" w:rsidP="00533193">
            <w:pPr>
              <w:pStyle w:val="PBACTabletext0"/>
              <w:spacing w:after="0"/>
              <w:jc w:val="center"/>
              <w:rPr>
                <w:szCs w:val="20"/>
                <w:vertAlign w:val="superscript"/>
              </w:rPr>
            </w:pPr>
            <w:r w:rsidRPr="00B650E1">
              <w:rPr>
                <w:rFonts w:hint="eastAsia"/>
                <w:b/>
                <w:bCs/>
                <w:color w:val="000000"/>
                <w:w w:val="20"/>
                <w:szCs w:val="20"/>
                <w:shd w:val="solid" w:color="000000" w:fill="000000"/>
                <w:fitText w:val="90" w:id="-1208278003"/>
                <w14:textFill>
                  <w14:solidFill>
                    <w14:srgbClr w14:val="000000">
                      <w14:alpha w14:val="100000"/>
                    </w14:srgbClr>
                  </w14:solidFill>
                </w14:textFill>
              </w:rPr>
              <w:t xml:space="preserve">　</w:t>
            </w:r>
            <w:r w:rsidRPr="00B650E1">
              <w:rPr>
                <w:b/>
                <w:bCs/>
                <w:color w:val="000000"/>
                <w:w w:val="20"/>
                <w:szCs w:val="20"/>
                <w:shd w:val="solid" w:color="000000" w:fill="000000"/>
                <w:fitText w:val="90" w:id="-1208278003"/>
                <w14:textFill>
                  <w14:solidFill>
                    <w14:srgbClr w14:val="000000">
                      <w14:alpha w14:val="100000"/>
                    </w14:srgbClr>
                  </w14:solidFill>
                </w14:textFill>
              </w:rPr>
              <w:t>|</w:t>
            </w:r>
            <w:r w:rsidRPr="00B650E1">
              <w:rPr>
                <w:rFonts w:hint="eastAsia"/>
                <w:b/>
                <w:bCs/>
                <w:color w:val="000000"/>
                <w:spacing w:val="2"/>
                <w:w w:val="20"/>
                <w:szCs w:val="20"/>
                <w:shd w:val="solid" w:color="000000" w:fill="000000"/>
                <w:fitText w:val="90" w:id="-1208278003"/>
                <w14:textFill>
                  <w14:solidFill>
                    <w14:srgbClr w14:val="000000">
                      <w14:alpha w14:val="100000"/>
                    </w14:srgbClr>
                  </w14:solidFill>
                </w14:textFill>
              </w:rPr>
              <w:t xml:space="preserve">　</w:t>
            </w:r>
            <w:r w:rsidR="00D6081B" w:rsidRPr="0042765C">
              <w:rPr>
                <w:szCs w:val="20"/>
                <w:vertAlign w:val="superscript"/>
              </w:rPr>
              <w:t>13</w:t>
            </w:r>
          </w:p>
        </w:tc>
      </w:tr>
    </w:tbl>
    <w:p w14:paraId="73CAC662" w14:textId="4475BEC3" w:rsidR="002D6E52" w:rsidRPr="00DB3FE7" w:rsidRDefault="002D6E52" w:rsidP="002D6E52">
      <w:pPr>
        <w:pStyle w:val="TableFooter"/>
      </w:pPr>
      <w:r w:rsidRPr="00DB3FE7">
        <w:t>Source: Table 4 of the early re-entry submission</w:t>
      </w:r>
    </w:p>
    <w:p w14:paraId="45298D3F" w14:textId="2DD9606B" w:rsidR="002D6E52" w:rsidRPr="00DB3FE7" w:rsidRDefault="002D6E52" w:rsidP="002D6E52">
      <w:pPr>
        <w:pStyle w:val="TableFooter"/>
      </w:pPr>
      <w:r w:rsidRPr="00DB3FE7">
        <w:t>PBS = Pharmaceutical Benefits Scheme; RPBS = Repatriation Pharmaceutical Benefits Scheme</w:t>
      </w:r>
    </w:p>
    <w:p w14:paraId="0754B168" w14:textId="3B5E39D3" w:rsidR="00D919F6" w:rsidRPr="00DB3FE7" w:rsidRDefault="00D919F6" w:rsidP="002D6E52">
      <w:pPr>
        <w:pStyle w:val="TableFooter"/>
        <w:rPr>
          <w:i/>
          <w:szCs w:val="18"/>
          <w:lang w:eastAsia="en-AU"/>
        </w:rPr>
      </w:pPr>
      <w:r w:rsidRPr="00DB3FE7">
        <w:rPr>
          <w:i/>
          <w:szCs w:val="18"/>
          <w:lang w:eastAsia="en-AU"/>
        </w:rPr>
        <w:t>The redacted values correspond to the following ranges:</w:t>
      </w:r>
    </w:p>
    <w:p w14:paraId="1C201D7E" w14:textId="0DF4338C" w:rsidR="00D919F6" w:rsidRPr="00C91ADA" w:rsidRDefault="00D919F6" w:rsidP="00D919F6">
      <w:pPr>
        <w:ind w:right="147"/>
        <w:rPr>
          <w:rFonts w:ascii="Arial Narrow" w:hAnsi="Arial Narrow"/>
          <w:i/>
          <w:iCs/>
          <w:color w:val="333333"/>
          <w:sz w:val="18"/>
          <w:szCs w:val="18"/>
        </w:rPr>
      </w:pPr>
      <w:r w:rsidRPr="00C91ADA">
        <w:rPr>
          <w:rFonts w:ascii="Arial Narrow" w:hAnsi="Arial Narrow"/>
          <w:i/>
          <w:iCs/>
          <w:color w:val="333333"/>
          <w:sz w:val="18"/>
          <w:szCs w:val="18"/>
          <w:vertAlign w:val="superscript"/>
        </w:rPr>
        <w:t>1</w:t>
      </w:r>
      <w:r w:rsidRPr="00C91ADA">
        <w:rPr>
          <w:rFonts w:ascii="Arial Narrow" w:hAnsi="Arial Narrow"/>
          <w:i/>
          <w:iCs/>
          <w:color w:val="333333"/>
          <w:sz w:val="18"/>
          <w:szCs w:val="18"/>
        </w:rPr>
        <w:t>100,000 to &lt; 200,000</w:t>
      </w:r>
    </w:p>
    <w:p w14:paraId="28DD26F9" w14:textId="030737A2" w:rsidR="00D919F6" w:rsidRPr="00C91ADA" w:rsidRDefault="00D919F6" w:rsidP="002D6E52">
      <w:pPr>
        <w:pStyle w:val="TableFooter"/>
        <w:rPr>
          <w:i/>
          <w:iCs/>
        </w:rPr>
      </w:pPr>
      <w:r w:rsidRPr="00C91ADA">
        <w:rPr>
          <w:i/>
          <w:iCs/>
          <w:vertAlign w:val="superscript"/>
        </w:rPr>
        <w:t>2</w:t>
      </w:r>
      <w:r w:rsidRPr="00C91ADA">
        <w:rPr>
          <w:i/>
          <w:iCs/>
        </w:rPr>
        <w:t>200,000 to &lt; 300,000</w:t>
      </w:r>
    </w:p>
    <w:p w14:paraId="46EDF793" w14:textId="5430447A" w:rsidR="00D919F6" w:rsidRPr="00C91ADA" w:rsidRDefault="00D919F6" w:rsidP="002D6E52">
      <w:pPr>
        <w:pStyle w:val="TableFooter"/>
        <w:rPr>
          <w:i/>
          <w:iCs/>
        </w:rPr>
      </w:pPr>
      <w:r w:rsidRPr="00C91ADA">
        <w:rPr>
          <w:i/>
          <w:iCs/>
          <w:vertAlign w:val="superscript"/>
        </w:rPr>
        <w:t>3</w:t>
      </w:r>
      <w:r w:rsidRPr="00C91ADA">
        <w:rPr>
          <w:i/>
          <w:iCs/>
        </w:rPr>
        <w:t>5,000 to &lt; 10,000</w:t>
      </w:r>
    </w:p>
    <w:p w14:paraId="5ABFCF90" w14:textId="0F151EA3" w:rsidR="00D919F6" w:rsidRPr="00C91ADA" w:rsidRDefault="00D919F6" w:rsidP="002D6E52">
      <w:pPr>
        <w:pStyle w:val="TableFooter"/>
        <w:rPr>
          <w:i/>
          <w:iCs/>
        </w:rPr>
      </w:pPr>
      <w:r w:rsidRPr="00C91ADA">
        <w:rPr>
          <w:i/>
          <w:iCs/>
          <w:vertAlign w:val="superscript"/>
        </w:rPr>
        <w:t>4</w:t>
      </w:r>
      <w:r w:rsidRPr="00C91ADA">
        <w:rPr>
          <w:i/>
          <w:iCs/>
        </w:rPr>
        <w:t>10,000 to &lt; 20,000</w:t>
      </w:r>
    </w:p>
    <w:p w14:paraId="3845056B" w14:textId="6FCD9C02" w:rsidR="00D919F6" w:rsidRPr="00C91ADA" w:rsidRDefault="00D919F6" w:rsidP="002D6E52">
      <w:pPr>
        <w:pStyle w:val="TableFooter"/>
        <w:rPr>
          <w:i/>
          <w:iCs/>
        </w:rPr>
      </w:pPr>
      <w:r w:rsidRPr="00C91ADA">
        <w:rPr>
          <w:i/>
          <w:iCs/>
          <w:vertAlign w:val="superscript"/>
        </w:rPr>
        <w:t>5</w:t>
      </w:r>
      <w:r w:rsidRPr="00C91ADA">
        <w:rPr>
          <w:i/>
          <w:iCs/>
        </w:rPr>
        <w:t>20,000 to &lt; 30,000</w:t>
      </w:r>
    </w:p>
    <w:p w14:paraId="3DE6E0A7" w14:textId="2E57889D" w:rsidR="00D919F6" w:rsidRPr="00C91ADA" w:rsidRDefault="00D919F6" w:rsidP="002D6E52">
      <w:pPr>
        <w:pStyle w:val="TableFooter"/>
        <w:rPr>
          <w:i/>
          <w:iCs/>
        </w:rPr>
      </w:pPr>
      <w:r w:rsidRPr="00C91ADA">
        <w:rPr>
          <w:i/>
          <w:iCs/>
          <w:vertAlign w:val="superscript"/>
        </w:rPr>
        <w:t>6</w:t>
      </w:r>
      <w:r w:rsidRPr="00C91ADA">
        <w:rPr>
          <w:i/>
          <w:iCs/>
        </w:rPr>
        <w:t>50,000 to &lt; 60,000</w:t>
      </w:r>
    </w:p>
    <w:p w14:paraId="6F20AAE6" w14:textId="71EC1B86" w:rsidR="00D919F6" w:rsidRPr="00C91ADA" w:rsidRDefault="00D919F6" w:rsidP="002D6E52">
      <w:pPr>
        <w:pStyle w:val="TableFooter"/>
        <w:rPr>
          <w:i/>
          <w:iCs/>
        </w:rPr>
      </w:pPr>
      <w:r w:rsidRPr="00C91ADA">
        <w:rPr>
          <w:i/>
          <w:iCs/>
          <w:vertAlign w:val="superscript"/>
        </w:rPr>
        <w:t>7</w:t>
      </w:r>
      <w:r w:rsidRPr="00C91ADA">
        <w:rPr>
          <w:i/>
          <w:iCs/>
        </w:rPr>
        <w:t>80,000 to &lt; 90,000</w:t>
      </w:r>
    </w:p>
    <w:p w14:paraId="09E8DA4B" w14:textId="4CE78E55" w:rsidR="00D919F6" w:rsidRPr="00C91ADA" w:rsidRDefault="00D919F6" w:rsidP="002D6E52">
      <w:pPr>
        <w:pStyle w:val="TableFooter"/>
        <w:rPr>
          <w:i/>
          <w:iCs/>
        </w:rPr>
      </w:pPr>
      <w:r w:rsidRPr="00C91ADA">
        <w:rPr>
          <w:i/>
          <w:iCs/>
          <w:vertAlign w:val="superscript"/>
        </w:rPr>
        <w:t>8</w:t>
      </w:r>
      <w:r w:rsidRPr="00C91ADA">
        <w:rPr>
          <w:i/>
          <w:iCs/>
        </w:rPr>
        <w:t>500 to &lt; 5,000</w:t>
      </w:r>
    </w:p>
    <w:p w14:paraId="6A4C3841" w14:textId="7F87DE9A" w:rsidR="00373DFB" w:rsidRPr="00C91ADA" w:rsidRDefault="00373DFB" w:rsidP="002D6E52">
      <w:pPr>
        <w:pStyle w:val="TableFooter"/>
        <w:rPr>
          <w:i/>
          <w:iCs/>
        </w:rPr>
      </w:pPr>
      <w:r w:rsidRPr="00C91ADA">
        <w:rPr>
          <w:i/>
          <w:iCs/>
          <w:vertAlign w:val="superscript"/>
        </w:rPr>
        <w:t>9</w:t>
      </w:r>
      <w:r w:rsidRPr="00C91ADA">
        <w:rPr>
          <w:i/>
          <w:iCs/>
        </w:rPr>
        <w:t>$0 to &lt; $10 million</w:t>
      </w:r>
    </w:p>
    <w:p w14:paraId="1A73B3EE" w14:textId="37D2A8BA" w:rsidR="00373DFB" w:rsidRPr="00C91ADA" w:rsidRDefault="00373DFB" w:rsidP="002D6E52">
      <w:pPr>
        <w:pStyle w:val="TableFooter"/>
        <w:rPr>
          <w:i/>
          <w:iCs/>
        </w:rPr>
      </w:pPr>
      <w:r w:rsidRPr="00C91ADA">
        <w:rPr>
          <w:i/>
          <w:iCs/>
          <w:vertAlign w:val="superscript"/>
        </w:rPr>
        <w:t>10</w:t>
      </w:r>
      <w:r w:rsidRPr="00C91ADA">
        <w:rPr>
          <w:i/>
          <w:iCs/>
        </w:rPr>
        <w:t>$10 million to &lt; $20 million</w:t>
      </w:r>
    </w:p>
    <w:p w14:paraId="279FADDB" w14:textId="423577E0" w:rsidR="00373DFB" w:rsidRPr="00C91ADA" w:rsidRDefault="00373DFB" w:rsidP="002D6E52">
      <w:pPr>
        <w:pStyle w:val="TableFooter"/>
        <w:rPr>
          <w:i/>
          <w:iCs/>
        </w:rPr>
      </w:pPr>
      <w:r w:rsidRPr="00C91ADA">
        <w:rPr>
          <w:i/>
          <w:iCs/>
          <w:vertAlign w:val="superscript"/>
        </w:rPr>
        <w:t>11</w:t>
      </w:r>
      <w:r w:rsidRPr="00C91ADA">
        <w:rPr>
          <w:i/>
          <w:iCs/>
        </w:rPr>
        <w:t>$20 million to &lt; $30 million</w:t>
      </w:r>
    </w:p>
    <w:p w14:paraId="1844AA43" w14:textId="6A02EC03" w:rsidR="00E92108" w:rsidRPr="00C91ADA" w:rsidRDefault="00E92108" w:rsidP="002D6E52">
      <w:pPr>
        <w:pStyle w:val="TableFooter"/>
        <w:rPr>
          <w:i/>
          <w:iCs/>
        </w:rPr>
      </w:pPr>
      <w:r w:rsidRPr="00C91ADA">
        <w:rPr>
          <w:i/>
          <w:iCs/>
          <w:vertAlign w:val="superscript"/>
        </w:rPr>
        <w:t>12</w:t>
      </w:r>
      <w:r w:rsidRPr="00C91ADA">
        <w:rPr>
          <w:i/>
          <w:iCs/>
        </w:rPr>
        <w:t>$30 million to &lt; $40 million</w:t>
      </w:r>
    </w:p>
    <w:p w14:paraId="0D2515F8" w14:textId="6314D20E" w:rsidR="00D6081B" w:rsidRPr="00C91ADA" w:rsidRDefault="00D6081B" w:rsidP="002D6E52">
      <w:pPr>
        <w:pStyle w:val="TableFooter"/>
        <w:rPr>
          <w:i/>
          <w:iCs/>
        </w:rPr>
      </w:pPr>
      <w:r w:rsidRPr="00C91ADA">
        <w:rPr>
          <w:i/>
          <w:iCs/>
          <w:vertAlign w:val="superscript"/>
        </w:rPr>
        <w:t>13</w:t>
      </w:r>
      <w:r w:rsidRPr="00C91ADA">
        <w:rPr>
          <w:i/>
          <w:iCs/>
        </w:rPr>
        <w:t>net cost saving</w:t>
      </w:r>
    </w:p>
    <w:p w14:paraId="30CB4E3D" w14:textId="78FDA47F" w:rsidR="00D6081B" w:rsidRPr="00C91ADA" w:rsidRDefault="00D6081B" w:rsidP="002D6E52">
      <w:pPr>
        <w:pStyle w:val="TableFooter"/>
        <w:rPr>
          <w:i/>
          <w:iCs/>
        </w:rPr>
      </w:pPr>
      <w:r w:rsidRPr="00C91ADA">
        <w:rPr>
          <w:i/>
          <w:iCs/>
          <w:vertAlign w:val="superscript"/>
        </w:rPr>
        <w:t>14</w:t>
      </w:r>
      <w:r w:rsidRPr="00C91ADA">
        <w:rPr>
          <w:i/>
          <w:iCs/>
        </w:rPr>
        <w:t>$40 million to &lt; $50 million</w:t>
      </w:r>
    </w:p>
    <w:p w14:paraId="661C763D" w14:textId="77777777" w:rsidR="002D6E52" w:rsidRPr="0042765C" w:rsidRDefault="002D6E52" w:rsidP="002D6E52">
      <w:pPr>
        <w:pStyle w:val="TableFooter"/>
      </w:pPr>
    </w:p>
    <w:p w14:paraId="6CF0DF85" w14:textId="3488C820" w:rsidR="002D6E52" w:rsidRPr="00352E1C" w:rsidRDefault="002D6E52" w:rsidP="002D6E52">
      <w:pPr>
        <w:pStyle w:val="3-BodyText"/>
        <w:numPr>
          <w:ilvl w:val="1"/>
          <w:numId w:val="1"/>
        </w:numPr>
        <w:rPr>
          <w:bCs/>
        </w:rPr>
      </w:pPr>
      <w:r w:rsidRPr="00352E1C">
        <w:rPr>
          <w:bCs/>
        </w:rPr>
        <w:t xml:space="preserve">The resubmission estimated that the listing of inclisiran on the PBS/RPBS would result in a cost saving of approximately </w:t>
      </w:r>
      <w:r w:rsidR="00410F50" w:rsidRPr="00352E1C">
        <w:rPr>
          <w:bCs/>
        </w:rPr>
        <w:t xml:space="preserve">$0 to &lt; $10 million </w:t>
      </w:r>
      <w:r w:rsidRPr="00DB3FE7">
        <w:rPr>
          <w:bCs/>
        </w:rPr>
        <w:t xml:space="preserve">in Year 1, increasing to </w:t>
      </w:r>
      <w:r w:rsidR="00410F50" w:rsidRPr="00DB3FE7">
        <w:rPr>
          <w:bCs/>
        </w:rPr>
        <w:t>$0 to &lt;</w:t>
      </w:r>
      <w:r w:rsidR="00A774DF">
        <w:rPr>
          <w:bCs/>
        </w:rPr>
        <w:t> </w:t>
      </w:r>
      <w:r w:rsidR="00410F50" w:rsidRPr="00A774DF">
        <w:rPr>
          <w:bCs/>
        </w:rPr>
        <w:t>$10</w:t>
      </w:r>
      <w:r w:rsidR="008274F2">
        <w:rPr>
          <w:bCs/>
        </w:rPr>
        <w:t> </w:t>
      </w:r>
      <w:r w:rsidR="00410F50" w:rsidRPr="00A774DF">
        <w:rPr>
          <w:bCs/>
        </w:rPr>
        <w:t xml:space="preserve">million </w:t>
      </w:r>
      <w:r w:rsidRPr="00DB3FE7">
        <w:rPr>
          <w:bCs/>
        </w:rPr>
        <w:t xml:space="preserve">in Year 6 based on published prices. The resubmission stated that the cost saving was driven by the proposed </w:t>
      </w:r>
      <w:r w:rsidR="00B650E1" w:rsidRPr="00D71C83">
        <w:rPr>
          <w:bCs/>
          <w:color w:val="000000"/>
          <w:w w:val="15"/>
          <w:shd w:val="solid" w:color="000000" w:fill="000000"/>
          <w:fitText w:val="-20" w:id="-1208278002"/>
          <w14:textFill>
            <w14:solidFill>
              <w14:srgbClr w14:val="000000">
                <w14:alpha w14:val="100000"/>
              </w14:srgbClr>
            </w14:solidFill>
          </w14:textFill>
        </w:rPr>
        <w:t xml:space="preserve">|  </w:t>
      </w:r>
      <w:r w:rsidR="00B650E1" w:rsidRPr="00D71C83">
        <w:rPr>
          <w:bCs/>
          <w:color w:val="000000"/>
          <w:spacing w:val="-69"/>
          <w:w w:val="15"/>
          <w:shd w:val="solid" w:color="000000" w:fill="000000"/>
          <w:fitText w:val="-20" w:id="-1208278002"/>
          <w14:textFill>
            <w14:solidFill>
              <w14:srgbClr w14:val="000000">
                <w14:alpha w14:val="100000"/>
              </w14:srgbClr>
            </w14:solidFill>
          </w14:textFill>
        </w:rPr>
        <w:t>|</w:t>
      </w:r>
      <w:r w:rsidRPr="0042765C">
        <w:rPr>
          <w:bCs/>
        </w:rPr>
        <w:t>% price reduction for inclisiran and a reduction in dispensing fees.</w:t>
      </w:r>
    </w:p>
    <w:p w14:paraId="6FBBD797" w14:textId="77777777" w:rsidR="002D6E52" w:rsidRPr="00DB3FE7" w:rsidRDefault="002D6E52" w:rsidP="002D6E52">
      <w:pPr>
        <w:pStyle w:val="3-BodyText"/>
        <w:numPr>
          <w:ilvl w:val="1"/>
          <w:numId w:val="1"/>
        </w:numPr>
        <w:rPr>
          <w:bCs/>
        </w:rPr>
      </w:pPr>
      <w:r w:rsidRPr="00352E1C">
        <w:rPr>
          <w:bCs/>
        </w:rPr>
        <w:t>The resubmission estimated an increased cost to the MBS associated with the need for health care professional administrat</w:t>
      </w:r>
      <w:r w:rsidRPr="00DB3FE7">
        <w:rPr>
          <w:bCs/>
        </w:rPr>
        <w:t>ion of inclisiran. However, the Secretariat noted this cost should not be included in the financial impact estimates.</w:t>
      </w:r>
    </w:p>
    <w:p w14:paraId="144AB9D0" w14:textId="77777777" w:rsidR="002D6E52" w:rsidRPr="00DB3FE7" w:rsidRDefault="002D6E52" w:rsidP="002D6E52">
      <w:pPr>
        <w:pStyle w:val="COMH1numbered"/>
        <w:numPr>
          <w:ilvl w:val="0"/>
          <w:numId w:val="1"/>
        </w:numPr>
        <w:ind w:left="720"/>
      </w:pPr>
      <w:r w:rsidRPr="00DB3FE7">
        <w:t>PBAC Outcome</w:t>
      </w:r>
    </w:p>
    <w:p w14:paraId="11C72114" w14:textId="1F32E6EE" w:rsidR="002D6E52" w:rsidRPr="00DB3FE7" w:rsidRDefault="002D6E52" w:rsidP="002D6E52">
      <w:pPr>
        <w:pStyle w:val="COMexecsumnumberedpara"/>
        <w:numPr>
          <w:ilvl w:val="1"/>
          <w:numId w:val="1"/>
        </w:numPr>
      </w:pPr>
      <w:r w:rsidRPr="00DB3FE7">
        <w:t xml:space="preserve">The PBAC recommended inclisiran for the treatment of HeFH and non-FH with ASCVD. The PBAC considered that the positioning of inclisiran as a third-line treatment as an alternative to the PCSK9 inhibitors (evolocumab and alirocumab) was appropriate. </w:t>
      </w:r>
      <w:r w:rsidR="008274F2" w:rsidRPr="00DB3FE7">
        <w:t>The</w:t>
      </w:r>
      <w:r w:rsidR="008274F2">
        <w:t> </w:t>
      </w:r>
      <w:r w:rsidRPr="008274F2">
        <w:t xml:space="preserve">PBAC considered the clinical effectiveness of inclisiran was comparable to evolocumab, although non-inferiority could not be confirmed due to the issues identified in March 2023 (see paragraphs 7.6 and 7.8). The </w:t>
      </w:r>
      <w:r w:rsidRPr="00DB3FE7">
        <w:t>PBAC’s recommendation for listing was based on, among other matters, its assessment that the cost</w:t>
      </w:r>
      <w:r w:rsidR="008274F2">
        <w:noBreakHyphen/>
      </w:r>
      <w:r w:rsidRPr="008274F2">
        <w:t>effectiveness of inclisiran would be acceptable if the cost minimised price to evolocumab was reduced by the discount offered in the resubmission. The PBAC no</w:t>
      </w:r>
      <w:r w:rsidRPr="00DB3FE7">
        <w:t>ted that the resubmission had addressed the outstanding issues from the March 2023 submission and considered that the lower price offered in the CMA and revised financial estimates were reasonable.</w:t>
      </w:r>
    </w:p>
    <w:p w14:paraId="1F4CBECE" w14:textId="77777777" w:rsidR="002D6E52" w:rsidRPr="0042765C" w:rsidRDefault="002D6E52" w:rsidP="002D6E52">
      <w:pPr>
        <w:pStyle w:val="COMexecsumnumberedpara"/>
        <w:numPr>
          <w:ilvl w:val="1"/>
          <w:numId w:val="1"/>
        </w:numPr>
      </w:pPr>
      <w:r w:rsidRPr="00DB3FE7">
        <w:t xml:space="preserve">The PBAC recalled that in March 2023 it had considered that inclisiran would be most appropriately positioned as an alternative to the PCSK9 inhibitors as a third line treatment and that a resubmission should provide a revised CMA between inclisiran and evolocumab that resulted in a price of inclisiran that was in the order of 10% lower than the current price of evolocumab; revised financial estimates that aligned with the updated CMA; and revised restrictions that aligned with the current PBS restrictions for evolocumab (see paragraph </w:t>
      </w:r>
      <w:r w:rsidRPr="0042765C">
        <w:fldChar w:fldCharType="begin" w:fldLock="1"/>
      </w:r>
      <w:r w:rsidRPr="00DB3FE7">
        <w:instrText xml:space="preserve"> REF _Ref134446638 \r \h </w:instrText>
      </w:r>
      <w:r w:rsidRPr="0042765C">
        <w:fldChar w:fldCharType="separate"/>
      </w:r>
      <w:r w:rsidRPr="0042765C">
        <w:t>7.18</w:t>
      </w:r>
      <w:r w:rsidRPr="0042765C">
        <w:fldChar w:fldCharType="end"/>
      </w:r>
      <w:r w:rsidRPr="0042765C">
        <w:t>).</w:t>
      </w:r>
    </w:p>
    <w:p w14:paraId="5E40A3B3" w14:textId="77777777" w:rsidR="002D6E52" w:rsidRPr="00352E1C" w:rsidRDefault="002D6E52" w:rsidP="002D6E52">
      <w:pPr>
        <w:pStyle w:val="COMexecsumnumberedpara"/>
        <w:numPr>
          <w:ilvl w:val="1"/>
          <w:numId w:val="1"/>
        </w:numPr>
      </w:pPr>
      <w:r w:rsidRPr="00352E1C">
        <w:t>The PBAC recalled that it had previously considered that the claim that inclisiran was non-inferior to the PCSK9 inhibitors in terms of efficacy in the tre</w:t>
      </w:r>
      <w:r w:rsidRPr="00DB3FE7">
        <w:t xml:space="preserve">atment of non-FH with ASCVD was uncertain and that inclisiran was inferior to evolocumab in the treatment of HeFH (see paragraph </w:t>
      </w:r>
      <w:r w:rsidRPr="0042765C">
        <w:fldChar w:fldCharType="begin" w:fldLock="1"/>
      </w:r>
      <w:r w:rsidRPr="00DB3FE7">
        <w:instrText xml:space="preserve"> REF _Ref134447355 \r \h </w:instrText>
      </w:r>
      <w:r w:rsidRPr="0042765C">
        <w:fldChar w:fldCharType="separate"/>
      </w:r>
      <w:r w:rsidRPr="0042765C">
        <w:t>7.10</w:t>
      </w:r>
      <w:r w:rsidRPr="0042765C">
        <w:fldChar w:fldCharType="end"/>
      </w:r>
      <w:r w:rsidRPr="0042765C">
        <w:t>). Further, the PBAC recalled that a price reduction compared to evolocumab would be required to address the uncertainties in the claims of non-inferiority.</w:t>
      </w:r>
    </w:p>
    <w:p w14:paraId="70D4F313" w14:textId="0ABF4A34" w:rsidR="002D6E52" w:rsidRPr="00352E1C" w:rsidRDefault="002D6E52" w:rsidP="002D6E52">
      <w:pPr>
        <w:pStyle w:val="COMexecsumnumberedpara"/>
        <w:numPr>
          <w:ilvl w:val="1"/>
          <w:numId w:val="1"/>
        </w:numPr>
      </w:pPr>
      <w:r w:rsidRPr="00DB3FE7">
        <w:t xml:space="preserve">The PBAC noted that the resubmission presented an updated CMA between inclisiran and evolocumab that was based on the December 2022 prices for evolocumab. </w:t>
      </w:r>
      <w:r w:rsidR="007B2837" w:rsidRPr="00DB3FE7">
        <w:t>The</w:t>
      </w:r>
      <w:r w:rsidR="007B2837">
        <w:t> </w:t>
      </w:r>
      <w:r w:rsidRPr="007B2837">
        <w:t xml:space="preserve">PBAC noted that otherwise, the CMA was unchanged. The PBAC considered that this was reasonable. The PBAC also noted that the resubmission proposed that a price discount of </w:t>
      </w:r>
      <w:r w:rsidR="00B650E1" w:rsidRPr="00D71C83">
        <w:rPr>
          <w:color w:val="000000"/>
          <w:w w:val="15"/>
          <w:shd w:val="solid" w:color="000000" w:fill="000000"/>
          <w:fitText w:val="-20" w:id="-1208278001"/>
          <w14:textFill>
            <w14:solidFill>
              <w14:srgbClr w14:val="000000">
                <w14:alpha w14:val="100000"/>
              </w14:srgbClr>
            </w14:solidFill>
          </w14:textFill>
        </w:rPr>
        <w:t xml:space="preserve">|  </w:t>
      </w:r>
      <w:r w:rsidR="00B650E1" w:rsidRPr="00D71C83">
        <w:rPr>
          <w:color w:val="000000"/>
          <w:spacing w:val="-69"/>
          <w:w w:val="15"/>
          <w:shd w:val="solid" w:color="000000" w:fill="000000"/>
          <w:fitText w:val="-20" w:id="-1208278001"/>
          <w14:textFill>
            <w14:solidFill>
              <w14:srgbClr w14:val="000000">
                <w14:alpha w14:val="100000"/>
              </w14:srgbClr>
            </w14:solidFill>
          </w14:textFill>
        </w:rPr>
        <w:t>|</w:t>
      </w:r>
      <w:r w:rsidRPr="0042765C">
        <w:t>% would be applied to the cost minimised effective approved ex</w:t>
      </w:r>
      <w:r w:rsidR="007B2837">
        <w:noBreakHyphen/>
      </w:r>
      <w:r w:rsidRPr="0042765C">
        <w:t>manufacturer price (AEMP) of inclisiran to address the uncertainties associated with the clinical claim. The PBAC considered that the proposed price discount was acceptable.</w:t>
      </w:r>
    </w:p>
    <w:p w14:paraId="347E1311" w14:textId="77777777" w:rsidR="002D6E52" w:rsidRPr="0042765C" w:rsidRDefault="002D6E52" w:rsidP="002D6E52">
      <w:pPr>
        <w:pStyle w:val="COMexecsumnumberedpara"/>
        <w:numPr>
          <w:ilvl w:val="1"/>
          <w:numId w:val="1"/>
        </w:numPr>
      </w:pPr>
      <w:r w:rsidRPr="00DB3FE7">
        <w:t xml:space="preserve">The PBAC noted that the resubmission provided revised financial impact estimates that (i) aligned with the updated CMA; (ii) were based on a market share approach; and (iii) considered the cost of improved adherence as outlined in paragraph </w:t>
      </w:r>
      <w:r w:rsidRPr="0042765C">
        <w:fldChar w:fldCharType="begin" w:fldLock="1"/>
      </w:r>
      <w:r w:rsidRPr="00DB3FE7">
        <w:instrText xml:space="preserve"> REF _Ref131519571 \r \h </w:instrText>
      </w:r>
      <w:r w:rsidRPr="0042765C">
        <w:fldChar w:fldCharType="separate"/>
      </w:r>
      <w:r w:rsidRPr="0042765C">
        <w:t>7.15</w:t>
      </w:r>
      <w:r w:rsidRPr="0042765C">
        <w:fldChar w:fldCharType="end"/>
      </w:r>
      <w:r w:rsidRPr="0042765C">
        <w:t xml:space="preserve">. </w:t>
      </w:r>
    </w:p>
    <w:p w14:paraId="63AE540E" w14:textId="77777777" w:rsidR="002D6E52" w:rsidRPr="00DB3FE7" w:rsidRDefault="002D6E52" w:rsidP="002D6E52">
      <w:pPr>
        <w:pStyle w:val="COMexecsumnumberedpara"/>
        <w:numPr>
          <w:ilvl w:val="1"/>
          <w:numId w:val="1"/>
        </w:numPr>
      </w:pPr>
      <w:r w:rsidRPr="00352E1C">
        <w:t xml:space="preserve">The PBAC noted that the resubmission assumed that the substitution of evolocumab and alirocumab for inclisiran would </w:t>
      </w:r>
      <w:r w:rsidRPr="000C2905">
        <w:t>be 15% in Year 1, 20% in Year 2 and 33% in</w:t>
      </w:r>
      <w:r w:rsidRPr="00352E1C">
        <w:t xml:space="preserve"> Years 3 to 6. The PBAC considered that the assumed uptake rates were </w:t>
      </w:r>
      <w:r w:rsidRPr="00DB3FE7">
        <w:t xml:space="preserve">conservative, particularly as there was a large eligible population that was not currently being treated with the PCSK9 inhibitors, inclisiran had a manageable safety profile and inclisiran required 6-monthly maintenance injections, as compared to two or four weekly injections for the PCSK9 inhibitors. There is also GP prescribing available for continuing treatment. The PBAC considered that uptake would likely be in the range </w:t>
      </w:r>
      <w:r w:rsidRPr="000C2905">
        <w:t>of 20% in Year 1, 30% in Year 2, 40% in Year 3 and 50%</w:t>
      </w:r>
      <w:r w:rsidRPr="00DB3FE7">
        <w:t xml:space="preserve"> in Years 4 to 6.</w:t>
      </w:r>
    </w:p>
    <w:p w14:paraId="31DB97F8" w14:textId="078BD393" w:rsidR="002D6E52" w:rsidRPr="007B2837" w:rsidRDefault="002D6E52" w:rsidP="002D6E52">
      <w:pPr>
        <w:pStyle w:val="COMexecsumnumberedpara"/>
        <w:numPr>
          <w:ilvl w:val="1"/>
          <w:numId w:val="1"/>
        </w:numPr>
      </w:pPr>
      <w:r w:rsidRPr="00DB3FE7">
        <w:t xml:space="preserve">The PBAC noted that the resubmission assumed that there would be a 10% improvement in adherence due to the 6-monthly dosing schedule of inclisiran. </w:t>
      </w:r>
      <w:r w:rsidR="007B2837" w:rsidRPr="00DB3FE7">
        <w:t>The</w:t>
      </w:r>
      <w:r w:rsidR="007B2837">
        <w:t> </w:t>
      </w:r>
      <w:r w:rsidRPr="007B2837">
        <w:t>PBAC considered that this was a reasonable assumption.</w:t>
      </w:r>
    </w:p>
    <w:p w14:paraId="5061DABC" w14:textId="6EFF2D47" w:rsidR="002D6E52" w:rsidRPr="00352E1C" w:rsidRDefault="002D6E52" w:rsidP="002D6E52">
      <w:pPr>
        <w:pStyle w:val="COMexecsumnumberedpara"/>
        <w:numPr>
          <w:ilvl w:val="1"/>
          <w:numId w:val="1"/>
        </w:numPr>
      </w:pPr>
      <w:r w:rsidRPr="007B2837">
        <w:t xml:space="preserve">Overall, the PBAC considered that, due to the </w:t>
      </w:r>
      <w:r w:rsidR="00B650E1" w:rsidRPr="00B650E1">
        <w:rPr>
          <w:color w:val="000000"/>
          <w:w w:val="59"/>
          <w:shd w:val="solid" w:color="000000" w:fill="000000"/>
          <w:fitText w:val="460" w:id="-1208278000"/>
          <w14:textFill>
            <w14:solidFill>
              <w14:srgbClr w14:val="000000">
                <w14:alpha w14:val="100000"/>
              </w14:srgbClr>
            </w14:solidFill>
          </w14:textFill>
        </w:rPr>
        <w:t>|||  ||</w:t>
      </w:r>
      <w:r w:rsidR="00B650E1" w:rsidRPr="00B650E1">
        <w:rPr>
          <w:color w:val="000000"/>
          <w:spacing w:val="5"/>
          <w:w w:val="59"/>
          <w:shd w:val="solid" w:color="000000" w:fill="000000"/>
          <w:fitText w:val="460" w:id="-1208278000"/>
          <w14:textFill>
            <w14:solidFill>
              <w14:srgbClr w14:val="000000">
                <w14:alpha w14:val="100000"/>
              </w14:srgbClr>
            </w14:solidFill>
          </w14:textFill>
        </w:rPr>
        <w:t>|</w:t>
      </w:r>
      <w:r w:rsidRPr="0042765C">
        <w:t>% price reduction for inclisiran and a reduction in dispensing fees, the listing of inclisiran on the PBS/RPBS would be cost saving.</w:t>
      </w:r>
    </w:p>
    <w:p w14:paraId="55114FBD" w14:textId="1A406F25" w:rsidR="002D6E52" w:rsidRPr="00DB3FE7" w:rsidRDefault="002D6E52" w:rsidP="002D6E52">
      <w:pPr>
        <w:pStyle w:val="COMexecsumnumberedpara"/>
        <w:numPr>
          <w:ilvl w:val="1"/>
          <w:numId w:val="1"/>
        </w:numPr>
      </w:pPr>
      <w:r w:rsidRPr="00DB3FE7">
        <w:t>The PBAC noted that the resubmission assumed that there would be a cost to the MBS due to inclisiran requiring administration by a health care professional every 6 months. The PBAC considered that it was unlikely that this cost would be recognised as patients with high risk HeFH or non-FH would visit their clinician twice a year. Regardless, it was noted that MBS costs/savings due to professional attendance are not realised by the health system and they cannot be included in the financial impact estimates.</w:t>
      </w:r>
    </w:p>
    <w:p w14:paraId="142CDFA7" w14:textId="77777777" w:rsidR="002D6E52" w:rsidRPr="00DB3FE7" w:rsidRDefault="002D6E52" w:rsidP="002D6E52">
      <w:pPr>
        <w:pStyle w:val="COMexecsumnumberedpara"/>
        <w:numPr>
          <w:ilvl w:val="1"/>
          <w:numId w:val="1"/>
        </w:numPr>
      </w:pPr>
      <w:r w:rsidRPr="00DB3FE7">
        <w:t>The PBAC considered that inclisiran should join the current PCSK9 inhibitor risk sharing arrangement, given the listing of inclisiran would not provide an additional line of therapy.</w:t>
      </w:r>
    </w:p>
    <w:p w14:paraId="188CC2EA" w14:textId="77777777" w:rsidR="002D6E52" w:rsidRPr="00DB3FE7" w:rsidRDefault="002D6E52" w:rsidP="002D6E52">
      <w:pPr>
        <w:pStyle w:val="COMexecsumnumberedpara"/>
        <w:numPr>
          <w:ilvl w:val="1"/>
          <w:numId w:val="1"/>
        </w:numPr>
      </w:pPr>
      <w:r w:rsidRPr="00DB3FE7">
        <w:t xml:space="preserve">The PBAC noted that the resubmission provided revised initial, continuing and grandfather restrictions for inclisiran that aligned with those for evolocumab for HeFH and non-FH with ASCVD. The PBAC considered that this was appropriate, noting the grandfathered patients would need to have met the initial restriction criteria when they commenced inclisiran to be eligible for grandfathering. The PBAC also noted that the resubmission proposed criteria that would allow patients to switch between inclisiran and the PCSK9 inhibitors. The PBAC noted that flow on restriction changes would be required to allow for switching between inclisiran and evolocumab and alirocumab. The PBAC also noted that flow on restrictions changes would be required to prevent the concomitant use of inclisiran and the PCSK9 inhibitors. </w:t>
      </w:r>
    </w:p>
    <w:p w14:paraId="6B1E5C27" w14:textId="34F48F85" w:rsidR="002D6E52" w:rsidRPr="0042765C" w:rsidRDefault="002D6E52" w:rsidP="002D6E52">
      <w:pPr>
        <w:pStyle w:val="COMexecsumnumberedpara"/>
        <w:numPr>
          <w:ilvl w:val="1"/>
          <w:numId w:val="1"/>
        </w:numPr>
      </w:pPr>
      <w:r w:rsidRPr="00C91ADA">
        <w:rPr>
          <w:bCs/>
        </w:rPr>
        <w:t xml:space="preserve">The PBAC recommended that, </w:t>
      </w:r>
      <w:r w:rsidRPr="0042765C">
        <w:rPr>
          <w:rFonts w:cstheme="minorHAnsi"/>
        </w:rPr>
        <w:t xml:space="preserve">under Section 101 (3BA) of the </w:t>
      </w:r>
      <w:r w:rsidRPr="00C91ADA">
        <w:rPr>
          <w:rFonts w:cstheme="minorHAnsi"/>
          <w:i/>
          <w:iCs/>
        </w:rPr>
        <w:t>National Health Act</w:t>
      </w:r>
      <w:r w:rsidR="009015FA" w:rsidRPr="0042765C">
        <w:rPr>
          <w:rFonts w:cstheme="minorHAnsi"/>
          <w:i/>
          <w:iCs/>
        </w:rPr>
        <w:t> </w:t>
      </w:r>
      <w:r w:rsidRPr="00C91ADA">
        <w:rPr>
          <w:rFonts w:cstheme="minorHAnsi"/>
          <w:i/>
          <w:iCs/>
        </w:rPr>
        <w:t>1953</w:t>
      </w:r>
      <w:r w:rsidRPr="0042765C">
        <w:rPr>
          <w:rFonts w:cstheme="minorHAnsi"/>
        </w:rPr>
        <w:t xml:space="preserve">, inclisiran </w:t>
      </w:r>
      <w:r w:rsidRPr="00C91ADA">
        <w:rPr>
          <w:bCs/>
        </w:rPr>
        <w:t>should not be treated as interchangeable with any other drugs.</w:t>
      </w:r>
    </w:p>
    <w:p w14:paraId="06C23982" w14:textId="77777777" w:rsidR="002D6E52" w:rsidRPr="00C91ADA" w:rsidRDefault="002D6E52" w:rsidP="002D6E52">
      <w:pPr>
        <w:widowControl w:val="0"/>
        <w:numPr>
          <w:ilvl w:val="1"/>
          <w:numId w:val="1"/>
        </w:numPr>
        <w:spacing w:after="120"/>
        <w:rPr>
          <w:rFonts w:asciiTheme="minorHAnsi" w:hAnsiTheme="minorHAnsi"/>
          <w:bCs/>
          <w:snapToGrid w:val="0"/>
        </w:rPr>
      </w:pPr>
      <w:r w:rsidRPr="00C91ADA">
        <w:rPr>
          <w:rFonts w:asciiTheme="minorHAnsi" w:hAnsiTheme="minorHAnsi"/>
          <w:bCs/>
          <w:snapToGrid w:val="0"/>
        </w:rPr>
        <w:t xml:space="preserve">The PBAC advised that, like evolocumab and alirocumab, inclisiran is not suitable for prescribing by nurse practitioners. </w:t>
      </w:r>
    </w:p>
    <w:p w14:paraId="6424F515" w14:textId="77777777" w:rsidR="002D6E52" w:rsidRPr="00C91ADA" w:rsidRDefault="002D6E52" w:rsidP="002D6E52">
      <w:pPr>
        <w:widowControl w:val="0"/>
        <w:numPr>
          <w:ilvl w:val="1"/>
          <w:numId w:val="1"/>
        </w:numPr>
        <w:spacing w:after="120"/>
        <w:rPr>
          <w:rFonts w:asciiTheme="minorHAnsi" w:hAnsiTheme="minorHAnsi"/>
          <w:bCs/>
          <w:snapToGrid w:val="0"/>
        </w:rPr>
      </w:pPr>
      <w:r w:rsidRPr="00C91ADA">
        <w:rPr>
          <w:rFonts w:asciiTheme="minorHAnsi" w:hAnsiTheme="minorHAnsi"/>
          <w:bCs/>
          <w:snapToGrid w:val="0"/>
        </w:rPr>
        <w:t xml:space="preserve">The PBAC recommended that the Early Supply Rule should not apply to inclisiran. </w:t>
      </w:r>
    </w:p>
    <w:p w14:paraId="78DB240E" w14:textId="77777777" w:rsidR="002D6E52" w:rsidRPr="00C91ADA" w:rsidRDefault="002D6E52" w:rsidP="002D6E52">
      <w:pPr>
        <w:widowControl w:val="0"/>
        <w:numPr>
          <w:ilvl w:val="1"/>
          <w:numId w:val="1"/>
        </w:numPr>
        <w:spacing w:after="120"/>
        <w:rPr>
          <w:rFonts w:asciiTheme="minorHAnsi" w:hAnsiTheme="minorHAnsi"/>
          <w:bCs/>
          <w:snapToGrid w:val="0"/>
        </w:rPr>
      </w:pPr>
      <w:r w:rsidRPr="00C91ADA">
        <w:rPr>
          <w:rFonts w:asciiTheme="minorHAnsi" w:hAnsiTheme="minorHAnsi" w:cstheme="minorHAnsi"/>
        </w:rPr>
        <w:t>The PBAC noted that its recommendation was on a cost-minimisation basis and advised that, because inclisiran is not expected to provide a substantial</w:t>
      </w:r>
      <w:r w:rsidRPr="00C91ADA">
        <w:rPr>
          <w:rFonts w:asciiTheme="minorHAnsi" w:hAnsiTheme="minorHAnsi"/>
          <w:bCs/>
        </w:rPr>
        <w:t xml:space="preserve"> and clinically relevant improvement in efficacy, or reduction of toxicity, over the PCSK9 inhibitors (evolocumab and alirocumab), or not expected to address a high and urgent unmet clinical need given the presence of an alternative therapy, the criteria prescribed by the </w:t>
      </w:r>
      <w:r w:rsidRPr="00C91ADA">
        <w:rPr>
          <w:rFonts w:asciiTheme="minorHAnsi" w:hAnsiTheme="minorHAnsi"/>
          <w:bCs/>
          <w:i/>
        </w:rPr>
        <w:t>National Health (Pharmaceuticals and Vaccines – Cost Recovery) Regulations 2022</w:t>
      </w:r>
      <w:r w:rsidRPr="00C91ADA">
        <w:rPr>
          <w:rFonts w:asciiTheme="minorHAnsi" w:hAnsiTheme="minorHAnsi"/>
          <w:bCs/>
        </w:rPr>
        <w:t xml:space="preserve"> for Pricing Pathway A were not met.</w:t>
      </w:r>
    </w:p>
    <w:p w14:paraId="0A032FD7" w14:textId="77777777" w:rsidR="002D6E52" w:rsidRPr="00C91ADA" w:rsidRDefault="002D6E52" w:rsidP="002D6E52">
      <w:pPr>
        <w:widowControl w:val="0"/>
        <w:numPr>
          <w:ilvl w:val="1"/>
          <w:numId w:val="1"/>
        </w:numPr>
        <w:spacing w:after="120"/>
        <w:rPr>
          <w:rFonts w:asciiTheme="minorHAnsi" w:hAnsiTheme="minorHAnsi"/>
          <w:bCs/>
          <w:snapToGrid w:val="0"/>
        </w:rPr>
      </w:pPr>
      <w:r w:rsidRPr="00C91ADA">
        <w:rPr>
          <w:rFonts w:asciiTheme="minorHAnsi" w:hAnsiTheme="minorHAnsi"/>
          <w:bCs/>
          <w:snapToGrid w:val="0"/>
        </w:rPr>
        <w:t>The PBAC noted that this submission is not eligible for an Independent Review as it received a positive PBAC recommendation.</w:t>
      </w:r>
    </w:p>
    <w:p w14:paraId="374EFD3C" w14:textId="77777777" w:rsidR="002D6E52" w:rsidRPr="00C91ADA" w:rsidRDefault="002D6E52" w:rsidP="002D6E52">
      <w:pPr>
        <w:widowControl w:val="0"/>
        <w:rPr>
          <w:rFonts w:asciiTheme="minorHAnsi" w:hAnsiTheme="minorHAnsi"/>
          <w:b/>
          <w:bCs/>
          <w:snapToGrid w:val="0"/>
        </w:rPr>
      </w:pPr>
      <w:r w:rsidRPr="00C91ADA">
        <w:rPr>
          <w:rFonts w:asciiTheme="minorHAnsi" w:hAnsiTheme="minorHAnsi"/>
          <w:b/>
          <w:bCs/>
          <w:snapToGrid w:val="0"/>
        </w:rPr>
        <w:t>Outcome:</w:t>
      </w:r>
    </w:p>
    <w:p w14:paraId="6C55AE20" w14:textId="77777777" w:rsidR="002D6E52" w:rsidRPr="00C91ADA" w:rsidRDefault="002D6E52" w:rsidP="002D6E52">
      <w:pPr>
        <w:rPr>
          <w:rFonts w:asciiTheme="minorHAnsi" w:hAnsiTheme="minorHAnsi"/>
          <w:bCs/>
          <w:snapToGrid w:val="0"/>
        </w:rPr>
      </w:pPr>
      <w:r w:rsidRPr="00C91ADA">
        <w:rPr>
          <w:rFonts w:asciiTheme="minorHAnsi" w:hAnsiTheme="minorHAnsi"/>
          <w:bCs/>
          <w:snapToGrid w:val="0"/>
        </w:rPr>
        <w:t xml:space="preserve">Recommended </w:t>
      </w:r>
    </w:p>
    <w:p w14:paraId="2E05FED5" w14:textId="77777777" w:rsidR="002D6E52" w:rsidRPr="0042765C" w:rsidRDefault="002D6E52" w:rsidP="002D6E52">
      <w:pPr>
        <w:pStyle w:val="COMH1numbered"/>
        <w:numPr>
          <w:ilvl w:val="0"/>
          <w:numId w:val="1"/>
        </w:numPr>
        <w:ind w:left="720"/>
      </w:pPr>
      <w:r w:rsidRPr="0042765C">
        <w:t>Recommended listing</w:t>
      </w:r>
    </w:p>
    <w:p w14:paraId="370DF8F0" w14:textId="77777777" w:rsidR="002D6E52" w:rsidRPr="00352E1C" w:rsidRDefault="002D6E52" w:rsidP="002D6E52">
      <w:pPr>
        <w:pStyle w:val="3-BodyText"/>
        <w:numPr>
          <w:ilvl w:val="1"/>
          <w:numId w:val="1"/>
        </w:numPr>
      </w:pPr>
      <w:r w:rsidRPr="00352E1C">
        <w:rPr>
          <w:bCs/>
        </w:rPr>
        <w:t>Add indications as follows:</w:t>
      </w:r>
    </w:p>
    <w:p w14:paraId="2E13D493" w14:textId="501AA6B3" w:rsidR="002D6E52" w:rsidRPr="00DB3FE7" w:rsidRDefault="002D6E52" w:rsidP="002D6E52">
      <w:pPr>
        <w:widowControl w:val="0"/>
        <w:rPr>
          <w:rFonts w:asciiTheme="minorHAnsi" w:hAnsiTheme="minorHAnsi"/>
          <w:b/>
          <w:bCs/>
          <w:snapToGrid w:val="0"/>
        </w:rPr>
      </w:pPr>
      <w:r w:rsidRPr="00352E1C">
        <w:rPr>
          <w:rFonts w:asciiTheme="minorHAnsi" w:hAnsiTheme="minorHAnsi"/>
          <w:b/>
          <w:bCs/>
          <w:snapToGrid w:val="0"/>
        </w:rPr>
        <w:t xml:space="preserve">Restrictions for </w:t>
      </w:r>
      <w:r w:rsidRPr="00DB3FE7">
        <w:rPr>
          <w:rFonts w:asciiTheme="minorHAnsi" w:hAnsiTheme="minorHAnsi"/>
          <w:b/>
          <w:bCs/>
          <w:snapToGrid w:val="0"/>
        </w:rPr>
        <w:t>HeFH:</w:t>
      </w:r>
    </w:p>
    <w:p w14:paraId="49CEC685" w14:textId="77777777" w:rsidR="002D6E52" w:rsidRPr="00DB3FE7" w:rsidRDefault="002D6E52" w:rsidP="002D6E52">
      <w:pPr>
        <w:widowControl w:val="0"/>
        <w:rPr>
          <w:rFonts w:asciiTheme="minorHAnsi" w:hAnsiTheme="minorHAnsi"/>
          <w:b/>
          <w:bCs/>
          <w:snapToGrid w:val="0"/>
        </w:rPr>
      </w:pPr>
    </w:p>
    <w:tbl>
      <w:tblPr>
        <w:tblW w:w="9127" w:type="dxa"/>
        <w:tblInd w:w="-5" w:type="dxa"/>
        <w:tblLayout w:type="fixed"/>
        <w:tblLook w:val="0000" w:firstRow="0" w:lastRow="0" w:firstColumn="0" w:lastColumn="0" w:noHBand="0" w:noVBand="0"/>
      </w:tblPr>
      <w:tblGrid>
        <w:gridCol w:w="3480"/>
        <w:gridCol w:w="1320"/>
        <w:gridCol w:w="1080"/>
        <w:gridCol w:w="960"/>
        <w:gridCol w:w="960"/>
        <w:gridCol w:w="1320"/>
        <w:gridCol w:w="7"/>
      </w:tblGrid>
      <w:tr w:rsidR="002D6E52" w:rsidRPr="00DB3FE7" w14:paraId="3F067066" w14:textId="77777777" w:rsidTr="00C91ADA">
        <w:trPr>
          <w:gridAfter w:val="1"/>
          <w:wAfter w:w="7" w:type="dxa"/>
          <w:trHeight w:val="471"/>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1CA2C239" w14:textId="77777777" w:rsidR="002D6E52" w:rsidRPr="00DB3FE7" w:rsidRDefault="002D6E52" w:rsidP="00533193">
            <w:pPr>
              <w:keepNext/>
              <w:rPr>
                <w:rFonts w:ascii="Arial Narrow" w:hAnsi="Arial Narrow"/>
                <w:b/>
                <w:bCs/>
                <w:sz w:val="20"/>
              </w:rPr>
            </w:pPr>
            <w:r w:rsidRPr="00DB3FE7">
              <w:rPr>
                <w:rFonts w:ascii="Arial Narrow" w:hAnsi="Arial Narrow"/>
                <w:b/>
                <w:bCs/>
                <w:sz w:val="20"/>
              </w:rPr>
              <w:t>Name, Restriction,</w:t>
            </w:r>
          </w:p>
          <w:p w14:paraId="2B01B962" w14:textId="77777777" w:rsidR="002D6E52" w:rsidRPr="00DB3FE7" w:rsidRDefault="002D6E52" w:rsidP="00533193">
            <w:pPr>
              <w:keepNext/>
              <w:rPr>
                <w:rFonts w:ascii="Arial Narrow" w:hAnsi="Arial Narrow"/>
                <w:b/>
                <w:bCs/>
                <w:sz w:val="20"/>
              </w:rPr>
            </w:pPr>
            <w:r w:rsidRPr="00DB3FE7">
              <w:rPr>
                <w:rFonts w:ascii="Arial Narrow" w:hAnsi="Arial Narrow"/>
                <w:b/>
                <w:bCs/>
                <w:sz w:val="20"/>
              </w:rPr>
              <w:t>Manner of administration and form</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7C31B2AC"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PBS item code</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19A07B08"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Max. qty (packs)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3C9C8FD6"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Max. qty (units)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5D46EBD8"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 of</w:t>
            </w:r>
          </w:p>
          <w:p w14:paraId="04D294EA"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Rpts</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1DA78783" w14:textId="77777777" w:rsidR="002D6E52" w:rsidRPr="00C91ADA" w:rsidRDefault="002D6E52" w:rsidP="00533193">
            <w:pPr>
              <w:keepNext/>
              <w:jc w:val="center"/>
              <w:rPr>
                <w:rFonts w:ascii="Arial Narrow" w:hAnsi="Arial Narrow"/>
                <w:b/>
                <w:bCs/>
                <w:sz w:val="20"/>
              </w:rPr>
            </w:pPr>
            <w:r w:rsidRPr="00DB3FE7">
              <w:rPr>
                <w:rFonts w:ascii="Arial Narrow" w:hAnsi="Arial Narrow"/>
                <w:b/>
                <w:bCs/>
                <w:sz w:val="20"/>
              </w:rPr>
              <w:t>Available brands</w:t>
            </w:r>
          </w:p>
        </w:tc>
      </w:tr>
      <w:tr w:rsidR="002D6E52" w:rsidRPr="00DB3FE7" w14:paraId="7067B362" w14:textId="77777777" w:rsidTr="00C91ADA">
        <w:trPr>
          <w:gridAfter w:val="1"/>
          <w:wAfter w:w="7" w:type="dxa"/>
          <w:trHeight w:val="194"/>
        </w:trPr>
        <w:tc>
          <w:tcPr>
            <w:tcW w:w="9120"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512E1A7" w14:textId="77777777" w:rsidR="002D6E52" w:rsidRPr="00DB3FE7" w:rsidRDefault="002D6E52" w:rsidP="00533193">
            <w:pPr>
              <w:keepNext/>
              <w:rPr>
                <w:rFonts w:ascii="Arial Narrow" w:hAnsi="Arial Narrow"/>
                <w:b/>
                <w:bCs/>
                <w:sz w:val="20"/>
              </w:rPr>
            </w:pPr>
            <w:r w:rsidRPr="00DB3FE7">
              <w:rPr>
                <w:rFonts w:ascii="Arial Narrow" w:hAnsi="Arial Narrow"/>
                <w:b/>
                <w:bCs/>
                <w:sz w:val="20"/>
              </w:rPr>
              <w:t>INCLISIRAN</w:t>
            </w:r>
          </w:p>
        </w:tc>
      </w:tr>
      <w:tr w:rsidR="002D6E52" w:rsidRPr="00DB3FE7" w14:paraId="29A8BBF7" w14:textId="77777777" w:rsidTr="00C91ADA">
        <w:trPr>
          <w:gridAfter w:val="1"/>
          <w:wAfter w:w="7" w:type="dxa"/>
          <w:trHeight w:val="577"/>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5559B036" w14:textId="77777777" w:rsidR="002D6E52" w:rsidRPr="00DB3FE7" w:rsidRDefault="002D6E52" w:rsidP="00533193">
            <w:pPr>
              <w:keepNext/>
              <w:rPr>
                <w:rFonts w:ascii="Arial Narrow" w:hAnsi="Arial Narrow"/>
                <w:sz w:val="20"/>
              </w:rPr>
            </w:pPr>
            <w:r w:rsidRPr="00DB3FE7">
              <w:rPr>
                <w:rFonts w:ascii="Arial Narrow" w:hAnsi="Arial Narrow"/>
                <w:sz w:val="20"/>
              </w:rPr>
              <w:t>inclisiran 284 mg/1.5mL injection, 1.5 mL prefilled syringe</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6CC9D9F6" w14:textId="77777777" w:rsidR="002D6E52" w:rsidRPr="00DB3FE7" w:rsidRDefault="002D6E52" w:rsidP="00533193">
            <w:pPr>
              <w:keepNext/>
              <w:jc w:val="center"/>
              <w:rPr>
                <w:rFonts w:ascii="Arial Narrow" w:hAnsi="Arial Narrow"/>
                <w:sz w:val="20"/>
              </w:rPr>
            </w:pPr>
            <w:r w:rsidRPr="00DB3FE7">
              <w:rPr>
                <w:rFonts w:ascii="Arial Narrow" w:hAnsi="Arial Narrow"/>
                <w:sz w:val="20"/>
              </w:rPr>
              <w:t>New</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16BBA41C"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379395D2"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33E7765A"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p w14:paraId="51B42519" w14:textId="77777777" w:rsidR="002D6E52" w:rsidRPr="00DB3FE7" w:rsidRDefault="002D6E52" w:rsidP="00533193">
            <w:pPr>
              <w:keepNext/>
              <w:jc w:val="center"/>
              <w:rPr>
                <w:rFonts w:ascii="Arial Narrow" w:hAnsi="Arial Narrow"/>
                <w:sz w:val="20"/>
              </w:rPr>
            </w:pP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07001816" w14:textId="77777777" w:rsidR="002D6E52" w:rsidRPr="00DB3FE7" w:rsidRDefault="002D6E52" w:rsidP="00533193">
            <w:pPr>
              <w:keepNext/>
              <w:jc w:val="center"/>
              <w:rPr>
                <w:rFonts w:ascii="Arial Narrow" w:hAnsi="Arial Narrow"/>
                <w:sz w:val="20"/>
              </w:rPr>
            </w:pPr>
            <w:r w:rsidRPr="00DB3FE7">
              <w:rPr>
                <w:rFonts w:ascii="Arial Narrow" w:hAnsi="Arial Narrow"/>
                <w:sz w:val="20"/>
              </w:rPr>
              <w:t>Leqvio</w:t>
            </w:r>
            <w:r w:rsidRPr="00DB3FE7">
              <w:rPr>
                <w:rFonts w:ascii="Arial Narrow" w:hAnsi="Arial Narrow"/>
                <w:sz w:val="20"/>
                <w:vertAlign w:val="superscript"/>
              </w:rPr>
              <w:t>®</w:t>
            </w:r>
          </w:p>
        </w:tc>
      </w:tr>
      <w:tr w:rsidR="007B2837" w:rsidRPr="00DB3FE7" w14:paraId="13995D1D"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DC90389" w14:textId="77777777" w:rsidR="007B2837" w:rsidRPr="00DB3FE7" w:rsidRDefault="007B2837" w:rsidP="00533193">
            <w:pPr>
              <w:rPr>
                <w:rFonts w:ascii="Arial Narrow" w:hAnsi="Arial Narrow"/>
                <w:sz w:val="20"/>
              </w:rPr>
            </w:pPr>
            <w:r w:rsidRPr="00DB3FE7">
              <w:rPr>
                <w:rFonts w:ascii="Arial Narrow" w:hAnsi="Arial Narrow"/>
                <w:b/>
                <w:bCs/>
                <w:sz w:val="20"/>
              </w:rPr>
              <w:t>Category / Program:</w:t>
            </w:r>
            <w:r w:rsidRPr="00DB3FE7">
              <w:rPr>
                <w:rFonts w:ascii="Arial Narrow" w:hAnsi="Arial Narrow"/>
                <w:sz w:val="20"/>
              </w:rPr>
              <w:t xml:space="preserve"> GENERAL – General Schedule (Code GE)</w:t>
            </w:r>
          </w:p>
        </w:tc>
      </w:tr>
      <w:tr w:rsidR="007B2837" w:rsidRPr="00DB3FE7" w14:paraId="1C937C6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8D19D7B" w14:textId="297A10BF" w:rsidR="007B2837" w:rsidRPr="0042765C" w:rsidRDefault="007B2837" w:rsidP="00533193">
            <w:pPr>
              <w:rPr>
                <w:rFonts w:ascii="Arial Narrow" w:hAnsi="Arial Narrow"/>
                <w:sz w:val="20"/>
              </w:rPr>
            </w:pPr>
            <w:r w:rsidRPr="00DB3FE7">
              <w:rPr>
                <w:rFonts w:ascii="Arial Narrow" w:hAnsi="Arial Narrow"/>
                <w:b/>
                <w:sz w:val="20"/>
                <w:szCs w:val="20"/>
              </w:rPr>
              <w:t xml:space="preserve">Prescriber type: </w:t>
            </w:r>
            <w:r w:rsidRPr="009D5406">
              <w:rPr>
                <w:rFonts w:ascii="Arial Narrow" w:hAnsi="Arial Narrow"/>
                <w:sz w:val="20"/>
                <w:szCs w:val="20"/>
              </w:rPr>
              <w:fldChar w:fldCharType="begin" w:fldLock="1">
                <w:ffData>
                  <w:name w:val=""/>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szCs w:val="20"/>
              </w:rPr>
              <w:t>Medical Practitioners</w:t>
            </w:r>
          </w:p>
        </w:tc>
      </w:tr>
      <w:tr w:rsidR="007B2837" w:rsidRPr="00DB3FE7" w14:paraId="10D44E5E"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2FA2117" w14:textId="77777777" w:rsidR="007B2837" w:rsidRPr="00DB3FE7" w:rsidRDefault="007B2837" w:rsidP="00533193">
            <w:pPr>
              <w:pStyle w:val="TableText"/>
              <w:rPr>
                <w:rFonts w:cs="Times New Roman"/>
                <w:b/>
                <w:szCs w:val="20"/>
              </w:rPr>
            </w:pPr>
            <w:r w:rsidRPr="00DB3FE7">
              <w:rPr>
                <w:b/>
                <w:szCs w:val="20"/>
              </w:rPr>
              <w:t xml:space="preserve">Administrative Advice: </w:t>
            </w:r>
            <w:r w:rsidRPr="00DB3FE7">
              <w:rPr>
                <w:szCs w:val="20"/>
              </w:rPr>
              <w:t>No increase in the maximum quantity or number of units may be authorised.</w:t>
            </w:r>
          </w:p>
        </w:tc>
      </w:tr>
      <w:tr w:rsidR="007B2837" w:rsidRPr="00DB3FE7" w14:paraId="7FB13AFA"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4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3495792" w14:textId="77777777" w:rsidR="007B2837" w:rsidRPr="00DB3FE7" w:rsidRDefault="007B2837" w:rsidP="00533193">
            <w:pPr>
              <w:pStyle w:val="TableText"/>
              <w:rPr>
                <w:rFonts w:cs="Times New Roman"/>
                <w:b/>
                <w:szCs w:val="20"/>
              </w:rPr>
            </w:pPr>
            <w:r w:rsidRPr="00DB3FE7">
              <w:rPr>
                <w:rStyle w:val="Strong"/>
                <w:szCs w:val="20"/>
              </w:rPr>
              <w:t>Administrative Advice:</w:t>
            </w:r>
            <w:r w:rsidRPr="00DB3FE7">
              <w:rPr>
                <w:szCs w:val="20"/>
              </w:rPr>
              <w:t xml:space="preserve"> No increase in the maximum number of repeats may be authorised.</w:t>
            </w:r>
          </w:p>
        </w:tc>
      </w:tr>
      <w:tr w:rsidR="007B2837" w:rsidRPr="00DB3FE7" w14:paraId="210156D0"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42D1813" w14:textId="77777777" w:rsidR="007B2837" w:rsidRPr="00DB3FE7" w:rsidRDefault="007B2837" w:rsidP="00533193">
            <w:pPr>
              <w:pStyle w:val="TableText"/>
              <w:rPr>
                <w:rFonts w:cs="Times New Roman"/>
                <w:b/>
                <w:szCs w:val="20"/>
              </w:rPr>
            </w:pPr>
            <w:r w:rsidRPr="00DB3FE7">
              <w:rPr>
                <w:rStyle w:val="Strong"/>
                <w:szCs w:val="20"/>
              </w:rPr>
              <w:t>Administrative Advice:</w:t>
            </w:r>
            <w:r w:rsidRPr="00DB3FE7">
              <w:rPr>
                <w:szCs w:val="20"/>
              </w:rPr>
              <w:t xml:space="preserve"> Special Pricing Arrangements apply.</w:t>
            </w:r>
          </w:p>
        </w:tc>
      </w:tr>
      <w:tr w:rsidR="007B2837" w:rsidRPr="00DB3FE7" w14:paraId="0BE76B61"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0579B24" w14:textId="77777777" w:rsidR="007B2837" w:rsidRPr="00352E1C" w:rsidRDefault="007B2837" w:rsidP="00533193">
            <w:pPr>
              <w:rPr>
                <w:rFonts w:ascii="Arial Narrow" w:hAnsi="Arial Narrow"/>
                <w:b/>
                <w:i/>
                <w:iCs/>
                <w:sz w:val="20"/>
              </w:rPr>
            </w:pPr>
            <w:r w:rsidRPr="00DB3FE7">
              <w:rPr>
                <w:rFonts w:ascii="Arial Narrow" w:hAnsi="Arial Narrow"/>
                <w:b/>
                <w:i/>
                <w:iCs/>
                <w:sz w:val="20"/>
              </w:rPr>
              <w:t xml:space="preserve">Administrative Advice: </w:t>
            </w:r>
            <w:r w:rsidRPr="00DB3FE7">
              <w:rPr>
                <w:rFonts w:ascii="Arial Narrow" w:hAnsi="Arial Narrow"/>
                <w:bCs/>
                <w:i/>
                <w:iCs/>
                <w:sz w:val="20"/>
              </w:rPr>
              <w:t xml:space="preserve">Application for authorisation under this restriction may be made in real time using the Online PBS Authorities system (see </w:t>
            </w:r>
            <w:hyperlink r:id="rId20" w:history="1">
              <w:r w:rsidRPr="0042765C">
                <w:rPr>
                  <w:rStyle w:val="Hyperlink"/>
                  <w:rFonts w:ascii="Arial Narrow" w:hAnsi="Arial Narrow"/>
                  <w:bCs/>
                  <w:i/>
                  <w:iCs/>
                  <w:sz w:val="20"/>
                </w:rPr>
                <w:t>www.servicesaustralia.gov.au/HPOS</w:t>
              </w:r>
            </w:hyperlink>
            <w:r w:rsidRPr="0042765C">
              <w:rPr>
                <w:rFonts w:ascii="Arial Narrow" w:hAnsi="Arial Narrow"/>
                <w:bCs/>
                <w:i/>
                <w:iCs/>
                <w:sz w:val="20"/>
              </w:rPr>
              <w:t>) or by telephone by contacting Services Au</w:t>
            </w:r>
            <w:r w:rsidRPr="00352E1C">
              <w:rPr>
                <w:rFonts w:ascii="Arial Narrow" w:hAnsi="Arial Narrow"/>
                <w:bCs/>
                <w:i/>
                <w:iCs/>
                <w:sz w:val="20"/>
              </w:rPr>
              <w:t>stralia on 1800 888 333.</w:t>
            </w:r>
          </w:p>
        </w:tc>
      </w:tr>
      <w:tr w:rsidR="007B2837" w:rsidRPr="00DB3FE7" w14:paraId="04D72BB8"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6F1C9CB" w14:textId="77777777" w:rsidR="007B2837" w:rsidRPr="00DB3FE7" w:rsidRDefault="007B2837" w:rsidP="00533193">
            <w:pPr>
              <w:rPr>
                <w:rFonts w:ascii="Arial Narrow" w:hAnsi="Arial Narrow"/>
                <w:b/>
                <w:sz w:val="20"/>
              </w:rPr>
            </w:pPr>
          </w:p>
        </w:tc>
      </w:tr>
      <w:tr w:rsidR="007B2837" w:rsidRPr="00DB3FE7" w14:paraId="5377CCFD"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F866FB2" w14:textId="77777777" w:rsidR="007B2837" w:rsidRPr="00DB3FE7" w:rsidRDefault="007B2837" w:rsidP="00533193">
            <w:pPr>
              <w:rPr>
                <w:rFonts w:ascii="Arial Narrow" w:hAnsi="Arial Narrow"/>
                <w:strike/>
                <w:sz w:val="20"/>
              </w:rPr>
            </w:pPr>
            <w:r w:rsidRPr="00DB3FE7">
              <w:rPr>
                <w:rFonts w:ascii="Arial Narrow" w:hAnsi="Arial Narrow"/>
                <w:b/>
                <w:bCs/>
                <w:strike/>
                <w:sz w:val="20"/>
              </w:rPr>
              <w:t>Episodicity:</w:t>
            </w:r>
            <w:r w:rsidRPr="00DB3FE7">
              <w:rPr>
                <w:rFonts w:ascii="Arial Narrow" w:hAnsi="Arial Narrow"/>
                <w:strike/>
                <w:sz w:val="20"/>
              </w:rPr>
              <w:t xml:space="preserve"> Chronic</w:t>
            </w:r>
          </w:p>
        </w:tc>
      </w:tr>
      <w:tr w:rsidR="007B2837" w:rsidRPr="00DB3FE7" w14:paraId="43FBF142"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6D27C6B" w14:textId="77777777" w:rsidR="007B2837" w:rsidRPr="00DB3FE7" w:rsidRDefault="007B2837" w:rsidP="00533193">
            <w:pPr>
              <w:rPr>
                <w:rFonts w:ascii="Arial Narrow" w:hAnsi="Arial Narrow"/>
                <w:strike/>
                <w:sz w:val="20"/>
              </w:rPr>
            </w:pPr>
            <w:r w:rsidRPr="00DB3FE7">
              <w:rPr>
                <w:rFonts w:ascii="Arial Narrow" w:hAnsi="Arial Narrow"/>
                <w:b/>
                <w:bCs/>
                <w:strike/>
                <w:sz w:val="20"/>
              </w:rPr>
              <w:t>Severity:</w:t>
            </w:r>
            <w:r w:rsidRPr="00DB3FE7">
              <w:rPr>
                <w:rFonts w:ascii="Arial Narrow" w:hAnsi="Arial Narrow"/>
                <w:strike/>
                <w:sz w:val="20"/>
              </w:rPr>
              <w:t xml:space="preserve"> Nil</w:t>
            </w:r>
          </w:p>
        </w:tc>
      </w:tr>
      <w:tr w:rsidR="007B2837" w:rsidRPr="00DB3FE7" w14:paraId="34BBBC0D"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303680F" w14:textId="77777777" w:rsidR="007B2837" w:rsidRPr="00DB3FE7" w:rsidRDefault="007B2837" w:rsidP="00533193">
            <w:pPr>
              <w:rPr>
                <w:rFonts w:ascii="Arial Narrow" w:hAnsi="Arial Narrow"/>
                <w:sz w:val="20"/>
              </w:rPr>
            </w:pPr>
            <w:r w:rsidRPr="00DB3FE7">
              <w:rPr>
                <w:rFonts w:ascii="Arial Narrow" w:hAnsi="Arial Narrow"/>
                <w:b/>
                <w:bCs/>
                <w:sz w:val="20"/>
              </w:rPr>
              <w:t>Condition:</w:t>
            </w:r>
            <w:r w:rsidRPr="00DB3FE7">
              <w:rPr>
                <w:rFonts w:ascii="Arial Narrow" w:hAnsi="Arial Narrow"/>
                <w:sz w:val="20"/>
              </w:rPr>
              <w:t xml:space="preserve"> Familial heterozygous hypercholesterolaemia</w:t>
            </w:r>
          </w:p>
        </w:tc>
      </w:tr>
      <w:tr w:rsidR="007B2837" w:rsidRPr="00DB3FE7" w14:paraId="6A233591" w14:textId="77777777" w:rsidTr="00C91ADA">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42E9551" w14:textId="77777777" w:rsidR="007B2837" w:rsidRPr="00DB3FE7" w:rsidRDefault="007B2837" w:rsidP="00533193">
            <w:pPr>
              <w:rPr>
                <w:rFonts w:ascii="Arial Narrow" w:hAnsi="Arial Narrow"/>
                <w:sz w:val="20"/>
              </w:rPr>
            </w:pPr>
            <w:r w:rsidRPr="00DB3FE7">
              <w:rPr>
                <w:rFonts w:ascii="Arial Narrow" w:hAnsi="Arial Narrow"/>
                <w:b/>
                <w:bCs/>
                <w:sz w:val="20"/>
              </w:rPr>
              <w:t>PBS indication:</w:t>
            </w:r>
            <w:r w:rsidRPr="00DB3FE7">
              <w:rPr>
                <w:rFonts w:ascii="Arial Narrow" w:hAnsi="Arial Narrow"/>
                <w:sz w:val="20"/>
              </w:rPr>
              <w:t xml:space="preserve"> Familial heterozygous hypercholesterolaemia</w:t>
            </w:r>
          </w:p>
        </w:tc>
      </w:tr>
      <w:tr w:rsidR="007B2837" w:rsidRPr="00DB3FE7" w14:paraId="7C4361FC"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9062842" w14:textId="77777777" w:rsidR="007B2837" w:rsidRPr="00DB3FE7" w:rsidRDefault="007B2837" w:rsidP="00533193">
            <w:pPr>
              <w:rPr>
                <w:rFonts w:ascii="Arial Narrow" w:hAnsi="Arial Narrow"/>
                <w:b/>
                <w:sz w:val="20"/>
              </w:rPr>
            </w:pPr>
          </w:p>
        </w:tc>
      </w:tr>
      <w:tr w:rsidR="007B2837" w:rsidRPr="00DB3FE7" w14:paraId="6FAAF6AE" w14:textId="77777777" w:rsidTr="00C91ADA">
        <w:trPr>
          <w:trHeight w:val="23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48F11CF" w14:textId="77777777" w:rsidR="007B2837" w:rsidRPr="00DB3FE7" w:rsidRDefault="007B2837" w:rsidP="00533193">
            <w:pPr>
              <w:rPr>
                <w:rFonts w:ascii="Arial Narrow" w:hAnsi="Arial Narrow"/>
                <w:b/>
                <w:sz w:val="20"/>
              </w:rPr>
            </w:pPr>
            <w:r w:rsidRPr="00DB3FE7">
              <w:rPr>
                <w:rFonts w:ascii="Arial Narrow" w:hAnsi="Arial Narrow"/>
                <w:b/>
                <w:sz w:val="20"/>
              </w:rPr>
              <w:t xml:space="preserve">Treatment phase: </w:t>
            </w:r>
            <w:r w:rsidRPr="00DB3FE7">
              <w:rPr>
                <w:rFonts w:ascii="Arial Narrow" w:hAnsi="Arial Narrow"/>
                <w:bCs/>
                <w:sz w:val="20"/>
              </w:rPr>
              <w:t>Initial treatment</w:t>
            </w:r>
          </w:p>
        </w:tc>
      </w:tr>
      <w:tr w:rsidR="007B2837" w:rsidRPr="00DB3FE7" w14:paraId="5E37DDE0"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4167FF6" w14:textId="77777777" w:rsidR="007B2837" w:rsidRPr="0042765C" w:rsidRDefault="007B2837" w:rsidP="00533193">
            <w:pPr>
              <w:rPr>
                <w:rFonts w:ascii="Arial Narrow" w:hAnsi="Arial Narrow"/>
                <w:sz w:val="20"/>
              </w:rPr>
            </w:pPr>
            <w:r w:rsidRPr="009D5406">
              <w:rPr>
                <w:rFonts w:ascii="Arial Narrow" w:hAnsi="Arial Narrow"/>
                <w:sz w:val="20"/>
                <w:szCs w:val="20"/>
              </w:rPr>
              <w:fldChar w:fldCharType="begin" w:fldLock="1">
                <w:ffData>
                  <w:name w:val="Check5"/>
                  <w:enabled/>
                  <w:calcOnExit w:val="0"/>
                  <w:checkBox>
                    <w:sizeAuto/>
                    <w:default w:val="1"/>
                  </w:checkBox>
                </w:ffData>
              </w:fldChar>
            </w:r>
            <w:bookmarkStart w:id="70" w:name="Check5"/>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bookmarkEnd w:id="70"/>
            <w:r w:rsidRPr="0042765C">
              <w:rPr>
                <w:rFonts w:ascii="Arial Narrow" w:hAnsi="Arial Narrow"/>
                <w:sz w:val="20"/>
              </w:rPr>
              <w:t>Authority Required – telephone/online</w:t>
            </w:r>
          </w:p>
        </w:tc>
      </w:tr>
      <w:tr w:rsidR="007B2837" w:rsidRPr="00DB3FE7" w14:paraId="4708409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DCD4620" w14:textId="77777777" w:rsidR="007B2837" w:rsidRPr="00DB3FE7" w:rsidRDefault="007B2837" w:rsidP="00533193">
            <w:pPr>
              <w:rPr>
                <w:rFonts w:ascii="Arial Narrow" w:hAnsi="Arial Narrow"/>
                <w:sz w:val="20"/>
                <w:szCs w:val="20"/>
              </w:rPr>
            </w:pPr>
          </w:p>
        </w:tc>
      </w:tr>
      <w:tr w:rsidR="007B2837" w:rsidRPr="00DB3FE7" w14:paraId="575A98E1"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BEB925C" w14:textId="77777777" w:rsidR="007B2837" w:rsidRPr="00DB3FE7" w:rsidRDefault="007B2837" w:rsidP="00533193">
            <w:pPr>
              <w:rPr>
                <w:rFonts w:ascii="Arial Narrow" w:hAnsi="Arial Narrow"/>
                <w:b/>
                <w:bCs/>
                <w:sz w:val="20"/>
              </w:rPr>
            </w:pPr>
            <w:r w:rsidRPr="00DB3FE7">
              <w:rPr>
                <w:rFonts w:ascii="Arial Narrow" w:hAnsi="Arial Narrow"/>
                <w:b/>
                <w:bCs/>
                <w:sz w:val="20"/>
              </w:rPr>
              <w:t>Clinical criteria</w:t>
            </w:r>
          </w:p>
        </w:tc>
      </w:tr>
      <w:tr w:rsidR="007B2837" w:rsidRPr="00DB3FE7" w14:paraId="5372BEC1"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71D8B38" w14:textId="4AE1428F" w:rsidR="007B2837" w:rsidRPr="00DB3FE7" w:rsidRDefault="007B2837" w:rsidP="00533193">
            <w:pPr>
              <w:rPr>
                <w:rFonts w:ascii="Arial Narrow" w:hAnsi="Arial Narrow"/>
                <w:sz w:val="20"/>
              </w:rPr>
            </w:pPr>
            <w:r w:rsidRPr="00DB3FE7">
              <w:rPr>
                <w:rFonts w:ascii="Arial Narrow" w:hAnsi="Arial Narrow"/>
                <w:sz w:val="20"/>
              </w:rPr>
              <w:t>The treatment must be in conjunction with dietary therapy and exercise,</w:t>
            </w:r>
          </w:p>
        </w:tc>
      </w:tr>
      <w:tr w:rsidR="007B2837" w:rsidRPr="00DB3FE7" w14:paraId="023739EE" w14:textId="77777777" w:rsidTr="00C91ADA">
        <w:trPr>
          <w:trHeight w:val="11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D6E797B" w14:textId="77777777" w:rsidR="007B2837" w:rsidRPr="00DB3FE7" w:rsidRDefault="007B2837" w:rsidP="00533193">
            <w:pPr>
              <w:rPr>
                <w:rFonts w:ascii="Arial Narrow" w:hAnsi="Arial Narrow"/>
                <w:b/>
                <w:bCs/>
                <w:sz w:val="20"/>
              </w:rPr>
            </w:pPr>
            <w:r w:rsidRPr="00DB3FE7">
              <w:rPr>
                <w:rFonts w:ascii="Arial Narrow" w:hAnsi="Arial Narrow"/>
                <w:b/>
                <w:bCs/>
                <w:sz w:val="20"/>
              </w:rPr>
              <w:t>AND</w:t>
            </w:r>
          </w:p>
        </w:tc>
      </w:tr>
      <w:tr w:rsidR="007B2837" w:rsidRPr="00DB3FE7" w14:paraId="68752C7C"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365EE56" w14:textId="77777777" w:rsidR="007B2837" w:rsidRPr="00DB3FE7" w:rsidRDefault="007B2837" w:rsidP="00533193">
            <w:pPr>
              <w:rPr>
                <w:rFonts w:ascii="Arial Narrow" w:hAnsi="Arial Narrow"/>
                <w:b/>
                <w:bCs/>
                <w:sz w:val="20"/>
              </w:rPr>
            </w:pPr>
            <w:r w:rsidRPr="00DB3FE7">
              <w:rPr>
                <w:rFonts w:ascii="Arial Narrow" w:hAnsi="Arial Narrow"/>
                <w:b/>
                <w:bCs/>
                <w:sz w:val="20"/>
              </w:rPr>
              <w:t>Clinical criteria</w:t>
            </w:r>
          </w:p>
        </w:tc>
      </w:tr>
      <w:tr w:rsidR="007B2837" w:rsidRPr="00DB3FE7" w14:paraId="6473113D"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E06C2FB" w14:textId="77777777" w:rsidR="007B2837" w:rsidRPr="00DB3FE7" w:rsidRDefault="007B2837" w:rsidP="00533193">
            <w:pPr>
              <w:rPr>
                <w:rFonts w:ascii="Arial Narrow" w:hAnsi="Arial Narrow"/>
                <w:sz w:val="20"/>
              </w:rPr>
            </w:pPr>
            <w:r w:rsidRPr="00DB3FE7">
              <w:rPr>
                <w:rFonts w:ascii="Arial Narrow" w:hAnsi="Arial Narrow"/>
                <w:sz w:val="20"/>
              </w:rPr>
              <w:t>The condition must have been confirmed by genetic testing; OR</w:t>
            </w:r>
          </w:p>
        </w:tc>
      </w:tr>
      <w:tr w:rsidR="007B2837" w:rsidRPr="00DB3FE7" w14:paraId="011FC1CD" w14:textId="77777777" w:rsidTr="00C91ADA">
        <w:trPr>
          <w:trHeight w:val="11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BC7F571" w14:textId="77777777" w:rsidR="007B2837" w:rsidRPr="00DB3FE7" w:rsidRDefault="007B2837" w:rsidP="00533193">
            <w:pPr>
              <w:rPr>
                <w:rFonts w:ascii="Arial Narrow" w:hAnsi="Arial Narrow"/>
                <w:sz w:val="20"/>
              </w:rPr>
            </w:pPr>
            <w:r w:rsidRPr="00DB3FE7">
              <w:rPr>
                <w:rFonts w:ascii="Arial Narrow" w:hAnsi="Arial Narrow"/>
                <w:sz w:val="20"/>
              </w:rPr>
              <w:t xml:space="preserve">The condition must have been confirmed by a Dutch Lipid Clinic Network Score of at least 6 </w:t>
            </w:r>
          </w:p>
        </w:tc>
      </w:tr>
      <w:tr w:rsidR="007B2837" w:rsidRPr="00DB3FE7" w14:paraId="6440829E"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F3EB8B3" w14:textId="77777777" w:rsidR="007B2837" w:rsidRPr="00DB3FE7" w:rsidRDefault="007B2837" w:rsidP="00533193">
            <w:pPr>
              <w:rPr>
                <w:rFonts w:ascii="Arial Narrow" w:hAnsi="Arial Narrow"/>
                <w:b/>
                <w:bCs/>
                <w:sz w:val="20"/>
              </w:rPr>
            </w:pPr>
            <w:r w:rsidRPr="00DB3FE7">
              <w:rPr>
                <w:rFonts w:ascii="Arial Narrow" w:hAnsi="Arial Narrow"/>
                <w:b/>
                <w:bCs/>
                <w:sz w:val="20"/>
              </w:rPr>
              <w:t>AND</w:t>
            </w:r>
          </w:p>
        </w:tc>
      </w:tr>
      <w:tr w:rsidR="007B2837" w:rsidRPr="00DB3FE7" w14:paraId="3B45DDDB"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9F65C76" w14:textId="77777777" w:rsidR="007B2837" w:rsidRPr="00DB3FE7" w:rsidRDefault="007B2837" w:rsidP="00533193">
            <w:pPr>
              <w:rPr>
                <w:rFonts w:ascii="Arial Narrow" w:hAnsi="Arial Narrow"/>
                <w:b/>
                <w:bCs/>
                <w:sz w:val="20"/>
              </w:rPr>
            </w:pPr>
            <w:r w:rsidRPr="00DB3FE7">
              <w:rPr>
                <w:rFonts w:ascii="Arial Narrow" w:hAnsi="Arial Narrow"/>
                <w:b/>
                <w:bCs/>
                <w:sz w:val="20"/>
              </w:rPr>
              <w:t>Clinical criteria</w:t>
            </w:r>
          </w:p>
        </w:tc>
      </w:tr>
      <w:tr w:rsidR="007B2837" w:rsidRPr="00DB3FE7" w14:paraId="64FBDD4B"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F922756" w14:textId="77777777" w:rsidR="007B2837" w:rsidRPr="00DB3FE7" w:rsidRDefault="007B2837" w:rsidP="00533193">
            <w:pPr>
              <w:rPr>
                <w:rFonts w:ascii="Arial Narrow" w:hAnsi="Arial Narrow"/>
                <w:sz w:val="20"/>
              </w:rPr>
            </w:pPr>
            <w:r w:rsidRPr="00DB3FE7">
              <w:rPr>
                <w:rFonts w:ascii="Arial Narrow" w:hAnsi="Arial Narrow"/>
                <w:sz w:val="20"/>
              </w:rPr>
              <w:t>Patient must have an LDL cholesterol level in excess of 1.8 mmol/l in the presence of symptomatic atherosclerotic cardiovascular disease; OR</w:t>
            </w:r>
          </w:p>
        </w:tc>
      </w:tr>
      <w:tr w:rsidR="007B2837" w:rsidRPr="00DB3FE7" w14:paraId="453C0B3F"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6772E68" w14:textId="77777777" w:rsidR="007B2837" w:rsidRPr="00DB3FE7" w:rsidRDefault="007B2837" w:rsidP="00533193">
            <w:pPr>
              <w:rPr>
                <w:rFonts w:ascii="Arial Narrow" w:hAnsi="Arial Narrow"/>
                <w:sz w:val="20"/>
              </w:rPr>
            </w:pPr>
            <w:r w:rsidRPr="00DB3FE7">
              <w:rPr>
                <w:rFonts w:ascii="Arial Narrow" w:hAnsi="Arial Narrow"/>
                <w:sz w:val="20"/>
              </w:rPr>
              <w:t>Patient must have an LDL cholesterol level in excess of 5 mmol/l per litre.</w:t>
            </w:r>
          </w:p>
        </w:tc>
      </w:tr>
      <w:tr w:rsidR="007B2837" w:rsidRPr="00DB3FE7" w14:paraId="1ADCE85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5A3E034" w14:textId="77777777" w:rsidR="007B2837" w:rsidRPr="00DB3FE7" w:rsidRDefault="007B2837" w:rsidP="00533193">
            <w:pPr>
              <w:rPr>
                <w:rFonts w:ascii="Arial Narrow" w:hAnsi="Arial Narrow"/>
                <w:b/>
                <w:bCs/>
                <w:sz w:val="20"/>
              </w:rPr>
            </w:pPr>
            <w:r w:rsidRPr="00DB3FE7">
              <w:rPr>
                <w:rFonts w:ascii="Arial Narrow" w:hAnsi="Arial Narrow"/>
                <w:b/>
                <w:bCs/>
                <w:sz w:val="20"/>
              </w:rPr>
              <w:t>AND</w:t>
            </w:r>
          </w:p>
        </w:tc>
      </w:tr>
      <w:tr w:rsidR="007B2837" w:rsidRPr="00DB3FE7" w14:paraId="5056AE6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6218E24" w14:textId="77777777" w:rsidR="007B2837" w:rsidRPr="00DB3FE7" w:rsidRDefault="007B2837" w:rsidP="00533193">
            <w:pPr>
              <w:rPr>
                <w:rFonts w:ascii="Arial Narrow" w:hAnsi="Arial Narrow"/>
                <w:b/>
                <w:bCs/>
                <w:sz w:val="20"/>
              </w:rPr>
            </w:pPr>
            <w:r w:rsidRPr="00DB3FE7">
              <w:rPr>
                <w:rFonts w:ascii="Arial Narrow" w:hAnsi="Arial Narrow"/>
                <w:b/>
                <w:bCs/>
                <w:sz w:val="20"/>
              </w:rPr>
              <w:t>Clinical criteria</w:t>
            </w:r>
          </w:p>
        </w:tc>
      </w:tr>
      <w:tr w:rsidR="007B2837" w:rsidRPr="00DB3FE7" w14:paraId="20AEF3F8"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E279C97" w14:textId="77777777" w:rsidR="007B2837" w:rsidRPr="00DB3FE7" w:rsidRDefault="007B2837" w:rsidP="00533193">
            <w:pPr>
              <w:rPr>
                <w:rFonts w:ascii="Arial Narrow" w:hAnsi="Arial Narrow"/>
                <w:sz w:val="20"/>
              </w:rPr>
            </w:pPr>
            <w:r w:rsidRPr="00DB3FE7">
              <w:rPr>
                <w:rFonts w:ascii="Arial Narrow" w:hAnsi="Arial Narrow"/>
                <w:sz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7B2837" w:rsidRPr="00DB3FE7" w14:paraId="53B9F3CE"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78350A8" w14:textId="77777777" w:rsidR="007B2837" w:rsidRPr="00DB3FE7" w:rsidRDefault="007B2837" w:rsidP="00533193">
            <w:pPr>
              <w:rPr>
                <w:rFonts w:ascii="Arial Narrow" w:hAnsi="Arial Narrow"/>
                <w:sz w:val="20"/>
              </w:rPr>
            </w:pPr>
            <w:r w:rsidRPr="00DB3FE7">
              <w:rPr>
                <w:rFonts w:ascii="Arial Narrow" w:hAnsi="Arial Narrow"/>
                <w:sz w:val="20"/>
              </w:rPr>
              <w:t>Patient must have developed clinically important product-related adverse events necessitating withdrawal of statin treatment to trials of each of atorvastatin and rosuvastatin; OR</w:t>
            </w:r>
          </w:p>
        </w:tc>
      </w:tr>
      <w:tr w:rsidR="007B2837" w:rsidRPr="00DB3FE7" w14:paraId="20F84710"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87A9022" w14:textId="77777777" w:rsidR="007B2837" w:rsidRPr="00DB3FE7" w:rsidRDefault="007B2837" w:rsidP="00533193">
            <w:pPr>
              <w:rPr>
                <w:rFonts w:ascii="Arial Narrow" w:hAnsi="Arial Narrow"/>
                <w:sz w:val="20"/>
              </w:rPr>
            </w:pPr>
            <w:r w:rsidRPr="00DB3FE7">
              <w:rPr>
                <w:rFonts w:ascii="Arial Narrow" w:hAnsi="Arial Narrow"/>
                <w:sz w:val="20"/>
              </w:rPr>
              <w:t>Patient must be contraindicated to treatment with a HMG CoA reductase inhibitor (statin) as defined in the TGA-approved Product Information</w:t>
            </w:r>
          </w:p>
        </w:tc>
      </w:tr>
      <w:tr w:rsidR="007B2837" w:rsidRPr="00DB3FE7" w14:paraId="1F802BE4"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90E953D" w14:textId="77777777" w:rsidR="007B2837" w:rsidRPr="00DB3FE7" w:rsidRDefault="007B2837" w:rsidP="00533193">
            <w:pPr>
              <w:rPr>
                <w:rFonts w:ascii="Arial Narrow" w:hAnsi="Arial Narrow"/>
                <w:b/>
                <w:bCs/>
                <w:sz w:val="20"/>
              </w:rPr>
            </w:pPr>
            <w:r w:rsidRPr="00DB3FE7">
              <w:rPr>
                <w:rFonts w:ascii="Arial Narrow" w:hAnsi="Arial Narrow"/>
                <w:b/>
                <w:bCs/>
                <w:sz w:val="20"/>
              </w:rPr>
              <w:t>AND</w:t>
            </w:r>
          </w:p>
        </w:tc>
      </w:tr>
      <w:tr w:rsidR="007B2837" w:rsidRPr="00DB3FE7" w14:paraId="502BB97A"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09F0911" w14:textId="77777777" w:rsidR="007B2837" w:rsidRPr="00DB3FE7" w:rsidRDefault="007B2837" w:rsidP="00533193">
            <w:pPr>
              <w:rPr>
                <w:rFonts w:ascii="Arial Narrow" w:hAnsi="Arial Narrow"/>
                <w:b/>
                <w:bCs/>
                <w:sz w:val="20"/>
              </w:rPr>
            </w:pPr>
            <w:r w:rsidRPr="00DB3FE7">
              <w:rPr>
                <w:rFonts w:ascii="Arial Narrow" w:hAnsi="Arial Narrow"/>
                <w:b/>
                <w:bCs/>
                <w:sz w:val="20"/>
              </w:rPr>
              <w:t>Clinical criteria</w:t>
            </w:r>
          </w:p>
        </w:tc>
      </w:tr>
      <w:tr w:rsidR="007B2837" w:rsidRPr="00DB3FE7" w14:paraId="257729D0"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4719BE9" w14:textId="77777777" w:rsidR="007B2837" w:rsidRPr="00DB3FE7" w:rsidRDefault="007B2837" w:rsidP="00533193">
            <w:pPr>
              <w:rPr>
                <w:rFonts w:ascii="Arial Narrow" w:hAnsi="Arial Narrow"/>
                <w:sz w:val="20"/>
              </w:rPr>
            </w:pPr>
            <w:r w:rsidRPr="00DB3FE7">
              <w:rPr>
                <w:rFonts w:ascii="Arial Narrow" w:hAnsi="Arial Narrow"/>
                <w:sz w:val="20"/>
              </w:rPr>
              <w:t>Patient must have been treated with ezetimibe for at least 12 consecutive weeks in conjunction with a statin (if tolerated), dietary therapy and exercise</w:t>
            </w:r>
          </w:p>
        </w:tc>
      </w:tr>
      <w:tr w:rsidR="007B2837" w:rsidRPr="00DB3FE7" w14:paraId="4EC2D97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D30A8A6" w14:textId="77777777" w:rsidR="007B2837" w:rsidRPr="00DB3FE7" w:rsidRDefault="007B2837" w:rsidP="00533193">
            <w:pPr>
              <w:rPr>
                <w:rFonts w:ascii="Arial Narrow" w:hAnsi="Arial Narrow"/>
                <w:b/>
                <w:bCs/>
                <w:sz w:val="20"/>
              </w:rPr>
            </w:pPr>
            <w:r w:rsidRPr="00DB3FE7">
              <w:rPr>
                <w:rFonts w:ascii="Arial Narrow" w:hAnsi="Arial Narrow"/>
                <w:b/>
                <w:bCs/>
                <w:sz w:val="20"/>
              </w:rPr>
              <w:t>AND</w:t>
            </w:r>
          </w:p>
        </w:tc>
      </w:tr>
      <w:tr w:rsidR="007B2837" w:rsidRPr="00DB3FE7" w14:paraId="2669312B"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03FB0AB" w14:textId="77777777" w:rsidR="007B2837" w:rsidRPr="00DB3FE7" w:rsidRDefault="007B2837" w:rsidP="00533193">
            <w:pPr>
              <w:rPr>
                <w:rFonts w:ascii="Arial Narrow" w:hAnsi="Arial Narrow"/>
                <w:b/>
                <w:bCs/>
                <w:sz w:val="20"/>
              </w:rPr>
            </w:pPr>
            <w:r w:rsidRPr="00DB3FE7">
              <w:rPr>
                <w:rFonts w:ascii="Arial Narrow" w:hAnsi="Arial Narrow"/>
                <w:b/>
                <w:bCs/>
                <w:sz w:val="20"/>
              </w:rPr>
              <w:t>Clinical criteria</w:t>
            </w:r>
          </w:p>
        </w:tc>
      </w:tr>
      <w:tr w:rsidR="007B2837" w:rsidRPr="00DB3FE7" w14:paraId="0CF8EAE1"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9DFE24A" w14:textId="77777777" w:rsidR="007B2837" w:rsidRPr="00DB3FE7" w:rsidRDefault="007B2837" w:rsidP="00533193">
            <w:pPr>
              <w:rPr>
                <w:rFonts w:ascii="Arial Narrow" w:hAnsi="Arial Narrow"/>
                <w:sz w:val="20"/>
              </w:rPr>
            </w:pPr>
            <w:r w:rsidRPr="00DB3FE7">
              <w:rPr>
                <w:rFonts w:ascii="Arial Narrow" w:hAnsi="Arial Narrow"/>
                <w:sz w:val="20"/>
              </w:rPr>
              <w:t>Patient must not be receiving concomitant PBS-subsidised treatment with a monoclonal antibody inhibiting proprotein convertase subtilisin kexin type 9 (PCSK9) for this PBS indication.</w:t>
            </w:r>
          </w:p>
        </w:tc>
      </w:tr>
      <w:tr w:rsidR="007B2837" w:rsidRPr="00DB3FE7" w14:paraId="3034D30A"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C69C198" w14:textId="77777777" w:rsidR="007B2837" w:rsidRPr="00DB3FE7" w:rsidRDefault="007B2837" w:rsidP="00533193">
            <w:pPr>
              <w:rPr>
                <w:rFonts w:ascii="Arial Narrow" w:hAnsi="Arial Narrow"/>
                <w:b/>
                <w:bCs/>
                <w:sz w:val="20"/>
              </w:rPr>
            </w:pPr>
            <w:r w:rsidRPr="00DB3FE7">
              <w:rPr>
                <w:rFonts w:ascii="Arial Narrow" w:hAnsi="Arial Narrow"/>
                <w:b/>
                <w:bCs/>
                <w:sz w:val="20"/>
              </w:rPr>
              <w:t>AND</w:t>
            </w:r>
          </w:p>
        </w:tc>
      </w:tr>
      <w:tr w:rsidR="007B2837" w:rsidRPr="00DB3FE7" w14:paraId="5FCBCCB5"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4C68AE8" w14:textId="77777777" w:rsidR="007B2837" w:rsidRPr="00DB3FE7" w:rsidRDefault="007B2837" w:rsidP="00533193">
            <w:pPr>
              <w:rPr>
                <w:rFonts w:ascii="Arial Narrow" w:hAnsi="Arial Narrow"/>
                <w:b/>
                <w:bCs/>
                <w:sz w:val="20"/>
                <w:szCs w:val="20"/>
              </w:rPr>
            </w:pPr>
            <w:r w:rsidRPr="00DB3FE7">
              <w:rPr>
                <w:rFonts w:ascii="Arial Narrow" w:hAnsi="Arial Narrow"/>
                <w:b/>
                <w:bCs/>
                <w:sz w:val="20"/>
                <w:szCs w:val="20"/>
              </w:rPr>
              <w:t>Treatment criteria:</w:t>
            </w:r>
          </w:p>
        </w:tc>
      </w:tr>
      <w:tr w:rsidR="007B2837" w:rsidRPr="00DB3FE7" w14:paraId="5AE1D645"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9FBC5D8"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Must be treated by a specialist physician; OR</w:t>
            </w:r>
          </w:p>
        </w:tc>
      </w:tr>
      <w:tr w:rsidR="007B2837" w:rsidRPr="00DB3FE7" w14:paraId="5C8B1538"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5417DFD"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Must be treated by a physician who has consulted a specialist physician.</w:t>
            </w:r>
          </w:p>
        </w:tc>
      </w:tr>
      <w:tr w:rsidR="007B2837" w:rsidRPr="00DB3FE7" w14:paraId="3680BBAF"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0068DF5" w14:textId="77777777" w:rsidR="007B2837" w:rsidRPr="00DB3FE7" w:rsidRDefault="007B2837" w:rsidP="00533193">
            <w:pPr>
              <w:rPr>
                <w:rFonts w:ascii="Arial Narrow" w:hAnsi="Arial Narrow"/>
                <w:sz w:val="20"/>
                <w:szCs w:val="20"/>
              </w:rPr>
            </w:pPr>
          </w:p>
        </w:tc>
      </w:tr>
      <w:tr w:rsidR="007B2837" w:rsidRPr="00DB3FE7" w14:paraId="72EFFF4C"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C235222" w14:textId="77777777" w:rsidR="007B2837" w:rsidRPr="00DB3FE7" w:rsidRDefault="007B2837" w:rsidP="00533193">
            <w:pPr>
              <w:rPr>
                <w:rFonts w:ascii="Arial Narrow" w:hAnsi="Arial Narrow"/>
                <w:b/>
                <w:bCs/>
                <w:i/>
                <w:iCs/>
                <w:sz w:val="20"/>
                <w:szCs w:val="20"/>
              </w:rPr>
            </w:pPr>
            <w:r w:rsidRPr="00DB3FE7">
              <w:rPr>
                <w:rFonts w:ascii="Arial Narrow" w:hAnsi="Arial Narrow"/>
                <w:b/>
                <w:bCs/>
                <w:i/>
                <w:iCs/>
                <w:sz w:val="20"/>
                <w:szCs w:val="20"/>
              </w:rPr>
              <w:t>Prescriber instructions:</w:t>
            </w:r>
          </w:p>
          <w:p w14:paraId="1212B680" w14:textId="77777777" w:rsidR="007B2837" w:rsidRPr="00DB3FE7" w:rsidRDefault="007B2837" w:rsidP="00533193">
            <w:pPr>
              <w:rPr>
                <w:rFonts w:ascii="Arial Narrow" w:hAnsi="Arial Narrow"/>
                <w:i/>
                <w:iCs/>
                <w:sz w:val="20"/>
                <w:szCs w:val="20"/>
              </w:rPr>
            </w:pPr>
            <w:r w:rsidRPr="00DB3FE7">
              <w:rPr>
                <w:rFonts w:ascii="Arial Narrow" w:hAnsi="Arial Narrow"/>
                <w:i/>
                <w:iCs/>
                <w:sz w:val="20"/>
              </w:rPr>
              <w:t>Monoclonal antibody inhibiting proprotein convertase subtilisin kexin type 9 (PCSK9) medications are evolocumab or alirocumab</w:t>
            </w:r>
          </w:p>
        </w:tc>
      </w:tr>
      <w:tr w:rsidR="007B2837" w:rsidRPr="00DB3FE7" w14:paraId="0EDFCC39"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8C79E1F" w14:textId="77777777" w:rsidR="007B2837" w:rsidRPr="00DB3FE7" w:rsidRDefault="007B2837" w:rsidP="00533193">
            <w:pPr>
              <w:rPr>
                <w:rFonts w:ascii="Arial Narrow" w:hAnsi="Arial Narrow"/>
                <w:b/>
                <w:bCs/>
                <w:sz w:val="20"/>
                <w:szCs w:val="20"/>
              </w:rPr>
            </w:pPr>
            <w:r w:rsidRPr="00DB3FE7">
              <w:rPr>
                <w:rFonts w:ascii="Arial Narrow" w:hAnsi="Arial Narrow"/>
                <w:b/>
                <w:bCs/>
                <w:sz w:val="20"/>
                <w:szCs w:val="20"/>
              </w:rPr>
              <w:t>Prescriber instructions:</w:t>
            </w:r>
          </w:p>
          <w:p w14:paraId="2D09DFA2" w14:textId="77777777" w:rsidR="007B2837" w:rsidRPr="00DB3FE7" w:rsidRDefault="007B2837" w:rsidP="00533193">
            <w:pPr>
              <w:widowControl w:val="0"/>
              <w:rPr>
                <w:rFonts w:ascii="Arial Narrow" w:hAnsi="Arial Narrow"/>
                <w:sz w:val="20"/>
                <w:szCs w:val="20"/>
              </w:rPr>
            </w:pPr>
            <w:r w:rsidRPr="00DB3FE7">
              <w:rPr>
                <w:rFonts w:ascii="Arial Narrow" w:hAnsi="Arial Narrow"/>
                <w:sz w:val="20"/>
                <w:szCs w:val="20"/>
              </w:rPr>
              <w:t>Symptomatic atherosclerotic cardiovascular disease is defined as:</w:t>
            </w:r>
          </w:p>
          <w:p w14:paraId="6ED5118E"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7F0F6E44"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 the presence of symptomatic cerebrovascular disease (prior ischaemic stroke, prior revascularisation procedure, or transient ischaemic attack associated with 50% or greater stenosis in 1 or more cerebral arteries on imaging); or</w:t>
            </w:r>
          </w:p>
          <w:p w14:paraId="0E06264F"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1CF86511" w14:textId="77777777" w:rsidR="007B2837" w:rsidRPr="00DB3FE7" w:rsidRDefault="007B2837" w:rsidP="00533193">
            <w:pPr>
              <w:rPr>
                <w:rFonts w:ascii="Arial Narrow" w:hAnsi="Arial Narrow"/>
                <w:sz w:val="20"/>
                <w:szCs w:val="20"/>
              </w:rPr>
            </w:pPr>
          </w:p>
          <w:p w14:paraId="0049F1C8"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2FCD2667" w14:textId="77777777" w:rsidR="007B2837" w:rsidRPr="00DB3FE7" w:rsidRDefault="007B2837" w:rsidP="00533193">
            <w:pPr>
              <w:rPr>
                <w:rFonts w:ascii="Arial Narrow" w:hAnsi="Arial Narrow"/>
                <w:sz w:val="20"/>
                <w:szCs w:val="20"/>
              </w:rPr>
            </w:pPr>
          </w:p>
          <w:p w14:paraId="6C46FF5B"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A clinically important product-related adverse event is defined as follows:</w:t>
            </w:r>
          </w:p>
          <w:p w14:paraId="7ABF2849"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 Severe myalgia (muscle symptoms without creatine kinase elevation) which is proven to be temporally associated with statin treatment; or</w:t>
            </w:r>
          </w:p>
          <w:p w14:paraId="12797DD2"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59DC9A29"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(iii) Unexplained, persistent elevations of serum transaminases (greater than 3 times the upper limit of normal) during treatment with a statin.</w:t>
            </w:r>
          </w:p>
          <w:p w14:paraId="7F12EB8F" w14:textId="77777777" w:rsidR="007B2837" w:rsidRPr="00DB3FE7" w:rsidRDefault="007B2837" w:rsidP="00533193">
            <w:pPr>
              <w:rPr>
                <w:rFonts w:ascii="Arial Narrow" w:hAnsi="Arial Narrow"/>
                <w:sz w:val="20"/>
                <w:szCs w:val="20"/>
              </w:rPr>
            </w:pPr>
          </w:p>
          <w:p w14:paraId="13E3D6E5"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26B7D21B" w14:textId="77777777" w:rsidR="007B2837" w:rsidRPr="00DB3FE7" w:rsidRDefault="007B2837" w:rsidP="00533193">
            <w:pPr>
              <w:rPr>
                <w:rFonts w:ascii="Arial Narrow" w:hAnsi="Arial Narrow"/>
                <w:sz w:val="20"/>
                <w:szCs w:val="20"/>
              </w:rPr>
            </w:pPr>
          </w:p>
          <w:p w14:paraId="75041126"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3812D99D" w14:textId="77777777" w:rsidR="007B2837" w:rsidRPr="00DB3FE7" w:rsidRDefault="007B2837" w:rsidP="00533193">
            <w:pPr>
              <w:rPr>
                <w:rFonts w:ascii="Arial Narrow" w:hAnsi="Arial Narrow"/>
                <w:sz w:val="20"/>
                <w:szCs w:val="20"/>
              </w:rPr>
            </w:pPr>
          </w:p>
          <w:p w14:paraId="46332AC9"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The following must be stated at the time of application and documented in the patient's medical records:</w:t>
            </w:r>
          </w:p>
          <w:p w14:paraId="33FD3730"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 the qualifying Dutch Lipid Clinic Network Score; or</w:t>
            </w:r>
          </w:p>
          <w:p w14:paraId="143B01EF"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 the result of genetic testing confirming a diagnosis of familial heterozygous hypercholesterolaemia</w:t>
            </w:r>
          </w:p>
          <w:p w14:paraId="36C5EAF7" w14:textId="77777777" w:rsidR="007B2837" w:rsidRPr="00DB3FE7" w:rsidRDefault="007B2837" w:rsidP="00533193">
            <w:pPr>
              <w:rPr>
                <w:rFonts w:ascii="Arial Narrow" w:hAnsi="Arial Narrow"/>
                <w:sz w:val="20"/>
                <w:szCs w:val="20"/>
              </w:rPr>
            </w:pPr>
          </w:p>
          <w:p w14:paraId="61D3E7F6"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One of the following must be stated at the time of application and documented in the patient's medical records regarding prior statin treatment:</w:t>
            </w:r>
          </w:p>
          <w:p w14:paraId="1976A73B"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 the patient was treated with atorvastatin 80 mg or rosuvastatin 40 mg or the maximum tolerated dose of either for 12 consecutive weeks; or</w:t>
            </w:r>
          </w:p>
          <w:p w14:paraId="77FA3442"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 the doses, duration of treatment and details of adverse events experienced with trials with each of atorvastatin and rosuvastatin; or</w:t>
            </w:r>
          </w:p>
          <w:p w14:paraId="54B3C029" w14:textId="77777777" w:rsidR="007B2837" w:rsidRPr="00DB3FE7" w:rsidRDefault="007B2837" w:rsidP="00533193">
            <w:pPr>
              <w:rPr>
                <w:rFonts w:ascii="Arial Narrow" w:hAnsi="Arial Narrow"/>
                <w:sz w:val="20"/>
                <w:szCs w:val="20"/>
              </w:rPr>
            </w:pPr>
            <w:r w:rsidRPr="00DB3FE7">
              <w:rPr>
                <w:rFonts w:ascii="Arial Narrow" w:hAnsi="Arial Narrow"/>
                <w:sz w:val="20"/>
                <w:szCs w:val="20"/>
              </w:rPr>
              <w:t>(iii) the patient is contraindicated to treatment with a statin as defined in the TGA-approved Product Information.</w:t>
            </w:r>
          </w:p>
        </w:tc>
      </w:tr>
    </w:tbl>
    <w:p w14:paraId="3AAA6CB1" w14:textId="77777777" w:rsidR="002D6E52" w:rsidRPr="00DB3FE7" w:rsidRDefault="002D6E52" w:rsidP="002D6E52">
      <w:pPr>
        <w:rPr>
          <w:rFonts w:ascii="Arial Narrow" w:hAnsi="Arial Narrow"/>
          <w:sz w:val="20"/>
        </w:rPr>
      </w:pPr>
    </w:p>
    <w:tbl>
      <w:tblPr>
        <w:tblW w:w="9127" w:type="dxa"/>
        <w:tblInd w:w="-5" w:type="dxa"/>
        <w:tblLayout w:type="fixed"/>
        <w:tblLook w:val="0000" w:firstRow="0" w:lastRow="0" w:firstColumn="0" w:lastColumn="0" w:noHBand="0" w:noVBand="0"/>
      </w:tblPr>
      <w:tblGrid>
        <w:gridCol w:w="3480"/>
        <w:gridCol w:w="1320"/>
        <w:gridCol w:w="1080"/>
        <w:gridCol w:w="960"/>
        <w:gridCol w:w="960"/>
        <w:gridCol w:w="1320"/>
        <w:gridCol w:w="7"/>
      </w:tblGrid>
      <w:tr w:rsidR="002D6E52" w:rsidRPr="00DB3FE7" w14:paraId="05A6D3A8" w14:textId="77777777" w:rsidTr="00C91ADA">
        <w:trPr>
          <w:gridAfter w:val="1"/>
          <w:wAfter w:w="7" w:type="dxa"/>
          <w:trHeight w:val="471"/>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5F2C6CFC" w14:textId="77777777" w:rsidR="002D6E52" w:rsidRPr="00DB3FE7" w:rsidRDefault="002D6E52" w:rsidP="00533193">
            <w:pPr>
              <w:keepNext/>
              <w:rPr>
                <w:rFonts w:ascii="Arial Narrow" w:hAnsi="Arial Narrow"/>
                <w:b/>
                <w:bCs/>
                <w:sz w:val="20"/>
              </w:rPr>
            </w:pPr>
            <w:r w:rsidRPr="00DB3FE7">
              <w:rPr>
                <w:rFonts w:ascii="Arial Narrow" w:hAnsi="Arial Narrow"/>
                <w:b/>
                <w:bCs/>
                <w:sz w:val="20"/>
              </w:rPr>
              <w:t>Name, Restriction,</w:t>
            </w:r>
          </w:p>
          <w:p w14:paraId="465DEC45" w14:textId="77777777" w:rsidR="002D6E52" w:rsidRPr="00DB3FE7" w:rsidRDefault="002D6E52" w:rsidP="00533193">
            <w:pPr>
              <w:keepNext/>
              <w:rPr>
                <w:rFonts w:ascii="Arial Narrow" w:hAnsi="Arial Narrow"/>
                <w:b/>
                <w:bCs/>
                <w:sz w:val="20"/>
              </w:rPr>
            </w:pPr>
            <w:r w:rsidRPr="00DB3FE7">
              <w:rPr>
                <w:rFonts w:ascii="Arial Narrow" w:hAnsi="Arial Narrow"/>
                <w:b/>
                <w:bCs/>
                <w:sz w:val="20"/>
              </w:rPr>
              <w:t>Manner of administration and form</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1C3DDC0D"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PBS item code</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0C2F8F0E"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Max. qty (packs)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178FC5A2"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Max. qty (units)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019D9E83"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 of</w:t>
            </w:r>
          </w:p>
          <w:p w14:paraId="16D6C615"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Rpts</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4879D9D6" w14:textId="77777777" w:rsidR="002D6E52" w:rsidRPr="00C91ADA" w:rsidRDefault="002D6E52" w:rsidP="00533193">
            <w:pPr>
              <w:keepNext/>
              <w:jc w:val="center"/>
              <w:rPr>
                <w:rFonts w:ascii="Arial Narrow" w:hAnsi="Arial Narrow"/>
                <w:b/>
                <w:bCs/>
                <w:sz w:val="20"/>
              </w:rPr>
            </w:pPr>
            <w:r w:rsidRPr="00DB3FE7">
              <w:rPr>
                <w:rFonts w:ascii="Arial Narrow" w:hAnsi="Arial Narrow"/>
                <w:b/>
                <w:bCs/>
                <w:sz w:val="20"/>
              </w:rPr>
              <w:t>Available brands</w:t>
            </w:r>
          </w:p>
        </w:tc>
      </w:tr>
      <w:tr w:rsidR="002D6E52" w:rsidRPr="00DB3FE7" w14:paraId="1B19981A" w14:textId="77777777" w:rsidTr="00C91ADA">
        <w:trPr>
          <w:gridAfter w:val="1"/>
          <w:wAfter w:w="7" w:type="dxa"/>
          <w:trHeight w:val="194"/>
        </w:trPr>
        <w:tc>
          <w:tcPr>
            <w:tcW w:w="9120"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6C1274D9" w14:textId="77777777" w:rsidR="002D6E52" w:rsidRPr="00DB3FE7" w:rsidRDefault="002D6E52" w:rsidP="00533193">
            <w:pPr>
              <w:keepNext/>
              <w:rPr>
                <w:rFonts w:ascii="Arial Narrow" w:hAnsi="Arial Narrow"/>
                <w:b/>
                <w:bCs/>
                <w:sz w:val="20"/>
              </w:rPr>
            </w:pPr>
            <w:r w:rsidRPr="00DB3FE7">
              <w:rPr>
                <w:rFonts w:ascii="Arial Narrow" w:hAnsi="Arial Narrow"/>
                <w:b/>
                <w:bCs/>
                <w:sz w:val="20"/>
              </w:rPr>
              <w:t>INCLISIRAN</w:t>
            </w:r>
          </w:p>
        </w:tc>
      </w:tr>
      <w:tr w:rsidR="002D6E52" w:rsidRPr="00DB3FE7" w14:paraId="4A9C5111" w14:textId="77777777" w:rsidTr="00C91ADA">
        <w:trPr>
          <w:gridAfter w:val="1"/>
          <w:wAfter w:w="7" w:type="dxa"/>
          <w:trHeight w:val="577"/>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3FECED3F" w14:textId="77777777" w:rsidR="002D6E52" w:rsidRPr="00DB3FE7" w:rsidRDefault="002D6E52" w:rsidP="00533193">
            <w:pPr>
              <w:keepNext/>
              <w:rPr>
                <w:rFonts w:ascii="Arial Narrow" w:hAnsi="Arial Narrow"/>
                <w:sz w:val="20"/>
              </w:rPr>
            </w:pPr>
            <w:r w:rsidRPr="00DB3FE7">
              <w:rPr>
                <w:rFonts w:ascii="Arial Narrow" w:hAnsi="Arial Narrow"/>
                <w:sz w:val="20"/>
              </w:rPr>
              <w:t>inclisiran 284 mg/1.5mL injection, 1.5 mL prefilled syringe</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7F564E84" w14:textId="77777777" w:rsidR="002D6E52" w:rsidRPr="00DB3FE7" w:rsidRDefault="002D6E52" w:rsidP="00533193">
            <w:pPr>
              <w:keepNext/>
              <w:jc w:val="center"/>
              <w:rPr>
                <w:rFonts w:ascii="Arial Narrow" w:hAnsi="Arial Narrow"/>
                <w:sz w:val="20"/>
              </w:rPr>
            </w:pPr>
            <w:r w:rsidRPr="00DB3FE7">
              <w:rPr>
                <w:rFonts w:ascii="Arial Narrow" w:hAnsi="Arial Narrow"/>
                <w:sz w:val="20"/>
              </w:rPr>
              <w:t>New</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2D0F2CD8"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3A381CEE"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15BAB4B9"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p w14:paraId="36B3E404" w14:textId="77777777" w:rsidR="002D6E52" w:rsidRPr="00DB3FE7" w:rsidRDefault="002D6E52" w:rsidP="00533193">
            <w:pPr>
              <w:keepNext/>
              <w:jc w:val="center"/>
              <w:rPr>
                <w:rFonts w:ascii="Arial Narrow" w:hAnsi="Arial Narrow"/>
                <w:sz w:val="20"/>
              </w:rPr>
            </w:pP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2E3F39E2" w14:textId="77777777" w:rsidR="002D6E52" w:rsidRPr="00DB3FE7" w:rsidRDefault="002D6E52" w:rsidP="00533193">
            <w:pPr>
              <w:keepNext/>
              <w:jc w:val="center"/>
              <w:rPr>
                <w:rFonts w:ascii="Arial Narrow" w:hAnsi="Arial Narrow"/>
                <w:sz w:val="20"/>
              </w:rPr>
            </w:pPr>
            <w:r w:rsidRPr="00DB3FE7">
              <w:rPr>
                <w:rFonts w:ascii="Arial Narrow" w:hAnsi="Arial Narrow"/>
                <w:sz w:val="20"/>
              </w:rPr>
              <w:t>Leqvio</w:t>
            </w:r>
            <w:r w:rsidRPr="00DB3FE7">
              <w:rPr>
                <w:rFonts w:ascii="Arial Narrow" w:hAnsi="Arial Narrow"/>
                <w:sz w:val="20"/>
                <w:vertAlign w:val="superscript"/>
              </w:rPr>
              <w:t>®</w:t>
            </w:r>
          </w:p>
        </w:tc>
      </w:tr>
      <w:tr w:rsidR="007118F5" w:rsidRPr="00DB3FE7" w14:paraId="4C1618E1"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59123C6" w14:textId="77777777" w:rsidR="007118F5" w:rsidRPr="00DB3FE7" w:rsidRDefault="007118F5" w:rsidP="00533193">
            <w:pPr>
              <w:rPr>
                <w:rFonts w:ascii="Arial Narrow" w:hAnsi="Arial Narrow"/>
                <w:sz w:val="20"/>
              </w:rPr>
            </w:pPr>
            <w:r w:rsidRPr="00DB3FE7">
              <w:rPr>
                <w:rFonts w:ascii="Arial Narrow" w:hAnsi="Arial Narrow"/>
                <w:b/>
                <w:bCs/>
                <w:sz w:val="20"/>
              </w:rPr>
              <w:t>Category / Program:</w:t>
            </w:r>
            <w:r w:rsidRPr="00DB3FE7">
              <w:rPr>
                <w:rFonts w:ascii="Arial Narrow" w:hAnsi="Arial Narrow"/>
                <w:sz w:val="20"/>
              </w:rPr>
              <w:t xml:space="preserve"> GENERAL – General Schedule (Code GE)</w:t>
            </w:r>
          </w:p>
        </w:tc>
      </w:tr>
      <w:tr w:rsidR="007118F5" w:rsidRPr="00DB3FE7" w14:paraId="58AB425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86292EC" w14:textId="3EC33341" w:rsidR="007118F5" w:rsidRPr="0042765C" w:rsidRDefault="007118F5" w:rsidP="00533193">
            <w:pPr>
              <w:rPr>
                <w:rFonts w:ascii="Arial Narrow" w:hAnsi="Arial Narrow"/>
                <w:sz w:val="20"/>
              </w:rPr>
            </w:pPr>
            <w:r w:rsidRPr="00DB3FE7">
              <w:rPr>
                <w:rFonts w:ascii="Arial Narrow" w:hAnsi="Arial Narrow"/>
                <w:b/>
                <w:sz w:val="20"/>
                <w:szCs w:val="20"/>
              </w:rPr>
              <w:t xml:space="preserve">Prescriber type: </w:t>
            </w:r>
            <w:r w:rsidRPr="009D5406">
              <w:rPr>
                <w:rFonts w:ascii="Arial Narrow" w:hAnsi="Arial Narrow"/>
                <w:sz w:val="20"/>
                <w:szCs w:val="20"/>
              </w:rPr>
              <w:fldChar w:fldCharType="begin" w:fldLock="1">
                <w:ffData>
                  <w:name w:val=""/>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szCs w:val="20"/>
              </w:rPr>
              <w:t>Medical Practitioners</w:t>
            </w:r>
          </w:p>
        </w:tc>
      </w:tr>
      <w:tr w:rsidR="007118F5" w:rsidRPr="00DB3FE7" w14:paraId="71AF668C"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DE47D7F" w14:textId="77777777" w:rsidR="007118F5" w:rsidRPr="00DB3FE7" w:rsidRDefault="007118F5" w:rsidP="00533193">
            <w:pPr>
              <w:pStyle w:val="TableText"/>
              <w:rPr>
                <w:rFonts w:cs="Times New Roman"/>
                <w:b/>
                <w:szCs w:val="20"/>
              </w:rPr>
            </w:pPr>
            <w:r w:rsidRPr="00DB3FE7">
              <w:rPr>
                <w:b/>
                <w:szCs w:val="20"/>
              </w:rPr>
              <w:t xml:space="preserve">Administrative Advice: </w:t>
            </w:r>
            <w:r w:rsidRPr="00DB3FE7">
              <w:rPr>
                <w:szCs w:val="20"/>
              </w:rPr>
              <w:t>No increase in the maximum quantity or number of units may be authorised.</w:t>
            </w:r>
          </w:p>
        </w:tc>
      </w:tr>
      <w:tr w:rsidR="007118F5" w:rsidRPr="00DB3FE7" w14:paraId="3CA64C8E"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4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13796F0" w14:textId="77777777" w:rsidR="007118F5" w:rsidRPr="00DB3FE7" w:rsidRDefault="007118F5" w:rsidP="00533193">
            <w:pPr>
              <w:pStyle w:val="TableText"/>
              <w:rPr>
                <w:rFonts w:cs="Times New Roman"/>
                <w:b/>
                <w:szCs w:val="20"/>
              </w:rPr>
            </w:pPr>
            <w:r w:rsidRPr="00DB3FE7">
              <w:rPr>
                <w:rStyle w:val="Strong"/>
                <w:szCs w:val="20"/>
              </w:rPr>
              <w:t>Administrative Advice:</w:t>
            </w:r>
            <w:r w:rsidRPr="00DB3FE7">
              <w:rPr>
                <w:szCs w:val="20"/>
              </w:rPr>
              <w:t xml:space="preserve"> No increase in the maximum number of repeats may be authorised.</w:t>
            </w:r>
          </w:p>
        </w:tc>
      </w:tr>
      <w:tr w:rsidR="007118F5" w:rsidRPr="00DB3FE7" w14:paraId="3F8AE13C"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7D18E80B" w14:textId="77777777" w:rsidR="007118F5" w:rsidRPr="00DB3FE7" w:rsidRDefault="007118F5" w:rsidP="00533193">
            <w:pPr>
              <w:pStyle w:val="TableText"/>
              <w:rPr>
                <w:rFonts w:cs="Times New Roman"/>
                <w:b/>
                <w:szCs w:val="20"/>
              </w:rPr>
            </w:pPr>
            <w:r w:rsidRPr="00DB3FE7">
              <w:rPr>
                <w:rStyle w:val="Strong"/>
                <w:szCs w:val="20"/>
              </w:rPr>
              <w:t>Administrative Advice:</w:t>
            </w:r>
            <w:r w:rsidRPr="00DB3FE7">
              <w:rPr>
                <w:szCs w:val="20"/>
              </w:rPr>
              <w:t xml:space="preserve"> Special Pricing Arrangements apply.</w:t>
            </w:r>
          </w:p>
        </w:tc>
      </w:tr>
      <w:tr w:rsidR="007118F5" w:rsidRPr="00DB3FE7" w14:paraId="77FF5B4C"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D426A92" w14:textId="77777777" w:rsidR="007118F5" w:rsidRPr="00DB3FE7" w:rsidRDefault="007118F5" w:rsidP="00533193">
            <w:pPr>
              <w:rPr>
                <w:rFonts w:ascii="Arial Narrow" w:hAnsi="Arial Narrow"/>
                <w:b/>
                <w:sz w:val="20"/>
              </w:rPr>
            </w:pPr>
          </w:p>
        </w:tc>
      </w:tr>
      <w:tr w:rsidR="007118F5" w:rsidRPr="00DB3FE7" w14:paraId="787CB013"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1BB4617" w14:textId="77777777" w:rsidR="007118F5" w:rsidRPr="00DB3FE7" w:rsidRDefault="007118F5" w:rsidP="00533193">
            <w:pPr>
              <w:rPr>
                <w:rFonts w:ascii="Arial Narrow" w:hAnsi="Arial Narrow"/>
                <w:b/>
                <w:bCs/>
                <w:strike/>
                <w:sz w:val="20"/>
              </w:rPr>
            </w:pPr>
            <w:r w:rsidRPr="00DB3FE7">
              <w:rPr>
                <w:rFonts w:ascii="Arial Narrow" w:hAnsi="Arial Narrow"/>
                <w:b/>
                <w:bCs/>
                <w:strike/>
                <w:sz w:val="20"/>
              </w:rPr>
              <w:t xml:space="preserve">Episodicity: </w:t>
            </w:r>
            <w:r w:rsidRPr="00DB3FE7">
              <w:rPr>
                <w:rFonts w:ascii="Arial Narrow" w:hAnsi="Arial Narrow"/>
                <w:strike/>
                <w:sz w:val="20"/>
              </w:rPr>
              <w:t>Chronic</w:t>
            </w:r>
          </w:p>
        </w:tc>
      </w:tr>
      <w:tr w:rsidR="007118F5" w:rsidRPr="00DB3FE7" w14:paraId="340E8313"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365D0F8" w14:textId="77777777" w:rsidR="007118F5" w:rsidRPr="00DB3FE7" w:rsidRDefault="007118F5" w:rsidP="00533193">
            <w:pPr>
              <w:rPr>
                <w:rFonts w:ascii="Arial Narrow" w:hAnsi="Arial Narrow"/>
                <w:b/>
                <w:bCs/>
                <w:strike/>
                <w:sz w:val="20"/>
              </w:rPr>
            </w:pPr>
            <w:r w:rsidRPr="00DB3FE7">
              <w:rPr>
                <w:rFonts w:ascii="Arial Narrow" w:hAnsi="Arial Narrow"/>
                <w:b/>
                <w:bCs/>
                <w:strike/>
                <w:sz w:val="20"/>
              </w:rPr>
              <w:t xml:space="preserve">Severity: </w:t>
            </w:r>
            <w:r w:rsidRPr="00DB3FE7">
              <w:rPr>
                <w:rFonts w:ascii="Arial Narrow" w:hAnsi="Arial Narrow"/>
                <w:strike/>
                <w:sz w:val="20"/>
              </w:rPr>
              <w:t>Nil</w:t>
            </w:r>
          </w:p>
        </w:tc>
      </w:tr>
      <w:tr w:rsidR="007118F5" w:rsidRPr="00DB3FE7" w14:paraId="79F359A4"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6EC1521" w14:textId="77777777" w:rsidR="007118F5" w:rsidRPr="00DB3FE7" w:rsidRDefault="007118F5" w:rsidP="00533193">
            <w:pPr>
              <w:rPr>
                <w:rFonts w:ascii="Arial Narrow" w:hAnsi="Arial Narrow"/>
                <w:b/>
                <w:bCs/>
                <w:sz w:val="20"/>
              </w:rPr>
            </w:pPr>
            <w:r w:rsidRPr="00DB3FE7">
              <w:rPr>
                <w:rFonts w:ascii="Arial Narrow" w:hAnsi="Arial Narrow"/>
                <w:b/>
                <w:bCs/>
                <w:sz w:val="20"/>
              </w:rPr>
              <w:t xml:space="preserve">Condition: </w:t>
            </w:r>
            <w:r w:rsidRPr="00DB3FE7">
              <w:rPr>
                <w:rFonts w:ascii="Arial Narrow" w:hAnsi="Arial Narrow"/>
                <w:sz w:val="20"/>
              </w:rPr>
              <w:t>Familial heterozygous hypercholesterolaemia</w:t>
            </w:r>
          </w:p>
        </w:tc>
      </w:tr>
      <w:tr w:rsidR="007118F5" w:rsidRPr="00DB3FE7" w14:paraId="3B658793" w14:textId="77777777" w:rsidTr="00C91ADA">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D0F9F77" w14:textId="77777777" w:rsidR="007118F5" w:rsidRPr="00DB3FE7" w:rsidRDefault="007118F5" w:rsidP="00533193">
            <w:pPr>
              <w:rPr>
                <w:rFonts w:ascii="Arial Narrow" w:hAnsi="Arial Narrow"/>
                <w:sz w:val="20"/>
              </w:rPr>
            </w:pPr>
            <w:r w:rsidRPr="00DB3FE7">
              <w:rPr>
                <w:rFonts w:ascii="Arial Narrow" w:hAnsi="Arial Narrow"/>
                <w:b/>
                <w:bCs/>
                <w:sz w:val="20"/>
              </w:rPr>
              <w:t>PBS indication:</w:t>
            </w:r>
            <w:r w:rsidRPr="00DB3FE7">
              <w:rPr>
                <w:rFonts w:ascii="Arial Narrow" w:hAnsi="Arial Narrow"/>
                <w:sz w:val="20"/>
              </w:rPr>
              <w:t xml:space="preserve"> Familial heterozygous hypercholesterolaemia</w:t>
            </w:r>
          </w:p>
        </w:tc>
      </w:tr>
      <w:tr w:rsidR="007118F5" w:rsidRPr="00DB3FE7" w14:paraId="4FAA7025" w14:textId="77777777" w:rsidTr="00C91ADA">
        <w:trPr>
          <w:trHeight w:val="23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4111DA0" w14:textId="77777777" w:rsidR="007118F5" w:rsidRPr="00DB3FE7" w:rsidRDefault="007118F5" w:rsidP="00533193">
            <w:pPr>
              <w:rPr>
                <w:rFonts w:ascii="Arial Narrow" w:hAnsi="Arial Narrow"/>
                <w:b/>
                <w:sz w:val="20"/>
              </w:rPr>
            </w:pPr>
          </w:p>
        </w:tc>
      </w:tr>
      <w:tr w:rsidR="007118F5" w:rsidRPr="00DB3FE7" w14:paraId="6B4DA239" w14:textId="77777777" w:rsidTr="00C91ADA">
        <w:trPr>
          <w:trHeight w:val="23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EEFA9B1" w14:textId="77777777" w:rsidR="007118F5" w:rsidRPr="00DB3FE7" w:rsidRDefault="007118F5" w:rsidP="00533193">
            <w:pPr>
              <w:rPr>
                <w:rFonts w:ascii="Arial Narrow" w:hAnsi="Arial Narrow"/>
                <w:b/>
                <w:sz w:val="20"/>
              </w:rPr>
            </w:pPr>
            <w:r w:rsidRPr="00DB3FE7">
              <w:rPr>
                <w:rFonts w:ascii="Arial Narrow" w:hAnsi="Arial Narrow"/>
                <w:b/>
                <w:sz w:val="20"/>
              </w:rPr>
              <w:t xml:space="preserve">Treatment phase: </w:t>
            </w:r>
            <w:r w:rsidRPr="00DB3FE7">
              <w:rPr>
                <w:rFonts w:ascii="Arial Narrow" w:hAnsi="Arial Narrow"/>
                <w:bCs/>
                <w:sz w:val="20"/>
              </w:rPr>
              <w:t>Continuing treatment with this drug or switching treatment from a monoclonal antibody inhibiting proprotein coverase subtilisin kexin type 9 (PSCK9) for this PBS indication</w:t>
            </w:r>
          </w:p>
        </w:tc>
      </w:tr>
      <w:tr w:rsidR="007118F5" w:rsidRPr="00DB3FE7" w14:paraId="5C7836D0" w14:textId="77777777" w:rsidTr="00C91ADA">
        <w:trPr>
          <w:trHeight w:val="146"/>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E1F2918" w14:textId="77777777" w:rsidR="007118F5" w:rsidRPr="0042765C" w:rsidRDefault="007118F5" w:rsidP="00533193">
            <w:pPr>
              <w:rPr>
                <w:rFonts w:ascii="Arial Narrow" w:hAnsi="Arial Narrow"/>
                <w:sz w:val="20"/>
              </w:rPr>
            </w:pPr>
            <w:r w:rsidRPr="00DB3FE7">
              <w:rPr>
                <w:rFonts w:ascii="Arial Narrow" w:hAnsi="Arial Narrow"/>
                <w:b/>
                <w:bCs/>
                <w:sz w:val="20"/>
                <w:szCs w:val="20"/>
              </w:rPr>
              <w:t xml:space="preserve">Restriction type: </w:t>
            </w:r>
            <w:r w:rsidRPr="009D5406">
              <w:rPr>
                <w:rFonts w:ascii="Arial Narrow" w:hAnsi="Arial Narrow"/>
                <w:sz w:val="20"/>
                <w:szCs w:val="20"/>
              </w:rPr>
              <w:fldChar w:fldCharType="begin" w:fldLock="1">
                <w:ffData>
                  <w:name w:val="Check5"/>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rPr>
              <w:t>Authority Required – STREAMLINED</w:t>
            </w:r>
          </w:p>
        </w:tc>
      </w:tr>
      <w:tr w:rsidR="007118F5" w:rsidRPr="00DB3FE7" w14:paraId="6686C0C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9741CEF" w14:textId="77777777" w:rsidR="007118F5" w:rsidRPr="00DB3FE7" w:rsidRDefault="007118F5" w:rsidP="00533193">
            <w:pPr>
              <w:rPr>
                <w:rFonts w:ascii="Arial Narrow" w:hAnsi="Arial Narrow"/>
                <w:sz w:val="20"/>
                <w:szCs w:val="20"/>
              </w:rPr>
            </w:pPr>
          </w:p>
        </w:tc>
      </w:tr>
      <w:tr w:rsidR="007118F5" w:rsidRPr="00DB3FE7" w14:paraId="5196C1B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4B3D248"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Clinical criteria</w:t>
            </w:r>
          </w:p>
        </w:tc>
      </w:tr>
      <w:tr w:rsidR="007118F5" w:rsidRPr="00DB3FE7" w14:paraId="580EF1BF"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ABD37B5"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Patient must have previously received PBS-subsidised treatment with this drug for this condition, OR</w:t>
            </w:r>
          </w:p>
        </w:tc>
      </w:tr>
      <w:tr w:rsidR="007118F5" w:rsidRPr="00DB3FE7" w14:paraId="7982DADC" w14:textId="77777777" w:rsidTr="00C91ADA">
        <w:trPr>
          <w:trHeight w:val="4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B1B1860"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Patient must have previously received PBS-subsidised treatment with a monoclonal antibody inhibiting proprotein convertase subtilisin kexin type 9 (PCSK9) for this PBS indication</w:t>
            </w:r>
          </w:p>
        </w:tc>
      </w:tr>
      <w:tr w:rsidR="007118F5" w:rsidRPr="00DB3FE7" w14:paraId="59EAC517"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6F6175A"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AND</w:t>
            </w:r>
          </w:p>
        </w:tc>
      </w:tr>
      <w:tr w:rsidR="007118F5" w:rsidRPr="00DB3FE7" w14:paraId="0F2E8034"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42D0BE7"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Clinical criteria</w:t>
            </w:r>
          </w:p>
        </w:tc>
      </w:tr>
      <w:tr w:rsidR="007118F5" w:rsidRPr="00DB3FE7" w14:paraId="085296F1" w14:textId="77777777" w:rsidTr="00C91ADA">
        <w:trPr>
          <w:trHeight w:val="6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A63236B"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The treatment must be in conjunction with dietary therapy and exercise</w:t>
            </w:r>
          </w:p>
        </w:tc>
      </w:tr>
      <w:tr w:rsidR="007118F5" w:rsidRPr="00DB3FE7" w14:paraId="46DAD4A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6C74CD2"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 xml:space="preserve">AND </w:t>
            </w:r>
          </w:p>
        </w:tc>
      </w:tr>
      <w:tr w:rsidR="007118F5" w:rsidRPr="00DB3FE7" w14:paraId="3256254E"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3A23EF5"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Clinical criteria</w:t>
            </w:r>
          </w:p>
        </w:tc>
      </w:tr>
      <w:tr w:rsidR="007118F5" w:rsidRPr="00DB3FE7" w14:paraId="0444E4F5"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087C95D"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7118F5" w:rsidRPr="00DB3FE7" w14:paraId="51A7A126"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3BE2BEB" w14:textId="77777777" w:rsidR="007118F5" w:rsidRPr="00DB3FE7" w:rsidRDefault="007118F5" w:rsidP="00533193">
            <w:pPr>
              <w:rPr>
                <w:rFonts w:ascii="Arial Narrow" w:hAnsi="Arial Narrow"/>
                <w:sz w:val="20"/>
                <w:szCs w:val="20"/>
              </w:rPr>
            </w:pPr>
          </w:p>
        </w:tc>
      </w:tr>
      <w:tr w:rsidR="007118F5" w:rsidRPr="00DB3FE7" w14:paraId="3F97CB9E"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096A140" w14:textId="77777777" w:rsidR="007118F5" w:rsidRPr="00DB3FE7" w:rsidRDefault="007118F5" w:rsidP="00533193">
            <w:pPr>
              <w:rPr>
                <w:rFonts w:ascii="Arial Narrow" w:hAnsi="Arial Narrow"/>
                <w:b/>
                <w:bCs/>
                <w:i/>
                <w:iCs/>
                <w:sz w:val="20"/>
                <w:szCs w:val="20"/>
              </w:rPr>
            </w:pPr>
            <w:r w:rsidRPr="00DB3FE7">
              <w:rPr>
                <w:rFonts w:ascii="Arial Narrow" w:hAnsi="Arial Narrow"/>
                <w:b/>
                <w:bCs/>
                <w:i/>
                <w:iCs/>
                <w:sz w:val="20"/>
                <w:szCs w:val="20"/>
              </w:rPr>
              <w:t>Prescriber instructions:</w:t>
            </w:r>
          </w:p>
          <w:p w14:paraId="1DB4E3E7" w14:textId="77777777" w:rsidR="007118F5" w:rsidRPr="00DB3FE7" w:rsidRDefault="007118F5" w:rsidP="00533193">
            <w:pPr>
              <w:rPr>
                <w:rFonts w:ascii="Arial Narrow" w:hAnsi="Arial Narrow"/>
                <w:i/>
                <w:iCs/>
                <w:sz w:val="20"/>
                <w:szCs w:val="20"/>
              </w:rPr>
            </w:pPr>
            <w:r w:rsidRPr="00DB3FE7">
              <w:rPr>
                <w:rFonts w:ascii="Arial Narrow" w:hAnsi="Arial Narrow"/>
                <w:i/>
                <w:iCs/>
                <w:sz w:val="20"/>
              </w:rPr>
              <w:t>Monoclonal antibody inhibiting proprotein convertase subtilisin kexin type 9 (PCSK9) medications are evolocumab or alirocumab</w:t>
            </w:r>
          </w:p>
        </w:tc>
      </w:tr>
    </w:tbl>
    <w:p w14:paraId="3D6B36CD" w14:textId="71C9FD36" w:rsidR="002D6E52" w:rsidRPr="00DB3FE7" w:rsidRDefault="002D6E52" w:rsidP="002D6E52"/>
    <w:tbl>
      <w:tblPr>
        <w:tblW w:w="9127" w:type="dxa"/>
        <w:tblInd w:w="-5" w:type="dxa"/>
        <w:tblLayout w:type="fixed"/>
        <w:tblLook w:val="0000" w:firstRow="0" w:lastRow="0" w:firstColumn="0" w:lastColumn="0" w:noHBand="0" w:noVBand="0"/>
      </w:tblPr>
      <w:tblGrid>
        <w:gridCol w:w="3480"/>
        <w:gridCol w:w="1320"/>
        <w:gridCol w:w="1080"/>
        <w:gridCol w:w="960"/>
        <w:gridCol w:w="960"/>
        <w:gridCol w:w="1320"/>
        <w:gridCol w:w="7"/>
      </w:tblGrid>
      <w:tr w:rsidR="002D6E52" w:rsidRPr="00DB3FE7" w14:paraId="6D9BA47F" w14:textId="77777777" w:rsidTr="00C91ADA">
        <w:trPr>
          <w:gridAfter w:val="1"/>
          <w:wAfter w:w="7" w:type="dxa"/>
          <w:trHeight w:val="471"/>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1DC3864B" w14:textId="77777777" w:rsidR="002D6E52" w:rsidRPr="00DB3FE7" w:rsidRDefault="002D6E52" w:rsidP="00533193">
            <w:pPr>
              <w:rPr>
                <w:rFonts w:ascii="Arial Narrow" w:hAnsi="Arial Narrow"/>
                <w:b/>
                <w:bCs/>
                <w:sz w:val="20"/>
              </w:rPr>
            </w:pPr>
            <w:r w:rsidRPr="00DB3FE7">
              <w:rPr>
                <w:rFonts w:ascii="Arial Narrow" w:hAnsi="Arial Narrow"/>
                <w:b/>
                <w:bCs/>
                <w:sz w:val="20"/>
              </w:rPr>
              <w:t>Name, Restriction,</w:t>
            </w:r>
          </w:p>
          <w:p w14:paraId="7103B905" w14:textId="77777777" w:rsidR="002D6E52" w:rsidRPr="00DB3FE7" w:rsidRDefault="002D6E52" w:rsidP="00533193">
            <w:pPr>
              <w:rPr>
                <w:rFonts w:ascii="Arial Narrow" w:hAnsi="Arial Narrow"/>
                <w:b/>
                <w:bCs/>
                <w:sz w:val="20"/>
              </w:rPr>
            </w:pPr>
            <w:r w:rsidRPr="00DB3FE7">
              <w:rPr>
                <w:rFonts w:ascii="Arial Narrow" w:hAnsi="Arial Narrow"/>
                <w:b/>
                <w:bCs/>
                <w:sz w:val="20"/>
              </w:rPr>
              <w:t>Manner of administration and form</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36DDE37D" w14:textId="77777777" w:rsidR="002D6E52" w:rsidRPr="00DB3FE7" w:rsidRDefault="002D6E52" w:rsidP="00533193">
            <w:pPr>
              <w:jc w:val="center"/>
              <w:rPr>
                <w:rFonts w:ascii="Arial Narrow" w:hAnsi="Arial Narrow"/>
                <w:b/>
                <w:bCs/>
                <w:sz w:val="20"/>
              </w:rPr>
            </w:pPr>
            <w:r w:rsidRPr="00DB3FE7">
              <w:rPr>
                <w:rFonts w:ascii="Arial Narrow" w:hAnsi="Arial Narrow"/>
                <w:b/>
                <w:bCs/>
                <w:sz w:val="20"/>
              </w:rPr>
              <w:t>PBS item code</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796CF0D2" w14:textId="77777777" w:rsidR="002D6E52" w:rsidRPr="00DB3FE7" w:rsidRDefault="002D6E52" w:rsidP="00533193">
            <w:pPr>
              <w:jc w:val="center"/>
              <w:rPr>
                <w:rFonts w:ascii="Arial Narrow" w:hAnsi="Arial Narrow"/>
                <w:b/>
                <w:bCs/>
                <w:sz w:val="20"/>
              </w:rPr>
            </w:pPr>
            <w:r w:rsidRPr="00DB3FE7">
              <w:rPr>
                <w:rFonts w:ascii="Arial Narrow" w:hAnsi="Arial Narrow"/>
                <w:b/>
                <w:bCs/>
                <w:sz w:val="20"/>
              </w:rPr>
              <w:t>Max. qty (packs)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635FB441" w14:textId="77777777" w:rsidR="002D6E52" w:rsidRPr="00DB3FE7" w:rsidRDefault="002D6E52" w:rsidP="00533193">
            <w:pPr>
              <w:jc w:val="center"/>
              <w:rPr>
                <w:rFonts w:ascii="Arial Narrow" w:hAnsi="Arial Narrow"/>
                <w:b/>
                <w:bCs/>
                <w:sz w:val="20"/>
              </w:rPr>
            </w:pPr>
            <w:r w:rsidRPr="00DB3FE7">
              <w:rPr>
                <w:rFonts w:ascii="Arial Narrow" w:hAnsi="Arial Narrow"/>
                <w:b/>
                <w:bCs/>
                <w:sz w:val="20"/>
              </w:rPr>
              <w:t>Max. qty (units)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69930724" w14:textId="77777777" w:rsidR="002D6E52" w:rsidRPr="00DB3FE7" w:rsidRDefault="002D6E52" w:rsidP="00533193">
            <w:pPr>
              <w:jc w:val="center"/>
              <w:rPr>
                <w:rFonts w:ascii="Arial Narrow" w:hAnsi="Arial Narrow"/>
                <w:b/>
                <w:bCs/>
                <w:sz w:val="20"/>
              </w:rPr>
            </w:pPr>
            <w:r w:rsidRPr="00DB3FE7">
              <w:rPr>
                <w:rFonts w:ascii="Arial Narrow" w:hAnsi="Arial Narrow"/>
                <w:b/>
                <w:bCs/>
                <w:sz w:val="20"/>
              </w:rPr>
              <w:t>№. of</w:t>
            </w:r>
          </w:p>
          <w:p w14:paraId="4885CEA3" w14:textId="77777777" w:rsidR="002D6E52" w:rsidRPr="00DB3FE7" w:rsidRDefault="002D6E52" w:rsidP="00533193">
            <w:pPr>
              <w:jc w:val="center"/>
              <w:rPr>
                <w:rFonts w:ascii="Arial Narrow" w:hAnsi="Arial Narrow"/>
                <w:b/>
                <w:bCs/>
                <w:sz w:val="20"/>
              </w:rPr>
            </w:pPr>
            <w:r w:rsidRPr="00DB3FE7">
              <w:rPr>
                <w:rFonts w:ascii="Arial Narrow" w:hAnsi="Arial Narrow"/>
                <w:b/>
                <w:bCs/>
                <w:sz w:val="20"/>
              </w:rPr>
              <w:t>Rpts</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505525E5" w14:textId="77777777" w:rsidR="002D6E52" w:rsidRPr="00C91ADA" w:rsidRDefault="002D6E52" w:rsidP="00533193">
            <w:pPr>
              <w:jc w:val="center"/>
              <w:rPr>
                <w:rFonts w:ascii="Arial Narrow" w:hAnsi="Arial Narrow"/>
                <w:b/>
                <w:bCs/>
                <w:sz w:val="20"/>
              </w:rPr>
            </w:pPr>
            <w:r w:rsidRPr="00DB3FE7">
              <w:rPr>
                <w:rFonts w:ascii="Arial Narrow" w:hAnsi="Arial Narrow"/>
                <w:b/>
                <w:bCs/>
                <w:sz w:val="20"/>
              </w:rPr>
              <w:t>Available brands</w:t>
            </w:r>
          </w:p>
        </w:tc>
      </w:tr>
      <w:tr w:rsidR="002D6E52" w:rsidRPr="00DB3FE7" w14:paraId="0640B4E1" w14:textId="77777777" w:rsidTr="00C91ADA">
        <w:trPr>
          <w:gridAfter w:val="1"/>
          <w:wAfter w:w="7" w:type="dxa"/>
          <w:trHeight w:val="194"/>
        </w:trPr>
        <w:tc>
          <w:tcPr>
            <w:tcW w:w="9120"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70281F8" w14:textId="77777777" w:rsidR="002D6E52" w:rsidRPr="00DB3FE7" w:rsidRDefault="002D6E52" w:rsidP="00533193">
            <w:pPr>
              <w:rPr>
                <w:rFonts w:ascii="Arial Narrow" w:hAnsi="Arial Narrow"/>
                <w:b/>
                <w:bCs/>
                <w:sz w:val="20"/>
              </w:rPr>
            </w:pPr>
            <w:r w:rsidRPr="00DB3FE7">
              <w:rPr>
                <w:rFonts w:ascii="Arial Narrow" w:hAnsi="Arial Narrow"/>
                <w:b/>
                <w:bCs/>
                <w:sz w:val="20"/>
              </w:rPr>
              <w:t>INCLISIRAN</w:t>
            </w:r>
          </w:p>
        </w:tc>
      </w:tr>
      <w:tr w:rsidR="002D6E52" w:rsidRPr="00DB3FE7" w14:paraId="11BF6005" w14:textId="77777777" w:rsidTr="00C91ADA">
        <w:trPr>
          <w:gridAfter w:val="1"/>
          <w:wAfter w:w="7" w:type="dxa"/>
          <w:trHeight w:val="577"/>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7B67CE89" w14:textId="77777777" w:rsidR="002D6E52" w:rsidRPr="00DB3FE7" w:rsidRDefault="002D6E52" w:rsidP="00533193">
            <w:pPr>
              <w:rPr>
                <w:rFonts w:ascii="Arial Narrow" w:hAnsi="Arial Narrow"/>
                <w:sz w:val="20"/>
              </w:rPr>
            </w:pPr>
            <w:r w:rsidRPr="00DB3FE7">
              <w:rPr>
                <w:rFonts w:ascii="Arial Narrow" w:hAnsi="Arial Narrow"/>
                <w:sz w:val="20"/>
              </w:rPr>
              <w:t>inclisiran 284 mg/1.5mL injection, 1.5 mL prefilled syringe</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586B63D1" w14:textId="77777777" w:rsidR="002D6E52" w:rsidRPr="00DB3FE7" w:rsidRDefault="002D6E52" w:rsidP="00533193">
            <w:pPr>
              <w:jc w:val="center"/>
              <w:rPr>
                <w:rFonts w:ascii="Arial Narrow" w:hAnsi="Arial Narrow"/>
                <w:sz w:val="20"/>
              </w:rPr>
            </w:pPr>
            <w:r w:rsidRPr="00DB3FE7">
              <w:rPr>
                <w:rFonts w:ascii="Arial Narrow" w:hAnsi="Arial Narrow"/>
                <w:sz w:val="20"/>
              </w:rPr>
              <w:t>New</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2AE1211E" w14:textId="77777777" w:rsidR="002D6E52" w:rsidRPr="00DB3FE7" w:rsidRDefault="002D6E52" w:rsidP="00533193">
            <w:pPr>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19C04DB9" w14:textId="77777777" w:rsidR="002D6E52" w:rsidRPr="00DB3FE7" w:rsidRDefault="002D6E52" w:rsidP="00533193">
            <w:pPr>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0172732D" w14:textId="77777777" w:rsidR="002D6E52" w:rsidRPr="00DB3FE7" w:rsidRDefault="002D6E52" w:rsidP="00533193">
            <w:pPr>
              <w:jc w:val="center"/>
              <w:rPr>
                <w:rFonts w:ascii="Arial Narrow" w:hAnsi="Arial Narrow"/>
                <w:sz w:val="20"/>
              </w:rPr>
            </w:pPr>
            <w:r w:rsidRPr="00DB3FE7">
              <w:rPr>
                <w:rFonts w:ascii="Arial Narrow" w:hAnsi="Arial Narrow"/>
                <w:sz w:val="20"/>
              </w:rPr>
              <w:t>1</w:t>
            </w:r>
          </w:p>
          <w:p w14:paraId="1EB924F8" w14:textId="77777777" w:rsidR="002D6E52" w:rsidRPr="00DB3FE7" w:rsidRDefault="002D6E52" w:rsidP="00533193">
            <w:pPr>
              <w:jc w:val="center"/>
              <w:rPr>
                <w:rFonts w:ascii="Arial Narrow" w:hAnsi="Arial Narrow"/>
                <w:sz w:val="20"/>
              </w:rPr>
            </w:pP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3FCC0A99" w14:textId="77777777" w:rsidR="002D6E52" w:rsidRPr="00DB3FE7" w:rsidRDefault="002D6E52" w:rsidP="00533193">
            <w:pPr>
              <w:jc w:val="center"/>
              <w:rPr>
                <w:rFonts w:ascii="Arial Narrow" w:hAnsi="Arial Narrow"/>
                <w:sz w:val="20"/>
              </w:rPr>
            </w:pPr>
            <w:r w:rsidRPr="00DB3FE7">
              <w:rPr>
                <w:rFonts w:ascii="Arial Narrow" w:hAnsi="Arial Narrow"/>
                <w:sz w:val="20"/>
              </w:rPr>
              <w:t>Leqvio</w:t>
            </w:r>
            <w:r w:rsidRPr="00DB3FE7">
              <w:rPr>
                <w:rFonts w:ascii="Arial Narrow" w:hAnsi="Arial Narrow"/>
                <w:sz w:val="20"/>
                <w:vertAlign w:val="superscript"/>
              </w:rPr>
              <w:t>®</w:t>
            </w:r>
          </w:p>
        </w:tc>
      </w:tr>
      <w:tr w:rsidR="007118F5" w:rsidRPr="00DB3FE7" w14:paraId="183E2465"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A00B575" w14:textId="77777777" w:rsidR="007118F5" w:rsidRPr="00DB3FE7" w:rsidRDefault="007118F5" w:rsidP="00533193">
            <w:pPr>
              <w:rPr>
                <w:rFonts w:ascii="Arial Narrow" w:hAnsi="Arial Narrow"/>
                <w:sz w:val="20"/>
              </w:rPr>
            </w:pPr>
            <w:r w:rsidRPr="00DB3FE7">
              <w:rPr>
                <w:rFonts w:ascii="Arial Narrow" w:hAnsi="Arial Narrow"/>
                <w:b/>
                <w:bCs/>
                <w:sz w:val="20"/>
              </w:rPr>
              <w:t>Category / Program:</w:t>
            </w:r>
            <w:r w:rsidRPr="00DB3FE7">
              <w:rPr>
                <w:rFonts w:ascii="Arial Narrow" w:hAnsi="Arial Narrow"/>
                <w:sz w:val="20"/>
              </w:rPr>
              <w:t xml:space="preserve"> GENERAL – General Schedule (Code GE)</w:t>
            </w:r>
          </w:p>
        </w:tc>
      </w:tr>
      <w:tr w:rsidR="007118F5" w:rsidRPr="00DB3FE7" w14:paraId="4AB50F2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D380F6F" w14:textId="61920D24" w:rsidR="007118F5" w:rsidRPr="0042765C" w:rsidRDefault="007118F5" w:rsidP="00533193">
            <w:pPr>
              <w:rPr>
                <w:rFonts w:ascii="Arial Narrow" w:hAnsi="Arial Narrow"/>
                <w:sz w:val="20"/>
              </w:rPr>
            </w:pPr>
            <w:r w:rsidRPr="00DB3FE7">
              <w:rPr>
                <w:rFonts w:ascii="Arial Narrow" w:hAnsi="Arial Narrow"/>
                <w:b/>
                <w:sz w:val="20"/>
                <w:szCs w:val="20"/>
              </w:rPr>
              <w:t xml:space="preserve">Prescriber type: </w:t>
            </w:r>
            <w:r w:rsidRPr="009D5406">
              <w:rPr>
                <w:rFonts w:ascii="Arial Narrow" w:hAnsi="Arial Narrow"/>
                <w:sz w:val="20"/>
                <w:szCs w:val="20"/>
              </w:rPr>
              <w:fldChar w:fldCharType="begin" w:fldLock="1">
                <w:ffData>
                  <w:name w:val=""/>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szCs w:val="20"/>
              </w:rPr>
              <w:t>Medical Practitioners</w:t>
            </w:r>
          </w:p>
        </w:tc>
      </w:tr>
      <w:tr w:rsidR="007118F5" w:rsidRPr="00DB3FE7" w14:paraId="62CCB08C"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E767E01" w14:textId="77777777" w:rsidR="007118F5" w:rsidRPr="00DB3FE7" w:rsidRDefault="007118F5" w:rsidP="00533193">
            <w:pPr>
              <w:pStyle w:val="TableText"/>
              <w:keepNext w:val="0"/>
              <w:rPr>
                <w:rFonts w:cs="Times New Roman"/>
                <w:b/>
                <w:szCs w:val="20"/>
              </w:rPr>
            </w:pPr>
            <w:r w:rsidRPr="00DB3FE7">
              <w:rPr>
                <w:b/>
                <w:szCs w:val="20"/>
              </w:rPr>
              <w:t xml:space="preserve">Administrative Advice: </w:t>
            </w:r>
            <w:r w:rsidRPr="00DB3FE7">
              <w:rPr>
                <w:szCs w:val="20"/>
              </w:rPr>
              <w:t>No increase in the maximum quantity or number of units may be authorised.</w:t>
            </w:r>
          </w:p>
        </w:tc>
      </w:tr>
      <w:tr w:rsidR="007118F5" w:rsidRPr="00DB3FE7" w14:paraId="722DE995"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4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2BB3004" w14:textId="77777777" w:rsidR="007118F5" w:rsidRPr="00DB3FE7" w:rsidRDefault="007118F5" w:rsidP="00533193">
            <w:pPr>
              <w:pStyle w:val="TableText"/>
              <w:keepNext w:val="0"/>
              <w:rPr>
                <w:rFonts w:cs="Times New Roman"/>
                <w:b/>
                <w:szCs w:val="20"/>
              </w:rPr>
            </w:pPr>
            <w:r w:rsidRPr="00DB3FE7">
              <w:rPr>
                <w:rStyle w:val="Strong"/>
                <w:szCs w:val="20"/>
              </w:rPr>
              <w:t>Administrative Advice:</w:t>
            </w:r>
            <w:r w:rsidRPr="00DB3FE7">
              <w:rPr>
                <w:szCs w:val="20"/>
              </w:rPr>
              <w:t xml:space="preserve"> No increase in the maximum number of repeats may be authorised.</w:t>
            </w:r>
          </w:p>
        </w:tc>
      </w:tr>
      <w:tr w:rsidR="007118F5" w:rsidRPr="00DB3FE7" w14:paraId="6E718AB4"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A8654D6" w14:textId="77777777" w:rsidR="007118F5" w:rsidRPr="00DB3FE7" w:rsidRDefault="007118F5" w:rsidP="00533193">
            <w:pPr>
              <w:pStyle w:val="TableText"/>
              <w:keepNext w:val="0"/>
              <w:rPr>
                <w:rFonts w:cs="Times New Roman"/>
                <w:b/>
                <w:szCs w:val="20"/>
              </w:rPr>
            </w:pPr>
            <w:r w:rsidRPr="00DB3FE7">
              <w:rPr>
                <w:rStyle w:val="Strong"/>
                <w:szCs w:val="20"/>
              </w:rPr>
              <w:t>Administrative Advice:</w:t>
            </w:r>
            <w:r w:rsidRPr="00DB3FE7">
              <w:rPr>
                <w:szCs w:val="20"/>
              </w:rPr>
              <w:t xml:space="preserve"> Special Pricing Arrangements apply.</w:t>
            </w:r>
          </w:p>
        </w:tc>
      </w:tr>
      <w:tr w:rsidR="007118F5" w:rsidRPr="00DB3FE7" w14:paraId="3B493AEA"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502E648" w14:textId="77777777" w:rsidR="007118F5" w:rsidRPr="00A774DF" w:rsidRDefault="007118F5" w:rsidP="00533193">
            <w:pPr>
              <w:rPr>
                <w:rFonts w:ascii="Arial Narrow" w:hAnsi="Arial Narrow"/>
                <w:b/>
                <w:i/>
                <w:iCs/>
                <w:sz w:val="20"/>
              </w:rPr>
            </w:pPr>
            <w:r w:rsidRPr="00DB3FE7">
              <w:rPr>
                <w:rFonts w:ascii="Arial Narrow" w:hAnsi="Arial Narrow"/>
                <w:b/>
                <w:i/>
                <w:iCs/>
                <w:sz w:val="20"/>
              </w:rPr>
              <w:t xml:space="preserve">Administrative Advice: </w:t>
            </w:r>
            <w:r w:rsidRPr="00DB3FE7">
              <w:rPr>
                <w:rFonts w:ascii="Arial Narrow" w:hAnsi="Arial Narrow"/>
                <w:bCs/>
                <w:i/>
                <w:iCs/>
                <w:sz w:val="20"/>
              </w:rPr>
              <w:t xml:space="preserve">Application for authorisation under this restriction may be made in real time using the Online PBS Authorities system (see </w:t>
            </w:r>
            <w:hyperlink r:id="rId21" w:history="1">
              <w:r w:rsidRPr="0042765C">
                <w:rPr>
                  <w:rStyle w:val="Hyperlink"/>
                  <w:rFonts w:ascii="Arial Narrow" w:hAnsi="Arial Narrow"/>
                  <w:bCs/>
                  <w:i/>
                  <w:iCs/>
                  <w:sz w:val="20"/>
                </w:rPr>
                <w:t>www.servicesaustralia.gov.au/HPOS</w:t>
              </w:r>
            </w:hyperlink>
            <w:r w:rsidRPr="0042765C">
              <w:rPr>
                <w:rFonts w:ascii="Arial Narrow" w:hAnsi="Arial Narrow"/>
                <w:bCs/>
                <w:i/>
                <w:iCs/>
                <w:sz w:val="20"/>
              </w:rPr>
              <w:t xml:space="preserve">) or by telephone by contacting </w:t>
            </w:r>
            <w:r w:rsidRPr="00352E1C">
              <w:rPr>
                <w:rFonts w:ascii="Arial Narrow" w:hAnsi="Arial Narrow"/>
                <w:bCs/>
                <w:i/>
                <w:iCs/>
                <w:sz w:val="20"/>
              </w:rPr>
              <w:t>Services Australia on 1800 888 333.</w:t>
            </w:r>
          </w:p>
        </w:tc>
      </w:tr>
      <w:tr w:rsidR="007118F5" w:rsidRPr="00DB3FE7" w14:paraId="5F50B5B5"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7324A13" w14:textId="77777777" w:rsidR="007118F5" w:rsidRPr="00DB3FE7" w:rsidRDefault="007118F5" w:rsidP="00533193">
            <w:pPr>
              <w:rPr>
                <w:rFonts w:ascii="Arial Narrow" w:hAnsi="Arial Narrow"/>
                <w:b/>
                <w:sz w:val="20"/>
              </w:rPr>
            </w:pPr>
          </w:p>
        </w:tc>
      </w:tr>
      <w:tr w:rsidR="007118F5" w:rsidRPr="00DB3FE7" w14:paraId="40FED66B"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2B47BD0" w14:textId="77777777" w:rsidR="007118F5" w:rsidRPr="00DB3FE7" w:rsidRDefault="007118F5" w:rsidP="00533193">
            <w:pPr>
              <w:rPr>
                <w:rFonts w:ascii="Arial Narrow" w:hAnsi="Arial Narrow"/>
                <w:strike/>
                <w:sz w:val="20"/>
              </w:rPr>
            </w:pPr>
            <w:r w:rsidRPr="00DB3FE7">
              <w:rPr>
                <w:rFonts w:ascii="Arial Narrow" w:hAnsi="Arial Narrow"/>
                <w:b/>
                <w:bCs/>
                <w:strike/>
                <w:sz w:val="20"/>
              </w:rPr>
              <w:t>Episodicity:</w:t>
            </w:r>
            <w:r w:rsidRPr="00DB3FE7">
              <w:rPr>
                <w:rFonts w:ascii="Arial Narrow" w:hAnsi="Arial Narrow"/>
                <w:strike/>
                <w:sz w:val="20"/>
              </w:rPr>
              <w:t xml:space="preserve"> Chronic</w:t>
            </w:r>
          </w:p>
        </w:tc>
      </w:tr>
      <w:tr w:rsidR="007118F5" w:rsidRPr="00DB3FE7" w14:paraId="765275AA"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5B9071C" w14:textId="77777777" w:rsidR="007118F5" w:rsidRPr="00DB3FE7" w:rsidRDefault="007118F5" w:rsidP="00533193">
            <w:pPr>
              <w:rPr>
                <w:rFonts w:ascii="Arial Narrow" w:hAnsi="Arial Narrow"/>
                <w:strike/>
                <w:sz w:val="20"/>
              </w:rPr>
            </w:pPr>
            <w:r w:rsidRPr="00DB3FE7">
              <w:rPr>
                <w:rFonts w:ascii="Arial Narrow" w:hAnsi="Arial Narrow"/>
                <w:b/>
                <w:bCs/>
                <w:strike/>
                <w:sz w:val="20"/>
              </w:rPr>
              <w:t>Severity:</w:t>
            </w:r>
            <w:r w:rsidRPr="00DB3FE7">
              <w:rPr>
                <w:rFonts w:ascii="Arial Narrow" w:hAnsi="Arial Narrow"/>
                <w:strike/>
                <w:sz w:val="20"/>
              </w:rPr>
              <w:t xml:space="preserve"> Nil</w:t>
            </w:r>
          </w:p>
        </w:tc>
      </w:tr>
      <w:tr w:rsidR="007118F5" w:rsidRPr="00DB3FE7" w14:paraId="0B98FC4D"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00143F6" w14:textId="77777777" w:rsidR="007118F5" w:rsidRPr="00DB3FE7" w:rsidRDefault="007118F5" w:rsidP="00533193">
            <w:pPr>
              <w:rPr>
                <w:rFonts w:ascii="Arial Narrow" w:hAnsi="Arial Narrow"/>
                <w:sz w:val="20"/>
              </w:rPr>
            </w:pPr>
            <w:r w:rsidRPr="00DB3FE7">
              <w:rPr>
                <w:rFonts w:ascii="Arial Narrow" w:hAnsi="Arial Narrow"/>
                <w:b/>
                <w:bCs/>
                <w:sz w:val="20"/>
              </w:rPr>
              <w:t>Condition:</w:t>
            </w:r>
            <w:r w:rsidRPr="00DB3FE7">
              <w:rPr>
                <w:rFonts w:ascii="Arial Narrow" w:hAnsi="Arial Narrow"/>
                <w:sz w:val="20"/>
              </w:rPr>
              <w:t xml:space="preserve"> Familial heterozygous hypercholesterolaemia</w:t>
            </w:r>
          </w:p>
        </w:tc>
      </w:tr>
      <w:tr w:rsidR="007118F5" w:rsidRPr="00DB3FE7" w14:paraId="40B40A2D" w14:textId="77777777" w:rsidTr="00C91ADA">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F4BF99F" w14:textId="77777777" w:rsidR="007118F5" w:rsidRPr="00DB3FE7" w:rsidRDefault="007118F5" w:rsidP="00533193">
            <w:pPr>
              <w:rPr>
                <w:rFonts w:ascii="Arial Narrow" w:hAnsi="Arial Narrow"/>
                <w:sz w:val="20"/>
              </w:rPr>
            </w:pPr>
            <w:r w:rsidRPr="00DB3FE7">
              <w:rPr>
                <w:rFonts w:ascii="Arial Narrow" w:hAnsi="Arial Narrow"/>
                <w:b/>
                <w:bCs/>
                <w:sz w:val="20"/>
              </w:rPr>
              <w:t>PBS indication:</w:t>
            </w:r>
            <w:r w:rsidRPr="00DB3FE7">
              <w:rPr>
                <w:rFonts w:ascii="Arial Narrow" w:hAnsi="Arial Narrow"/>
                <w:sz w:val="20"/>
              </w:rPr>
              <w:t xml:space="preserve"> Familial heterozygous hypercholesterolaemia</w:t>
            </w:r>
          </w:p>
        </w:tc>
      </w:tr>
      <w:tr w:rsidR="007118F5" w:rsidRPr="00DB3FE7" w14:paraId="5E7A1681"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60A9170" w14:textId="77777777" w:rsidR="007118F5" w:rsidRPr="00DB3FE7" w:rsidRDefault="007118F5" w:rsidP="00533193">
            <w:pPr>
              <w:rPr>
                <w:rFonts w:ascii="Arial Narrow" w:hAnsi="Arial Narrow"/>
                <w:b/>
                <w:sz w:val="20"/>
              </w:rPr>
            </w:pPr>
          </w:p>
        </w:tc>
      </w:tr>
      <w:tr w:rsidR="007118F5" w:rsidRPr="00DB3FE7" w14:paraId="4F1CD6EE" w14:textId="77777777" w:rsidTr="00C91ADA">
        <w:trPr>
          <w:trHeight w:val="23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9FBE212" w14:textId="77777777" w:rsidR="007118F5" w:rsidRPr="00DB3FE7" w:rsidRDefault="007118F5" w:rsidP="00533193">
            <w:pPr>
              <w:rPr>
                <w:rFonts w:ascii="Arial Narrow" w:hAnsi="Arial Narrow"/>
                <w:b/>
                <w:sz w:val="20"/>
              </w:rPr>
            </w:pPr>
            <w:r w:rsidRPr="00DB3FE7">
              <w:rPr>
                <w:rFonts w:ascii="Arial Narrow" w:hAnsi="Arial Narrow"/>
                <w:b/>
                <w:sz w:val="20"/>
              </w:rPr>
              <w:t xml:space="preserve">Treatment phase: </w:t>
            </w:r>
            <w:r w:rsidRPr="00DB3FE7">
              <w:rPr>
                <w:rFonts w:ascii="Arial Narrow" w:hAnsi="Arial Narrow"/>
                <w:bCs/>
                <w:sz w:val="20"/>
              </w:rPr>
              <w:t>Grandfather treatment</w:t>
            </w:r>
            <w:r w:rsidRPr="00DB3FE7">
              <w:rPr>
                <w:rFonts w:ascii="Arial Narrow" w:hAnsi="Arial Narrow"/>
                <w:b/>
                <w:sz w:val="20"/>
              </w:rPr>
              <w:t xml:space="preserve"> </w:t>
            </w:r>
          </w:p>
        </w:tc>
      </w:tr>
      <w:tr w:rsidR="007118F5" w:rsidRPr="00DB3FE7" w14:paraId="391CB0C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3C6B50E" w14:textId="77777777" w:rsidR="007118F5" w:rsidRPr="00D2286B" w:rsidRDefault="007118F5" w:rsidP="00533193">
            <w:pPr>
              <w:rPr>
                <w:rFonts w:ascii="Arial Narrow" w:hAnsi="Arial Narrow"/>
                <w:sz w:val="20"/>
              </w:rPr>
            </w:pPr>
            <w:r w:rsidRPr="009D5406">
              <w:rPr>
                <w:rFonts w:ascii="Arial Narrow" w:hAnsi="Arial Narrow"/>
                <w:sz w:val="20"/>
                <w:szCs w:val="20"/>
              </w:rPr>
              <w:fldChar w:fldCharType="begin" w:fldLock="1">
                <w:ffData>
                  <w:name w:val="Check5"/>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rPr>
              <w:t>Authority Required – telephone/online</w:t>
            </w:r>
          </w:p>
        </w:tc>
      </w:tr>
      <w:tr w:rsidR="007118F5" w:rsidRPr="00DB3FE7" w14:paraId="3E1FBEB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5796B8D" w14:textId="77777777" w:rsidR="007118F5" w:rsidRPr="00DB3FE7" w:rsidRDefault="007118F5" w:rsidP="00533193">
            <w:pPr>
              <w:rPr>
                <w:rFonts w:ascii="Arial Narrow" w:hAnsi="Arial Narrow"/>
                <w:sz w:val="20"/>
                <w:szCs w:val="20"/>
              </w:rPr>
            </w:pPr>
          </w:p>
        </w:tc>
      </w:tr>
      <w:tr w:rsidR="007118F5" w:rsidRPr="00DB3FE7" w14:paraId="368AA3E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85F9958"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2BD65B8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20F30F7" w14:textId="77777777" w:rsidR="007118F5" w:rsidRPr="00DB3FE7" w:rsidRDefault="007118F5" w:rsidP="00533193">
            <w:pPr>
              <w:rPr>
                <w:rFonts w:ascii="Arial Narrow" w:hAnsi="Arial Narrow"/>
                <w:sz w:val="20"/>
              </w:rPr>
            </w:pPr>
            <w:r w:rsidRPr="00DB3FE7">
              <w:rPr>
                <w:rFonts w:ascii="Arial Narrow" w:hAnsi="Arial Narrow"/>
                <w:sz w:val="20"/>
              </w:rPr>
              <w:t>Patient must have received treatment with this drug for this condition prior to [PBS listing date]</w:t>
            </w:r>
          </w:p>
        </w:tc>
      </w:tr>
      <w:tr w:rsidR="007118F5" w:rsidRPr="00DB3FE7" w14:paraId="4ABF152A"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1732E2B"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24B4D83C"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94199C4"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66497564"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A85B3A4" w14:textId="3B0F17B0" w:rsidR="007118F5" w:rsidRPr="00DB3FE7" w:rsidRDefault="007118F5" w:rsidP="00533193">
            <w:pPr>
              <w:rPr>
                <w:rFonts w:ascii="Arial Narrow" w:hAnsi="Arial Narrow"/>
                <w:sz w:val="20"/>
              </w:rPr>
            </w:pPr>
            <w:r w:rsidRPr="00DB3FE7">
              <w:rPr>
                <w:rFonts w:ascii="Arial Narrow" w:hAnsi="Arial Narrow"/>
                <w:sz w:val="20"/>
              </w:rPr>
              <w:t>The treatment must be in conjunction with dietary therapy and exercise,</w:t>
            </w:r>
          </w:p>
        </w:tc>
      </w:tr>
      <w:tr w:rsidR="007118F5" w:rsidRPr="00DB3FE7" w14:paraId="5BA12C53" w14:textId="77777777" w:rsidTr="00C91ADA">
        <w:trPr>
          <w:trHeight w:val="11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CDC5476"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4581829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9C995B7"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69CAC3E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E05A654" w14:textId="77777777" w:rsidR="007118F5" w:rsidRPr="00DB3FE7" w:rsidRDefault="007118F5" w:rsidP="00533193">
            <w:pPr>
              <w:rPr>
                <w:rFonts w:ascii="Arial Narrow" w:hAnsi="Arial Narrow"/>
                <w:sz w:val="20"/>
              </w:rPr>
            </w:pPr>
            <w:r w:rsidRPr="00DB3FE7">
              <w:rPr>
                <w:rFonts w:ascii="Arial Narrow" w:hAnsi="Arial Narrow"/>
                <w:sz w:val="20"/>
              </w:rPr>
              <w:t>The condition must have been confirmed by genetic testing prior to starting non-PBS-subsidised treatment with this drug for this condition; OR</w:t>
            </w:r>
          </w:p>
        </w:tc>
      </w:tr>
      <w:tr w:rsidR="007118F5" w:rsidRPr="00DB3FE7" w14:paraId="5730A446" w14:textId="77777777" w:rsidTr="00C91ADA">
        <w:trPr>
          <w:trHeight w:val="11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1CFAD1A" w14:textId="77777777" w:rsidR="007118F5" w:rsidRPr="00DB3FE7" w:rsidRDefault="007118F5" w:rsidP="00533193">
            <w:pPr>
              <w:rPr>
                <w:rFonts w:ascii="Arial Narrow" w:hAnsi="Arial Narrow"/>
                <w:sz w:val="20"/>
              </w:rPr>
            </w:pPr>
            <w:r w:rsidRPr="00DB3FE7">
              <w:rPr>
                <w:rFonts w:ascii="Arial Narrow" w:hAnsi="Arial Narrow"/>
                <w:sz w:val="20"/>
              </w:rPr>
              <w:t>The condition must have been confirmed by a Dutch Lipid Clinic Network Score of at least 6 prior to starting non-PBS-subsidised treatment with this drug for this condition</w:t>
            </w:r>
          </w:p>
        </w:tc>
      </w:tr>
      <w:tr w:rsidR="007118F5" w:rsidRPr="00DB3FE7" w14:paraId="00F65D79"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2E331B3"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1701C69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1DE44CA"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2D2ABB2C"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77E8E6C" w14:textId="77777777" w:rsidR="007118F5" w:rsidRPr="00DB3FE7" w:rsidRDefault="007118F5" w:rsidP="00533193">
            <w:pPr>
              <w:rPr>
                <w:rFonts w:ascii="Arial Narrow" w:hAnsi="Arial Narrow"/>
                <w:sz w:val="20"/>
              </w:rPr>
            </w:pPr>
            <w:r w:rsidRPr="00DB3FE7">
              <w:rPr>
                <w:rFonts w:ascii="Arial Narrow" w:hAnsi="Arial Narrow"/>
                <w:sz w:val="20"/>
              </w:rPr>
              <w:t xml:space="preserve">Patient must have </w:t>
            </w:r>
            <w:r w:rsidRPr="00DB3FE7">
              <w:rPr>
                <w:rFonts w:ascii="Arial Narrow" w:hAnsi="Arial Narrow"/>
                <w:i/>
                <w:iCs/>
                <w:sz w:val="20"/>
              </w:rPr>
              <w:t>had</w:t>
            </w:r>
            <w:r w:rsidRPr="00DB3FE7">
              <w:rPr>
                <w:rFonts w:ascii="Arial Narrow" w:hAnsi="Arial Narrow"/>
                <w:sz w:val="20"/>
              </w:rPr>
              <w:t xml:space="preserve"> an LDL cholesterol level in excess of 1.8 mmol/l in the presence of symptomatic atherosclerotic cardiovascular disease at the time non-PBS-subsidised treatment with this drug for this condition was initiated; OR</w:t>
            </w:r>
          </w:p>
        </w:tc>
      </w:tr>
      <w:tr w:rsidR="007118F5" w:rsidRPr="00DB3FE7" w14:paraId="59BBAB0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B0E96CA" w14:textId="77777777" w:rsidR="007118F5" w:rsidRPr="00DB3FE7" w:rsidRDefault="007118F5" w:rsidP="00533193">
            <w:pPr>
              <w:rPr>
                <w:rFonts w:ascii="Arial Narrow" w:hAnsi="Arial Narrow"/>
                <w:sz w:val="20"/>
              </w:rPr>
            </w:pPr>
            <w:r w:rsidRPr="00DB3FE7">
              <w:rPr>
                <w:rFonts w:ascii="Arial Narrow" w:hAnsi="Arial Narrow"/>
                <w:sz w:val="20"/>
              </w:rPr>
              <w:t xml:space="preserve">Patient must have </w:t>
            </w:r>
            <w:r w:rsidRPr="00DB3FE7">
              <w:rPr>
                <w:rFonts w:ascii="Arial Narrow" w:hAnsi="Arial Narrow"/>
                <w:i/>
                <w:iCs/>
                <w:sz w:val="20"/>
              </w:rPr>
              <w:t>had</w:t>
            </w:r>
            <w:r w:rsidRPr="00DB3FE7">
              <w:rPr>
                <w:rFonts w:ascii="Arial Narrow" w:hAnsi="Arial Narrow"/>
                <w:sz w:val="20"/>
              </w:rPr>
              <w:t xml:space="preserve"> an LDL cholesterol level in excess of 5 mmol/l per litre at the time non-PBS-subsidised treatment with this drug for this condition was initiated.</w:t>
            </w:r>
          </w:p>
        </w:tc>
      </w:tr>
      <w:tr w:rsidR="007118F5" w:rsidRPr="00DB3FE7" w14:paraId="4A807B0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A592F82"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706ACF3B"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6C07590"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0741E8FD"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C46E813" w14:textId="77777777" w:rsidR="007118F5" w:rsidRPr="00DB3FE7" w:rsidRDefault="007118F5" w:rsidP="00533193">
            <w:pPr>
              <w:rPr>
                <w:rFonts w:ascii="Arial Narrow" w:hAnsi="Arial Narrow"/>
                <w:sz w:val="20"/>
              </w:rPr>
            </w:pPr>
            <w:r w:rsidRPr="00DB3FE7">
              <w:rPr>
                <w:rFonts w:ascii="Arial Narrow" w:hAnsi="Arial Narrow"/>
                <w:sz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7118F5" w:rsidRPr="00DB3FE7" w14:paraId="0B4F5142"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152A9F7" w14:textId="77777777" w:rsidR="007118F5" w:rsidRPr="00DB3FE7" w:rsidRDefault="007118F5" w:rsidP="00533193">
            <w:pPr>
              <w:rPr>
                <w:rFonts w:ascii="Arial Narrow" w:hAnsi="Arial Narrow"/>
                <w:sz w:val="20"/>
              </w:rPr>
            </w:pPr>
            <w:r w:rsidRPr="00DB3FE7">
              <w:rPr>
                <w:rFonts w:ascii="Arial Narrow" w:hAnsi="Arial Narrow"/>
                <w:sz w:val="20"/>
              </w:rPr>
              <w:t>Patient must have developed clinically important product-related adverse events necessitating withdrawal of statin treatment to trials of each of atorvastatin and rosuvastatin prior to initiating non-PBS-subsidised treatment with this drug for this condition; OR</w:t>
            </w:r>
          </w:p>
        </w:tc>
      </w:tr>
      <w:tr w:rsidR="007118F5" w:rsidRPr="00DB3FE7" w14:paraId="25C56A3D"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E0F8DF3" w14:textId="77777777" w:rsidR="007118F5" w:rsidRPr="00DB3FE7" w:rsidRDefault="007118F5" w:rsidP="00533193">
            <w:pPr>
              <w:rPr>
                <w:rFonts w:ascii="Arial Narrow" w:hAnsi="Arial Narrow"/>
                <w:sz w:val="20"/>
              </w:rPr>
            </w:pPr>
            <w:r w:rsidRPr="00DB3FE7">
              <w:rPr>
                <w:rFonts w:ascii="Arial Narrow" w:hAnsi="Arial Narrow"/>
                <w:sz w:val="20"/>
              </w:rPr>
              <w:t xml:space="preserve">Patient must be contraindicated to treatment with a HMG CoA reductase inhibitor (statin) as defined in the TGA-approved Product Information </w:t>
            </w:r>
          </w:p>
        </w:tc>
      </w:tr>
      <w:tr w:rsidR="007118F5" w:rsidRPr="00DB3FE7" w14:paraId="25632A1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D54B2FC"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11ED7941"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0CCF55B"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7A42F485"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6CB8F3C" w14:textId="77777777" w:rsidR="007118F5" w:rsidRPr="00DB3FE7" w:rsidRDefault="007118F5" w:rsidP="00533193">
            <w:pPr>
              <w:rPr>
                <w:rFonts w:ascii="Arial Narrow" w:hAnsi="Arial Narrow"/>
                <w:sz w:val="20"/>
              </w:rPr>
            </w:pPr>
            <w:r w:rsidRPr="00DB3FE7">
              <w:rPr>
                <w:rFonts w:ascii="Arial Narrow" w:hAnsi="Arial Narrow"/>
                <w:sz w:val="20"/>
              </w:rPr>
              <w:t>Patient must have been treated with ezetimibe for at least 12 consecutive weeks in conjunction with a statin (if tolerated), dietary therapy and exercise prior to initiating non-PBS-subsidised treatment with this drug for this condition</w:t>
            </w:r>
          </w:p>
        </w:tc>
      </w:tr>
      <w:tr w:rsidR="007118F5" w:rsidRPr="00DB3FE7" w14:paraId="20565DDC"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E43F68D"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68B585E3"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DEBC370" w14:textId="77777777" w:rsidR="007118F5" w:rsidRPr="00DB3FE7" w:rsidRDefault="007118F5" w:rsidP="00533193">
            <w:pPr>
              <w:rPr>
                <w:rFonts w:ascii="Arial Narrow" w:hAnsi="Arial Narrow"/>
                <w:b/>
                <w:bCs/>
                <w:sz w:val="20"/>
              </w:rPr>
            </w:pPr>
            <w:r w:rsidRPr="00DB3FE7">
              <w:rPr>
                <w:rFonts w:ascii="Arial Narrow" w:hAnsi="Arial Narrow"/>
                <w:b/>
                <w:bCs/>
                <w:sz w:val="20"/>
              </w:rPr>
              <w:t>Clinical criteria</w:t>
            </w:r>
          </w:p>
        </w:tc>
      </w:tr>
      <w:tr w:rsidR="007118F5" w:rsidRPr="00DB3FE7" w14:paraId="471EC4B1"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924E2D4" w14:textId="77777777" w:rsidR="007118F5" w:rsidRPr="00DB3FE7" w:rsidRDefault="007118F5" w:rsidP="00533193">
            <w:pPr>
              <w:rPr>
                <w:rFonts w:ascii="Arial Narrow" w:hAnsi="Arial Narrow"/>
                <w:sz w:val="20"/>
              </w:rPr>
            </w:pPr>
            <w:r w:rsidRPr="00DB3FE7">
              <w:rPr>
                <w:rFonts w:ascii="Arial Narrow" w:hAnsi="Arial Narrow"/>
                <w:sz w:val="20"/>
              </w:rPr>
              <w:t>Patient must not be receiving concomitant PBS-subsidised treatment with a monoclonal antibody inhibiting proprotein convertase subtilisin kexin type 9 (PCSK9) for this PBS indication.</w:t>
            </w:r>
          </w:p>
        </w:tc>
      </w:tr>
      <w:tr w:rsidR="007118F5" w:rsidRPr="00DB3FE7" w14:paraId="63CC6FEA"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D47BA8D" w14:textId="77777777" w:rsidR="007118F5" w:rsidRPr="00DB3FE7" w:rsidRDefault="007118F5" w:rsidP="00533193">
            <w:pPr>
              <w:rPr>
                <w:rFonts w:ascii="Arial Narrow" w:hAnsi="Arial Narrow"/>
                <w:b/>
                <w:bCs/>
                <w:sz w:val="20"/>
              </w:rPr>
            </w:pPr>
            <w:r w:rsidRPr="00DB3FE7">
              <w:rPr>
                <w:rFonts w:ascii="Arial Narrow" w:hAnsi="Arial Narrow"/>
                <w:b/>
                <w:bCs/>
                <w:sz w:val="20"/>
              </w:rPr>
              <w:t>AND</w:t>
            </w:r>
          </w:p>
        </w:tc>
      </w:tr>
      <w:tr w:rsidR="007118F5" w:rsidRPr="00DB3FE7" w14:paraId="570B9A7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6F7AF44"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Treatment criteria:</w:t>
            </w:r>
          </w:p>
        </w:tc>
      </w:tr>
      <w:tr w:rsidR="007118F5" w:rsidRPr="00DB3FE7" w14:paraId="72D40F00"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9B0E87E"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Must be treated by a specialist physician; OR</w:t>
            </w:r>
          </w:p>
        </w:tc>
      </w:tr>
      <w:tr w:rsidR="007118F5" w:rsidRPr="00DB3FE7" w14:paraId="02E0543C"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1E82BAD"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Must be treated by a physician who has consulted a specialist physician.</w:t>
            </w:r>
          </w:p>
        </w:tc>
      </w:tr>
      <w:tr w:rsidR="007118F5" w:rsidRPr="00DB3FE7" w14:paraId="439BCFDF"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350F38A" w14:textId="77777777" w:rsidR="007118F5" w:rsidRPr="00DB3FE7" w:rsidRDefault="007118F5" w:rsidP="00533193">
            <w:pPr>
              <w:rPr>
                <w:rFonts w:ascii="Arial Narrow" w:hAnsi="Arial Narrow"/>
                <w:sz w:val="20"/>
                <w:szCs w:val="20"/>
              </w:rPr>
            </w:pPr>
          </w:p>
        </w:tc>
      </w:tr>
      <w:tr w:rsidR="007118F5" w:rsidRPr="00DB3FE7" w14:paraId="05F88F6A"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70BDA10" w14:textId="77777777" w:rsidR="007118F5" w:rsidRPr="00DB3FE7" w:rsidRDefault="007118F5" w:rsidP="00533193">
            <w:pPr>
              <w:rPr>
                <w:rFonts w:ascii="Arial Narrow" w:hAnsi="Arial Narrow"/>
                <w:b/>
                <w:bCs/>
                <w:i/>
                <w:iCs/>
                <w:sz w:val="20"/>
                <w:szCs w:val="20"/>
              </w:rPr>
            </w:pPr>
            <w:r w:rsidRPr="00DB3FE7">
              <w:rPr>
                <w:rFonts w:ascii="Arial Narrow" w:hAnsi="Arial Narrow"/>
                <w:b/>
                <w:bCs/>
                <w:i/>
                <w:iCs/>
                <w:sz w:val="20"/>
                <w:szCs w:val="20"/>
              </w:rPr>
              <w:t>Prescriber instructions:</w:t>
            </w:r>
          </w:p>
          <w:p w14:paraId="4CB990E5" w14:textId="77777777" w:rsidR="007118F5" w:rsidRPr="00DB3FE7" w:rsidRDefault="007118F5" w:rsidP="00533193">
            <w:pPr>
              <w:rPr>
                <w:rFonts w:ascii="Arial Narrow" w:hAnsi="Arial Narrow"/>
                <w:i/>
                <w:iCs/>
                <w:sz w:val="20"/>
                <w:szCs w:val="20"/>
              </w:rPr>
            </w:pPr>
            <w:r w:rsidRPr="00DB3FE7">
              <w:rPr>
                <w:rFonts w:ascii="Arial Narrow" w:hAnsi="Arial Narrow"/>
                <w:i/>
                <w:iCs/>
                <w:sz w:val="20"/>
              </w:rPr>
              <w:t>Monoclonal antibody inhibiting proprotein convertase subtilisin kexin type 9 (PCSK9) medications are evolocumab or alirocumab</w:t>
            </w:r>
          </w:p>
        </w:tc>
      </w:tr>
      <w:tr w:rsidR="007118F5" w:rsidRPr="00DB3FE7" w14:paraId="5CD319E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68A906B" w14:textId="77777777" w:rsidR="007118F5" w:rsidRPr="00DB3FE7" w:rsidRDefault="007118F5" w:rsidP="00533193">
            <w:pPr>
              <w:rPr>
                <w:rFonts w:ascii="Arial Narrow" w:hAnsi="Arial Narrow"/>
                <w:sz w:val="20"/>
                <w:szCs w:val="20"/>
              </w:rPr>
            </w:pPr>
          </w:p>
        </w:tc>
      </w:tr>
      <w:tr w:rsidR="007118F5" w:rsidRPr="00DB3FE7" w14:paraId="0F93099B"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A3AD644" w14:textId="77777777" w:rsidR="007118F5" w:rsidRPr="00DB3FE7" w:rsidRDefault="007118F5" w:rsidP="00533193">
            <w:pPr>
              <w:rPr>
                <w:rFonts w:ascii="Arial Narrow" w:hAnsi="Arial Narrow"/>
                <w:b/>
                <w:bCs/>
                <w:sz w:val="20"/>
                <w:szCs w:val="20"/>
              </w:rPr>
            </w:pPr>
            <w:r w:rsidRPr="00DB3FE7">
              <w:rPr>
                <w:rFonts w:ascii="Arial Narrow" w:hAnsi="Arial Narrow"/>
                <w:b/>
                <w:bCs/>
                <w:sz w:val="20"/>
                <w:szCs w:val="20"/>
              </w:rPr>
              <w:t>Prescriber instructions:</w:t>
            </w:r>
          </w:p>
          <w:p w14:paraId="3E3AE491"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Symptomatic atherosclerotic cardiovascular disease is defined as:</w:t>
            </w:r>
          </w:p>
          <w:p w14:paraId="745F5DDF"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09A133FE"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 the presence of symptomatic cerebrovascular disease (prior ischaemic stroke, prior revascularisation procedure, or transient ischaemic attack associated with 50% or greater stenosis in 1 or more cerebral arteries on imaging); or</w:t>
            </w:r>
          </w:p>
          <w:p w14:paraId="0854540B"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2628E963" w14:textId="77777777" w:rsidR="007118F5" w:rsidRPr="00DB3FE7" w:rsidRDefault="007118F5" w:rsidP="00533193">
            <w:pPr>
              <w:rPr>
                <w:rFonts w:ascii="Arial Narrow" w:hAnsi="Arial Narrow"/>
                <w:sz w:val="20"/>
                <w:szCs w:val="20"/>
              </w:rPr>
            </w:pPr>
          </w:p>
          <w:p w14:paraId="0A8E4812"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 xml:space="preserve">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weeks old </w:t>
            </w:r>
            <w:r w:rsidRPr="00DB3FE7">
              <w:rPr>
                <w:rFonts w:ascii="Arial Narrow" w:hAnsi="Arial Narrow"/>
                <w:sz w:val="20"/>
              </w:rPr>
              <w:t>at the time non-PBS-subsidised treatment with this drug for this condition was initiated</w:t>
            </w:r>
            <w:r w:rsidRPr="00DB3FE7">
              <w:rPr>
                <w:rFonts w:ascii="Arial Narrow" w:hAnsi="Arial Narrow"/>
                <w:sz w:val="20"/>
                <w:szCs w:val="20"/>
              </w:rPr>
              <w:t>.</w:t>
            </w:r>
          </w:p>
          <w:p w14:paraId="0F6F8A7F" w14:textId="77777777" w:rsidR="007118F5" w:rsidRPr="00DB3FE7" w:rsidRDefault="007118F5" w:rsidP="00533193">
            <w:pPr>
              <w:rPr>
                <w:rFonts w:ascii="Arial Narrow" w:hAnsi="Arial Narrow"/>
                <w:sz w:val="20"/>
                <w:szCs w:val="20"/>
              </w:rPr>
            </w:pPr>
          </w:p>
          <w:p w14:paraId="4520E734"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A clinically important product-related adverse event is defined as follows:</w:t>
            </w:r>
          </w:p>
          <w:p w14:paraId="1A529128"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 Severe myalgia (muscle symptoms without creatine kinase elevation) which is proven to be temporally associated with statin treatment; or</w:t>
            </w:r>
          </w:p>
          <w:p w14:paraId="6C976825"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078351A0"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(iii) Unexplained, persistent elevations of serum transaminases (greater than 3 times the upper limit of normal) during treatment with a statin.</w:t>
            </w:r>
          </w:p>
          <w:p w14:paraId="53DF161B" w14:textId="77777777" w:rsidR="007118F5" w:rsidRPr="00DB3FE7" w:rsidRDefault="007118F5" w:rsidP="00533193">
            <w:pPr>
              <w:rPr>
                <w:rFonts w:ascii="Arial Narrow" w:hAnsi="Arial Narrow"/>
                <w:sz w:val="20"/>
                <w:szCs w:val="20"/>
              </w:rPr>
            </w:pPr>
          </w:p>
          <w:p w14:paraId="305FDF61"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69095059" w14:textId="77777777" w:rsidR="007118F5" w:rsidRPr="00DB3FE7" w:rsidRDefault="007118F5" w:rsidP="00533193">
            <w:pPr>
              <w:rPr>
                <w:rFonts w:ascii="Arial Narrow" w:hAnsi="Arial Narrow"/>
                <w:sz w:val="20"/>
                <w:szCs w:val="20"/>
              </w:rPr>
            </w:pPr>
          </w:p>
          <w:p w14:paraId="255C4472"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5FBA8248" w14:textId="77777777" w:rsidR="007118F5" w:rsidRPr="00DB3FE7" w:rsidRDefault="007118F5" w:rsidP="00533193">
            <w:pPr>
              <w:rPr>
                <w:rFonts w:ascii="Arial Narrow" w:hAnsi="Arial Narrow"/>
                <w:sz w:val="20"/>
                <w:szCs w:val="20"/>
              </w:rPr>
            </w:pPr>
          </w:p>
          <w:p w14:paraId="1124FF31"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The following must be stated at the time of application and documented in the patient's medical records:</w:t>
            </w:r>
          </w:p>
          <w:p w14:paraId="535EB804"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 the qualifying Dutch Lipid Clinic Network Score; or</w:t>
            </w:r>
          </w:p>
          <w:p w14:paraId="73C65AA6"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 the result of genetic testing confirming a diagnosis of familial heterozygous hypercholesterolaemia</w:t>
            </w:r>
          </w:p>
          <w:p w14:paraId="1B909369" w14:textId="77777777" w:rsidR="007118F5" w:rsidRPr="00DB3FE7" w:rsidRDefault="007118F5" w:rsidP="00533193">
            <w:pPr>
              <w:rPr>
                <w:rFonts w:ascii="Arial Narrow" w:hAnsi="Arial Narrow"/>
                <w:sz w:val="20"/>
                <w:szCs w:val="20"/>
              </w:rPr>
            </w:pPr>
          </w:p>
          <w:p w14:paraId="1473D56D"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One of the following must be stated at the time of application and documented in the patient's medical records regarding prior statin treatment:</w:t>
            </w:r>
          </w:p>
          <w:p w14:paraId="3ACF6581"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 the patient was treated with atorvastatin 80 mg or rosuvastatin 40 mg or the maximum tolerated dose of either for 12 consecutive weeks; or</w:t>
            </w:r>
          </w:p>
          <w:p w14:paraId="4175D477"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 the doses, duration of treatment and details of adverse events experienced with trials with each of atorvastatin and rosuvastatin; or</w:t>
            </w:r>
          </w:p>
          <w:p w14:paraId="6064A176" w14:textId="77777777" w:rsidR="007118F5" w:rsidRPr="00DB3FE7" w:rsidRDefault="007118F5" w:rsidP="00533193">
            <w:pPr>
              <w:rPr>
                <w:rFonts w:ascii="Arial Narrow" w:hAnsi="Arial Narrow"/>
                <w:sz w:val="20"/>
                <w:szCs w:val="20"/>
              </w:rPr>
            </w:pPr>
            <w:r w:rsidRPr="00DB3FE7">
              <w:rPr>
                <w:rFonts w:ascii="Arial Narrow" w:hAnsi="Arial Narrow"/>
                <w:sz w:val="20"/>
                <w:szCs w:val="20"/>
              </w:rPr>
              <w:t>(iii) the patient is contraindicated to treatment with a statin as defined in the TGA-approved Product Information.</w:t>
            </w:r>
          </w:p>
        </w:tc>
      </w:tr>
      <w:tr w:rsidR="007118F5" w:rsidRPr="00DB3FE7" w14:paraId="607389A7"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CD32B4D" w14:textId="77777777" w:rsidR="007118F5" w:rsidRPr="00DB3FE7" w:rsidRDefault="007118F5" w:rsidP="00533193">
            <w:pPr>
              <w:rPr>
                <w:rFonts w:ascii="Arial Narrow" w:hAnsi="Arial Narrow"/>
                <w:b/>
                <w:bCs/>
                <w:i/>
                <w:iCs/>
                <w:sz w:val="20"/>
                <w:szCs w:val="20"/>
              </w:rPr>
            </w:pPr>
            <w:r w:rsidRPr="00DB3FE7">
              <w:rPr>
                <w:rFonts w:ascii="Arial Narrow" w:hAnsi="Arial Narrow"/>
                <w:b/>
                <w:bCs/>
                <w:i/>
                <w:iCs/>
                <w:sz w:val="20"/>
                <w:szCs w:val="20"/>
              </w:rPr>
              <w:t>Prescribing instruction:</w:t>
            </w:r>
          </w:p>
          <w:p w14:paraId="5C310AAE" w14:textId="77777777" w:rsidR="007118F5" w:rsidRPr="00DB3FE7" w:rsidRDefault="007118F5" w:rsidP="00533193">
            <w:pPr>
              <w:rPr>
                <w:rFonts w:ascii="Arial Narrow" w:hAnsi="Arial Narrow"/>
                <w:i/>
                <w:iCs/>
                <w:sz w:val="20"/>
                <w:szCs w:val="20"/>
              </w:rPr>
            </w:pPr>
            <w:r w:rsidRPr="00DB3FE7">
              <w:rPr>
                <w:rFonts w:ascii="Arial Narrow" w:hAnsi="Arial Narrow"/>
                <w:i/>
                <w:iCs/>
                <w:sz w:val="20"/>
                <w:szCs w:val="20"/>
              </w:rPr>
              <w:t>A patient may qualify for PBS-subsidised treatment under this restriction once only</w:t>
            </w:r>
          </w:p>
        </w:tc>
      </w:tr>
      <w:tr w:rsidR="007118F5" w:rsidRPr="00DB3FE7" w14:paraId="201DC0BF"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911AEF4" w14:textId="77777777" w:rsidR="007118F5" w:rsidRPr="00DB3FE7" w:rsidRDefault="007118F5" w:rsidP="00533193">
            <w:pPr>
              <w:rPr>
                <w:rFonts w:ascii="Arial Narrow" w:hAnsi="Arial Narrow"/>
                <w:b/>
                <w:bCs/>
                <w:i/>
                <w:iCs/>
                <w:sz w:val="20"/>
                <w:szCs w:val="20"/>
              </w:rPr>
            </w:pPr>
            <w:r w:rsidRPr="00DB3FE7">
              <w:rPr>
                <w:rFonts w:ascii="Arial Narrow" w:hAnsi="Arial Narrow"/>
                <w:b/>
                <w:bCs/>
                <w:i/>
                <w:iCs/>
                <w:sz w:val="20"/>
                <w:szCs w:val="20"/>
              </w:rPr>
              <w:t>Prescribing instruction:</w:t>
            </w:r>
          </w:p>
          <w:p w14:paraId="1671A042" w14:textId="77777777" w:rsidR="007118F5" w:rsidRPr="00DB3FE7" w:rsidRDefault="007118F5" w:rsidP="00533193">
            <w:pPr>
              <w:rPr>
                <w:rFonts w:ascii="Arial Narrow" w:hAnsi="Arial Narrow"/>
                <w:i/>
                <w:iCs/>
                <w:sz w:val="20"/>
                <w:szCs w:val="20"/>
              </w:rPr>
            </w:pPr>
            <w:r w:rsidRPr="00DB3FE7">
              <w:rPr>
                <w:rFonts w:ascii="Arial Narrow" w:hAnsi="Arial Narrow"/>
                <w:i/>
                <w:iCs/>
                <w:sz w:val="20"/>
                <w:szCs w:val="20"/>
              </w:rPr>
              <w:t>For continuing PBS-subsidised treatment, a Grandfathered patient must qualify under the Continuing treatment criteria</w:t>
            </w:r>
          </w:p>
        </w:tc>
      </w:tr>
    </w:tbl>
    <w:p w14:paraId="30781EC7" w14:textId="77777777" w:rsidR="002D6E52" w:rsidRPr="00DB3FE7" w:rsidRDefault="002D6E52" w:rsidP="002D6E52">
      <w:pPr>
        <w:spacing w:after="200" w:line="276" w:lineRule="auto"/>
      </w:pPr>
    </w:p>
    <w:p w14:paraId="0B418566" w14:textId="77777777" w:rsidR="002D6E52" w:rsidRPr="00DB3FE7" w:rsidRDefault="002D6E52" w:rsidP="002D6E52">
      <w:pPr>
        <w:widowControl w:val="0"/>
        <w:rPr>
          <w:rFonts w:asciiTheme="minorHAnsi" w:hAnsiTheme="minorHAnsi"/>
          <w:b/>
          <w:bCs/>
          <w:snapToGrid w:val="0"/>
        </w:rPr>
      </w:pPr>
      <w:r w:rsidRPr="00DB3FE7">
        <w:rPr>
          <w:rFonts w:asciiTheme="minorHAnsi" w:hAnsiTheme="minorHAnsi"/>
          <w:b/>
          <w:bCs/>
          <w:snapToGrid w:val="0"/>
        </w:rPr>
        <w:t>Restrictions for non-familial hypercholesterolaemia (non-FH) in patients with symptomatic ASCVD:</w:t>
      </w:r>
    </w:p>
    <w:p w14:paraId="6BA74A02" w14:textId="77777777" w:rsidR="002D6E52" w:rsidRPr="00DB3FE7" w:rsidRDefault="002D6E52" w:rsidP="002D6E52">
      <w:pPr>
        <w:widowControl w:val="0"/>
        <w:rPr>
          <w:rFonts w:asciiTheme="minorHAnsi" w:hAnsiTheme="minorHAnsi"/>
          <w:b/>
          <w:bCs/>
          <w:snapToGrid w:val="0"/>
        </w:rPr>
      </w:pPr>
    </w:p>
    <w:tbl>
      <w:tblPr>
        <w:tblW w:w="9127" w:type="dxa"/>
        <w:tblInd w:w="-5" w:type="dxa"/>
        <w:tblLayout w:type="fixed"/>
        <w:tblLook w:val="0000" w:firstRow="0" w:lastRow="0" w:firstColumn="0" w:lastColumn="0" w:noHBand="0" w:noVBand="0"/>
      </w:tblPr>
      <w:tblGrid>
        <w:gridCol w:w="3480"/>
        <w:gridCol w:w="1320"/>
        <w:gridCol w:w="1080"/>
        <w:gridCol w:w="960"/>
        <w:gridCol w:w="960"/>
        <w:gridCol w:w="1320"/>
        <w:gridCol w:w="7"/>
      </w:tblGrid>
      <w:tr w:rsidR="002D6E52" w:rsidRPr="00DB3FE7" w14:paraId="0D6512AA" w14:textId="77777777" w:rsidTr="00C91ADA">
        <w:trPr>
          <w:gridAfter w:val="1"/>
          <w:wAfter w:w="7" w:type="dxa"/>
          <w:trHeight w:val="471"/>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0BCF1229" w14:textId="77777777" w:rsidR="002D6E52" w:rsidRPr="00DB3FE7" w:rsidRDefault="002D6E52" w:rsidP="00533193">
            <w:pPr>
              <w:widowControl w:val="0"/>
              <w:rPr>
                <w:rFonts w:ascii="Arial Narrow" w:hAnsi="Arial Narrow"/>
                <w:b/>
                <w:bCs/>
                <w:sz w:val="20"/>
              </w:rPr>
            </w:pPr>
            <w:r w:rsidRPr="00DB3FE7">
              <w:rPr>
                <w:rFonts w:ascii="Arial Narrow" w:hAnsi="Arial Narrow"/>
                <w:b/>
                <w:bCs/>
                <w:sz w:val="20"/>
              </w:rPr>
              <w:t>Name, Restriction,</w:t>
            </w:r>
          </w:p>
          <w:p w14:paraId="21F863DF" w14:textId="77777777" w:rsidR="002D6E52" w:rsidRPr="00DB3FE7" w:rsidRDefault="002D6E52" w:rsidP="00533193">
            <w:pPr>
              <w:widowControl w:val="0"/>
              <w:rPr>
                <w:rFonts w:ascii="Arial Narrow" w:hAnsi="Arial Narrow"/>
                <w:b/>
                <w:bCs/>
                <w:sz w:val="20"/>
              </w:rPr>
            </w:pPr>
            <w:r w:rsidRPr="00DB3FE7">
              <w:rPr>
                <w:rFonts w:ascii="Arial Narrow" w:hAnsi="Arial Narrow"/>
                <w:b/>
                <w:bCs/>
                <w:sz w:val="20"/>
              </w:rPr>
              <w:t>Manner of administration and form</w:t>
            </w:r>
          </w:p>
        </w:tc>
        <w:tc>
          <w:tcPr>
            <w:tcW w:w="1320" w:type="dxa"/>
            <w:tcBorders>
              <w:top w:val="single" w:sz="4" w:space="0" w:color="auto"/>
              <w:left w:val="single" w:sz="4" w:space="0" w:color="auto"/>
              <w:bottom w:val="single" w:sz="4" w:space="0" w:color="auto"/>
              <w:right w:val="single" w:sz="4" w:space="0" w:color="auto"/>
            </w:tcBorders>
          </w:tcPr>
          <w:p w14:paraId="511C2599" w14:textId="77777777" w:rsidR="002D6E52" w:rsidRPr="00DB3FE7" w:rsidRDefault="002D6E52" w:rsidP="00533193">
            <w:pPr>
              <w:widowControl w:val="0"/>
              <w:jc w:val="center"/>
              <w:rPr>
                <w:rFonts w:ascii="Arial Narrow" w:hAnsi="Arial Narrow"/>
                <w:b/>
                <w:bCs/>
                <w:sz w:val="20"/>
              </w:rPr>
            </w:pPr>
            <w:r w:rsidRPr="00DB3FE7">
              <w:rPr>
                <w:rFonts w:ascii="Arial Narrow" w:hAnsi="Arial Narrow"/>
                <w:b/>
                <w:bCs/>
                <w:sz w:val="20"/>
              </w:rPr>
              <w:t>PBS item code</w:t>
            </w:r>
          </w:p>
        </w:tc>
        <w:tc>
          <w:tcPr>
            <w:tcW w:w="1080" w:type="dxa"/>
            <w:tcBorders>
              <w:top w:val="single" w:sz="4" w:space="0" w:color="auto"/>
              <w:left w:val="single" w:sz="4" w:space="0" w:color="auto"/>
              <w:bottom w:val="single" w:sz="4" w:space="0" w:color="auto"/>
              <w:right w:val="single" w:sz="4" w:space="0" w:color="auto"/>
            </w:tcBorders>
          </w:tcPr>
          <w:p w14:paraId="3FDB3247" w14:textId="77777777" w:rsidR="002D6E52" w:rsidRPr="00DB3FE7" w:rsidRDefault="002D6E52" w:rsidP="00533193">
            <w:pPr>
              <w:widowControl w:val="0"/>
              <w:jc w:val="center"/>
              <w:rPr>
                <w:rFonts w:ascii="Arial Narrow" w:hAnsi="Arial Narrow"/>
                <w:b/>
                <w:bCs/>
                <w:sz w:val="20"/>
              </w:rPr>
            </w:pPr>
            <w:r w:rsidRPr="00DB3FE7">
              <w:rPr>
                <w:rFonts w:ascii="Arial Narrow" w:hAnsi="Arial Narrow"/>
                <w:b/>
                <w:bCs/>
                <w:sz w:val="20"/>
              </w:rPr>
              <w:t>Max. qty (packs)</w:t>
            </w:r>
          </w:p>
        </w:tc>
        <w:tc>
          <w:tcPr>
            <w:tcW w:w="960" w:type="dxa"/>
            <w:tcBorders>
              <w:top w:val="single" w:sz="4" w:space="0" w:color="auto"/>
              <w:left w:val="single" w:sz="4" w:space="0" w:color="auto"/>
              <w:bottom w:val="single" w:sz="4" w:space="0" w:color="auto"/>
              <w:right w:val="single" w:sz="4" w:space="0" w:color="auto"/>
            </w:tcBorders>
          </w:tcPr>
          <w:p w14:paraId="5724A383" w14:textId="77777777" w:rsidR="002D6E52" w:rsidRPr="00DB3FE7" w:rsidRDefault="002D6E52" w:rsidP="00533193">
            <w:pPr>
              <w:widowControl w:val="0"/>
              <w:jc w:val="center"/>
              <w:rPr>
                <w:rFonts w:ascii="Arial Narrow" w:hAnsi="Arial Narrow"/>
                <w:b/>
                <w:bCs/>
                <w:sz w:val="20"/>
              </w:rPr>
            </w:pPr>
            <w:r w:rsidRPr="00DB3FE7">
              <w:rPr>
                <w:rFonts w:ascii="Arial Narrow" w:hAnsi="Arial Narrow"/>
                <w:b/>
                <w:bCs/>
                <w:sz w:val="20"/>
              </w:rPr>
              <w:t>Max. qty (units)</w:t>
            </w:r>
          </w:p>
        </w:tc>
        <w:tc>
          <w:tcPr>
            <w:tcW w:w="960" w:type="dxa"/>
            <w:tcBorders>
              <w:top w:val="single" w:sz="4" w:space="0" w:color="auto"/>
              <w:left w:val="single" w:sz="4" w:space="0" w:color="auto"/>
              <w:bottom w:val="single" w:sz="4" w:space="0" w:color="auto"/>
              <w:right w:val="single" w:sz="4" w:space="0" w:color="auto"/>
            </w:tcBorders>
          </w:tcPr>
          <w:p w14:paraId="33A1AAA3" w14:textId="77777777" w:rsidR="002D6E52" w:rsidRPr="00DB3FE7" w:rsidRDefault="002D6E52" w:rsidP="00533193">
            <w:pPr>
              <w:widowControl w:val="0"/>
              <w:jc w:val="center"/>
              <w:rPr>
                <w:rFonts w:ascii="Arial Narrow" w:hAnsi="Arial Narrow"/>
                <w:b/>
                <w:bCs/>
                <w:sz w:val="20"/>
              </w:rPr>
            </w:pPr>
            <w:r w:rsidRPr="00DB3FE7">
              <w:rPr>
                <w:rFonts w:ascii="Arial Narrow" w:hAnsi="Arial Narrow"/>
                <w:b/>
                <w:bCs/>
                <w:sz w:val="20"/>
              </w:rPr>
              <w:t>№. of</w:t>
            </w:r>
          </w:p>
          <w:p w14:paraId="5C1C0515" w14:textId="77777777" w:rsidR="002D6E52" w:rsidRPr="00DB3FE7" w:rsidRDefault="002D6E52" w:rsidP="00533193">
            <w:pPr>
              <w:widowControl w:val="0"/>
              <w:jc w:val="center"/>
              <w:rPr>
                <w:rFonts w:ascii="Arial Narrow" w:hAnsi="Arial Narrow"/>
                <w:b/>
                <w:bCs/>
                <w:sz w:val="20"/>
              </w:rPr>
            </w:pPr>
            <w:r w:rsidRPr="00DB3FE7">
              <w:rPr>
                <w:rFonts w:ascii="Arial Narrow" w:hAnsi="Arial Narrow"/>
                <w:b/>
                <w:bCs/>
                <w:sz w:val="20"/>
              </w:rPr>
              <w:t>Rpts</w:t>
            </w:r>
          </w:p>
        </w:tc>
        <w:tc>
          <w:tcPr>
            <w:tcW w:w="1320" w:type="dxa"/>
            <w:tcBorders>
              <w:top w:val="single" w:sz="4" w:space="0" w:color="auto"/>
              <w:left w:val="single" w:sz="4" w:space="0" w:color="auto"/>
              <w:bottom w:val="single" w:sz="4" w:space="0" w:color="auto"/>
              <w:right w:val="single" w:sz="4" w:space="0" w:color="auto"/>
            </w:tcBorders>
          </w:tcPr>
          <w:p w14:paraId="39FBD69D" w14:textId="77777777" w:rsidR="002D6E52" w:rsidRPr="00C91ADA" w:rsidRDefault="002D6E52" w:rsidP="00533193">
            <w:pPr>
              <w:widowControl w:val="0"/>
              <w:jc w:val="center"/>
              <w:rPr>
                <w:rFonts w:ascii="Arial Narrow" w:hAnsi="Arial Narrow"/>
                <w:b/>
                <w:bCs/>
                <w:sz w:val="20"/>
              </w:rPr>
            </w:pPr>
            <w:r w:rsidRPr="00DB3FE7">
              <w:rPr>
                <w:rFonts w:ascii="Arial Narrow" w:hAnsi="Arial Narrow"/>
                <w:b/>
                <w:bCs/>
                <w:sz w:val="20"/>
              </w:rPr>
              <w:t>Available brands</w:t>
            </w:r>
          </w:p>
        </w:tc>
      </w:tr>
      <w:tr w:rsidR="002D6E52" w:rsidRPr="00DB3FE7" w14:paraId="344FBE92" w14:textId="77777777" w:rsidTr="00C91ADA">
        <w:trPr>
          <w:gridAfter w:val="1"/>
          <w:wAfter w:w="7" w:type="dxa"/>
          <w:trHeight w:val="194"/>
        </w:trPr>
        <w:tc>
          <w:tcPr>
            <w:tcW w:w="9120"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989BE20" w14:textId="77777777" w:rsidR="002D6E52" w:rsidRPr="00DB3FE7" w:rsidRDefault="002D6E52" w:rsidP="00533193">
            <w:pPr>
              <w:widowControl w:val="0"/>
              <w:rPr>
                <w:rFonts w:ascii="Arial Narrow" w:hAnsi="Arial Narrow"/>
                <w:b/>
                <w:bCs/>
                <w:sz w:val="20"/>
              </w:rPr>
            </w:pPr>
            <w:r w:rsidRPr="00DB3FE7">
              <w:rPr>
                <w:rFonts w:ascii="Arial Narrow" w:hAnsi="Arial Narrow"/>
                <w:b/>
                <w:bCs/>
                <w:sz w:val="20"/>
              </w:rPr>
              <w:t>INCLISIRAN</w:t>
            </w:r>
          </w:p>
        </w:tc>
      </w:tr>
      <w:tr w:rsidR="002D6E52" w:rsidRPr="00DB3FE7" w14:paraId="7DA5C85E" w14:textId="77777777" w:rsidTr="00C91ADA">
        <w:trPr>
          <w:gridAfter w:val="1"/>
          <w:wAfter w:w="7" w:type="dxa"/>
          <w:trHeight w:val="577"/>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724EC512" w14:textId="77777777" w:rsidR="002D6E52" w:rsidRPr="00DB3FE7" w:rsidRDefault="002D6E52" w:rsidP="00533193">
            <w:pPr>
              <w:widowControl w:val="0"/>
              <w:rPr>
                <w:rFonts w:ascii="Arial Narrow" w:hAnsi="Arial Narrow"/>
                <w:sz w:val="20"/>
              </w:rPr>
            </w:pPr>
            <w:r w:rsidRPr="00DB3FE7">
              <w:rPr>
                <w:rFonts w:ascii="Arial Narrow" w:hAnsi="Arial Narrow"/>
                <w:sz w:val="20"/>
              </w:rPr>
              <w:t>inclisiran 284 mg/1.5mL injection, 1.5 mL prefilled syringe</w:t>
            </w:r>
          </w:p>
        </w:tc>
        <w:tc>
          <w:tcPr>
            <w:tcW w:w="1320" w:type="dxa"/>
            <w:tcBorders>
              <w:top w:val="single" w:sz="4" w:space="0" w:color="auto"/>
              <w:left w:val="single" w:sz="4" w:space="0" w:color="auto"/>
              <w:bottom w:val="single" w:sz="4" w:space="0" w:color="auto"/>
              <w:right w:val="single" w:sz="4" w:space="0" w:color="auto"/>
            </w:tcBorders>
          </w:tcPr>
          <w:p w14:paraId="52EB422B" w14:textId="77777777" w:rsidR="002D6E52" w:rsidRPr="00DB3FE7" w:rsidRDefault="002D6E52" w:rsidP="00533193">
            <w:pPr>
              <w:widowControl w:val="0"/>
              <w:jc w:val="center"/>
              <w:rPr>
                <w:rFonts w:ascii="Arial Narrow" w:hAnsi="Arial Narrow"/>
                <w:sz w:val="20"/>
              </w:rPr>
            </w:pPr>
            <w:r w:rsidRPr="00DB3FE7">
              <w:rPr>
                <w:rFonts w:ascii="Arial Narrow" w:hAnsi="Arial Narrow"/>
                <w:sz w:val="20"/>
              </w:rPr>
              <w:t>New</w:t>
            </w:r>
          </w:p>
        </w:tc>
        <w:tc>
          <w:tcPr>
            <w:tcW w:w="1080" w:type="dxa"/>
            <w:tcBorders>
              <w:top w:val="single" w:sz="4" w:space="0" w:color="auto"/>
              <w:left w:val="single" w:sz="4" w:space="0" w:color="auto"/>
              <w:bottom w:val="single" w:sz="4" w:space="0" w:color="auto"/>
              <w:right w:val="single" w:sz="4" w:space="0" w:color="auto"/>
            </w:tcBorders>
          </w:tcPr>
          <w:p w14:paraId="26564490" w14:textId="77777777" w:rsidR="002D6E52" w:rsidRPr="00DB3FE7" w:rsidRDefault="002D6E52" w:rsidP="00533193">
            <w:pPr>
              <w:widowControl w:val="0"/>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Pr>
          <w:p w14:paraId="56911317" w14:textId="77777777" w:rsidR="002D6E52" w:rsidRPr="00DB3FE7" w:rsidRDefault="002D6E52" w:rsidP="00533193">
            <w:pPr>
              <w:widowControl w:val="0"/>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Pr>
          <w:p w14:paraId="16963DD6" w14:textId="77777777" w:rsidR="002D6E52" w:rsidRPr="00DB3FE7" w:rsidRDefault="002D6E52" w:rsidP="00533193">
            <w:pPr>
              <w:widowControl w:val="0"/>
              <w:jc w:val="center"/>
              <w:rPr>
                <w:rFonts w:ascii="Arial Narrow" w:hAnsi="Arial Narrow"/>
                <w:sz w:val="20"/>
              </w:rPr>
            </w:pPr>
            <w:r w:rsidRPr="00DB3FE7">
              <w:rPr>
                <w:rFonts w:ascii="Arial Narrow" w:hAnsi="Arial Narrow"/>
                <w:sz w:val="20"/>
              </w:rPr>
              <w:t>1</w:t>
            </w:r>
          </w:p>
          <w:p w14:paraId="1CCF0479" w14:textId="77777777" w:rsidR="002D6E52" w:rsidRPr="00DB3FE7" w:rsidRDefault="002D6E52" w:rsidP="00533193">
            <w:pPr>
              <w:widowControl w:val="0"/>
              <w:jc w:val="center"/>
              <w:rPr>
                <w:rFonts w:ascii="Arial Narrow" w:hAnsi="Arial Narrow"/>
                <w:sz w:val="20"/>
              </w:rPr>
            </w:pPr>
          </w:p>
        </w:tc>
        <w:tc>
          <w:tcPr>
            <w:tcW w:w="1320" w:type="dxa"/>
            <w:tcBorders>
              <w:top w:val="single" w:sz="4" w:space="0" w:color="auto"/>
              <w:left w:val="single" w:sz="4" w:space="0" w:color="auto"/>
              <w:bottom w:val="single" w:sz="4" w:space="0" w:color="auto"/>
              <w:right w:val="single" w:sz="4" w:space="0" w:color="auto"/>
            </w:tcBorders>
          </w:tcPr>
          <w:p w14:paraId="4CEB659B" w14:textId="77777777" w:rsidR="002D6E52" w:rsidRPr="00DB3FE7" w:rsidRDefault="002D6E52" w:rsidP="00533193">
            <w:pPr>
              <w:widowControl w:val="0"/>
              <w:jc w:val="center"/>
              <w:rPr>
                <w:rFonts w:ascii="Arial Narrow" w:hAnsi="Arial Narrow"/>
                <w:sz w:val="20"/>
              </w:rPr>
            </w:pPr>
            <w:r w:rsidRPr="00DB3FE7">
              <w:rPr>
                <w:rFonts w:ascii="Arial Narrow" w:hAnsi="Arial Narrow"/>
                <w:sz w:val="20"/>
              </w:rPr>
              <w:t>Leqvio</w:t>
            </w:r>
            <w:r w:rsidRPr="00DB3FE7">
              <w:rPr>
                <w:rFonts w:ascii="Arial Narrow" w:hAnsi="Arial Narrow"/>
                <w:sz w:val="20"/>
                <w:vertAlign w:val="superscript"/>
              </w:rPr>
              <w:t>®</w:t>
            </w:r>
          </w:p>
        </w:tc>
      </w:tr>
      <w:tr w:rsidR="007118F5" w:rsidRPr="00DB3FE7" w14:paraId="20961DEF"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AB72F15" w14:textId="77777777" w:rsidR="007118F5" w:rsidRPr="00DB3FE7" w:rsidRDefault="007118F5" w:rsidP="00533193">
            <w:pPr>
              <w:widowControl w:val="0"/>
              <w:rPr>
                <w:rFonts w:ascii="Arial Narrow" w:hAnsi="Arial Narrow"/>
                <w:sz w:val="20"/>
              </w:rPr>
            </w:pPr>
            <w:r w:rsidRPr="00DB3FE7">
              <w:rPr>
                <w:rFonts w:ascii="Arial Narrow" w:hAnsi="Arial Narrow"/>
                <w:b/>
                <w:bCs/>
                <w:sz w:val="20"/>
              </w:rPr>
              <w:t>Category / Program:</w:t>
            </w:r>
            <w:r w:rsidRPr="00DB3FE7">
              <w:rPr>
                <w:rFonts w:ascii="Arial Narrow" w:hAnsi="Arial Narrow"/>
                <w:sz w:val="20"/>
              </w:rPr>
              <w:t xml:space="preserve"> GENERAL – General Schedule (Code GE)</w:t>
            </w:r>
          </w:p>
        </w:tc>
      </w:tr>
      <w:tr w:rsidR="007118F5" w:rsidRPr="00DB3FE7" w14:paraId="090D46F9"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EE8EE5D" w14:textId="4D0C8D35" w:rsidR="007118F5" w:rsidRPr="0042765C" w:rsidRDefault="007118F5" w:rsidP="00533193">
            <w:pPr>
              <w:widowControl w:val="0"/>
              <w:rPr>
                <w:rFonts w:ascii="Arial Narrow" w:hAnsi="Arial Narrow"/>
                <w:sz w:val="20"/>
              </w:rPr>
            </w:pPr>
            <w:r w:rsidRPr="00DB3FE7">
              <w:rPr>
                <w:rFonts w:ascii="Arial Narrow" w:hAnsi="Arial Narrow"/>
                <w:b/>
                <w:sz w:val="20"/>
                <w:szCs w:val="20"/>
              </w:rPr>
              <w:t xml:space="preserve">Prescriber type: </w:t>
            </w:r>
            <w:r w:rsidRPr="009D5406">
              <w:rPr>
                <w:rFonts w:ascii="Arial Narrow" w:hAnsi="Arial Narrow"/>
                <w:sz w:val="20"/>
                <w:szCs w:val="20"/>
              </w:rPr>
              <w:fldChar w:fldCharType="begin" w:fldLock="1">
                <w:ffData>
                  <w:name w:val=""/>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szCs w:val="20"/>
              </w:rPr>
              <w:t>Medical Practitioners</w:t>
            </w:r>
          </w:p>
        </w:tc>
      </w:tr>
      <w:tr w:rsidR="007118F5" w:rsidRPr="00DB3FE7" w14:paraId="2651127C"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113B2D99" w14:textId="77777777" w:rsidR="007118F5" w:rsidRPr="00DB3FE7" w:rsidRDefault="007118F5" w:rsidP="00533193">
            <w:pPr>
              <w:pStyle w:val="TableText"/>
              <w:keepNext w:val="0"/>
              <w:widowControl w:val="0"/>
              <w:rPr>
                <w:rFonts w:cs="Times New Roman"/>
                <w:b/>
                <w:szCs w:val="20"/>
              </w:rPr>
            </w:pPr>
            <w:r w:rsidRPr="00DB3FE7">
              <w:rPr>
                <w:b/>
                <w:szCs w:val="20"/>
              </w:rPr>
              <w:t xml:space="preserve">Administrative Advice: </w:t>
            </w:r>
            <w:r w:rsidRPr="00DB3FE7">
              <w:rPr>
                <w:szCs w:val="20"/>
              </w:rPr>
              <w:t>No increase in the maximum quantity or number of units may be authorised.</w:t>
            </w:r>
          </w:p>
        </w:tc>
      </w:tr>
      <w:tr w:rsidR="007118F5" w:rsidRPr="00DB3FE7" w14:paraId="1F3EC064"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4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AA8F7FE" w14:textId="77777777" w:rsidR="007118F5" w:rsidRPr="00DB3FE7" w:rsidRDefault="007118F5" w:rsidP="00533193">
            <w:pPr>
              <w:pStyle w:val="TableText"/>
              <w:keepNext w:val="0"/>
              <w:widowControl w:val="0"/>
              <w:rPr>
                <w:rFonts w:cs="Times New Roman"/>
                <w:b/>
                <w:szCs w:val="20"/>
              </w:rPr>
            </w:pPr>
            <w:r w:rsidRPr="00DB3FE7">
              <w:rPr>
                <w:rStyle w:val="Strong"/>
                <w:szCs w:val="20"/>
              </w:rPr>
              <w:t>Administrative Advice:</w:t>
            </w:r>
            <w:r w:rsidRPr="00DB3FE7">
              <w:rPr>
                <w:szCs w:val="20"/>
              </w:rPr>
              <w:t xml:space="preserve"> No increase in the maximum number of repeats may be authorised.</w:t>
            </w:r>
          </w:p>
        </w:tc>
      </w:tr>
      <w:tr w:rsidR="007118F5" w:rsidRPr="00DB3FE7" w14:paraId="2DBA00B1"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6CE26FA" w14:textId="77777777" w:rsidR="007118F5" w:rsidRPr="00DB3FE7" w:rsidRDefault="007118F5" w:rsidP="00533193">
            <w:pPr>
              <w:pStyle w:val="TableText"/>
              <w:keepNext w:val="0"/>
              <w:widowControl w:val="0"/>
              <w:rPr>
                <w:rFonts w:cs="Times New Roman"/>
                <w:b/>
                <w:szCs w:val="20"/>
              </w:rPr>
            </w:pPr>
            <w:r w:rsidRPr="00DB3FE7">
              <w:rPr>
                <w:rStyle w:val="Strong"/>
                <w:szCs w:val="20"/>
              </w:rPr>
              <w:t>Administrative Advice:</w:t>
            </w:r>
            <w:r w:rsidRPr="00DB3FE7">
              <w:rPr>
                <w:szCs w:val="20"/>
              </w:rPr>
              <w:t xml:space="preserve"> Special Pricing Arrangements apply.</w:t>
            </w:r>
          </w:p>
        </w:tc>
      </w:tr>
      <w:tr w:rsidR="007118F5" w:rsidRPr="00DB3FE7" w14:paraId="2CD18BCC"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4AAF04E" w14:textId="77777777" w:rsidR="007118F5" w:rsidRPr="00A774DF" w:rsidRDefault="007118F5" w:rsidP="00533193">
            <w:pPr>
              <w:widowControl w:val="0"/>
              <w:rPr>
                <w:rFonts w:ascii="Arial Narrow" w:hAnsi="Arial Narrow"/>
                <w:b/>
                <w:i/>
                <w:iCs/>
                <w:sz w:val="20"/>
              </w:rPr>
            </w:pPr>
            <w:r w:rsidRPr="00DB3FE7">
              <w:rPr>
                <w:rFonts w:ascii="Arial Narrow" w:hAnsi="Arial Narrow"/>
                <w:b/>
                <w:i/>
                <w:iCs/>
                <w:sz w:val="20"/>
              </w:rPr>
              <w:t xml:space="preserve">Administrative Advice: </w:t>
            </w:r>
            <w:r w:rsidRPr="00DB3FE7">
              <w:rPr>
                <w:rFonts w:ascii="Arial Narrow" w:hAnsi="Arial Narrow"/>
                <w:bCs/>
                <w:i/>
                <w:iCs/>
                <w:sz w:val="20"/>
              </w:rPr>
              <w:t xml:space="preserve">Application for authorisation under this restriction may be made in real time using the Online PBS Authorities system (see </w:t>
            </w:r>
            <w:hyperlink r:id="rId22" w:history="1">
              <w:r w:rsidRPr="0042765C">
                <w:rPr>
                  <w:rStyle w:val="Hyperlink"/>
                  <w:rFonts w:ascii="Arial Narrow" w:hAnsi="Arial Narrow"/>
                  <w:bCs/>
                  <w:i/>
                  <w:iCs/>
                  <w:sz w:val="20"/>
                </w:rPr>
                <w:t>www.servicesaustralia.gov.au/HPOS</w:t>
              </w:r>
            </w:hyperlink>
            <w:r w:rsidRPr="0042765C">
              <w:rPr>
                <w:rFonts w:ascii="Arial Narrow" w:hAnsi="Arial Narrow"/>
                <w:bCs/>
                <w:i/>
                <w:iCs/>
                <w:sz w:val="20"/>
              </w:rPr>
              <w:t>) or by telephone by contacting Services Au</w:t>
            </w:r>
            <w:r w:rsidRPr="00352E1C">
              <w:rPr>
                <w:rFonts w:ascii="Arial Narrow" w:hAnsi="Arial Narrow"/>
                <w:bCs/>
                <w:i/>
                <w:iCs/>
                <w:sz w:val="20"/>
              </w:rPr>
              <w:t>stralia on 1800 888 333.</w:t>
            </w:r>
          </w:p>
        </w:tc>
      </w:tr>
      <w:tr w:rsidR="007118F5" w:rsidRPr="00DB3FE7" w14:paraId="254A191E"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143E8E4" w14:textId="77777777" w:rsidR="007118F5" w:rsidRPr="00DB3FE7" w:rsidRDefault="007118F5" w:rsidP="00533193">
            <w:pPr>
              <w:widowControl w:val="0"/>
              <w:rPr>
                <w:rFonts w:ascii="Arial Narrow" w:hAnsi="Arial Narrow"/>
                <w:b/>
                <w:sz w:val="20"/>
              </w:rPr>
            </w:pPr>
          </w:p>
        </w:tc>
      </w:tr>
      <w:tr w:rsidR="007118F5" w:rsidRPr="00DB3FE7" w14:paraId="76190395"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51D74DD" w14:textId="77777777" w:rsidR="007118F5" w:rsidRPr="00DB3FE7" w:rsidRDefault="007118F5" w:rsidP="00533193">
            <w:pPr>
              <w:widowControl w:val="0"/>
              <w:rPr>
                <w:rFonts w:ascii="Arial Narrow" w:hAnsi="Arial Narrow"/>
                <w:strike/>
                <w:sz w:val="20"/>
              </w:rPr>
            </w:pPr>
            <w:r w:rsidRPr="00DB3FE7">
              <w:rPr>
                <w:rFonts w:ascii="Arial Narrow" w:hAnsi="Arial Narrow"/>
                <w:b/>
                <w:bCs/>
                <w:strike/>
                <w:sz w:val="20"/>
              </w:rPr>
              <w:t>Episodicity:</w:t>
            </w:r>
            <w:r w:rsidRPr="00DB3FE7">
              <w:rPr>
                <w:rFonts w:ascii="Arial Narrow" w:hAnsi="Arial Narrow"/>
                <w:strike/>
                <w:sz w:val="20"/>
              </w:rPr>
              <w:t xml:space="preserve"> Chronic</w:t>
            </w:r>
          </w:p>
        </w:tc>
      </w:tr>
      <w:tr w:rsidR="007118F5" w:rsidRPr="00DB3FE7" w14:paraId="78E77D9F"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21ACAEC" w14:textId="77777777" w:rsidR="007118F5" w:rsidRPr="00DB3FE7" w:rsidRDefault="007118F5" w:rsidP="00533193">
            <w:pPr>
              <w:widowControl w:val="0"/>
              <w:rPr>
                <w:rFonts w:ascii="Arial Narrow" w:hAnsi="Arial Narrow"/>
                <w:strike/>
                <w:sz w:val="20"/>
              </w:rPr>
            </w:pPr>
            <w:r w:rsidRPr="00DB3FE7">
              <w:rPr>
                <w:rFonts w:ascii="Arial Narrow" w:hAnsi="Arial Narrow"/>
                <w:b/>
                <w:bCs/>
                <w:strike/>
                <w:sz w:val="20"/>
              </w:rPr>
              <w:t>Severity:</w:t>
            </w:r>
            <w:r w:rsidRPr="00DB3FE7">
              <w:rPr>
                <w:rFonts w:ascii="Arial Narrow" w:hAnsi="Arial Narrow"/>
                <w:strike/>
                <w:sz w:val="20"/>
              </w:rPr>
              <w:t xml:space="preserve"> Nil</w:t>
            </w:r>
          </w:p>
        </w:tc>
      </w:tr>
      <w:tr w:rsidR="007118F5" w:rsidRPr="00DB3FE7" w14:paraId="4CA917B6"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7225F27" w14:textId="77777777" w:rsidR="007118F5" w:rsidRPr="00DB3FE7" w:rsidRDefault="007118F5" w:rsidP="00533193">
            <w:pPr>
              <w:widowControl w:val="0"/>
              <w:rPr>
                <w:rFonts w:ascii="Arial Narrow" w:hAnsi="Arial Narrow"/>
                <w:sz w:val="20"/>
              </w:rPr>
            </w:pPr>
            <w:r w:rsidRPr="00DB3FE7">
              <w:rPr>
                <w:rFonts w:ascii="Arial Narrow" w:hAnsi="Arial Narrow"/>
                <w:b/>
                <w:bCs/>
                <w:sz w:val="20"/>
              </w:rPr>
              <w:t>Condition:</w:t>
            </w:r>
            <w:r w:rsidRPr="00DB3FE7">
              <w:rPr>
                <w:rFonts w:ascii="Arial Narrow" w:hAnsi="Arial Narrow"/>
                <w:sz w:val="20"/>
              </w:rPr>
              <w:t xml:space="preserve"> Non-familial hypercholesterolaemia</w:t>
            </w:r>
          </w:p>
        </w:tc>
      </w:tr>
      <w:tr w:rsidR="007118F5" w:rsidRPr="00DB3FE7" w14:paraId="45FC555C" w14:textId="77777777" w:rsidTr="00C91ADA">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BC3EA33" w14:textId="77777777" w:rsidR="007118F5" w:rsidRPr="00DB3FE7" w:rsidRDefault="007118F5" w:rsidP="00533193">
            <w:pPr>
              <w:widowControl w:val="0"/>
              <w:rPr>
                <w:rFonts w:ascii="Arial Narrow" w:hAnsi="Arial Narrow"/>
                <w:sz w:val="20"/>
              </w:rPr>
            </w:pPr>
            <w:r w:rsidRPr="00DB3FE7">
              <w:rPr>
                <w:rFonts w:ascii="Arial Narrow" w:hAnsi="Arial Narrow"/>
                <w:b/>
                <w:bCs/>
                <w:sz w:val="20"/>
              </w:rPr>
              <w:t>PBS indication:</w:t>
            </w:r>
            <w:r w:rsidRPr="00DB3FE7">
              <w:rPr>
                <w:rFonts w:ascii="Arial Narrow" w:hAnsi="Arial Narrow"/>
                <w:sz w:val="20"/>
              </w:rPr>
              <w:t xml:space="preserve"> Non-familial hypercholesterolaemia</w:t>
            </w:r>
          </w:p>
        </w:tc>
      </w:tr>
      <w:tr w:rsidR="007118F5" w:rsidRPr="00DB3FE7" w14:paraId="48C3591F"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E1B4F71" w14:textId="77777777" w:rsidR="007118F5" w:rsidRPr="00DB3FE7" w:rsidRDefault="007118F5" w:rsidP="00533193">
            <w:pPr>
              <w:widowControl w:val="0"/>
              <w:rPr>
                <w:rFonts w:ascii="Arial Narrow" w:hAnsi="Arial Narrow"/>
                <w:b/>
                <w:sz w:val="20"/>
              </w:rPr>
            </w:pPr>
          </w:p>
        </w:tc>
      </w:tr>
      <w:tr w:rsidR="007118F5" w:rsidRPr="00DB3FE7" w14:paraId="4D6368F8" w14:textId="77777777" w:rsidTr="00C91ADA">
        <w:trPr>
          <w:trHeight w:val="23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D44399F" w14:textId="77777777" w:rsidR="007118F5" w:rsidRPr="00DB3FE7" w:rsidRDefault="007118F5" w:rsidP="00533193">
            <w:pPr>
              <w:widowControl w:val="0"/>
              <w:rPr>
                <w:rFonts w:ascii="Arial Narrow" w:hAnsi="Arial Narrow"/>
                <w:b/>
                <w:sz w:val="20"/>
              </w:rPr>
            </w:pPr>
            <w:r w:rsidRPr="00DB3FE7">
              <w:rPr>
                <w:rFonts w:ascii="Arial Narrow" w:hAnsi="Arial Narrow"/>
                <w:b/>
                <w:sz w:val="20"/>
              </w:rPr>
              <w:t>Treatment phase: Initial</w:t>
            </w:r>
          </w:p>
        </w:tc>
      </w:tr>
      <w:tr w:rsidR="007118F5" w:rsidRPr="00DB3FE7" w14:paraId="136B19FF"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8EFD27F" w14:textId="77777777" w:rsidR="007118F5" w:rsidRPr="00D2286B" w:rsidRDefault="007118F5" w:rsidP="00533193">
            <w:pPr>
              <w:widowControl w:val="0"/>
              <w:rPr>
                <w:rFonts w:ascii="Arial Narrow" w:hAnsi="Arial Narrow"/>
                <w:sz w:val="20"/>
              </w:rPr>
            </w:pPr>
            <w:r w:rsidRPr="009D5406">
              <w:rPr>
                <w:rFonts w:ascii="Arial Narrow" w:hAnsi="Arial Narrow"/>
                <w:sz w:val="20"/>
                <w:szCs w:val="20"/>
              </w:rPr>
              <w:fldChar w:fldCharType="begin" w:fldLock="1">
                <w:ffData>
                  <w:name w:val="Check5"/>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rPr>
              <w:t>Authority Required – telephone/online</w:t>
            </w:r>
          </w:p>
        </w:tc>
      </w:tr>
      <w:tr w:rsidR="007118F5" w:rsidRPr="00DB3FE7" w14:paraId="512336D1"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3F46068" w14:textId="77777777" w:rsidR="007118F5" w:rsidRPr="00DB3FE7" w:rsidRDefault="007118F5" w:rsidP="00533193">
            <w:pPr>
              <w:widowControl w:val="0"/>
              <w:rPr>
                <w:rFonts w:ascii="Arial Narrow" w:hAnsi="Arial Narrow"/>
                <w:sz w:val="20"/>
                <w:szCs w:val="20"/>
              </w:rPr>
            </w:pPr>
          </w:p>
        </w:tc>
      </w:tr>
      <w:tr w:rsidR="007118F5" w:rsidRPr="00DB3FE7" w14:paraId="52734E97"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9EC89E8"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36BD8BA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A5EED2C" w14:textId="75921506" w:rsidR="007118F5" w:rsidRPr="00DB3FE7" w:rsidRDefault="007118F5" w:rsidP="00533193">
            <w:pPr>
              <w:widowControl w:val="0"/>
              <w:rPr>
                <w:rFonts w:ascii="Arial Narrow" w:hAnsi="Arial Narrow"/>
                <w:sz w:val="20"/>
              </w:rPr>
            </w:pPr>
            <w:r w:rsidRPr="00DB3FE7">
              <w:rPr>
                <w:rFonts w:ascii="Arial Narrow" w:hAnsi="Arial Narrow"/>
                <w:sz w:val="20"/>
              </w:rPr>
              <w:t>The treatment must be in conjunction with dietary therapy and exercise,</w:t>
            </w:r>
          </w:p>
        </w:tc>
      </w:tr>
      <w:tr w:rsidR="007118F5" w:rsidRPr="00DB3FE7" w14:paraId="70863BF3" w14:textId="77777777" w:rsidTr="00C91ADA">
        <w:trPr>
          <w:trHeight w:val="11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F97E057"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AND</w:t>
            </w:r>
          </w:p>
        </w:tc>
      </w:tr>
      <w:tr w:rsidR="007118F5" w:rsidRPr="00DB3FE7" w14:paraId="12AA084B"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7974E77"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1B1CDDAC"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B529B4F"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symptomatic atherosclerotic cardiovascular disease</w:t>
            </w:r>
          </w:p>
        </w:tc>
      </w:tr>
      <w:tr w:rsidR="007118F5" w:rsidRPr="00DB3FE7" w14:paraId="49626DA5"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DE51BA6"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AND</w:t>
            </w:r>
          </w:p>
        </w:tc>
      </w:tr>
      <w:tr w:rsidR="007118F5" w:rsidRPr="00DB3FE7" w14:paraId="4B56D6E8"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81BBE0E"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2F5A042D"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BD82D97"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an LDL cholesterol level in excess of 1.8 mmol per litre</w:t>
            </w:r>
          </w:p>
        </w:tc>
      </w:tr>
      <w:tr w:rsidR="007118F5" w:rsidRPr="00DB3FE7" w14:paraId="7672F50B"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46F8CA1"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AND</w:t>
            </w:r>
          </w:p>
        </w:tc>
      </w:tr>
      <w:tr w:rsidR="007118F5" w:rsidRPr="00DB3FE7" w14:paraId="2B9AC823"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7AF4FF2"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43151034"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9DE5FFB"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atherosclerotic disease in two or more vascular territories (coronary, cerebrovascular or peripheral vascular territories); OR</w:t>
            </w:r>
          </w:p>
        </w:tc>
      </w:tr>
      <w:tr w:rsidR="007118F5" w:rsidRPr="00DB3FE7" w14:paraId="341989BD"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7C7B939"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severe multi-vessel coronary heart disease defined as at least 50% stenosis in at least two large vessels; OR</w:t>
            </w:r>
          </w:p>
        </w:tc>
      </w:tr>
      <w:tr w:rsidR="007118F5" w:rsidRPr="00DB3FE7" w14:paraId="4120808D"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BB530DF"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had at least two major cardiovascular events (i.e. myocardial infarction, unstable angina, stroke or unplanned revascularisation) in the previous 5 years; OR</w:t>
            </w:r>
          </w:p>
        </w:tc>
      </w:tr>
      <w:tr w:rsidR="007118F5" w:rsidRPr="00DB3FE7" w14:paraId="72B66653"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2B0C65B"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diabetes mellitus with microalbuminuria; OR</w:t>
            </w:r>
          </w:p>
        </w:tc>
      </w:tr>
      <w:tr w:rsidR="007118F5" w:rsidRPr="00DB3FE7" w14:paraId="31A6C598"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CCD0E35"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diabetes mellitus and be aged 60 years or more; OR</w:t>
            </w:r>
          </w:p>
        </w:tc>
      </w:tr>
      <w:tr w:rsidR="007118F5" w:rsidRPr="00DB3FE7" w14:paraId="1AAB66A8"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80032D8"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be an Aboriginal or Torres Strait Islander with diabetes mellitus; OR</w:t>
            </w:r>
          </w:p>
        </w:tc>
      </w:tr>
      <w:tr w:rsidR="007118F5" w:rsidRPr="00DB3FE7" w14:paraId="3ABB0AE7" w14:textId="77777777" w:rsidTr="00C91ADA">
        <w:trPr>
          <w:trHeight w:val="17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DDE0D90"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a Thrombolysis in Myocardial Infarction (TIMI) risk score for secondary prevention of 4 or higher.</w:t>
            </w:r>
          </w:p>
        </w:tc>
      </w:tr>
      <w:tr w:rsidR="007118F5" w:rsidRPr="00DB3FE7" w14:paraId="702E5AEB"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21524B7"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AND</w:t>
            </w:r>
          </w:p>
        </w:tc>
      </w:tr>
      <w:tr w:rsidR="007118F5" w:rsidRPr="00DB3FE7" w14:paraId="21A35091"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2495089"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743E2A39"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2208293"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tc>
      </w:tr>
      <w:tr w:rsidR="007118F5" w:rsidRPr="00DB3FE7" w14:paraId="106A9C1C"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4F970D7"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developed clinically important product-related adverse events necessitating withdrawal of statin treatment to trials of each of atorvastatin and rosuvastatin; OR</w:t>
            </w:r>
          </w:p>
        </w:tc>
      </w:tr>
      <w:tr w:rsidR="007118F5" w:rsidRPr="00DB3FE7" w14:paraId="40B3DEEE"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F7D9B18"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be contraindicated to treatment with a HMG CoA reductase inhibitor (statin) as defined in the TGA-approved Product Information</w:t>
            </w:r>
          </w:p>
        </w:tc>
      </w:tr>
      <w:tr w:rsidR="007118F5" w:rsidRPr="00DB3FE7" w14:paraId="40E5F4C5"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9641E29"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AND</w:t>
            </w:r>
          </w:p>
        </w:tc>
      </w:tr>
      <w:tr w:rsidR="007118F5" w:rsidRPr="00DB3FE7" w14:paraId="4E1C9EAA"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7547517"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5523BFA8"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F6EB507" w14:textId="77777777" w:rsidR="007118F5" w:rsidRPr="00DB3FE7" w:rsidRDefault="007118F5" w:rsidP="00533193">
            <w:pPr>
              <w:widowControl w:val="0"/>
              <w:rPr>
                <w:rFonts w:ascii="Arial Narrow" w:hAnsi="Arial Narrow"/>
                <w:sz w:val="20"/>
              </w:rPr>
            </w:pPr>
            <w:r w:rsidRPr="00DB3FE7">
              <w:rPr>
                <w:rFonts w:ascii="Arial Narrow" w:hAnsi="Arial Narrow"/>
                <w:sz w:val="20"/>
              </w:rPr>
              <w:t>Patient must have been treated with ezetimibe for at least 12 consecutive weeks in conjunction with a statin (if tolerated), dietary therapy and exercise</w:t>
            </w:r>
          </w:p>
        </w:tc>
      </w:tr>
      <w:tr w:rsidR="007118F5" w:rsidRPr="00DB3FE7" w14:paraId="0345FC1B"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EA53743" w14:textId="77777777" w:rsidR="007118F5" w:rsidRPr="00DB3FE7" w:rsidRDefault="007118F5" w:rsidP="00533193">
            <w:pPr>
              <w:widowControl w:val="0"/>
              <w:rPr>
                <w:rFonts w:ascii="Arial Narrow" w:hAnsi="Arial Narrow"/>
                <w:b/>
                <w:bCs/>
                <w:i/>
                <w:iCs/>
                <w:sz w:val="20"/>
              </w:rPr>
            </w:pPr>
            <w:r w:rsidRPr="00DB3FE7">
              <w:rPr>
                <w:rFonts w:ascii="Arial Narrow" w:hAnsi="Arial Narrow"/>
                <w:b/>
                <w:bCs/>
                <w:i/>
                <w:iCs/>
                <w:sz w:val="20"/>
              </w:rPr>
              <w:t>AND</w:t>
            </w:r>
          </w:p>
        </w:tc>
      </w:tr>
      <w:tr w:rsidR="007118F5" w:rsidRPr="00DB3FE7" w14:paraId="10E18CC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CF367CA" w14:textId="77777777" w:rsidR="007118F5" w:rsidRPr="00DB3FE7" w:rsidRDefault="007118F5" w:rsidP="00533193">
            <w:pPr>
              <w:widowControl w:val="0"/>
              <w:rPr>
                <w:rFonts w:ascii="Arial Narrow" w:hAnsi="Arial Narrow"/>
                <w:b/>
                <w:bCs/>
                <w:i/>
                <w:iCs/>
                <w:sz w:val="20"/>
              </w:rPr>
            </w:pPr>
            <w:r w:rsidRPr="00DB3FE7">
              <w:rPr>
                <w:rFonts w:ascii="Arial Narrow" w:hAnsi="Arial Narrow"/>
                <w:b/>
                <w:bCs/>
                <w:i/>
                <w:iCs/>
                <w:sz w:val="20"/>
              </w:rPr>
              <w:t>Clinical criteria</w:t>
            </w:r>
          </w:p>
        </w:tc>
      </w:tr>
      <w:tr w:rsidR="007118F5" w:rsidRPr="00DB3FE7" w14:paraId="67AF1D9B"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CD738E8" w14:textId="77777777" w:rsidR="007118F5" w:rsidRPr="00DB3FE7" w:rsidRDefault="007118F5" w:rsidP="00533193">
            <w:pPr>
              <w:widowControl w:val="0"/>
              <w:rPr>
                <w:rFonts w:ascii="Arial Narrow" w:hAnsi="Arial Narrow"/>
                <w:i/>
                <w:iCs/>
                <w:sz w:val="20"/>
              </w:rPr>
            </w:pPr>
            <w:r w:rsidRPr="00DB3FE7">
              <w:rPr>
                <w:rFonts w:ascii="Arial Narrow" w:hAnsi="Arial Narrow"/>
                <w:i/>
                <w:iCs/>
                <w:sz w:val="20"/>
              </w:rPr>
              <w:t>Patient must not be receiving concomitant PBS-subsidised treatment with a monoclonal antibody inhibiting proprotein convertase subtilisin kexin type 9 (PCSK9) for this PBS indication.</w:t>
            </w:r>
          </w:p>
        </w:tc>
      </w:tr>
      <w:tr w:rsidR="007118F5" w:rsidRPr="00DB3FE7" w14:paraId="031330D9"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9036A56" w14:textId="77777777" w:rsidR="007118F5" w:rsidRPr="00DB3FE7" w:rsidRDefault="007118F5" w:rsidP="00533193">
            <w:pPr>
              <w:widowControl w:val="0"/>
              <w:rPr>
                <w:rFonts w:ascii="Arial Narrow" w:hAnsi="Arial Narrow"/>
                <w:b/>
                <w:bCs/>
                <w:sz w:val="20"/>
              </w:rPr>
            </w:pPr>
            <w:r w:rsidRPr="00DB3FE7">
              <w:rPr>
                <w:rFonts w:ascii="Arial Narrow" w:hAnsi="Arial Narrow"/>
                <w:b/>
                <w:bCs/>
                <w:sz w:val="20"/>
              </w:rPr>
              <w:t>AND</w:t>
            </w:r>
          </w:p>
        </w:tc>
      </w:tr>
      <w:tr w:rsidR="007118F5" w:rsidRPr="00DB3FE7" w14:paraId="76816F7C"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6EBFE24"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Treatment criteria:</w:t>
            </w:r>
          </w:p>
        </w:tc>
      </w:tr>
      <w:tr w:rsidR="007118F5" w:rsidRPr="00DB3FE7" w14:paraId="38FBD233"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0521BA9"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Must be treated by a specialist physician; OR</w:t>
            </w:r>
          </w:p>
        </w:tc>
      </w:tr>
      <w:tr w:rsidR="007118F5" w:rsidRPr="00DB3FE7" w14:paraId="4B604705"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15BD752"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Must be treated by a physician who has consulted a specialist physician.</w:t>
            </w:r>
          </w:p>
        </w:tc>
      </w:tr>
      <w:tr w:rsidR="007118F5" w:rsidRPr="00DB3FE7" w14:paraId="1C125375"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08FEA0A" w14:textId="77777777" w:rsidR="007118F5" w:rsidRPr="00DB3FE7" w:rsidRDefault="007118F5" w:rsidP="00533193">
            <w:pPr>
              <w:widowControl w:val="0"/>
              <w:rPr>
                <w:rFonts w:ascii="Arial Narrow" w:hAnsi="Arial Narrow"/>
                <w:sz w:val="20"/>
                <w:szCs w:val="20"/>
              </w:rPr>
            </w:pPr>
          </w:p>
        </w:tc>
      </w:tr>
      <w:tr w:rsidR="007118F5" w:rsidRPr="00DB3FE7" w14:paraId="2C84A714"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729F7193" w14:textId="77777777" w:rsidR="007118F5" w:rsidRPr="00DB3FE7" w:rsidRDefault="007118F5" w:rsidP="00533193">
            <w:pPr>
              <w:widowControl w:val="0"/>
              <w:rPr>
                <w:rFonts w:ascii="Arial Narrow" w:hAnsi="Arial Narrow"/>
                <w:b/>
                <w:bCs/>
                <w:i/>
                <w:iCs/>
                <w:sz w:val="20"/>
                <w:szCs w:val="20"/>
              </w:rPr>
            </w:pPr>
            <w:r w:rsidRPr="00DB3FE7">
              <w:rPr>
                <w:rFonts w:ascii="Arial Narrow" w:hAnsi="Arial Narrow"/>
                <w:b/>
                <w:bCs/>
                <w:i/>
                <w:iCs/>
                <w:sz w:val="20"/>
                <w:szCs w:val="20"/>
              </w:rPr>
              <w:t>Prescriber instructions:</w:t>
            </w:r>
          </w:p>
          <w:p w14:paraId="69D50744"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rPr>
              <w:t>Monoclonal antibody inhibiting proprotein convertase subtilisin kexin type 9 (PCSK9) medications are evolocumab or alirocumab</w:t>
            </w:r>
          </w:p>
        </w:tc>
      </w:tr>
      <w:tr w:rsidR="007118F5" w:rsidRPr="00DB3FE7" w14:paraId="12EB0ED7"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267606D" w14:textId="77777777" w:rsidR="007118F5" w:rsidRPr="00DB3FE7" w:rsidRDefault="007118F5" w:rsidP="00533193">
            <w:pPr>
              <w:widowControl w:val="0"/>
              <w:rPr>
                <w:rFonts w:ascii="Arial Narrow" w:hAnsi="Arial Narrow"/>
                <w:sz w:val="20"/>
                <w:szCs w:val="20"/>
              </w:rPr>
            </w:pPr>
          </w:p>
        </w:tc>
      </w:tr>
      <w:tr w:rsidR="007118F5" w:rsidRPr="00DB3FE7" w14:paraId="07210C04"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35B7176"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Prescriber instructions:</w:t>
            </w:r>
          </w:p>
          <w:p w14:paraId="061C8CCB"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Symptomatic atherosclerotic cardiovascular disease is defined as:</w:t>
            </w:r>
          </w:p>
          <w:p w14:paraId="105201D2"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351C8000"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(ii) the presence of symptomatic cerebrovascular disease (prior ischaemic stroke, prior revascularisation procedure, or transient ischaemic attack associated with 50% or greater stenosis in 1 or more cerebral arteries on imaging); or</w:t>
            </w:r>
          </w:p>
          <w:p w14:paraId="21674802"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12423D8F" w14:textId="77777777" w:rsidR="007118F5" w:rsidRPr="00DB3FE7" w:rsidRDefault="007118F5" w:rsidP="00533193">
            <w:pPr>
              <w:widowControl w:val="0"/>
              <w:rPr>
                <w:rFonts w:ascii="Arial Narrow" w:hAnsi="Arial Narrow"/>
                <w:sz w:val="20"/>
                <w:szCs w:val="20"/>
              </w:rPr>
            </w:pPr>
          </w:p>
          <w:p w14:paraId="12405FB5"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The qualifying LDL cholesterol level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be no more than 8 weeks old.</w:t>
            </w:r>
          </w:p>
          <w:p w14:paraId="4AA4648A" w14:textId="77777777" w:rsidR="007118F5" w:rsidRPr="00DB3FE7" w:rsidRDefault="007118F5" w:rsidP="00533193">
            <w:pPr>
              <w:widowControl w:val="0"/>
              <w:rPr>
                <w:rFonts w:ascii="Arial Narrow" w:hAnsi="Arial Narrow"/>
                <w:sz w:val="20"/>
                <w:szCs w:val="20"/>
              </w:rPr>
            </w:pPr>
          </w:p>
          <w:p w14:paraId="1FB1EE68"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A clinically important product-related adverse event is defined as follows:</w:t>
            </w:r>
          </w:p>
          <w:p w14:paraId="0813D152"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(i) Severe myalgia (muscle symptoms without creatine kinase elevation) which is proven to be temporally associated with statin treatment; or</w:t>
            </w:r>
          </w:p>
          <w:p w14:paraId="7B51D97A"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0E112159"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(iii) Unexplained, persistent elevations of serum transaminases (greater than 3 times the upper limit of normal) during treatment with a statin.</w:t>
            </w:r>
          </w:p>
          <w:p w14:paraId="423908E8" w14:textId="77777777" w:rsidR="007118F5" w:rsidRPr="00DB3FE7" w:rsidRDefault="007118F5" w:rsidP="00533193">
            <w:pPr>
              <w:widowControl w:val="0"/>
              <w:rPr>
                <w:rFonts w:ascii="Arial Narrow" w:hAnsi="Arial Narrow"/>
                <w:sz w:val="20"/>
                <w:szCs w:val="20"/>
              </w:rPr>
            </w:pPr>
          </w:p>
          <w:p w14:paraId="21178141"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1DC64D58" w14:textId="77777777" w:rsidR="007118F5" w:rsidRPr="00DB3FE7" w:rsidRDefault="007118F5" w:rsidP="00533193">
            <w:pPr>
              <w:widowControl w:val="0"/>
              <w:rPr>
                <w:rFonts w:ascii="Arial Narrow" w:hAnsi="Arial Narrow"/>
                <w:i/>
                <w:iCs/>
                <w:sz w:val="20"/>
                <w:szCs w:val="20"/>
              </w:rPr>
            </w:pPr>
          </w:p>
          <w:p w14:paraId="5B91DB52"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0597B508" w14:textId="77777777" w:rsidR="007118F5" w:rsidRPr="00DB3FE7" w:rsidRDefault="007118F5" w:rsidP="00533193">
            <w:pPr>
              <w:widowControl w:val="0"/>
              <w:rPr>
                <w:rFonts w:ascii="Arial Narrow" w:hAnsi="Arial Narrow"/>
                <w:i/>
                <w:iCs/>
                <w:sz w:val="20"/>
                <w:szCs w:val="20"/>
              </w:rPr>
            </w:pPr>
          </w:p>
          <w:p w14:paraId="28089806"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One of the following must be stated at the time of application and documented in the patient's medical records regarding prior statin treatment:</w:t>
            </w:r>
          </w:p>
          <w:p w14:paraId="6CBCE6C8"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 the patient was treated with atorvastatin 80 mg or rosuvastatin 40 mg or the maximum tolerated dose of either for 12 consecutive weeks; or</w:t>
            </w:r>
          </w:p>
          <w:p w14:paraId="25EE873C"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(ii) the doses, duration of treatment and details of adverse events experienced with trials of each atorvastatin and rosuvastatin; or</w:t>
            </w:r>
          </w:p>
          <w:p w14:paraId="4AC6D6F2"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(iii) the patient is contraindicated to treatment with a statin as defined in the TGA-approved Product Information.</w:t>
            </w:r>
          </w:p>
          <w:p w14:paraId="4930ED10" w14:textId="77777777" w:rsidR="007118F5" w:rsidRPr="00DB3FE7" w:rsidRDefault="007118F5" w:rsidP="00533193">
            <w:pPr>
              <w:widowControl w:val="0"/>
              <w:rPr>
                <w:rFonts w:ascii="Arial Narrow" w:hAnsi="Arial Narrow"/>
                <w:i/>
                <w:iCs/>
                <w:sz w:val="20"/>
                <w:szCs w:val="20"/>
              </w:rPr>
            </w:pPr>
          </w:p>
          <w:p w14:paraId="75034EE8"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One or more of the following must be stated at the time of application and documented in the patient's medical records regarding the presence of cardiovascular disease or high risk of experiencing a cardiovascular event:</w:t>
            </w:r>
          </w:p>
          <w:p w14:paraId="1AF72128"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 atherosclerotic disease in two or more vascular territories (coronary, cerebrovascular or peripheral vascular territories); or</w:t>
            </w:r>
          </w:p>
          <w:p w14:paraId="15BFAD36"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(ii) severe multi-vessel coronary heart disease defined as at least 50% stenosis in at least two large vessels; or</w:t>
            </w:r>
          </w:p>
          <w:p w14:paraId="7564B480"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(iii) history of at least two major cardiovascular events (i.e. myocardial infarction, unstable angina, stroke or unplanned revascularisation) in the previous 5 years; or</w:t>
            </w:r>
          </w:p>
          <w:p w14:paraId="336D8212"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 xml:space="preserve">(iv) diabetes mellitus with microalbuminuria; or </w:t>
            </w:r>
          </w:p>
          <w:p w14:paraId="0B23B1DA"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 xml:space="preserve">(v) diabetes mellitus and age 60 years </w:t>
            </w:r>
            <w:r w:rsidRPr="00DB3FE7">
              <w:rPr>
                <w:rFonts w:ascii="Arial Narrow" w:hAnsi="Arial Narrow"/>
                <w:i/>
                <w:iCs/>
                <w:strike/>
                <w:sz w:val="20"/>
                <w:szCs w:val="20"/>
              </w:rPr>
              <w:t xml:space="preserve">of </w:t>
            </w:r>
            <w:r w:rsidRPr="00DB3FE7">
              <w:rPr>
                <w:rFonts w:ascii="Arial Narrow" w:hAnsi="Arial Narrow"/>
                <w:i/>
                <w:iCs/>
                <w:sz w:val="20"/>
                <w:szCs w:val="20"/>
              </w:rPr>
              <w:t xml:space="preserve">or more; </w:t>
            </w:r>
          </w:p>
          <w:p w14:paraId="736AAC58"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szCs w:val="20"/>
              </w:rPr>
              <w:t>(vi) Aboriginal or Torres Strait Islander with diabetes mellitus; or</w:t>
            </w:r>
          </w:p>
          <w:p w14:paraId="5E6295FE" w14:textId="77777777" w:rsidR="007118F5" w:rsidRPr="00DB3FE7" w:rsidRDefault="007118F5" w:rsidP="00533193">
            <w:pPr>
              <w:widowControl w:val="0"/>
              <w:rPr>
                <w:rFonts w:ascii="Arial Narrow" w:hAnsi="Arial Narrow"/>
                <w:sz w:val="20"/>
                <w:szCs w:val="20"/>
              </w:rPr>
            </w:pPr>
            <w:r w:rsidRPr="00DB3FE7">
              <w:rPr>
                <w:rFonts w:ascii="Arial Narrow" w:hAnsi="Arial Narrow"/>
                <w:i/>
                <w:iCs/>
                <w:sz w:val="20"/>
                <w:szCs w:val="20"/>
              </w:rPr>
              <w:t>(vii) a Thrombolysis in Myocardial Infarction (TIMI) risk score for secondary prevention of 4 or higher</w:t>
            </w:r>
          </w:p>
        </w:tc>
      </w:tr>
    </w:tbl>
    <w:p w14:paraId="19D6A7A8" w14:textId="77777777" w:rsidR="002D6E52" w:rsidRPr="00DB3FE7" w:rsidRDefault="002D6E52" w:rsidP="002D6E52">
      <w:pPr>
        <w:rPr>
          <w:rFonts w:ascii="Arial Narrow" w:hAnsi="Arial Narrow"/>
          <w:sz w:val="20"/>
        </w:rPr>
      </w:pPr>
    </w:p>
    <w:p w14:paraId="5AEAA654" w14:textId="77777777" w:rsidR="002D6E52" w:rsidRPr="00DB3FE7" w:rsidRDefault="002D6E52" w:rsidP="002D6E52">
      <w:pPr>
        <w:rPr>
          <w:rFonts w:ascii="Arial Narrow" w:hAnsi="Arial Narrow"/>
          <w:sz w:val="20"/>
        </w:rPr>
      </w:pPr>
    </w:p>
    <w:tbl>
      <w:tblPr>
        <w:tblW w:w="9127" w:type="dxa"/>
        <w:tblInd w:w="-5" w:type="dxa"/>
        <w:tblLayout w:type="fixed"/>
        <w:tblLook w:val="0000" w:firstRow="0" w:lastRow="0" w:firstColumn="0" w:lastColumn="0" w:noHBand="0" w:noVBand="0"/>
      </w:tblPr>
      <w:tblGrid>
        <w:gridCol w:w="3480"/>
        <w:gridCol w:w="1320"/>
        <w:gridCol w:w="1080"/>
        <w:gridCol w:w="960"/>
        <w:gridCol w:w="960"/>
        <w:gridCol w:w="1320"/>
        <w:gridCol w:w="7"/>
      </w:tblGrid>
      <w:tr w:rsidR="002D6E52" w:rsidRPr="00DB3FE7" w14:paraId="08045582" w14:textId="77777777" w:rsidTr="00C91ADA">
        <w:trPr>
          <w:gridAfter w:val="1"/>
          <w:wAfter w:w="7" w:type="dxa"/>
          <w:trHeight w:val="471"/>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76FBDD99" w14:textId="77777777" w:rsidR="002D6E52" w:rsidRPr="00DB3FE7" w:rsidRDefault="002D6E52" w:rsidP="00533193">
            <w:pPr>
              <w:widowControl w:val="0"/>
              <w:rPr>
                <w:rFonts w:ascii="Arial Narrow" w:hAnsi="Arial Narrow"/>
                <w:b/>
                <w:bCs/>
                <w:sz w:val="20"/>
              </w:rPr>
            </w:pPr>
            <w:r w:rsidRPr="00DB3FE7">
              <w:rPr>
                <w:rFonts w:ascii="Arial Narrow" w:hAnsi="Arial Narrow"/>
                <w:b/>
                <w:bCs/>
                <w:sz w:val="20"/>
              </w:rPr>
              <w:t>Name, Restriction,</w:t>
            </w:r>
          </w:p>
          <w:p w14:paraId="377124CD" w14:textId="77777777" w:rsidR="002D6E52" w:rsidRPr="00DB3FE7" w:rsidRDefault="002D6E52" w:rsidP="00533193">
            <w:pPr>
              <w:widowControl w:val="0"/>
              <w:rPr>
                <w:rFonts w:ascii="Arial Narrow" w:hAnsi="Arial Narrow"/>
                <w:b/>
                <w:bCs/>
                <w:sz w:val="20"/>
              </w:rPr>
            </w:pPr>
            <w:r w:rsidRPr="00DB3FE7">
              <w:rPr>
                <w:rFonts w:ascii="Arial Narrow" w:hAnsi="Arial Narrow"/>
                <w:b/>
                <w:bCs/>
                <w:sz w:val="20"/>
              </w:rPr>
              <w:t>Manner of administration and form</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0A9DADCF"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PBS item code</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5E218FCD"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Max. qty (packs)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48968EC1"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Max. qty (units)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52EF4F70"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 of</w:t>
            </w:r>
          </w:p>
          <w:p w14:paraId="41C766E9" w14:textId="77777777" w:rsidR="002D6E52" w:rsidRPr="00DB3FE7" w:rsidRDefault="002D6E52" w:rsidP="00533193">
            <w:pPr>
              <w:keepNext/>
              <w:jc w:val="center"/>
              <w:rPr>
                <w:rFonts w:ascii="Arial Narrow" w:hAnsi="Arial Narrow"/>
                <w:b/>
                <w:bCs/>
                <w:sz w:val="20"/>
              </w:rPr>
            </w:pPr>
            <w:r w:rsidRPr="00DB3FE7">
              <w:rPr>
                <w:rFonts w:ascii="Arial Narrow" w:hAnsi="Arial Narrow"/>
                <w:b/>
                <w:bCs/>
                <w:sz w:val="20"/>
              </w:rPr>
              <w:t>Rpts</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19C3CFB7" w14:textId="77777777" w:rsidR="002D6E52" w:rsidRPr="00C91ADA" w:rsidRDefault="002D6E52" w:rsidP="00533193">
            <w:pPr>
              <w:keepNext/>
              <w:jc w:val="center"/>
              <w:rPr>
                <w:rFonts w:ascii="Arial Narrow" w:hAnsi="Arial Narrow"/>
                <w:b/>
                <w:bCs/>
                <w:sz w:val="20"/>
              </w:rPr>
            </w:pPr>
            <w:r w:rsidRPr="00DB3FE7">
              <w:rPr>
                <w:rFonts w:ascii="Arial Narrow" w:hAnsi="Arial Narrow"/>
                <w:b/>
                <w:bCs/>
                <w:sz w:val="20"/>
              </w:rPr>
              <w:t>Available brands</w:t>
            </w:r>
          </w:p>
        </w:tc>
      </w:tr>
      <w:tr w:rsidR="002D6E52" w:rsidRPr="00DB3FE7" w14:paraId="259DA086" w14:textId="77777777" w:rsidTr="00C91ADA">
        <w:trPr>
          <w:gridAfter w:val="1"/>
          <w:wAfter w:w="7" w:type="dxa"/>
          <w:trHeight w:val="194"/>
        </w:trPr>
        <w:tc>
          <w:tcPr>
            <w:tcW w:w="9120"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29510E48" w14:textId="77777777" w:rsidR="002D6E52" w:rsidRPr="00DB3FE7" w:rsidRDefault="002D6E52" w:rsidP="00533193">
            <w:pPr>
              <w:widowControl w:val="0"/>
              <w:rPr>
                <w:rFonts w:ascii="Arial Narrow" w:hAnsi="Arial Narrow"/>
                <w:b/>
                <w:bCs/>
                <w:sz w:val="20"/>
              </w:rPr>
            </w:pPr>
            <w:r w:rsidRPr="00DB3FE7">
              <w:rPr>
                <w:rFonts w:ascii="Arial Narrow" w:hAnsi="Arial Narrow"/>
                <w:b/>
                <w:bCs/>
                <w:sz w:val="20"/>
              </w:rPr>
              <w:t>INCLISIRAN</w:t>
            </w:r>
          </w:p>
        </w:tc>
      </w:tr>
      <w:tr w:rsidR="002D6E52" w:rsidRPr="00DB3FE7" w14:paraId="5A71B288" w14:textId="77777777" w:rsidTr="00C91ADA">
        <w:trPr>
          <w:gridAfter w:val="1"/>
          <w:wAfter w:w="7" w:type="dxa"/>
          <w:trHeight w:val="577"/>
        </w:trPr>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2B23E948" w14:textId="77777777" w:rsidR="002D6E52" w:rsidRPr="00DB3FE7" w:rsidRDefault="002D6E52" w:rsidP="00533193">
            <w:pPr>
              <w:widowControl w:val="0"/>
              <w:rPr>
                <w:rFonts w:ascii="Arial Narrow" w:hAnsi="Arial Narrow"/>
                <w:sz w:val="20"/>
              </w:rPr>
            </w:pPr>
            <w:r w:rsidRPr="00DB3FE7">
              <w:rPr>
                <w:rFonts w:ascii="Arial Narrow" w:hAnsi="Arial Narrow"/>
                <w:sz w:val="20"/>
              </w:rPr>
              <w:t>inclisiran 284 mg/1.5mL injection, 1.5 mL prefilled syringe</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1BB93644" w14:textId="77777777" w:rsidR="002D6E52" w:rsidRPr="00DB3FE7" w:rsidRDefault="002D6E52" w:rsidP="00533193">
            <w:pPr>
              <w:keepNext/>
              <w:jc w:val="center"/>
              <w:rPr>
                <w:rFonts w:ascii="Arial Narrow" w:hAnsi="Arial Narrow"/>
                <w:sz w:val="20"/>
              </w:rPr>
            </w:pPr>
            <w:r w:rsidRPr="00DB3FE7">
              <w:rPr>
                <w:rFonts w:ascii="Arial Narrow" w:hAnsi="Arial Narrow"/>
                <w:sz w:val="20"/>
              </w:rPr>
              <w:t>New</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2B6390A4"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25B0B76D"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07798DE5" w14:textId="77777777" w:rsidR="002D6E52" w:rsidRPr="00DB3FE7" w:rsidRDefault="002D6E52" w:rsidP="00533193">
            <w:pPr>
              <w:keepNext/>
              <w:jc w:val="center"/>
              <w:rPr>
                <w:rFonts w:ascii="Arial Narrow" w:hAnsi="Arial Narrow"/>
                <w:sz w:val="20"/>
              </w:rPr>
            </w:pPr>
            <w:r w:rsidRPr="00DB3FE7">
              <w:rPr>
                <w:rFonts w:ascii="Arial Narrow" w:hAnsi="Arial Narrow"/>
                <w:sz w:val="20"/>
              </w:rPr>
              <w:t>1</w:t>
            </w:r>
          </w:p>
          <w:p w14:paraId="5D452DA2" w14:textId="77777777" w:rsidR="002D6E52" w:rsidRPr="00DB3FE7" w:rsidRDefault="002D6E52" w:rsidP="00533193">
            <w:pPr>
              <w:keepNext/>
              <w:jc w:val="center"/>
              <w:rPr>
                <w:rFonts w:ascii="Arial Narrow" w:hAnsi="Arial Narrow"/>
                <w:sz w:val="20"/>
              </w:rPr>
            </w:pP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41F47678" w14:textId="77777777" w:rsidR="002D6E52" w:rsidRPr="00DB3FE7" w:rsidRDefault="002D6E52" w:rsidP="00533193">
            <w:pPr>
              <w:keepNext/>
              <w:jc w:val="center"/>
              <w:rPr>
                <w:rFonts w:ascii="Arial Narrow" w:hAnsi="Arial Narrow"/>
                <w:sz w:val="20"/>
              </w:rPr>
            </w:pPr>
            <w:r w:rsidRPr="00DB3FE7">
              <w:rPr>
                <w:rFonts w:ascii="Arial Narrow" w:hAnsi="Arial Narrow"/>
                <w:sz w:val="20"/>
              </w:rPr>
              <w:t>Leqvio</w:t>
            </w:r>
            <w:r w:rsidRPr="00DB3FE7">
              <w:rPr>
                <w:rFonts w:ascii="Arial Narrow" w:hAnsi="Arial Narrow"/>
                <w:sz w:val="20"/>
                <w:vertAlign w:val="superscript"/>
              </w:rPr>
              <w:t>®</w:t>
            </w:r>
          </w:p>
        </w:tc>
      </w:tr>
      <w:tr w:rsidR="007118F5" w:rsidRPr="00DB3FE7" w14:paraId="5F7DB255"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A176B57" w14:textId="77777777" w:rsidR="007118F5" w:rsidRPr="00DB3FE7" w:rsidRDefault="007118F5" w:rsidP="00533193">
            <w:pPr>
              <w:widowControl w:val="0"/>
              <w:rPr>
                <w:rFonts w:ascii="Arial Narrow" w:hAnsi="Arial Narrow"/>
                <w:sz w:val="20"/>
              </w:rPr>
            </w:pPr>
            <w:r w:rsidRPr="00DB3FE7">
              <w:rPr>
                <w:rFonts w:ascii="Arial Narrow" w:hAnsi="Arial Narrow"/>
                <w:b/>
                <w:bCs/>
                <w:sz w:val="20"/>
              </w:rPr>
              <w:t>Category / Program:</w:t>
            </w:r>
            <w:r w:rsidRPr="00DB3FE7">
              <w:rPr>
                <w:rFonts w:ascii="Arial Narrow" w:hAnsi="Arial Narrow"/>
                <w:sz w:val="20"/>
              </w:rPr>
              <w:t xml:space="preserve"> GENERAL – General Schedule (Code GE)</w:t>
            </w:r>
          </w:p>
        </w:tc>
      </w:tr>
      <w:tr w:rsidR="007118F5" w:rsidRPr="00DB3FE7" w14:paraId="4A69BC62"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80B73E3" w14:textId="003D812B" w:rsidR="007118F5" w:rsidRPr="0042765C" w:rsidRDefault="007118F5" w:rsidP="00533193">
            <w:pPr>
              <w:widowControl w:val="0"/>
              <w:rPr>
                <w:rFonts w:ascii="Arial Narrow" w:hAnsi="Arial Narrow"/>
                <w:sz w:val="20"/>
              </w:rPr>
            </w:pPr>
            <w:r w:rsidRPr="00DB3FE7">
              <w:rPr>
                <w:rFonts w:ascii="Arial Narrow" w:hAnsi="Arial Narrow"/>
                <w:b/>
                <w:sz w:val="20"/>
                <w:szCs w:val="20"/>
              </w:rPr>
              <w:t xml:space="preserve">Prescriber type: </w:t>
            </w:r>
            <w:r w:rsidRPr="009D5406">
              <w:rPr>
                <w:rFonts w:ascii="Arial Narrow" w:hAnsi="Arial Narrow"/>
                <w:sz w:val="20"/>
                <w:szCs w:val="20"/>
              </w:rPr>
              <w:fldChar w:fldCharType="begin" w:fldLock="1">
                <w:ffData>
                  <w:name w:val=""/>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szCs w:val="20"/>
              </w:rPr>
              <w:t>Medical Practitioners</w:t>
            </w:r>
          </w:p>
        </w:tc>
      </w:tr>
      <w:tr w:rsidR="007118F5" w:rsidRPr="00DB3FE7" w14:paraId="7C59C306"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27CE494" w14:textId="77777777" w:rsidR="007118F5" w:rsidRPr="00DB3FE7" w:rsidRDefault="007118F5" w:rsidP="00533193">
            <w:pPr>
              <w:pStyle w:val="TableText"/>
              <w:keepNext w:val="0"/>
              <w:widowControl w:val="0"/>
              <w:rPr>
                <w:rFonts w:cs="Times New Roman"/>
                <w:b/>
                <w:szCs w:val="20"/>
              </w:rPr>
            </w:pPr>
            <w:r w:rsidRPr="00DB3FE7">
              <w:rPr>
                <w:b/>
                <w:szCs w:val="20"/>
              </w:rPr>
              <w:t xml:space="preserve">Administrative Advice: </w:t>
            </w:r>
            <w:r w:rsidRPr="00DB3FE7">
              <w:rPr>
                <w:szCs w:val="20"/>
              </w:rPr>
              <w:t>No increase in the maximum quantity or number of units may be authorised.</w:t>
            </w:r>
          </w:p>
        </w:tc>
      </w:tr>
      <w:tr w:rsidR="007118F5" w:rsidRPr="00DB3FE7" w14:paraId="7464D7FD"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14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27F9ADE" w14:textId="77777777" w:rsidR="007118F5" w:rsidRPr="00DB3FE7" w:rsidRDefault="007118F5" w:rsidP="00533193">
            <w:pPr>
              <w:pStyle w:val="TableText"/>
              <w:keepNext w:val="0"/>
              <w:widowControl w:val="0"/>
              <w:rPr>
                <w:rFonts w:cs="Times New Roman"/>
                <w:b/>
                <w:szCs w:val="20"/>
              </w:rPr>
            </w:pPr>
            <w:r w:rsidRPr="00DB3FE7">
              <w:rPr>
                <w:rStyle w:val="Strong"/>
                <w:szCs w:val="20"/>
              </w:rPr>
              <w:t>Administrative Advice:</w:t>
            </w:r>
            <w:r w:rsidRPr="00DB3FE7">
              <w:rPr>
                <w:szCs w:val="20"/>
              </w:rPr>
              <w:t xml:space="preserve"> No increase in the maximum number of repeats may be authorised.</w:t>
            </w:r>
          </w:p>
        </w:tc>
      </w:tr>
      <w:tr w:rsidR="007118F5" w:rsidRPr="00DB3FE7" w14:paraId="7D9621D9"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0C05553" w14:textId="77777777" w:rsidR="007118F5" w:rsidRPr="00DB3FE7" w:rsidRDefault="007118F5" w:rsidP="00533193">
            <w:pPr>
              <w:pStyle w:val="TableText"/>
              <w:keepNext w:val="0"/>
              <w:widowControl w:val="0"/>
              <w:rPr>
                <w:rFonts w:cs="Times New Roman"/>
                <w:b/>
                <w:szCs w:val="20"/>
              </w:rPr>
            </w:pPr>
            <w:r w:rsidRPr="00DB3FE7">
              <w:rPr>
                <w:rStyle w:val="Strong"/>
                <w:szCs w:val="20"/>
              </w:rPr>
              <w:t>Administrative Advice:</w:t>
            </w:r>
            <w:r w:rsidRPr="00DB3FE7">
              <w:rPr>
                <w:szCs w:val="20"/>
              </w:rPr>
              <w:t xml:space="preserve"> Special Pricing Arrangements apply.</w:t>
            </w:r>
          </w:p>
        </w:tc>
      </w:tr>
      <w:tr w:rsidR="007118F5" w:rsidRPr="00DB3FE7" w14:paraId="60AE49D2"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A6D5DA4" w14:textId="77777777" w:rsidR="007118F5" w:rsidRPr="00DB3FE7" w:rsidRDefault="007118F5" w:rsidP="00533193">
            <w:pPr>
              <w:widowControl w:val="0"/>
              <w:rPr>
                <w:rFonts w:ascii="Arial Narrow" w:hAnsi="Arial Narrow"/>
                <w:b/>
                <w:sz w:val="20"/>
              </w:rPr>
            </w:pPr>
          </w:p>
        </w:tc>
      </w:tr>
      <w:tr w:rsidR="007118F5" w:rsidRPr="00DB3FE7" w14:paraId="087E0836"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EDC6792" w14:textId="77777777" w:rsidR="007118F5" w:rsidRPr="00DB3FE7" w:rsidRDefault="007118F5" w:rsidP="00533193">
            <w:pPr>
              <w:widowControl w:val="0"/>
              <w:rPr>
                <w:rFonts w:ascii="Arial Narrow" w:hAnsi="Arial Narrow"/>
                <w:strike/>
                <w:sz w:val="20"/>
              </w:rPr>
            </w:pPr>
            <w:r w:rsidRPr="00DB3FE7">
              <w:rPr>
                <w:rFonts w:ascii="Arial Narrow" w:hAnsi="Arial Narrow"/>
                <w:b/>
                <w:bCs/>
                <w:strike/>
                <w:sz w:val="20"/>
              </w:rPr>
              <w:t>Episodicity:</w:t>
            </w:r>
            <w:r w:rsidRPr="00DB3FE7">
              <w:rPr>
                <w:rFonts w:ascii="Arial Narrow" w:hAnsi="Arial Narrow"/>
                <w:strike/>
                <w:sz w:val="20"/>
              </w:rPr>
              <w:t xml:space="preserve"> Chronic</w:t>
            </w:r>
          </w:p>
        </w:tc>
      </w:tr>
      <w:tr w:rsidR="007118F5" w:rsidRPr="00DB3FE7" w14:paraId="38A2B0B3"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5CA9AD5" w14:textId="77777777" w:rsidR="007118F5" w:rsidRPr="00DB3FE7" w:rsidRDefault="007118F5" w:rsidP="00533193">
            <w:pPr>
              <w:widowControl w:val="0"/>
              <w:rPr>
                <w:rFonts w:ascii="Arial Narrow" w:hAnsi="Arial Narrow"/>
                <w:strike/>
                <w:sz w:val="20"/>
              </w:rPr>
            </w:pPr>
            <w:r w:rsidRPr="00DB3FE7">
              <w:rPr>
                <w:rFonts w:ascii="Arial Narrow" w:hAnsi="Arial Narrow"/>
                <w:b/>
                <w:bCs/>
                <w:strike/>
                <w:sz w:val="20"/>
              </w:rPr>
              <w:t>Severity:</w:t>
            </w:r>
            <w:r w:rsidRPr="00DB3FE7">
              <w:rPr>
                <w:rFonts w:ascii="Arial Narrow" w:hAnsi="Arial Narrow"/>
                <w:strike/>
                <w:sz w:val="20"/>
              </w:rPr>
              <w:t xml:space="preserve"> Nil</w:t>
            </w:r>
          </w:p>
        </w:tc>
      </w:tr>
      <w:tr w:rsidR="007118F5" w:rsidRPr="00DB3FE7" w14:paraId="14B74E0E"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FB4C35B" w14:textId="77777777" w:rsidR="007118F5" w:rsidRPr="00DB3FE7" w:rsidRDefault="007118F5" w:rsidP="00533193">
            <w:pPr>
              <w:widowControl w:val="0"/>
              <w:rPr>
                <w:rFonts w:ascii="Arial Narrow" w:hAnsi="Arial Narrow"/>
                <w:sz w:val="20"/>
              </w:rPr>
            </w:pPr>
            <w:r w:rsidRPr="00DB3FE7">
              <w:rPr>
                <w:rFonts w:ascii="Arial Narrow" w:hAnsi="Arial Narrow"/>
                <w:b/>
                <w:bCs/>
                <w:sz w:val="20"/>
              </w:rPr>
              <w:t>Condition:</w:t>
            </w:r>
            <w:r w:rsidRPr="00DB3FE7">
              <w:rPr>
                <w:rFonts w:ascii="Arial Narrow" w:hAnsi="Arial Narrow"/>
                <w:sz w:val="20"/>
              </w:rPr>
              <w:t xml:space="preserve"> Non-familial hypercholesterolaemia</w:t>
            </w:r>
          </w:p>
        </w:tc>
      </w:tr>
      <w:tr w:rsidR="007118F5" w:rsidRPr="00DB3FE7" w14:paraId="649F1F46" w14:textId="77777777" w:rsidTr="00C91ADA">
        <w:trPr>
          <w:trHeight w:val="1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FDBF6FC" w14:textId="77777777" w:rsidR="007118F5" w:rsidRPr="00DB3FE7" w:rsidRDefault="007118F5" w:rsidP="00533193">
            <w:pPr>
              <w:widowControl w:val="0"/>
              <w:rPr>
                <w:rFonts w:ascii="Arial Narrow" w:hAnsi="Arial Narrow"/>
                <w:sz w:val="20"/>
              </w:rPr>
            </w:pPr>
            <w:r w:rsidRPr="00DB3FE7">
              <w:rPr>
                <w:rFonts w:ascii="Arial Narrow" w:hAnsi="Arial Narrow"/>
                <w:b/>
                <w:bCs/>
                <w:sz w:val="20"/>
              </w:rPr>
              <w:t>PBS indication:</w:t>
            </w:r>
            <w:r w:rsidRPr="00DB3FE7">
              <w:rPr>
                <w:rFonts w:ascii="Arial Narrow" w:hAnsi="Arial Narrow"/>
                <w:sz w:val="20"/>
              </w:rPr>
              <w:t xml:space="preserve"> Non-familial hypercholesterolaemia</w:t>
            </w:r>
          </w:p>
        </w:tc>
      </w:tr>
      <w:tr w:rsidR="007118F5" w:rsidRPr="00DB3FE7" w14:paraId="609D6170" w14:textId="77777777" w:rsidTr="00C91ADA">
        <w:trPr>
          <w:trHeight w:val="134"/>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09E2E5FA" w14:textId="77777777" w:rsidR="007118F5" w:rsidRPr="00DB3FE7" w:rsidRDefault="007118F5" w:rsidP="00533193">
            <w:pPr>
              <w:widowControl w:val="0"/>
              <w:rPr>
                <w:rFonts w:ascii="Arial Narrow" w:hAnsi="Arial Narrow"/>
                <w:b/>
                <w:sz w:val="20"/>
              </w:rPr>
            </w:pPr>
          </w:p>
        </w:tc>
      </w:tr>
      <w:tr w:rsidR="007118F5" w:rsidRPr="00DB3FE7" w14:paraId="06A914B7" w14:textId="77777777" w:rsidTr="00C91ADA">
        <w:trPr>
          <w:trHeight w:val="23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A0A4294" w14:textId="77777777" w:rsidR="007118F5" w:rsidRPr="00DB3FE7" w:rsidRDefault="007118F5" w:rsidP="00533193">
            <w:pPr>
              <w:widowControl w:val="0"/>
              <w:rPr>
                <w:rFonts w:ascii="Arial Narrow" w:hAnsi="Arial Narrow"/>
                <w:b/>
                <w:sz w:val="20"/>
              </w:rPr>
            </w:pPr>
            <w:r w:rsidRPr="00DB3FE7">
              <w:rPr>
                <w:rFonts w:ascii="Arial Narrow" w:hAnsi="Arial Narrow"/>
                <w:b/>
                <w:sz w:val="20"/>
              </w:rPr>
              <w:t xml:space="preserve">Treatment phase: </w:t>
            </w:r>
            <w:r w:rsidRPr="00DB3FE7">
              <w:rPr>
                <w:rFonts w:ascii="Arial Narrow" w:hAnsi="Arial Narrow"/>
                <w:bCs/>
                <w:sz w:val="20"/>
              </w:rPr>
              <w:t>Continuing treatment with this drug or switching treatment from a monoclonal antibody inhibiting proprotein coverase subtilisin kexin type 9 (PSCK9) for this PBS indication</w:t>
            </w:r>
          </w:p>
        </w:tc>
      </w:tr>
      <w:tr w:rsidR="007118F5" w:rsidRPr="00DB3FE7" w14:paraId="60803F55" w14:textId="77777777" w:rsidTr="00C91ADA">
        <w:trPr>
          <w:trHeight w:val="146"/>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87EB8B1" w14:textId="77777777" w:rsidR="007118F5" w:rsidRPr="0042765C" w:rsidRDefault="007118F5" w:rsidP="00533193">
            <w:pPr>
              <w:widowControl w:val="0"/>
              <w:rPr>
                <w:rFonts w:ascii="Arial Narrow" w:hAnsi="Arial Narrow"/>
                <w:sz w:val="20"/>
              </w:rPr>
            </w:pPr>
            <w:r w:rsidRPr="00DB3FE7">
              <w:rPr>
                <w:rFonts w:ascii="Arial Narrow" w:hAnsi="Arial Narrow"/>
                <w:b/>
                <w:bCs/>
                <w:sz w:val="20"/>
                <w:szCs w:val="20"/>
              </w:rPr>
              <w:t xml:space="preserve">Restriction type: </w:t>
            </w:r>
            <w:r w:rsidRPr="009D5406">
              <w:rPr>
                <w:rFonts w:ascii="Arial Narrow" w:hAnsi="Arial Narrow"/>
                <w:sz w:val="20"/>
                <w:szCs w:val="20"/>
              </w:rPr>
              <w:fldChar w:fldCharType="begin" w:fldLock="1">
                <w:ffData>
                  <w:name w:val="Check5"/>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rPr>
              <w:t>Authority Required – STREAMLINED</w:t>
            </w:r>
          </w:p>
        </w:tc>
      </w:tr>
      <w:tr w:rsidR="007118F5" w:rsidRPr="00DB3FE7" w14:paraId="16D487C6"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536EAA5" w14:textId="77777777" w:rsidR="007118F5" w:rsidRPr="00DB3FE7" w:rsidRDefault="007118F5" w:rsidP="00533193">
            <w:pPr>
              <w:widowControl w:val="0"/>
              <w:rPr>
                <w:rFonts w:ascii="Arial Narrow" w:hAnsi="Arial Narrow"/>
                <w:sz w:val="20"/>
                <w:szCs w:val="20"/>
              </w:rPr>
            </w:pPr>
          </w:p>
        </w:tc>
      </w:tr>
      <w:tr w:rsidR="007118F5" w:rsidRPr="00DB3FE7" w14:paraId="4871D2BD"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01B755A"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Clinical criteria</w:t>
            </w:r>
          </w:p>
        </w:tc>
      </w:tr>
      <w:tr w:rsidR="007118F5" w:rsidRPr="00DB3FE7" w14:paraId="6FA06C4C"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DF37370"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Patient must have previously received PBS-subsidised treatment with this drug for this condition, OR</w:t>
            </w:r>
          </w:p>
        </w:tc>
      </w:tr>
      <w:tr w:rsidR="007118F5" w:rsidRPr="00DB3FE7" w14:paraId="1F103AB0" w14:textId="77777777" w:rsidTr="00C91ADA">
        <w:trPr>
          <w:trHeight w:val="42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79660E6"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Patient must have previously received PBS-subsidised treatment with a monoclonal antibody inhibiting proprotein convertase subtilisin kexin type 9 (PCSK9) for this PBS indication</w:t>
            </w:r>
          </w:p>
        </w:tc>
      </w:tr>
      <w:tr w:rsidR="007118F5" w:rsidRPr="00DB3FE7" w14:paraId="234AF3B8"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6B79309D"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AND</w:t>
            </w:r>
          </w:p>
        </w:tc>
      </w:tr>
      <w:tr w:rsidR="007118F5" w:rsidRPr="00DB3FE7" w14:paraId="200FFE44" w14:textId="77777777" w:rsidTr="00C91ADA">
        <w:trPr>
          <w:trHeight w:val="18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4CCE43E8"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Clinical criteria</w:t>
            </w:r>
          </w:p>
        </w:tc>
      </w:tr>
      <w:tr w:rsidR="007118F5" w:rsidRPr="00DB3FE7" w14:paraId="7CE875F1" w14:textId="77777777" w:rsidTr="00C91ADA">
        <w:trPr>
          <w:trHeight w:val="62"/>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5035BE0"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The treatment must be in conjunction with dietary therapy and exercise</w:t>
            </w:r>
          </w:p>
        </w:tc>
      </w:tr>
      <w:tr w:rsidR="007118F5" w:rsidRPr="00DB3FE7" w14:paraId="798C9B0F"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EF2895D"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 xml:space="preserve">AND </w:t>
            </w:r>
          </w:p>
        </w:tc>
      </w:tr>
      <w:tr w:rsidR="007118F5" w:rsidRPr="00DB3FE7" w14:paraId="36B50663" w14:textId="77777777" w:rsidTr="00C91ADA">
        <w:trPr>
          <w:trHeight w:val="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1585525A" w14:textId="77777777" w:rsidR="007118F5" w:rsidRPr="00DB3FE7" w:rsidRDefault="007118F5" w:rsidP="00533193">
            <w:pPr>
              <w:widowControl w:val="0"/>
              <w:rPr>
                <w:rFonts w:ascii="Arial Narrow" w:hAnsi="Arial Narrow"/>
                <w:b/>
                <w:bCs/>
                <w:sz w:val="20"/>
                <w:szCs w:val="20"/>
              </w:rPr>
            </w:pPr>
            <w:r w:rsidRPr="00DB3FE7">
              <w:rPr>
                <w:rFonts w:ascii="Arial Narrow" w:hAnsi="Arial Narrow"/>
                <w:b/>
                <w:bCs/>
                <w:sz w:val="20"/>
                <w:szCs w:val="20"/>
              </w:rPr>
              <w:t>Clinical criteria</w:t>
            </w:r>
          </w:p>
        </w:tc>
      </w:tr>
      <w:tr w:rsidR="007118F5" w:rsidRPr="00DB3FE7" w14:paraId="27038F83"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2048E19A" w14:textId="77777777" w:rsidR="007118F5" w:rsidRPr="00DB3FE7" w:rsidRDefault="007118F5" w:rsidP="00533193">
            <w:pPr>
              <w:widowControl w:val="0"/>
              <w:rPr>
                <w:rFonts w:ascii="Arial Narrow" w:hAnsi="Arial Narrow"/>
                <w:sz w:val="20"/>
                <w:szCs w:val="20"/>
              </w:rPr>
            </w:pPr>
            <w:r w:rsidRPr="00DB3FE7">
              <w:rPr>
                <w:rFonts w:ascii="Arial Narrow" w:hAnsi="Arial Narrow"/>
                <w:sz w:val="20"/>
                <w:szCs w:val="20"/>
              </w:rPr>
              <w:t>Patient must not be receiving concomitant PBS-subsidised treatment with a monoclonal antibody inhibiting proprotein convertase subtilisin kexin type 9 (PCSK9), for this PBS indication.</w:t>
            </w:r>
          </w:p>
        </w:tc>
      </w:tr>
      <w:tr w:rsidR="007118F5" w:rsidRPr="00DB3FE7" w14:paraId="75D58FB7" w14:textId="77777777" w:rsidTr="00C91ADA">
        <w:trPr>
          <w:trHeight w:val="158"/>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39A4797D" w14:textId="77777777" w:rsidR="007118F5" w:rsidRPr="00DB3FE7" w:rsidRDefault="007118F5" w:rsidP="00533193">
            <w:pPr>
              <w:widowControl w:val="0"/>
              <w:rPr>
                <w:rFonts w:ascii="Arial Narrow" w:hAnsi="Arial Narrow"/>
                <w:sz w:val="20"/>
                <w:szCs w:val="20"/>
              </w:rPr>
            </w:pPr>
          </w:p>
        </w:tc>
      </w:tr>
      <w:tr w:rsidR="007118F5" w:rsidRPr="00DB3FE7" w14:paraId="786DC0C6" w14:textId="77777777" w:rsidTr="00C91ADA">
        <w:trPr>
          <w:trHeight w:val="360"/>
        </w:trPr>
        <w:tc>
          <w:tcPr>
            <w:tcW w:w="9127" w:type="dxa"/>
            <w:gridSpan w:val="7"/>
            <w:tcBorders>
              <w:top w:val="single" w:sz="4" w:space="0" w:color="auto"/>
              <w:left w:val="single" w:sz="4" w:space="0" w:color="auto"/>
              <w:bottom w:val="single" w:sz="4" w:space="0" w:color="auto"/>
              <w:right w:val="single" w:sz="4" w:space="0" w:color="auto"/>
            </w:tcBorders>
            <w:tcMar>
              <w:left w:w="20" w:type="dxa"/>
              <w:right w:w="20" w:type="dxa"/>
            </w:tcMar>
          </w:tcPr>
          <w:p w14:paraId="59638B37" w14:textId="77777777" w:rsidR="007118F5" w:rsidRPr="00DB3FE7" w:rsidRDefault="007118F5" w:rsidP="00533193">
            <w:pPr>
              <w:widowControl w:val="0"/>
              <w:rPr>
                <w:rFonts w:ascii="Arial Narrow" w:hAnsi="Arial Narrow"/>
                <w:b/>
                <w:bCs/>
                <w:i/>
                <w:iCs/>
                <w:sz w:val="20"/>
                <w:szCs w:val="20"/>
              </w:rPr>
            </w:pPr>
            <w:r w:rsidRPr="00DB3FE7">
              <w:rPr>
                <w:rFonts w:ascii="Arial Narrow" w:hAnsi="Arial Narrow"/>
                <w:b/>
                <w:bCs/>
                <w:i/>
                <w:iCs/>
                <w:sz w:val="20"/>
                <w:szCs w:val="20"/>
              </w:rPr>
              <w:t>Prescriber instructions:</w:t>
            </w:r>
          </w:p>
          <w:p w14:paraId="5AE0AD85" w14:textId="77777777" w:rsidR="007118F5" w:rsidRPr="00DB3FE7" w:rsidRDefault="007118F5" w:rsidP="00533193">
            <w:pPr>
              <w:widowControl w:val="0"/>
              <w:rPr>
                <w:rFonts w:ascii="Arial Narrow" w:hAnsi="Arial Narrow"/>
                <w:i/>
                <w:iCs/>
                <w:sz w:val="20"/>
                <w:szCs w:val="20"/>
              </w:rPr>
            </w:pPr>
            <w:r w:rsidRPr="00DB3FE7">
              <w:rPr>
                <w:rFonts w:ascii="Arial Narrow" w:hAnsi="Arial Narrow"/>
                <w:i/>
                <w:iCs/>
                <w:sz w:val="20"/>
              </w:rPr>
              <w:t>Monoclonal antibody inhibiting proprotein convertase subtilisin kexin type 9 (PCSK9) medications are evolocumab or alirocumab</w:t>
            </w:r>
          </w:p>
        </w:tc>
      </w:tr>
    </w:tbl>
    <w:p w14:paraId="258956A1" w14:textId="77777777" w:rsidR="002D6E52" w:rsidRPr="00DB3FE7" w:rsidRDefault="002D6E52" w:rsidP="002D6E52"/>
    <w:tbl>
      <w:tblPr>
        <w:tblpPr w:leftFromText="180" w:rightFromText="180" w:vertAnchor="text" w:tblpY="1"/>
        <w:tblOverlap w:val="never"/>
        <w:tblW w:w="9122" w:type="dxa"/>
        <w:tblLayout w:type="fixed"/>
        <w:tblLook w:val="0000" w:firstRow="0" w:lastRow="0" w:firstColumn="0" w:lastColumn="0" w:noHBand="0" w:noVBand="0"/>
      </w:tblPr>
      <w:tblGrid>
        <w:gridCol w:w="3480"/>
        <w:gridCol w:w="1320"/>
        <w:gridCol w:w="1080"/>
        <w:gridCol w:w="960"/>
        <w:gridCol w:w="960"/>
        <w:gridCol w:w="1322"/>
      </w:tblGrid>
      <w:tr w:rsidR="002D6E52" w:rsidRPr="00DB3FE7" w14:paraId="06FF2F1D" w14:textId="77777777" w:rsidTr="00C91ADA">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20CD2B24" w14:textId="77777777" w:rsidR="002D6E52" w:rsidRPr="00DB3FE7" w:rsidRDefault="002D6E52">
            <w:pPr>
              <w:widowControl w:val="0"/>
              <w:rPr>
                <w:rFonts w:ascii="Arial Narrow" w:hAnsi="Arial Narrow"/>
                <w:b/>
                <w:bCs/>
                <w:sz w:val="20"/>
              </w:rPr>
            </w:pPr>
            <w:r w:rsidRPr="00DB3FE7">
              <w:rPr>
                <w:rFonts w:ascii="Arial Narrow" w:hAnsi="Arial Narrow"/>
                <w:b/>
                <w:bCs/>
                <w:sz w:val="20"/>
              </w:rPr>
              <w:t>Name, Restriction,</w:t>
            </w:r>
          </w:p>
          <w:p w14:paraId="79FCD6F2" w14:textId="77777777" w:rsidR="002D6E52" w:rsidRPr="00DB3FE7" w:rsidRDefault="002D6E52">
            <w:pPr>
              <w:widowControl w:val="0"/>
              <w:rPr>
                <w:rFonts w:ascii="Arial Narrow" w:hAnsi="Arial Narrow"/>
                <w:b/>
                <w:bCs/>
                <w:sz w:val="20"/>
              </w:rPr>
            </w:pPr>
            <w:r w:rsidRPr="00DB3FE7">
              <w:rPr>
                <w:rFonts w:ascii="Arial Narrow" w:hAnsi="Arial Narrow"/>
                <w:b/>
                <w:bCs/>
                <w:sz w:val="20"/>
              </w:rPr>
              <w:t>Manner of administration and form</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73CEFE11" w14:textId="77777777" w:rsidR="002D6E52" w:rsidRPr="00DB3FE7" w:rsidRDefault="002D6E52">
            <w:pPr>
              <w:widowControl w:val="0"/>
              <w:jc w:val="center"/>
              <w:rPr>
                <w:rFonts w:ascii="Arial Narrow" w:hAnsi="Arial Narrow"/>
                <w:b/>
                <w:bCs/>
                <w:sz w:val="20"/>
              </w:rPr>
            </w:pPr>
            <w:r w:rsidRPr="00DB3FE7">
              <w:rPr>
                <w:rFonts w:ascii="Arial Narrow" w:hAnsi="Arial Narrow"/>
                <w:b/>
                <w:bCs/>
                <w:sz w:val="20"/>
              </w:rPr>
              <w:t>PBS item code</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66F5D1A0" w14:textId="77777777" w:rsidR="002D6E52" w:rsidRPr="00DB3FE7" w:rsidRDefault="002D6E52">
            <w:pPr>
              <w:widowControl w:val="0"/>
              <w:jc w:val="center"/>
              <w:rPr>
                <w:rFonts w:ascii="Arial Narrow" w:hAnsi="Arial Narrow"/>
                <w:b/>
                <w:bCs/>
                <w:sz w:val="20"/>
              </w:rPr>
            </w:pPr>
            <w:r w:rsidRPr="00DB3FE7">
              <w:rPr>
                <w:rFonts w:ascii="Arial Narrow" w:hAnsi="Arial Narrow"/>
                <w:b/>
                <w:bCs/>
                <w:sz w:val="20"/>
              </w:rPr>
              <w:t>Max. qty (packs)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7F77E646" w14:textId="77777777" w:rsidR="002D6E52" w:rsidRPr="00DB3FE7" w:rsidRDefault="002D6E52">
            <w:pPr>
              <w:widowControl w:val="0"/>
              <w:jc w:val="center"/>
              <w:rPr>
                <w:rFonts w:ascii="Arial Narrow" w:hAnsi="Arial Narrow"/>
                <w:b/>
                <w:bCs/>
                <w:sz w:val="20"/>
              </w:rPr>
            </w:pPr>
            <w:r w:rsidRPr="00DB3FE7">
              <w:rPr>
                <w:rFonts w:ascii="Arial Narrow" w:hAnsi="Arial Narrow"/>
                <w:b/>
                <w:bCs/>
                <w:sz w:val="20"/>
              </w:rPr>
              <w:t>Max. qty (units)</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35CA1500" w14:textId="77777777" w:rsidR="002D6E52" w:rsidRPr="00DB3FE7" w:rsidRDefault="002D6E52">
            <w:pPr>
              <w:widowControl w:val="0"/>
              <w:jc w:val="center"/>
              <w:rPr>
                <w:rFonts w:ascii="Arial Narrow" w:hAnsi="Arial Narrow"/>
                <w:b/>
                <w:bCs/>
                <w:sz w:val="20"/>
              </w:rPr>
            </w:pPr>
            <w:r w:rsidRPr="00DB3FE7">
              <w:rPr>
                <w:rFonts w:ascii="Arial Narrow" w:hAnsi="Arial Narrow"/>
                <w:b/>
                <w:bCs/>
                <w:sz w:val="20"/>
              </w:rPr>
              <w:t>№. of</w:t>
            </w:r>
          </w:p>
          <w:p w14:paraId="2494675C" w14:textId="77777777" w:rsidR="002D6E52" w:rsidRPr="00DB3FE7" w:rsidRDefault="002D6E52">
            <w:pPr>
              <w:widowControl w:val="0"/>
              <w:jc w:val="center"/>
              <w:rPr>
                <w:rFonts w:ascii="Arial Narrow" w:hAnsi="Arial Narrow"/>
                <w:b/>
                <w:bCs/>
                <w:sz w:val="20"/>
              </w:rPr>
            </w:pPr>
            <w:r w:rsidRPr="00DB3FE7">
              <w:rPr>
                <w:rFonts w:ascii="Arial Narrow" w:hAnsi="Arial Narrow"/>
                <w:b/>
                <w:bCs/>
                <w:sz w:val="20"/>
              </w:rPr>
              <w:t>Rpts</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6C4DFD66" w14:textId="77777777" w:rsidR="002D6E52" w:rsidRPr="00C91ADA" w:rsidRDefault="002D6E52">
            <w:pPr>
              <w:widowControl w:val="0"/>
              <w:jc w:val="center"/>
              <w:rPr>
                <w:rFonts w:ascii="Arial Narrow" w:hAnsi="Arial Narrow"/>
                <w:b/>
                <w:bCs/>
                <w:sz w:val="20"/>
              </w:rPr>
            </w:pPr>
            <w:r w:rsidRPr="00DB3FE7">
              <w:rPr>
                <w:rFonts w:ascii="Arial Narrow" w:hAnsi="Arial Narrow"/>
                <w:b/>
                <w:bCs/>
                <w:sz w:val="20"/>
              </w:rPr>
              <w:t>Available brands</w:t>
            </w:r>
          </w:p>
        </w:tc>
      </w:tr>
      <w:tr w:rsidR="002D6E52" w:rsidRPr="00DB3FE7" w14:paraId="6E013D28" w14:textId="77777777" w:rsidTr="00C91ADA">
        <w:tc>
          <w:tcPr>
            <w:tcW w:w="9120"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6BF2529" w14:textId="77777777" w:rsidR="002D6E52" w:rsidRPr="00DB3FE7" w:rsidRDefault="002D6E52">
            <w:pPr>
              <w:widowControl w:val="0"/>
              <w:rPr>
                <w:rFonts w:ascii="Arial Narrow" w:hAnsi="Arial Narrow"/>
                <w:b/>
                <w:bCs/>
                <w:sz w:val="20"/>
              </w:rPr>
            </w:pPr>
            <w:r w:rsidRPr="00DB3FE7">
              <w:rPr>
                <w:rFonts w:ascii="Arial Narrow" w:hAnsi="Arial Narrow"/>
                <w:b/>
                <w:bCs/>
                <w:sz w:val="20"/>
              </w:rPr>
              <w:t>INCLISIRAN</w:t>
            </w:r>
          </w:p>
        </w:tc>
      </w:tr>
      <w:tr w:rsidR="002D6E52" w:rsidRPr="00DB3FE7" w14:paraId="2DB7806E" w14:textId="77777777" w:rsidTr="00C91ADA">
        <w:tc>
          <w:tcPr>
            <w:tcW w:w="3480" w:type="dxa"/>
            <w:tcBorders>
              <w:top w:val="single" w:sz="4" w:space="0" w:color="auto"/>
              <w:left w:val="single" w:sz="4" w:space="0" w:color="auto"/>
              <w:bottom w:val="single" w:sz="4" w:space="0" w:color="auto"/>
              <w:right w:val="single" w:sz="4" w:space="0" w:color="auto"/>
            </w:tcBorders>
            <w:tcMar>
              <w:left w:w="20" w:type="dxa"/>
              <w:right w:w="20" w:type="dxa"/>
            </w:tcMar>
          </w:tcPr>
          <w:p w14:paraId="40940844" w14:textId="77777777" w:rsidR="002D6E52" w:rsidRPr="00DB3FE7" w:rsidRDefault="002D6E52">
            <w:pPr>
              <w:widowControl w:val="0"/>
              <w:rPr>
                <w:rFonts w:ascii="Arial Narrow" w:hAnsi="Arial Narrow"/>
                <w:sz w:val="20"/>
              </w:rPr>
            </w:pPr>
            <w:r w:rsidRPr="00DB3FE7">
              <w:rPr>
                <w:rFonts w:ascii="Arial Narrow" w:hAnsi="Arial Narrow"/>
                <w:sz w:val="20"/>
              </w:rPr>
              <w:t>inclisiran 284 mg/1.5mL injection, 1.5 mL prefilled syringe</w:t>
            </w: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0A0DDF5D" w14:textId="77777777" w:rsidR="002D6E52" w:rsidRPr="00DB3FE7" w:rsidRDefault="002D6E52">
            <w:pPr>
              <w:widowControl w:val="0"/>
              <w:jc w:val="center"/>
              <w:rPr>
                <w:rFonts w:ascii="Arial Narrow" w:hAnsi="Arial Narrow"/>
                <w:sz w:val="20"/>
              </w:rPr>
            </w:pPr>
            <w:r w:rsidRPr="00DB3FE7">
              <w:rPr>
                <w:rFonts w:ascii="Arial Narrow" w:hAnsi="Arial Narrow"/>
                <w:sz w:val="20"/>
              </w:rPr>
              <w:t>New</w:t>
            </w:r>
          </w:p>
        </w:tc>
        <w:tc>
          <w:tcPr>
            <w:tcW w:w="1080" w:type="dxa"/>
            <w:tcBorders>
              <w:top w:val="single" w:sz="4" w:space="0" w:color="auto"/>
              <w:left w:val="single" w:sz="4" w:space="0" w:color="auto"/>
              <w:bottom w:val="single" w:sz="4" w:space="0" w:color="auto"/>
              <w:right w:val="single" w:sz="4" w:space="0" w:color="auto"/>
            </w:tcBorders>
            <w:tcMar>
              <w:left w:w="20" w:type="dxa"/>
              <w:right w:w="20" w:type="dxa"/>
            </w:tcMar>
          </w:tcPr>
          <w:p w14:paraId="513EB146" w14:textId="77777777" w:rsidR="002D6E52" w:rsidRPr="00DB3FE7" w:rsidRDefault="002D6E52">
            <w:pPr>
              <w:widowControl w:val="0"/>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6D23B700" w14:textId="77777777" w:rsidR="002D6E52" w:rsidRPr="00DB3FE7" w:rsidRDefault="002D6E52">
            <w:pPr>
              <w:widowControl w:val="0"/>
              <w:jc w:val="center"/>
              <w:rPr>
                <w:rFonts w:ascii="Arial Narrow" w:hAnsi="Arial Narrow"/>
                <w:sz w:val="20"/>
              </w:rPr>
            </w:pPr>
            <w:r w:rsidRPr="00DB3FE7">
              <w:rPr>
                <w:rFonts w:ascii="Arial Narrow" w:hAnsi="Arial Narrow"/>
                <w:sz w:val="20"/>
              </w:rPr>
              <w:t>1</w:t>
            </w:r>
          </w:p>
        </w:tc>
        <w:tc>
          <w:tcPr>
            <w:tcW w:w="960" w:type="dxa"/>
            <w:tcBorders>
              <w:top w:val="single" w:sz="4" w:space="0" w:color="auto"/>
              <w:left w:val="single" w:sz="4" w:space="0" w:color="auto"/>
              <w:bottom w:val="single" w:sz="4" w:space="0" w:color="auto"/>
              <w:right w:val="single" w:sz="4" w:space="0" w:color="auto"/>
            </w:tcBorders>
            <w:tcMar>
              <w:left w:w="20" w:type="dxa"/>
              <w:right w:w="20" w:type="dxa"/>
            </w:tcMar>
          </w:tcPr>
          <w:p w14:paraId="0E305C69" w14:textId="77777777" w:rsidR="002D6E52" w:rsidRPr="00DB3FE7" w:rsidRDefault="002D6E52">
            <w:pPr>
              <w:widowControl w:val="0"/>
              <w:jc w:val="center"/>
              <w:rPr>
                <w:rFonts w:ascii="Arial Narrow" w:hAnsi="Arial Narrow"/>
                <w:sz w:val="20"/>
              </w:rPr>
            </w:pPr>
            <w:r w:rsidRPr="00DB3FE7">
              <w:rPr>
                <w:rFonts w:ascii="Arial Narrow" w:hAnsi="Arial Narrow"/>
                <w:sz w:val="20"/>
              </w:rPr>
              <w:t>1</w:t>
            </w:r>
          </w:p>
          <w:p w14:paraId="7055E0B6" w14:textId="77777777" w:rsidR="002D6E52" w:rsidRPr="00DB3FE7" w:rsidRDefault="002D6E52">
            <w:pPr>
              <w:widowControl w:val="0"/>
              <w:jc w:val="center"/>
              <w:rPr>
                <w:rFonts w:ascii="Arial Narrow" w:hAnsi="Arial Narrow"/>
                <w:sz w:val="20"/>
              </w:rPr>
            </w:pPr>
          </w:p>
        </w:tc>
        <w:tc>
          <w:tcPr>
            <w:tcW w:w="1320" w:type="dxa"/>
            <w:tcBorders>
              <w:top w:val="single" w:sz="4" w:space="0" w:color="auto"/>
              <w:left w:val="single" w:sz="4" w:space="0" w:color="auto"/>
              <w:bottom w:val="single" w:sz="4" w:space="0" w:color="auto"/>
              <w:right w:val="single" w:sz="4" w:space="0" w:color="auto"/>
            </w:tcBorders>
            <w:tcMar>
              <w:left w:w="20" w:type="dxa"/>
              <w:right w:w="20" w:type="dxa"/>
            </w:tcMar>
          </w:tcPr>
          <w:p w14:paraId="299AABA4" w14:textId="77777777" w:rsidR="002D6E52" w:rsidRPr="00DB3FE7" w:rsidRDefault="002D6E52">
            <w:pPr>
              <w:widowControl w:val="0"/>
              <w:jc w:val="center"/>
              <w:rPr>
                <w:rFonts w:ascii="Arial Narrow" w:hAnsi="Arial Narrow"/>
                <w:sz w:val="20"/>
              </w:rPr>
            </w:pPr>
            <w:r w:rsidRPr="00DB3FE7">
              <w:rPr>
                <w:rFonts w:ascii="Arial Narrow" w:hAnsi="Arial Narrow"/>
                <w:sz w:val="20"/>
              </w:rPr>
              <w:t>Leqvio</w:t>
            </w:r>
            <w:r w:rsidRPr="00DB3FE7">
              <w:rPr>
                <w:rFonts w:ascii="Arial Narrow" w:hAnsi="Arial Narrow"/>
                <w:sz w:val="20"/>
                <w:vertAlign w:val="superscript"/>
              </w:rPr>
              <w:t>®</w:t>
            </w:r>
          </w:p>
        </w:tc>
      </w:tr>
      <w:tr w:rsidR="007118F5" w:rsidRPr="00DB3FE7" w14:paraId="50F57152"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2C6F9D62" w14:textId="77777777" w:rsidR="007118F5" w:rsidRPr="00DB3FE7" w:rsidRDefault="007118F5">
            <w:pPr>
              <w:widowControl w:val="0"/>
              <w:rPr>
                <w:rFonts w:ascii="Arial Narrow" w:hAnsi="Arial Narrow"/>
                <w:sz w:val="20"/>
              </w:rPr>
            </w:pPr>
            <w:r w:rsidRPr="00DB3FE7">
              <w:rPr>
                <w:rFonts w:ascii="Arial Narrow" w:hAnsi="Arial Narrow"/>
                <w:b/>
                <w:bCs/>
                <w:sz w:val="20"/>
              </w:rPr>
              <w:t>Category / Program:</w:t>
            </w:r>
            <w:r w:rsidRPr="00DB3FE7">
              <w:rPr>
                <w:rFonts w:ascii="Arial Narrow" w:hAnsi="Arial Narrow"/>
                <w:sz w:val="20"/>
              </w:rPr>
              <w:t xml:space="preserve"> GENERAL – General Schedule (Code GE)</w:t>
            </w:r>
          </w:p>
        </w:tc>
      </w:tr>
      <w:tr w:rsidR="007118F5" w:rsidRPr="00DB3FE7" w14:paraId="12C1E643"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57E20EC" w14:textId="5290F702" w:rsidR="007118F5" w:rsidRPr="0042765C" w:rsidRDefault="007118F5">
            <w:pPr>
              <w:widowControl w:val="0"/>
              <w:rPr>
                <w:rFonts w:ascii="Arial Narrow" w:hAnsi="Arial Narrow"/>
                <w:sz w:val="20"/>
              </w:rPr>
            </w:pPr>
            <w:r w:rsidRPr="00DB3FE7">
              <w:rPr>
                <w:rFonts w:ascii="Arial Narrow" w:hAnsi="Arial Narrow"/>
                <w:b/>
                <w:sz w:val="20"/>
                <w:szCs w:val="20"/>
              </w:rPr>
              <w:t xml:space="preserve">Prescriber type: </w:t>
            </w:r>
            <w:r w:rsidRPr="009D5406">
              <w:rPr>
                <w:rFonts w:ascii="Arial Narrow" w:hAnsi="Arial Narrow"/>
                <w:sz w:val="20"/>
                <w:szCs w:val="20"/>
              </w:rPr>
              <w:fldChar w:fldCharType="begin" w:fldLock="1">
                <w:ffData>
                  <w:name w:val=""/>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szCs w:val="20"/>
              </w:rPr>
              <w:t>Medical Practitioners</w:t>
            </w:r>
          </w:p>
        </w:tc>
      </w:tr>
      <w:tr w:rsidR="007118F5" w:rsidRPr="00DB3FE7" w14:paraId="05565709"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3CF7B137" w14:textId="77777777" w:rsidR="007118F5" w:rsidRPr="00DB3FE7" w:rsidRDefault="007118F5">
            <w:pPr>
              <w:pStyle w:val="TableText"/>
              <w:keepNext w:val="0"/>
              <w:widowControl w:val="0"/>
              <w:rPr>
                <w:rFonts w:cs="Times New Roman"/>
                <w:b/>
                <w:szCs w:val="20"/>
              </w:rPr>
            </w:pPr>
            <w:r w:rsidRPr="00DB3FE7">
              <w:rPr>
                <w:b/>
                <w:szCs w:val="20"/>
              </w:rPr>
              <w:t xml:space="preserve">Administrative Advice: </w:t>
            </w:r>
            <w:r w:rsidRPr="00DB3FE7">
              <w:rPr>
                <w:szCs w:val="20"/>
              </w:rPr>
              <w:t>No increase in the maximum quantity or number of units may be authorised.</w:t>
            </w:r>
          </w:p>
        </w:tc>
      </w:tr>
      <w:tr w:rsidR="007118F5" w:rsidRPr="00DB3FE7" w14:paraId="2E125040"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1DD9E66" w14:textId="77777777" w:rsidR="007118F5" w:rsidRPr="00DB3FE7" w:rsidRDefault="007118F5">
            <w:pPr>
              <w:pStyle w:val="TableText"/>
              <w:keepNext w:val="0"/>
              <w:widowControl w:val="0"/>
              <w:rPr>
                <w:rFonts w:cs="Times New Roman"/>
                <w:b/>
                <w:szCs w:val="20"/>
              </w:rPr>
            </w:pPr>
            <w:r w:rsidRPr="00DB3FE7">
              <w:rPr>
                <w:rStyle w:val="Strong"/>
                <w:szCs w:val="20"/>
              </w:rPr>
              <w:t>Administrative Advice:</w:t>
            </w:r>
            <w:r w:rsidRPr="00DB3FE7">
              <w:rPr>
                <w:szCs w:val="20"/>
              </w:rPr>
              <w:t xml:space="preserve"> No increase in the maximum number of repeats may be authorised.</w:t>
            </w:r>
          </w:p>
        </w:tc>
      </w:tr>
      <w:tr w:rsidR="007118F5" w:rsidRPr="00DB3FE7" w14:paraId="651F2E20" w14:textId="77777777" w:rsidTr="00C91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0E516F15" w14:textId="77777777" w:rsidR="007118F5" w:rsidRPr="00DB3FE7" w:rsidRDefault="007118F5">
            <w:pPr>
              <w:pStyle w:val="TableText"/>
              <w:keepNext w:val="0"/>
              <w:widowControl w:val="0"/>
              <w:rPr>
                <w:rFonts w:cs="Times New Roman"/>
                <w:b/>
                <w:szCs w:val="20"/>
              </w:rPr>
            </w:pPr>
            <w:r w:rsidRPr="00DB3FE7">
              <w:rPr>
                <w:rStyle w:val="Strong"/>
                <w:szCs w:val="20"/>
              </w:rPr>
              <w:t>Administrative Advice:</w:t>
            </w:r>
            <w:r w:rsidRPr="00DB3FE7">
              <w:rPr>
                <w:szCs w:val="20"/>
              </w:rPr>
              <w:t xml:space="preserve"> Special Pricing Arrangements apply.</w:t>
            </w:r>
          </w:p>
        </w:tc>
      </w:tr>
      <w:tr w:rsidR="007118F5" w:rsidRPr="00DB3FE7" w14:paraId="218BA59B"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F70481F" w14:textId="77777777" w:rsidR="007118F5" w:rsidRPr="008274F2" w:rsidRDefault="007118F5">
            <w:pPr>
              <w:widowControl w:val="0"/>
              <w:rPr>
                <w:rFonts w:ascii="Arial Narrow" w:hAnsi="Arial Narrow"/>
                <w:b/>
                <w:i/>
                <w:iCs/>
                <w:sz w:val="20"/>
              </w:rPr>
            </w:pPr>
            <w:r w:rsidRPr="00DB3FE7">
              <w:rPr>
                <w:rFonts w:ascii="Arial Narrow" w:hAnsi="Arial Narrow"/>
                <w:b/>
                <w:i/>
                <w:iCs/>
                <w:sz w:val="20"/>
              </w:rPr>
              <w:t xml:space="preserve">Administrative Advice: </w:t>
            </w:r>
            <w:r w:rsidRPr="00DB3FE7">
              <w:rPr>
                <w:rFonts w:ascii="Arial Narrow" w:hAnsi="Arial Narrow"/>
                <w:bCs/>
                <w:i/>
                <w:iCs/>
                <w:sz w:val="20"/>
              </w:rPr>
              <w:t xml:space="preserve">Application for authorisation under this restriction may be made in real time using the Online PBS Authorities system (see </w:t>
            </w:r>
            <w:hyperlink r:id="rId23" w:history="1">
              <w:r w:rsidRPr="0042765C">
                <w:rPr>
                  <w:rStyle w:val="Hyperlink"/>
                  <w:rFonts w:ascii="Arial Narrow" w:hAnsi="Arial Narrow"/>
                  <w:bCs/>
                  <w:i/>
                  <w:iCs/>
                  <w:sz w:val="20"/>
                </w:rPr>
                <w:t>www.servicesaustralia.gov.au/HPOS</w:t>
              </w:r>
            </w:hyperlink>
            <w:r w:rsidRPr="0042765C">
              <w:rPr>
                <w:rFonts w:ascii="Arial Narrow" w:hAnsi="Arial Narrow"/>
                <w:bCs/>
                <w:i/>
                <w:iCs/>
                <w:sz w:val="20"/>
              </w:rPr>
              <w:t xml:space="preserve">) or by telephone by contacting </w:t>
            </w:r>
            <w:r w:rsidRPr="00352E1C">
              <w:rPr>
                <w:rFonts w:ascii="Arial Narrow" w:hAnsi="Arial Narrow"/>
                <w:bCs/>
                <w:i/>
                <w:iCs/>
                <w:sz w:val="20"/>
              </w:rPr>
              <w:t>Services Australia on 1800 888 333.</w:t>
            </w:r>
          </w:p>
        </w:tc>
      </w:tr>
      <w:tr w:rsidR="007118F5" w:rsidRPr="00DB3FE7" w14:paraId="48EB8B0D"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7BEAC79" w14:textId="77777777" w:rsidR="007118F5" w:rsidRPr="00DB3FE7" w:rsidRDefault="007118F5">
            <w:pPr>
              <w:widowControl w:val="0"/>
              <w:rPr>
                <w:rFonts w:ascii="Arial Narrow" w:hAnsi="Arial Narrow"/>
                <w:b/>
                <w:sz w:val="20"/>
              </w:rPr>
            </w:pPr>
          </w:p>
        </w:tc>
      </w:tr>
      <w:tr w:rsidR="007118F5" w:rsidRPr="00DB3FE7" w14:paraId="551E76B2"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00B85F3" w14:textId="77777777" w:rsidR="007118F5" w:rsidRPr="00DB3FE7" w:rsidRDefault="007118F5">
            <w:pPr>
              <w:widowControl w:val="0"/>
              <w:rPr>
                <w:rFonts w:ascii="Arial Narrow" w:hAnsi="Arial Narrow"/>
                <w:strike/>
                <w:sz w:val="20"/>
              </w:rPr>
            </w:pPr>
            <w:r w:rsidRPr="00DB3FE7">
              <w:rPr>
                <w:rFonts w:ascii="Arial Narrow" w:hAnsi="Arial Narrow"/>
                <w:b/>
                <w:bCs/>
                <w:strike/>
                <w:sz w:val="20"/>
              </w:rPr>
              <w:t>Episodicity:</w:t>
            </w:r>
            <w:r w:rsidRPr="00DB3FE7">
              <w:rPr>
                <w:rFonts w:ascii="Arial Narrow" w:hAnsi="Arial Narrow"/>
                <w:strike/>
                <w:sz w:val="20"/>
              </w:rPr>
              <w:t xml:space="preserve"> Chronic</w:t>
            </w:r>
          </w:p>
        </w:tc>
      </w:tr>
      <w:tr w:rsidR="007118F5" w:rsidRPr="00DB3FE7" w14:paraId="7B038B53"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32A4E575" w14:textId="77777777" w:rsidR="007118F5" w:rsidRPr="00DB3FE7" w:rsidRDefault="007118F5">
            <w:pPr>
              <w:widowControl w:val="0"/>
              <w:rPr>
                <w:rFonts w:ascii="Arial Narrow" w:hAnsi="Arial Narrow"/>
                <w:strike/>
                <w:sz w:val="20"/>
              </w:rPr>
            </w:pPr>
            <w:r w:rsidRPr="00DB3FE7">
              <w:rPr>
                <w:rFonts w:ascii="Arial Narrow" w:hAnsi="Arial Narrow"/>
                <w:b/>
                <w:bCs/>
                <w:strike/>
                <w:sz w:val="20"/>
              </w:rPr>
              <w:t>Severity:</w:t>
            </w:r>
            <w:r w:rsidRPr="00DB3FE7">
              <w:rPr>
                <w:rFonts w:ascii="Arial Narrow" w:hAnsi="Arial Narrow"/>
                <w:strike/>
                <w:sz w:val="20"/>
              </w:rPr>
              <w:t xml:space="preserve"> Nil</w:t>
            </w:r>
          </w:p>
        </w:tc>
      </w:tr>
      <w:tr w:rsidR="007118F5" w:rsidRPr="00DB3FE7" w14:paraId="3901367F"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1EA4F2BE" w14:textId="77777777" w:rsidR="007118F5" w:rsidRPr="00DB3FE7" w:rsidRDefault="007118F5">
            <w:pPr>
              <w:widowControl w:val="0"/>
              <w:rPr>
                <w:rFonts w:ascii="Arial Narrow" w:hAnsi="Arial Narrow"/>
                <w:sz w:val="20"/>
              </w:rPr>
            </w:pPr>
            <w:r w:rsidRPr="00DB3FE7">
              <w:rPr>
                <w:rFonts w:ascii="Arial Narrow" w:hAnsi="Arial Narrow"/>
                <w:b/>
                <w:bCs/>
                <w:sz w:val="20"/>
              </w:rPr>
              <w:t>Condition:</w:t>
            </w:r>
            <w:r w:rsidRPr="00DB3FE7">
              <w:rPr>
                <w:rFonts w:ascii="Arial Narrow" w:hAnsi="Arial Narrow"/>
                <w:sz w:val="20"/>
              </w:rPr>
              <w:t xml:space="preserve"> Non-familial hypercholesterolaemia</w:t>
            </w:r>
          </w:p>
        </w:tc>
      </w:tr>
      <w:tr w:rsidR="007118F5" w:rsidRPr="00DB3FE7" w14:paraId="589072AE"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1E3E56B0" w14:textId="77777777" w:rsidR="007118F5" w:rsidRPr="00DB3FE7" w:rsidRDefault="007118F5">
            <w:pPr>
              <w:widowControl w:val="0"/>
              <w:rPr>
                <w:rFonts w:ascii="Arial Narrow" w:hAnsi="Arial Narrow"/>
                <w:sz w:val="20"/>
              </w:rPr>
            </w:pPr>
            <w:r w:rsidRPr="00DB3FE7">
              <w:rPr>
                <w:rFonts w:ascii="Arial Narrow" w:hAnsi="Arial Narrow"/>
                <w:b/>
                <w:bCs/>
                <w:sz w:val="20"/>
              </w:rPr>
              <w:t>PBS indication:</w:t>
            </w:r>
            <w:r w:rsidRPr="00DB3FE7">
              <w:rPr>
                <w:rFonts w:ascii="Arial Narrow" w:hAnsi="Arial Narrow"/>
                <w:sz w:val="20"/>
              </w:rPr>
              <w:t xml:space="preserve"> Non-familial hypercholesterolaemia</w:t>
            </w:r>
          </w:p>
        </w:tc>
      </w:tr>
      <w:tr w:rsidR="007118F5" w:rsidRPr="00DB3FE7" w14:paraId="1B52BCB4"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D75628D" w14:textId="77777777" w:rsidR="007118F5" w:rsidRPr="00DB3FE7" w:rsidRDefault="007118F5">
            <w:pPr>
              <w:widowControl w:val="0"/>
              <w:rPr>
                <w:rFonts w:ascii="Arial Narrow" w:hAnsi="Arial Narrow"/>
                <w:b/>
                <w:sz w:val="20"/>
              </w:rPr>
            </w:pPr>
          </w:p>
        </w:tc>
      </w:tr>
      <w:tr w:rsidR="007118F5" w:rsidRPr="00DB3FE7" w14:paraId="5020602D"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28293699" w14:textId="77777777" w:rsidR="007118F5" w:rsidRPr="00DB3FE7" w:rsidRDefault="007118F5">
            <w:pPr>
              <w:widowControl w:val="0"/>
              <w:rPr>
                <w:rFonts w:ascii="Arial Narrow" w:hAnsi="Arial Narrow"/>
                <w:b/>
                <w:sz w:val="20"/>
              </w:rPr>
            </w:pPr>
            <w:r w:rsidRPr="00DB3FE7">
              <w:rPr>
                <w:rFonts w:ascii="Arial Narrow" w:hAnsi="Arial Narrow"/>
                <w:b/>
                <w:sz w:val="20"/>
              </w:rPr>
              <w:t xml:space="preserve">Treatment phase: </w:t>
            </w:r>
            <w:r w:rsidRPr="00DB3FE7">
              <w:rPr>
                <w:rFonts w:ascii="Arial Narrow" w:hAnsi="Arial Narrow"/>
                <w:bCs/>
                <w:sz w:val="20"/>
              </w:rPr>
              <w:t>Grandfather treatment</w:t>
            </w:r>
            <w:r w:rsidRPr="00DB3FE7">
              <w:rPr>
                <w:rFonts w:ascii="Arial Narrow" w:hAnsi="Arial Narrow"/>
                <w:b/>
                <w:sz w:val="20"/>
              </w:rPr>
              <w:t xml:space="preserve"> </w:t>
            </w:r>
          </w:p>
        </w:tc>
      </w:tr>
      <w:tr w:rsidR="007118F5" w:rsidRPr="00DB3FE7" w14:paraId="7731A883"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A77F653" w14:textId="77777777" w:rsidR="007118F5" w:rsidRPr="00D2286B" w:rsidRDefault="007118F5">
            <w:pPr>
              <w:widowControl w:val="0"/>
              <w:rPr>
                <w:rFonts w:ascii="Arial Narrow" w:hAnsi="Arial Narrow"/>
                <w:sz w:val="20"/>
              </w:rPr>
            </w:pPr>
            <w:r w:rsidRPr="009D5406">
              <w:rPr>
                <w:rFonts w:ascii="Arial Narrow" w:hAnsi="Arial Narrow"/>
                <w:sz w:val="20"/>
                <w:szCs w:val="20"/>
              </w:rPr>
              <w:fldChar w:fldCharType="begin" w:fldLock="1">
                <w:ffData>
                  <w:name w:val="Check5"/>
                  <w:enabled/>
                  <w:calcOnExit w:val="0"/>
                  <w:checkBox>
                    <w:sizeAuto/>
                    <w:default w:val="1"/>
                  </w:checkBox>
                </w:ffData>
              </w:fldChar>
            </w:r>
            <w:r w:rsidRPr="00DB3FE7">
              <w:rPr>
                <w:rFonts w:ascii="Arial Narrow" w:hAnsi="Arial Narrow"/>
                <w:sz w:val="20"/>
                <w:szCs w:val="20"/>
              </w:rPr>
              <w:instrText xml:space="preserve"> FORMCHECKBOX </w:instrText>
            </w:r>
            <w:r w:rsidR="00D71C83">
              <w:rPr>
                <w:rFonts w:ascii="Arial Narrow" w:hAnsi="Arial Narrow"/>
                <w:sz w:val="20"/>
                <w:szCs w:val="20"/>
              </w:rPr>
            </w:r>
            <w:r w:rsidR="00D71C83">
              <w:rPr>
                <w:rFonts w:ascii="Arial Narrow" w:hAnsi="Arial Narrow"/>
                <w:sz w:val="20"/>
                <w:szCs w:val="20"/>
              </w:rPr>
              <w:fldChar w:fldCharType="separate"/>
            </w:r>
            <w:r w:rsidRPr="009D5406">
              <w:rPr>
                <w:rFonts w:ascii="Arial Narrow" w:hAnsi="Arial Narrow"/>
                <w:sz w:val="20"/>
                <w:szCs w:val="20"/>
              </w:rPr>
              <w:fldChar w:fldCharType="end"/>
            </w:r>
            <w:r w:rsidRPr="0042765C">
              <w:rPr>
                <w:rFonts w:ascii="Arial Narrow" w:hAnsi="Arial Narrow"/>
                <w:sz w:val="20"/>
              </w:rPr>
              <w:t>Authority Required – telephone/online</w:t>
            </w:r>
          </w:p>
        </w:tc>
      </w:tr>
      <w:tr w:rsidR="007118F5" w:rsidRPr="00DB3FE7" w14:paraId="6AD704D9"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6546DE9C" w14:textId="77777777" w:rsidR="007118F5" w:rsidRPr="00DB3FE7" w:rsidRDefault="007118F5">
            <w:pPr>
              <w:widowControl w:val="0"/>
              <w:rPr>
                <w:rFonts w:ascii="Arial Narrow" w:hAnsi="Arial Narrow"/>
                <w:sz w:val="20"/>
                <w:szCs w:val="20"/>
              </w:rPr>
            </w:pPr>
          </w:p>
        </w:tc>
      </w:tr>
      <w:tr w:rsidR="007118F5" w:rsidRPr="00DB3FE7" w14:paraId="3B55C85F"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86F27C6"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6E394751"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1C3D141C" w14:textId="77777777" w:rsidR="007118F5" w:rsidRPr="00DB3FE7" w:rsidRDefault="007118F5">
            <w:pPr>
              <w:widowControl w:val="0"/>
              <w:rPr>
                <w:rFonts w:ascii="Arial Narrow" w:hAnsi="Arial Narrow"/>
                <w:sz w:val="20"/>
              </w:rPr>
            </w:pPr>
            <w:r w:rsidRPr="00DB3FE7">
              <w:rPr>
                <w:rFonts w:ascii="Arial Narrow" w:hAnsi="Arial Narrow"/>
                <w:sz w:val="20"/>
              </w:rPr>
              <w:t>Patient must have received treatment with this drug for this condition prior to [PBS listing date]</w:t>
            </w:r>
          </w:p>
        </w:tc>
      </w:tr>
      <w:tr w:rsidR="007118F5" w:rsidRPr="00DB3FE7" w14:paraId="5BB88BE1"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A3B9B0F"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1A64B925"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C7F4AC8"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0C5066A8"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2F6ACCF" w14:textId="1E60DDE6" w:rsidR="007118F5" w:rsidRPr="00DB3FE7" w:rsidRDefault="007118F5">
            <w:pPr>
              <w:widowControl w:val="0"/>
              <w:rPr>
                <w:rFonts w:ascii="Arial Narrow" w:hAnsi="Arial Narrow"/>
                <w:sz w:val="20"/>
              </w:rPr>
            </w:pPr>
            <w:r w:rsidRPr="00DB3FE7">
              <w:rPr>
                <w:rFonts w:ascii="Arial Narrow" w:hAnsi="Arial Narrow"/>
                <w:sz w:val="20"/>
              </w:rPr>
              <w:t>The treatment must be in conjunction with dietary therapy and exercise,</w:t>
            </w:r>
          </w:p>
        </w:tc>
      </w:tr>
      <w:tr w:rsidR="007118F5" w:rsidRPr="00DB3FE7" w14:paraId="5B516239"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373A86C7"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73666429"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75217C4"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086E661F"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161D9874"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symptomatic atherosclerotic cardiovascular disease prior to starting non-PBS-subsidised treatment with this drug for this condition</w:t>
            </w:r>
          </w:p>
        </w:tc>
      </w:tr>
      <w:tr w:rsidR="007118F5" w:rsidRPr="00DB3FE7" w14:paraId="44ACA1FE"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3E90662D"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10406F30"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67D4EB0"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521C3A48"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97E6CAF" w14:textId="77777777" w:rsidR="007118F5" w:rsidRPr="00DB3FE7" w:rsidRDefault="007118F5">
            <w:pPr>
              <w:widowControl w:val="0"/>
              <w:rPr>
                <w:rFonts w:ascii="Arial Narrow" w:hAnsi="Arial Narrow"/>
                <w:sz w:val="20"/>
              </w:rPr>
            </w:pPr>
            <w:r w:rsidRPr="00DB3FE7">
              <w:rPr>
                <w:rFonts w:ascii="Arial Narrow" w:hAnsi="Arial Narrow"/>
                <w:sz w:val="20"/>
              </w:rPr>
              <w:t xml:space="preserve">Patient must have </w:t>
            </w:r>
            <w:r w:rsidRPr="00DB3FE7">
              <w:rPr>
                <w:rFonts w:ascii="Arial Narrow" w:hAnsi="Arial Narrow"/>
                <w:i/>
                <w:iCs/>
                <w:sz w:val="20"/>
              </w:rPr>
              <w:t>had</w:t>
            </w:r>
            <w:r w:rsidRPr="00DB3FE7">
              <w:rPr>
                <w:rFonts w:ascii="Arial Narrow" w:hAnsi="Arial Narrow"/>
                <w:sz w:val="20"/>
              </w:rPr>
              <w:t xml:space="preserve"> an LDL cholesterol level in excess of 1.8 mmol per litre prior to starting non-PBS-subsidised treatment with this drug for this condition</w:t>
            </w:r>
          </w:p>
        </w:tc>
      </w:tr>
      <w:tr w:rsidR="007118F5" w:rsidRPr="00DB3FE7" w14:paraId="59133F7D"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0D3583F0"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56533E0A"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F499E85"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2806CD5F"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105F031B"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atherosclerotic disease in two or more vascular territories (coronary, cerebrovascular or peripheral vascular territories) prior to starting non-PBS-subsidised treatment with this drug for this condition; OR</w:t>
            </w:r>
          </w:p>
        </w:tc>
      </w:tr>
      <w:tr w:rsidR="007118F5" w:rsidRPr="00DB3FE7" w14:paraId="776A2AE5"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A227833"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severe multi-vessel coronary heart disease defined as at least 50% stenosis in at least two large vessels prior to starting non-PBS-subsidised treatment with this drug for this condition; OR</w:t>
            </w:r>
          </w:p>
        </w:tc>
      </w:tr>
      <w:tr w:rsidR="007118F5" w:rsidRPr="00DB3FE7" w14:paraId="6BE0F2FE"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822D8B8"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at least two major cardiovascular events (i.e. myocardial infarction, unstable angina, stroke or unplanned revascularisation) in the previous 5 years prior to starting non-PBS-subsidised treatment with this drug for this condition; OR</w:t>
            </w:r>
          </w:p>
        </w:tc>
      </w:tr>
      <w:tr w:rsidR="007118F5" w:rsidRPr="00DB3FE7" w14:paraId="26F6F566"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625D0E35"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diabetes mellitus with microalbuminuria prior to starting non-PBS-subsidised treatment with this drug for this condition; OR</w:t>
            </w:r>
          </w:p>
        </w:tc>
      </w:tr>
      <w:tr w:rsidR="007118F5" w:rsidRPr="00DB3FE7" w14:paraId="1D6B4805"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74C1916"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diabetes mellitus and be aged 60 years or more prior to starting non-PBS-subsidised treatment with this drug for this condition; OR</w:t>
            </w:r>
          </w:p>
        </w:tc>
      </w:tr>
      <w:tr w:rsidR="007118F5" w:rsidRPr="00DB3FE7" w14:paraId="6D41ED72"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7C8CBDE" w14:textId="77777777" w:rsidR="007118F5" w:rsidRPr="00DB3FE7" w:rsidRDefault="007118F5">
            <w:pPr>
              <w:widowControl w:val="0"/>
              <w:rPr>
                <w:rFonts w:ascii="Arial Narrow" w:hAnsi="Arial Narrow"/>
                <w:sz w:val="20"/>
              </w:rPr>
            </w:pPr>
            <w:r w:rsidRPr="00DB3FE7">
              <w:rPr>
                <w:rFonts w:ascii="Arial Narrow" w:hAnsi="Arial Narrow"/>
                <w:sz w:val="20"/>
              </w:rPr>
              <w:t>Patient must be an Aboriginal or Torres Strait Islander with diabetes mellitus that was present prior to starting non-PBS-subsidised treatment with this drug for this condition; OR</w:t>
            </w:r>
          </w:p>
        </w:tc>
      </w:tr>
      <w:tr w:rsidR="007118F5" w:rsidRPr="00DB3FE7" w14:paraId="1608D21B"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30E9D7CE" w14:textId="77777777" w:rsidR="007118F5" w:rsidRPr="00DB3FE7" w:rsidRDefault="007118F5">
            <w:pPr>
              <w:widowControl w:val="0"/>
              <w:rPr>
                <w:rFonts w:ascii="Arial Narrow" w:hAnsi="Arial Narrow"/>
                <w:sz w:val="20"/>
              </w:rPr>
            </w:pPr>
            <w:r w:rsidRPr="00DB3FE7">
              <w:rPr>
                <w:rFonts w:ascii="Arial Narrow" w:hAnsi="Arial Narrow"/>
                <w:sz w:val="20"/>
              </w:rPr>
              <w:t>Patient must have had a Thrombolysis in Myocardial Infarction (TIMI) risk score for secondary prevention of 4 or higher prior to starting non-PBS-subsidised treatment with this drug for this condition.</w:t>
            </w:r>
          </w:p>
        </w:tc>
      </w:tr>
      <w:tr w:rsidR="007118F5" w:rsidRPr="00DB3FE7" w14:paraId="780CF1B8"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6A55C900"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3ADF40A3"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1B2D7B48"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298550E8"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D50A2E0" w14:textId="77777777" w:rsidR="007118F5" w:rsidRPr="00DB3FE7" w:rsidRDefault="007118F5">
            <w:pPr>
              <w:widowControl w:val="0"/>
              <w:rPr>
                <w:rFonts w:ascii="Arial Narrow" w:hAnsi="Arial Narrow"/>
                <w:sz w:val="20"/>
              </w:rPr>
            </w:pPr>
            <w:r w:rsidRPr="00DB3FE7">
              <w:rPr>
                <w:rFonts w:ascii="Arial Narrow" w:hAnsi="Arial Narrow"/>
                <w:sz w:val="20"/>
              </w:rPr>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prior to initiating non-PBS-subsidised treatment with this drug for this condition; OR</w:t>
            </w:r>
          </w:p>
        </w:tc>
      </w:tr>
      <w:tr w:rsidR="007118F5" w:rsidRPr="00DB3FE7" w14:paraId="66B06D61"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3D830700" w14:textId="77777777" w:rsidR="007118F5" w:rsidRPr="00DB3FE7" w:rsidRDefault="007118F5">
            <w:pPr>
              <w:widowControl w:val="0"/>
              <w:rPr>
                <w:rFonts w:ascii="Arial Narrow" w:hAnsi="Arial Narrow"/>
                <w:sz w:val="20"/>
              </w:rPr>
            </w:pPr>
            <w:r w:rsidRPr="00DB3FE7">
              <w:rPr>
                <w:rFonts w:ascii="Arial Narrow" w:hAnsi="Arial Narrow"/>
                <w:sz w:val="20"/>
              </w:rPr>
              <w:t>Patient must have developed clinically important product-related adverse events necessitating withdrawal of statin treatment to trials of each of atorvastatin and rosuvastatin prior to initiating non-PBS-subsidised treatment with this drug for this condition; OR</w:t>
            </w:r>
          </w:p>
        </w:tc>
      </w:tr>
      <w:tr w:rsidR="007118F5" w:rsidRPr="00DB3FE7" w14:paraId="4F97E2EA"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3B8A9C38" w14:textId="77777777" w:rsidR="007118F5" w:rsidRPr="00DB3FE7" w:rsidRDefault="007118F5">
            <w:pPr>
              <w:widowControl w:val="0"/>
              <w:rPr>
                <w:rFonts w:ascii="Arial Narrow" w:hAnsi="Arial Narrow"/>
                <w:sz w:val="20"/>
              </w:rPr>
            </w:pPr>
            <w:r w:rsidRPr="00DB3FE7">
              <w:rPr>
                <w:rFonts w:ascii="Arial Narrow" w:hAnsi="Arial Narrow"/>
                <w:sz w:val="20"/>
              </w:rPr>
              <w:t>Patient must be contraindicated to treatment with a HMG CoA reductase inhibitor (statin) as defined in the TGA-approved Product Information</w:t>
            </w:r>
          </w:p>
        </w:tc>
      </w:tr>
      <w:tr w:rsidR="007118F5" w:rsidRPr="00DB3FE7" w14:paraId="0BEC22DA"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762FF61"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5B7D47ED"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492CEC97" w14:textId="77777777" w:rsidR="007118F5" w:rsidRPr="00DB3FE7" w:rsidRDefault="007118F5">
            <w:pPr>
              <w:widowControl w:val="0"/>
              <w:rPr>
                <w:rFonts w:ascii="Arial Narrow" w:hAnsi="Arial Narrow"/>
                <w:b/>
                <w:bCs/>
                <w:sz w:val="20"/>
              </w:rPr>
            </w:pPr>
            <w:r w:rsidRPr="00DB3FE7">
              <w:rPr>
                <w:rFonts w:ascii="Arial Narrow" w:hAnsi="Arial Narrow"/>
                <w:b/>
                <w:bCs/>
                <w:sz w:val="20"/>
              </w:rPr>
              <w:t>Clinical criteria</w:t>
            </w:r>
          </w:p>
        </w:tc>
      </w:tr>
      <w:tr w:rsidR="007118F5" w:rsidRPr="00DB3FE7" w14:paraId="55A06BC9"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8970B7B" w14:textId="77777777" w:rsidR="007118F5" w:rsidRPr="00DB3FE7" w:rsidRDefault="007118F5">
            <w:pPr>
              <w:widowControl w:val="0"/>
              <w:rPr>
                <w:rFonts w:ascii="Arial Narrow" w:hAnsi="Arial Narrow"/>
                <w:sz w:val="20"/>
              </w:rPr>
            </w:pPr>
            <w:r w:rsidRPr="00DB3FE7">
              <w:rPr>
                <w:rFonts w:ascii="Arial Narrow" w:hAnsi="Arial Narrow"/>
                <w:sz w:val="20"/>
              </w:rPr>
              <w:t>Patient must have been treated with ezetimibe for at least 12 consecutive weeks in conjunction with a statin (if tolerated), dietary therapy and exercise prior to initiating non-PBS-subsidised treatment with this drug for this condition</w:t>
            </w:r>
          </w:p>
        </w:tc>
      </w:tr>
      <w:tr w:rsidR="007118F5" w:rsidRPr="00DB3FE7" w14:paraId="202F5D40"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5D97B609" w14:textId="77777777" w:rsidR="007118F5" w:rsidRPr="00DB3FE7" w:rsidRDefault="007118F5">
            <w:pPr>
              <w:widowControl w:val="0"/>
              <w:rPr>
                <w:rFonts w:ascii="Arial Narrow" w:hAnsi="Arial Narrow"/>
                <w:b/>
                <w:bCs/>
                <w:i/>
                <w:iCs/>
                <w:sz w:val="20"/>
              </w:rPr>
            </w:pPr>
            <w:r w:rsidRPr="00DB3FE7">
              <w:rPr>
                <w:rFonts w:ascii="Arial Narrow" w:hAnsi="Arial Narrow"/>
                <w:b/>
                <w:bCs/>
                <w:i/>
                <w:iCs/>
                <w:sz w:val="20"/>
              </w:rPr>
              <w:t>AND</w:t>
            </w:r>
          </w:p>
        </w:tc>
      </w:tr>
      <w:tr w:rsidR="007118F5" w:rsidRPr="00DB3FE7" w14:paraId="2ED671FF"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624FEA25" w14:textId="77777777" w:rsidR="007118F5" w:rsidRPr="00DB3FE7" w:rsidRDefault="007118F5">
            <w:pPr>
              <w:widowControl w:val="0"/>
              <w:rPr>
                <w:rFonts w:ascii="Arial Narrow" w:hAnsi="Arial Narrow"/>
                <w:b/>
                <w:bCs/>
                <w:i/>
                <w:iCs/>
                <w:sz w:val="20"/>
              </w:rPr>
            </w:pPr>
            <w:r w:rsidRPr="00DB3FE7">
              <w:rPr>
                <w:rFonts w:ascii="Arial Narrow" w:hAnsi="Arial Narrow"/>
                <w:b/>
                <w:bCs/>
                <w:i/>
                <w:iCs/>
                <w:sz w:val="20"/>
              </w:rPr>
              <w:t>Clinical criteria</w:t>
            </w:r>
          </w:p>
        </w:tc>
      </w:tr>
      <w:tr w:rsidR="007118F5" w:rsidRPr="00DB3FE7" w14:paraId="19064D01"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7678F2C4" w14:textId="77777777" w:rsidR="007118F5" w:rsidRPr="00DB3FE7" w:rsidRDefault="007118F5">
            <w:pPr>
              <w:widowControl w:val="0"/>
              <w:rPr>
                <w:rFonts w:ascii="Arial Narrow" w:hAnsi="Arial Narrow"/>
                <w:i/>
                <w:iCs/>
                <w:sz w:val="20"/>
              </w:rPr>
            </w:pPr>
            <w:r w:rsidRPr="00DB3FE7">
              <w:rPr>
                <w:rFonts w:ascii="Arial Narrow" w:hAnsi="Arial Narrow"/>
                <w:i/>
                <w:iCs/>
                <w:sz w:val="20"/>
              </w:rPr>
              <w:t>Patient must not be receiving concomitant PBS-subsidised treatment with a monoclonal antibody inhibiting proprotein convertase subtilisin kexin type 9 (PCSK9) for this PBS indication.</w:t>
            </w:r>
          </w:p>
        </w:tc>
      </w:tr>
      <w:tr w:rsidR="007118F5" w:rsidRPr="00DB3FE7" w14:paraId="29F35E42"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19C4B228" w14:textId="77777777" w:rsidR="007118F5" w:rsidRPr="00DB3FE7" w:rsidRDefault="007118F5">
            <w:pPr>
              <w:widowControl w:val="0"/>
              <w:rPr>
                <w:rFonts w:ascii="Arial Narrow" w:hAnsi="Arial Narrow"/>
                <w:b/>
                <w:bCs/>
                <w:sz w:val="20"/>
              </w:rPr>
            </w:pPr>
            <w:r w:rsidRPr="00DB3FE7">
              <w:rPr>
                <w:rFonts w:ascii="Arial Narrow" w:hAnsi="Arial Narrow"/>
                <w:b/>
                <w:bCs/>
                <w:sz w:val="20"/>
              </w:rPr>
              <w:t>AND</w:t>
            </w:r>
          </w:p>
        </w:tc>
      </w:tr>
      <w:tr w:rsidR="007118F5" w:rsidRPr="00DB3FE7" w14:paraId="1866FDCD"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0C93AD2B" w14:textId="77777777" w:rsidR="007118F5" w:rsidRPr="00DB3FE7" w:rsidRDefault="007118F5">
            <w:pPr>
              <w:widowControl w:val="0"/>
              <w:rPr>
                <w:rFonts w:ascii="Arial Narrow" w:hAnsi="Arial Narrow"/>
                <w:b/>
                <w:bCs/>
                <w:sz w:val="20"/>
                <w:szCs w:val="20"/>
              </w:rPr>
            </w:pPr>
            <w:r w:rsidRPr="00DB3FE7">
              <w:rPr>
                <w:rFonts w:ascii="Arial Narrow" w:hAnsi="Arial Narrow"/>
                <w:b/>
                <w:bCs/>
                <w:sz w:val="20"/>
                <w:szCs w:val="20"/>
              </w:rPr>
              <w:t>Treatment criteria:</w:t>
            </w:r>
          </w:p>
        </w:tc>
      </w:tr>
      <w:tr w:rsidR="007118F5" w:rsidRPr="00DB3FE7" w14:paraId="541D7947"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60D7DBF0" w14:textId="77777777" w:rsidR="007118F5" w:rsidRPr="00DB3FE7" w:rsidRDefault="007118F5">
            <w:pPr>
              <w:widowControl w:val="0"/>
              <w:rPr>
                <w:rFonts w:ascii="Arial Narrow" w:hAnsi="Arial Narrow"/>
                <w:sz w:val="20"/>
                <w:szCs w:val="20"/>
              </w:rPr>
            </w:pPr>
            <w:r w:rsidRPr="00DB3FE7">
              <w:rPr>
                <w:rFonts w:ascii="Arial Narrow" w:hAnsi="Arial Narrow"/>
                <w:sz w:val="20"/>
                <w:szCs w:val="20"/>
              </w:rPr>
              <w:t>Must be treated by a specialist physician; OR</w:t>
            </w:r>
          </w:p>
        </w:tc>
      </w:tr>
      <w:tr w:rsidR="007118F5" w:rsidRPr="00DB3FE7" w14:paraId="3F002812"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03B48287" w14:textId="77777777" w:rsidR="007118F5" w:rsidRPr="00DB3FE7" w:rsidRDefault="007118F5">
            <w:pPr>
              <w:widowControl w:val="0"/>
              <w:rPr>
                <w:rFonts w:ascii="Arial Narrow" w:hAnsi="Arial Narrow"/>
                <w:sz w:val="20"/>
                <w:szCs w:val="20"/>
              </w:rPr>
            </w:pPr>
            <w:r w:rsidRPr="00DB3FE7">
              <w:rPr>
                <w:rFonts w:ascii="Arial Narrow" w:hAnsi="Arial Narrow"/>
                <w:sz w:val="20"/>
                <w:szCs w:val="20"/>
              </w:rPr>
              <w:t>Must be treated by a physician who has consulted a specialist physician.</w:t>
            </w:r>
          </w:p>
        </w:tc>
      </w:tr>
      <w:tr w:rsidR="007118F5" w:rsidRPr="00DB3FE7" w14:paraId="3EAB0CFB"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297312F5" w14:textId="77777777" w:rsidR="007118F5" w:rsidRPr="00DB3FE7" w:rsidRDefault="007118F5">
            <w:pPr>
              <w:widowControl w:val="0"/>
              <w:rPr>
                <w:rFonts w:ascii="Arial Narrow" w:hAnsi="Arial Narrow"/>
                <w:sz w:val="20"/>
                <w:szCs w:val="20"/>
              </w:rPr>
            </w:pPr>
          </w:p>
        </w:tc>
      </w:tr>
      <w:tr w:rsidR="007118F5" w:rsidRPr="00DB3FE7" w14:paraId="5E967DDA"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6B4392B1" w14:textId="77777777" w:rsidR="007118F5" w:rsidRPr="00DB3FE7" w:rsidRDefault="007118F5">
            <w:pPr>
              <w:widowControl w:val="0"/>
              <w:rPr>
                <w:rFonts w:ascii="Arial Narrow" w:hAnsi="Arial Narrow"/>
                <w:b/>
                <w:bCs/>
                <w:i/>
                <w:iCs/>
                <w:sz w:val="20"/>
                <w:szCs w:val="20"/>
              </w:rPr>
            </w:pPr>
            <w:r w:rsidRPr="00DB3FE7">
              <w:rPr>
                <w:rFonts w:ascii="Arial Narrow" w:hAnsi="Arial Narrow"/>
                <w:b/>
                <w:bCs/>
                <w:i/>
                <w:iCs/>
                <w:sz w:val="20"/>
                <w:szCs w:val="20"/>
              </w:rPr>
              <w:t>Prescriber instructions:</w:t>
            </w:r>
          </w:p>
          <w:p w14:paraId="1A5F8C4F"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rPr>
              <w:t>Monoclonal antibody inhibiting proprotein convertase subtilisin kexin type 9 (PCSK9) medications are evolocumab or alirocumab</w:t>
            </w:r>
          </w:p>
        </w:tc>
      </w:tr>
      <w:tr w:rsidR="007118F5" w:rsidRPr="00DB3FE7" w14:paraId="2EA8D2E4" w14:textId="77777777" w:rsidTr="00C91ADA">
        <w:tc>
          <w:tcPr>
            <w:tcW w:w="9122" w:type="dxa"/>
            <w:gridSpan w:val="6"/>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tcPr>
          <w:p w14:paraId="750B5072" w14:textId="77777777" w:rsidR="007118F5" w:rsidRPr="00DB3FE7" w:rsidRDefault="007118F5">
            <w:pPr>
              <w:widowControl w:val="0"/>
              <w:rPr>
                <w:rFonts w:ascii="Arial Narrow" w:hAnsi="Arial Narrow"/>
                <w:b/>
                <w:bCs/>
                <w:i/>
                <w:iCs/>
                <w:sz w:val="20"/>
                <w:szCs w:val="20"/>
              </w:rPr>
            </w:pPr>
            <w:r w:rsidRPr="00DB3FE7">
              <w:rPr>
                <w:rFonts w:ascii="Arial Narrow" w:hAnsi="Arial Narrow"/>
                <w:b/>
                <w:bCs/>
                <w:i/>
                <w:iCs/>
                <w:sz w:val="20"/>
                <w:szCs w:val="20"/>
              </w:rPr>
              <w:t>Prescriber instructions:</w:t>
            </w:r>
          </w:p>
          <w:p w14:paraId="4E1A2B9C"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Symptomatic atherosclerotic cardiovascular disease is defined as:</w:t>
            </w:r>
          </w:p>
          <w:p w14:paraId="5D07E5CC"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 the presence of symptomatic coronary artery disease (prior myocardial infarction, prior revascularisation procedure, angina associated with demonstrated significant coronary artery disease (50% or greater stenosis in 1 or more coronary arteries on imaging), or positive functional testing (e.g. myocardial perfusion scanning or stress echocardiography); or</w:t>
            </w:r>
          </w:p>
          <w:p w14:paraId="1307B30E"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 the presence of symptomatic cerebrovascular disease (prior ischaemic stroke, prior revascularisation procedure, or transient ischaemic attack associated with 50% or greater stenosis in 1 or more cerebral arteries on imaging); or</w:t>
            </w:r>
          </w:p>
          <w:p w14:paraId="296CE1CD"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(iii) the presence of symptomatic peripheral arterial disease (prior acute ischaemic event due to atherosclerosis, prior revascularisation procedure, or symptoms of ischaemia with evidence of significant peripheral artery disease (50% or greater stenosis in 1 or more peripheral arteries on imaging)).</w:t>
            </w:r>
          </w:p>
          <w:p w14:paraId="511F3469" w14:textId="77777777" w:rsidR="007118F5" w:rsidRPr="00DB3FE7" w:rsidRDefault="007118F5">
            <w:pPr>
              <w:widowControl w:val="0"/>
              <w:rPr>
                <w:rFonts w:ascii="Arial Narrow" w:hAnsi="Arial Narrow"/>
                <w:i/>
                <w:iCs/>
                <w:sz w:val="20"/>
                <w:szCs w:val="20"/>
              </w:rPr>
            </w:pPr>
          </w:p>
          <w:p w14:paraId="352A902A"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 xml:space="preserve">The qualifying LDL cholesterol level must have been measured following at least 12 consecutive weeks of combined treatment with a statin, ezetimibe, dietary therapy and exercise (unless treatment with a statin is contraindicated, or following completion of statin trials as described in these prescriber instructions in the event of clinically important adverse events) must be stated at the time of application, documented in the patient's medical records and must have been no more than 8 weeks old </w:t>
            </w:r>
            <w:r w:rsidRPr="00DB3FE7">
              <w:rPr>
                <w:rFonts w:ascii="Arial Narrow" w:hAnsi="Arial Narrow"/>
                <w:i/>
                <w:iCs/>
                <w:sz w:val="20"/>
              </w:rPr>
              <w:t>at the time non-PBS-subsidised treatment with this drug for this condition was initiated</w:t>
            </w:r>
            <w:r w:rsidRPr="00DB3FE7">
              <w:rPr>
                <w:rFonts w:ascii="Arial Narrow" w:hAnsi="Arial Narrow"/>
                <w:i/>
                <w:iCs/>
                <w:sz w:val="20"/>
                <w:szCs w:val="20"/>
              </w:rPr>
              <w:t>.</w:t>
            </w:r>
          </w:p>
          <w:p w14:paraId="3CE963F0" w14:textId="77777777" w:rsidR="007118F5" w:rsidRPr="00DB3FE7" w:rsidRDefault="007118F5">
            <w:pPr>
              <w:widowControl w:val="0"/>
              <w:rPr>
                <w:rFonts w:ascii="Arial Narrow" w:hAnsi="Arial Narrow"/>
                <w:i/>
                <w:iCs/>
                <w:sz w:val="20"/>
                <w:szCs w:val="20"/>
              </w:rPr>
            </w:pPr>
          </w:p>
          <w:p w14:paraId="60ABCF5E"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A clinically important product-related adverse event is defined as follows:</w:t>
            </w:r>
          </w:p>
          <w:p w14:paraId="3A3F398B"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 Severe myalgia (muscle symptoms without creatine kinase elevation) which is proven to be temporally associated with statin treatment; or</w:t>
            </w:r>
          </w:p>
          <w:p w14:paraId="268F4EA8"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62C94F9B"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(iii) Unexplained, persistent elevations of serum transaminases (greater than 3 times the upper limit of normal) during treatment with a statin.</w:t>
            </w:r>
          </w:p>
          <w:p w14:paraId="5FFFDF93" w14:textId="77777777" w:rsidR="007118F5" w:rsidRPr="00DB3FE7" w:rsidRDefault="007118F5">
            <w:pPr>
              <w:widowControl w:val="0"/>
              <w:rPr>
                <w:rFonts w:ascii="Arial Narrow" w:hAnsi="Arial Narrow"/>
                <w:i/>
                <w:iCs/>
                <w:sz w:val="20"/>
                <w:szCs w:val="20"/>
              </w:rPr>
            </w:pPr>
          </w:p>
          <w:p w14:paraId="7630E450"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If treatment with atorvastatin or rosuvastatin results in development of a clinically important product-related adverse event resulting in treatment withdrawal, the patient must be treated with the alternative statin (atorvastatin or rosuvastatin) unless there is a contraindication (e.g. prior rhabdomyolysis) to the alternative statin. This retrial should occur after a washout period of at least 4 weeks, or if the creatine kinase (CK) level is elevated, retrial should not occur until CK has returned to normal.</w:t>
            </w:r>
          </w:p>
          <w:p w14:paraId="4CB3D011" w14:textId="77777777" w:rsidR="007118F5" w:rsidRPr="00DB3FE7" w:rsidRDefault="007118F5">
            <w:pPr>
              <w:widowControl w:val="0"/>
              <w:rPr>
                <w:rFonts w:ascii="Arial Narrow" w:hAnsi="Arial Narrow"/>
                <w:i/>
                <w:iCs/>
                <w:sz w:val="20"/>
                <w:szCs w:val="20"/>
              </w:rPr>
            </w:pPr>
          </w:p>
          <w:p w14:paraId="2941F185"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In the event of a trial of the alternative statin, it is recommended that the patient is started with the minimum dose of statin in conjunction with ezetimibe. The dose of the alternative statin should be increased not more often than every 4 weeks until the recommended or maximum tolerated dose has been reached or target LDL-c has been achieved.</w:t>
            </w:r>
          </w:p>
          <w:p w14:paraId="61DB50E2" w14:textId="77777777" w:rsidR="007118F5" w:rsidRPr="00DB3FE7" w:rsidRDefault="007118F5">
            <w:pPr>
              <w:widowControl w:val="0"/>
              <w:rPr>
                <w:rFonts w:ascii="Arial Narrow" w:hAnsi="Arial Narrow"/>
                <w:i/>
                <w:iCs/>
                <w:sz w:val="20"/>
                <w:szCs w:val="20"/>
              </w:rPr>
            </w:pPr>
          </w:p>
          <w:p w14:paraId="35BAD893"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One of the following must be stated at the time of application and documented in the patient's medical records regarding prior statin treatment:</w:t>
            </w:r>
          </w:p>
          <w:p w14:paraId="5C135D83"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 the patient was treated with atorvastatin 80 mg or rosuvastatin 40 mg or the maximum tolerated dose of either for 12 consecutive weeks; or</w:t>
            </w:r>
          </w:p>
          <w:p w14:paraId="6DF749D2"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 the doses, duration of treatment and details of adverse events experienced with trials of each atorvastatin and rosuvastatin; or</w:t>
            </w:r>
          </w:p>
          <w:p w14:paraId="42D7F852"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(iii) the patient is contraindicated to treatment with a statin as defined in the TGA-approved Product Information.</w:t>
            </w:r>
          </w:p>
          <w:p w14:paraId="725E4584" w14:textId="77777777" w:rsidR="007118F5" w:rsidRPr="00DB3FE7" w:rsidRDefault="007118F5">
            <w:pPr>
              <w:widowControl w:val="0"/>
              <w:rPr>
                <w:rFonts w:ascii="Arial Narrow" w:hAnsi="Arial Narrow"/>
                <w:i/>
                <w:iCs/>
                <w:sz w:val="20"/>
                <w:szCs w:val="20"/>
              </w:rPr>
            </w:pPr>
          </w:p>
          <w:p w14:paraId="259DD017"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One or more of the following must be stated at the time of application and documented in the patient's medical records regarding the presence of cardiovascular disease or high risk of experiencing a cardiovascular event:</w:t>
            </w:r>
          </w:p>
          <w:p w14:paraId="3244D501"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 atherosclerotic disease in two or more vascular territories (coronary, cerebrovascular or peripheral vascular territories); or</w:t>
            </w:r>
          </w:p>
          <w:p w14:paraId="15AC4841"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 severe multi-vessel coronary heart disease defined as at least 50% stenosis in at least two large vessels; or</w:t>
            </w:r>
          </w:p>
          <w:p w14:paraId="0D5CA4A2"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(iii) history of at least two major cardiovascular events (i.e. myocardial infarction, unstable angina, stroke or unplanned revascularisation) in the previous 5 years; or</w:t>
            </w:r>
          </w:p>
          <w:p w14:paraId="3624851D"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 xml:space="preserve">(iv) diabetes mellitus with microalbuminuria; or </w:t>
            </w:r>
          </w:p>
          <w:p w14:paraId="32136E19"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 xml:space="preserve">(v) diabetes mellitus and age 60 years </w:t>
            </w:r>
            <w:r w:rsidRPr="00DB3FE7">
              <w:rPr>
                <w:rFonts w:ascii="Arial Narrow" w:hAnsi="Arial Narrow"/>
                <w:i/>
                <w:iCs/>
                <w:strike/>
                <w:sz w:val="20"/>
                <w:szCs w:val="20"/>
              </w:rPr>
              <w:t>of</w:t>
            </w:r>
            <w:r w:rsidRPr="00DB3FE7">
              <w:rPr>
                <w:rFonts w:ascii="Arial Narrow" w:hAnsi="Arial Narrow"/>
                <w:i/>
                <w:iCs/>
                <w:sz w:val="20"/>
                <w:szCs w:val="20"/>
              </w:rPr>
              <w:t xml:space="preserve"> or more; </w:t>
            </w:r>
          </w:p>
          <w:p w14:paraId="2E737047"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(vi) Aboriginal or Torres Strait Islander with diabetes mellitus; or</w:t>
            </w:r>
          </w:p>
          <w:p w14:paraId="1DA71A4E"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(vii) a Thrombolysis in Myocardial Infarction (TIMI) risk score for secondary prevention of 4 or higher</w:t>
            </w:r>
          </w:p>
        </w:tc>
      </w:tr>
      <w:tr w:rsidR="007118F5" w:rsidRPr="00DB3FE7" w14:paraId="45B0BE1F"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67B4DB73" w14:textId="77777777" w:rsidR="007118F5" w:rsidRPr="00DB3FE7" w:rsidRDefault="007118F5">
            <w:pPr>
              <w:widowControl w:val="0"/>
              <w:rPr>
                <w:rFonts w:ascii="Arial Narrow" w:hAnsi="Arial Narrow"/>
                <w:b/>
                <w:bCs/>
                <w:i/>
                <w:iCs/>
                <w:sz w:val="20"/>
                <w:szCs w:val="20"/>
              </w:rPr>
            </w:pPr>
            <w:r w:rsidRPr="00DB3FE7">
              <w:rPr>
                <w:rFonts w:ascii="Arial Narrow" w:hAnsi="Arial Narrow"/>
                <w:b/>
                <w:bCs/>
                <w:i/>
                <w:iCs/>
                <w:sz w:val="20"/>
                <w:szCs w:val="20"/>
              </w:rPr>
              <w:t>Prescribing instruction:</w:t>
            </w:r>
          </w:p>
          <w:p w14:paraId="2053B0C2"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A patient may qualify for PBS-subsidised treatment under this restriction once only</w:t>
            </w:r>
          </w:p>
        </w:tc>
      </w:tr>
      <w:tr w:rsidR="007118F5" w:rsidRPr="00DB3FE7" w14:paraId="09C9BA33" w14:textId="77777777" w:rsidTr="00C91ADA">
        <w:tc>
          <w:tcPr>
            <w:tcW w:w="9122" w:type="dxa"/>
            <w:gridSpan w:val="6"/>
            <w:tcBorders>
              <w:top w:val="single" w:sz="4" w:space="0" w:color="auto"/>
              <w:left w:val="single" w:sz="4" w:space="0" w:color="auto"/>
              <w:bottom w:val="single" w:sz="4" w:space="0" w:color="auto"/>
              <w:right w:val="single" w:sz="4" w:space="0" w:color="auto"/>
            </w:tcBorders>
            <w:tcMar>
              <w:left w:w="20" w:type="dxa"/>
              <w:right w:w="20" w:type="dxa"/>
            </w:tcMar>
          </w:tcPr>
          <w:p w14:paraId="7CEFA388" w14:textId="77777777" w:rsidR="007118F5" w:rsidRPr="00DB3FE7" w:rsidRDefault="007118F5">
            <w:pPr>
              <w:widowControl w:val="0"/>
              <w:rPr>
                <w:rFonts w:ascii="Arial Narrow" w:hAnsi="Arial Narrow"/>
                <w:b/>
                <w:bCs/>
                <w:i/>
                <w:iCs/>
                <w:sz w:val="20"/>
                <w:szCs w:val="20"/>
              </w:rPr>
            </w:pPr>
            <w:r w:rsidRPr="00DB3FE7">
              <w:rPr>
                <w:rFonts w:ascii="Arial Narrow" w:hAnsi="Arial Narrow"/>
                <w:b/>
                <w:bCs/>
                <w:i/>
                <w:iCs/>
                <w:sz w:val="20"/>
                <w:szCs w:val="20"/>
              </w:rPr>
              <w:t>Prescribing instruction:</w:t>
            </w:r>
          </w:p>
          <w:p w14:paraId="10618F78" w14:textId="77777777" w:rsidR="007118F5" w:rsidRPr="00DB3FE7" w:rsidRDefault="007118F5">
            <w:pPr>
              <w:widowControl w:val="0"/>
              <w:rPr>
                <w:rFonts w:ascii="Arial Narrow" w:hAnsi="Arial Narrow"/>
                <w:i/>
                <w:iCs/>
                <w:sz w:val="20"/>
                <w:szCs w:val="20"/>
              </w:rPr>
            </w:pPr>
            <w:r w:rsidRPr="00DB3FE7">
              <w:rPr>
                <w:rFonts w:ascii="Arial Narrow" w:hAnsi="Arial Narrow"/>
                <w:i/>
                <w:iCs/>
                <w:sz w:val="20"/>
                <w:szCs w:val="20"/>
              </w:rPr>
              <w:t>For continuing PBS-subsidised treatment, a Grandfathered patient must qualify under the Continuing treatment criteria</w:t>
            </w:r>
          </w:p>
        </w:tc>
      </w:tr>
    </w:tbl>
    <w:p w14:paraId="1AF8F492" w14:textId="445E75D5" w:rsidR="002D6E52" w:rsidRPr="007118F5" w:rsidRDefault="002D6E52" w:rsidP="002D6E52">
      <w:pPr>
        <w:spacing w:after="200" w:line="276" w:lineRule="auto"/>
      </w:pPr>
    </w:p>
    <w:p w14:paraId="5BCB47CC" w14:textId="052D7E13" w:rsidR="002D6E52" w:rsidRPr="0042765C" w:rsidRDefault="002D6E52" w:rsidP="002D6E52">
      <w:pPr>
        <w:pStyle w:val="3-BodyText"/>
        <w:numPr>
          <w:ilvl w:val="1"/>
          <w:numId w:val="1"/>
        </w:numPr>
        <w:rPr>
          <w:bCs/>
        </w:rPr>
      </w:pPr>
      <w:r w:rsidRPr="007118F5">
        <w:t>Flow-on changes are required to prevent the concomitant use of inclisiran with the PCSK9 inhibitors and to allow the switching of treatment to inclisiran from evolocumab (PBS item numbers: 11484K, 11985T, 11986W, 11485L) and alirocumab (PBS item numbers: 12607M, 12608N, 12604J</w:t>
      </w:r>
      <w:r w:rsidR="008B0207">
        <w:t>,</w:t>
      </w:r>
      <w:r w:rsidR="008B0207" w:rsidRPr="007118F5">
        <w:t xml:space="preserve"> </w:t>
      </w:r>
      <w:r w:rsidRPr="007118F5">
        <w:t>13613W</w:t>
      </w:r>
      <w:r w:rsidRPr="0042765C">
        <w:t>).</w:t>
      </w:r>
    </w:p>
    <w:p w14:paraId="208E573F" w14:textId="77777777" w:rsidR="002D6E52" w:rsidRPr="007B2837" w:rsidRDefault="002D6E52" w:rsidP="002D6E52">
      <w:pPr>
        <w:pStyle w:val="3-BodyText"/>
        <w:ind w:firstLine="0"/>
      </w:pPr>
      <w:r w:rsidRPr="00352E1C">
        <w:t xml:space="preserve">To prevent the concomitant use of drugs – </w:t>
      </w:r>
    </w:p>
    <w:p w14:paraId="0FB5C237" w14:textId="77777777" w:rsidR="002D6E52" w:rsidRPr="007118F5" w:rsidRDefault="002D6E52" w:rsidP="002D6E52">
      <w:pPr>
        <w:pStyle w:val="3-BodyText"/>
        <w:numPr>
          <w:ilvl w:val="0"/>
          <w:numId w:val="25"/>
        </w:numPr>
      </w:pPr>
      <w:r w:rsidRPr="007118F5">
        <w:t>Add the following criteria to the evolocumab (11485L, 11484K) and alirocumab (12613W, 12604J) initial and grandfather restrictions:</w:t>
      </w:r>
    </w:p>
    <w:p w14:paraId="4AE85F8B" w14:textId="6801FC80" w:rsidR="002D6E52" w:rsidRPr="00DB3FE7" w:rsidRDefault="002D6E52" w:rsidP="002D6E52">
      <w:pPr>
        <w:pStyle w:val="3-BodyText"/>
        <w:ind w:left="1440" w:firstLine="0"/>
        <w:rPr>
          <w:i/>
          <w:iCs/>
        </w:rPr>
      </w:pPr>
      <w:r w:rsidRPr="007118F5">
        <w:rPr>
          <w:rFonts w:ascii="Arial Narrow" w:hAnsi="Arial Narrow"/>
          <w:i/>
          <w:iCs/>
          <w:sz w:val="20"/>
        </w:rPr>
        <w:t xml:space="preserve">Patient must not be receiving concomitant PBS-subsidised treatment with </w:t>
      </w:r>
      <w:r w:rsidR="00A83C16" w:rsidRPr="00DB3FE7">
        <w:rPr>
          <w:rFonts w:ascii="Arial Narrow" w:hAnsi="Arial Narrow"/>
          <w:i/>
          <w:iCs/>
          <w:sz w:val="20"/>
        </w:rPr>
        <w:t xml:space="preserve">any of: (i) another </w:t>
      </w:r>
      <w:r w:rsidRPr="00DB3FE7">
        <w:rPr>
          <w:rFonts w:ascii="Arial Narrow" w:hAnsi="Arial Narrow"/>
          <w:i/>
          <w:iCs/>
          <w:sz w:val="20"/>
        </w:rPr>
        <w:t>monoclonal antibody inhibiting proprotein convertase subtilisin kexin type 9 (PCSK9)</w:t>
      </w:r>
      <w:r w:rsidR="00A83C16" w:rsidRPr="00DB3FE7">
        <w:rPr>
          <w:rFonts w:ascii="Arial Narrow" w:hAnsi="Arial Narrow"/>
          <w:i/>
          <w:iCs/>
          <w:sz w:val="20"/>
        </w:rPr>
        <w:t>,</w:t>
      </w:r>
      <w:r w:rsidRPr="00DB3FE7">
        <w:rPr>
          <w:rFonts w:ascii="Arial Narrow" w:hAnsi="Arial Narrow"/>
          <w:i/>
          <w:iCs/>
          <w:sz w:val="20"/>
        </w:rPr>
        <w:t xml:space="preserve"> </w:t>
      </w:r>
      <w:r w:rsidR="00A83C16" w:rsidRPr="00DB3FE7">
        <w:rPr>
          <w:rFonts w:ascii="Arial Narrow" w:hAnsi="Arial Narrow"/>
          <w:i/>
          <w:iCs/>
          <w:sz w:val="20"/>
        </w:rPr>
        <w:t>(ii)</w:t>
      </w:r>
      <w:r w:rsidRPr="00DB3FE7">
        <w:rPr>
          <w:rFonts w:ascii="Arial Narrow" w:hAnsi="Arial Narrow"/>
          <w:i/>
          <w:iCs/>
          <w:sz w:val="20"/>
        </w:rPr>
        <w:t xml:space="preserve"> inclisiran</w:t>
      </w:r>
      <w:r w:rsidR="00A83C16" w:rsidRPr="00DB3FE7">
        <w:rPr>
          <w:rFonts w:ascii="Arial Narrow" w:hAnsi="Arial Narrow"/>
          <w:i/>
          <w:iCs/>
          <w:sz w:val="20"/>
        </w:rPr>
        <w:t>,</w:t>
      </w:r>
      <w:r w:rsidRPr="00DB3FE7">
        <w:rPr>
          <w:rFonts w:ascii="Arial Narrow" w:hAnsi="Arial Narrow"/>
          <w:i/>
          <w:iCs/>
          <w:sz w:val="20"/>
        </w:rPr>
        <w:t xml:space="preserve"> for this PBS indication.</w:t>
      </w:r>
    </w:p>
    <w:p w14:paraId="4FA62DBD" w14:textId="77777777" w:rsidR="002D6E52" w:rsidRPr="00DB3FE7" w:rsidRDefault="002D6E52" w:rsidP="002D6E52">
      <w:pPr>
        <w:pStyle w:val="3-BodyText"/>
        <w:numPr>
          <w:ilvl w:val="0"/>
          <w:numId w:val="25"/>
        </w:numPr>
      </w:pPr>
      <w:r w:rsidRPr="00DB3FE7">
        <w:t>Change the following criteria the in the evolocumab (11985T, 11986W) and alirocumab (12607M, 12608N) continuing restrictions:</w:t>
      </w:r>
    </w:p>
    <w:p w14:paraId="3535881F" w14:textId="77777777" w:rsidR="002D6E52" w:rsidRPr="00DB3FE7" w:rsidRDefault="002D6E52" w:rsidP="002D6E52">
      <w:pPr>
        <w:pStyle w:val="3-BodyText"/>
        <w:ind w:left="1440"/>
      </w:pPr>
      <w:r w:rsidRPr="00DB3FE7">
        <w:t xml:space="preserve">From: </w:t>
      </w:r>
      <w:r w:rsidRPr="00DB3FE7">
        <w:tab/>
      </w:r>
      <w:r w:rsidRPr="00DB3FE7">
        <w:rPr>
          <w:rFonts w:ascii="Arial Narrow" w:hAnsi="Arial Narrow"/>
          <w:sz w:val="20"/>
        </w:rPr>
        <w:t>Patient must not be receiving concomitant PBS-subsidised treatment with another drug that belongs to the same pharmacological class as this drug.</w:t>
      </w:r>
    </w:p>
    <w:p w14:paraId="61B3ECA5" w14:textId="2F40BAEE" w:rsidR="002D6E52" w:rsidRPr="00DB3FE7" w:rsidRDefault="002D6E52" w:rsidP="002D6E52">
      <w:pPr>
        <w:pStyle w:val="3-BodyText"/>
        <w:ind w:left="1440"/>
        <w:rPr>
          <w:rFonts w:ascii="Arial Narrow" w:hAnsi="Arial Narrow"/>
          <w:sz w:val="20"/>
        </w:rPr>
      </w:pPr>
      <w:r w:rsidRPr="00DB3FE7">
        <w:t>To:</w:t>
      </w:r>
      <w:r w:rsidRPr="00DB3FE7">
        <w:tab/>
      </w:r>
      <w:r w:rsidRPr="00DB3FE7">
        <w:rPr>
          <w:rFonts w:ascii="Arial Narrow" w:hAnsi="Arial Narrow"/>
          <w:sz w:val="20"/>
        </w:rPr>
        <w:t>Patient must not be receiving concomitant PBS-subsidised treatment with</w:t>
      </w:r>
      <w:r w:rsidR="00A83C16" w:rsidRPr="00DB3FE7">
        <w:rPr>
          <w:rFonts w:ascii="Arial Narrow" w:hAnsi="Arial Narrow"/>
          <w:sz w:val="20"/>
        </w:rPr>
        <w:t xml:space="preserve"> </w:t>
      </w:r>
      <w:r w:rsidR="00A83C16" w:rsidRPr="00C91ADA">
        <w:rPr>
          <w:rFonts w:ascii="Arial Narrow" w:hAnsi="Arial Narrow"/>
          <w:i/>
          <w:iCs/>
          <w:sz w:val="20"/>
        </w:rPr>
        <w:t>any of: (i)</w:t>
      </w:r>
      <w:r w:rsidRPr="0042765C">
        <w:rPr>
          <w:rFonts w:ascii="Arial Narrow" w:hAnsi="Arial Narrow"/>
          <w:sz w:val="20"/>
        </w:rPr>
        <w:t xml:space="preserve"> another drug that belongs to the same pharmacological class as this drug</w:t>
      </w:r>
      <w:r w:rsidR="00A83C16" w:rsidRPr="0042765C">
        <w:rPr>
          <w:rFonts w:ascii="Arial Narrow" w:hAnsi="Arial Narrow"/>
          <w:sz w:val="20"/>
        </w:rPr>
        <w:t>,</w:t>
      </w:r>
      <w:r w:rsidRPr="0042765C">
        <w:rPr>
          <w:rFonts w:ascii="Arial Narrow" w:hAnsi="Arial Narrow"/>
          <w:sz w:val="20"/>
        </w:rPr>
        <w:t xml:space="preserve"> </w:t>
      </w:r>
      <w:r w:rsidR="00A83C16" w:rsidRPr="00D2286B">
        <w:rPr>
          <w:rFonts w:ascii="Arial Narrow" w:hAnsi="Arial Narrow"/>
          <w:i/>
          <w:iCs/>
          <w:sz w:val="20"/>
        </w:rPr>
        <w:t>(ii)</w:t>
      </w:r>
      <w:r w:rsidRPr="00DB3FE7">
        <w:rPr>
          <w:rFonts w:ascii="Arial Narrow" w:hAnsi="Arial Narrow"/>
          <w:i/>
          <w:iCs/>
          <w:sz w:val="20"/>
        </w:rPr>
        <w:t xml:space="preserve"> inclisiran</w:t>
      </w:r>
      <w:r w:rsidR="00A83C16" w:rsidRPr="00DB3FE7">
        <w:rPr>
          <w:rFonts w:ascii="Arial Narrow" w:hAnsi="Arial Narrow"/>
          <w:i/>
          <w:iCs/>
          <w:sz w:val="20"/>
        </w:rPr>
        <w:t>,</w:t>
      </w:r>
      <w:r w:rsidRPr="00DB3FE7">
        <w:rPr>
          <w:rFonts w:ascii="Arial Narrow" w:hAnsi="Arial Narrow"/>
          <w:sz w:val="20"/>
        </w:rPr>
        <w:t xml:space="preserve"> for this PBS indication.</w:t>
      </w:r>
    </w:p>
    <w:p w14:paraId="4E8A588C" w14:textId="77777777" w:rsidR="002D6E52" w:rsidRPr="00DB3FE7" w:rsidRDefault="002D6E52" w:rsidP="002D6E52">
      <w:pPr>
        <w:pStyle w:val="3-BodyText"/>
        <w:ind w:firstLine="0"/>
      </w:pPr>
      <w:r w:rsidRPr="00DB3FE7">
        <w:t>To allow switching between drugs change the treatment phase for evolocumab (11985T, 11986W) and alirocumab (12608N, 12607M):</w:t>
      </w:r>
    </w:p>
    <w:p w14:paraId="2C73CE33" w14:textId="614FFCAC" w:rsidR="002D6E52" w:rsidRPr="00DB3FE7" w:rsidRDefault="002D6E52" w:rsidP="002D6E52">
      <w:pPr>
        <w:pStyle w:val="3-BodyText"/>
        <w:ind w:left="1440"/>
        <w:rPr>
          <w:rFonts w:ascii="Arial Narrow" w:hAnsi="Arial Narrow"/>
          <w:bCs/>
          <w:sz w:val="20"/>
        </w:rPr>
      </w:pPr>
      <w:r w:rsidRPr="00DB3FE7">
        <w:t>From:</w:t>
      </w:r>
      <w:r w:rsidRPr="00DB3FE7">
        <w:tab/>
      </w:r>
      <w:r w:rsidRPr="00DB3FE7">
        <w:rPr>
          <w:rFonts w:ascii="Arial Narrow" w:hAnsi="Arial Narrow"/>
          <w:b/>
          <w:sz w:val="20"/>
        </w:rPr>
        <w:t xml:space="preserve">Treatment phase: </w:t>
      </w:r>
      <w:r w:rsidRPr="00DB3FE7">
        <w:rPr>
          <w:rFonts w:ascii="Arial Narrow" w:hAnsi="Arial Narrow"/>
          <w:bCs/>
          <w:sz w:val="20"/>
        </w:rPr>
        <w:t>Continuing treatment with this drug or switching treatment from another drug within the same pharmacological class.</w:t>
      </w:r>
    </w:p>
    <w:p w14:paraId="71BA3E1C" w14:textId="18EFC65E" w:rsidR="002D6E52" w:rsidRPr="00DB3FE7" w:rsidRDefault="002D6E52" w:rsidP="002D6E52">
      <w:pPr>
        <w:pStyle w:val="3-BodyText"/>
        <w:ind w:left="1440"/>
        <w:rPr>
          <w:rFonts w:ascii="Arial Narrow" w:hAnsi="Arial Narrow"/>
          <w:b/>
          <w:sz w:val="20"/>
        </w:rPr>
      </w:pPr>
      <w:r w:rsidRPr="00DB3FE7">
        <w:t>To:</w:t>
      </w:r>
      <w:r w:rsidRPr="00DB3FE7">
        <w:tab/>
      </w:r>
      <w:r w:rsidRPr="00DB3FE7">
        <w:rPr>
          <w:rFonts w:ascii="Arial Narrow" w:hAnsi="Arial Narrow"/>
          <w:b/>
          <w:sz w:val="20"/>
        </w:rPr>
        <w:t xml:space="preserve">Treatment phase: </w:t>
      </w:r>
      <w:r w:rsidRPr="00DB3FE7">
        <w:rPr>
          <w:rFonts w:ascii="Arial Narrow" w:hAnsi="Arial Narrow"/>
          <w:bCs/>
          <w:sz w:val="20"/>
        </w:rPr>
        <w:t>Continuing treatment with this drug or switching treatment from</w:t>
      </w:r>
      <w:r w:rsidR="00AB3012" w:rsidRPr="00DB3FE7">
        <w:rPr>
          <w:rFonts w:ascii="Arial Narrow" w:hAnsi="Arial Narrow"/>
          <w:bCs/>
          <w:sz w:val="20"/>
        </w:rPr>
        <w:t xml:space="preserve"> </w:t>
      </w:r>
      <w:r w:rsidR="00AB3012" w:rsidRPr="00C91ADA">
        <w:rPr>
          <w:rFonts w:ascii="Arial Narrow" w:hAnsi="Arial Narrow"/>
          <w:bCs/>
          <w:i/>
          <w:iCs/>
          <w:sz w:val="20"/>
        </w:rPr>
        <w:t>any of: (i)</w:t>
      </w:r>
      <w:r w:rsidRPr="0042765C">
        <w:rPr>
          <w:rFonts w:ascii="Arial Narrow" w:hAnsi="Arial Narrow"/>
          <w:bCs/>
          <w:sz w:val="20"/>
        </w:rPr>
        <w:t xml:space="preserve"> another drug </w:t>
      </w:r>
      <w:r w:rsidR="00AB3012" w:rsidRPr="00C91ADA">
        <w:rPr>
          <w:rFonts w:ascii="Arial Narrow" w:hAnsi="Arial Narrow"/>
          <w:bCs/>
          <w:i/>
          <w:iCs/>
          <w:sz w:val="20"/>
        </w:rPr>
        <w:t>that belongs to</w:t>
      </w:r>
      <w:r w:rsidRPr="00C91ADA">
        <w:rPr>
          <w:rFonts w:ascii="Arial Narrow" w:hAnsi="Arial Narrow"/>
          <w:bCs/>
          <w:i/>
          <w:iCs/>
          <w:sz w:val="20"/>
        </w:rPr>
        <w:t xml:space="preserve"> </w:t>
      </w:r>
      <w:r w:rsidRPr="0042765C">
        <w:rPr>
          <w:rFonts w:ascii="Arial Narrow" w:hAnsi="Arial Narrow"/>
          <w:bCs/>
          <w:sz w:val="20"/>
        </w:rPr>
        <w:t>the same pharmacological class</w:t>
      </w:r>
      <w:r w:rsidR="00AB3012" w:rsidRPr="0042765C">
        <w:rPr>
          <w:rFonts w:ascii="Arial Narrow" w:hAnsi="Arial Narrow"/>
          <w:bCs/>
          <w:sz w:val="20"/>
        </w:rPr>
        <w:t xml:space="preserve"> </w:t>
      </w:r>
      <w:r w:rsidR="00AB3012" w:rsidRPr="00C91ADA">
        <w:rPr>
          <w:rFonts w:ascii="Arial Narrow" w:hAnsi="Arial Narrow"/>
          <w:bCs/>
          <w:i/>
          <w:iCs/>
          <w:sz w:val="20"/>
        </w:rPr>
        <w:t>as this drug,</w:t>
      </w:r>
      <w:r w:rsidRPr="00C91ADA">
        <w:rPr>
          <w:rFonts w:ascii="Arial Narrow" w:hAnsi="Arial Narrow"/>
          <w:bCs/>
          <w:i/>
          <w:iCs/>
          <w:sz w:val="20"/>
        </w:rPr>
        <w:t xml:space="preserve"> </w:t>
      </w:r>
      <w:r w:rsidR="00AB3012" w:rsidRPr="00C91ADA">
        <w:rPr>
          <w:rFonts w:ascii="Arial Narrow" w:hAnsi="Arial Narrow"/>
          <w:bCs/>
          <w:i/>
          <w:iCs/>
          <w:sz w:val="20"/>
        </w:rPr>
        <w:t>(ii)</w:t>
      </w:r>
      <w:r w:rsidRPr="00DB3FE7">
        <w:rPr>
          <w:rFonts w:ascii="Arial Narrow" w:hAnsi="Arial Narrow"/>
          <w:bCs/>
          <w:i/>
          <w:iCs/>
          <w:sz w:val="20"/>
        </w:rPr>
        <w:t>inclisiran</w:t>
      </w:r>
    </w:p>
    <w:p w14:paraId="09DB573B" w14:textId="77777777" w:rsidR="002D6E52" w:rsidRPr="00DB3FE7" w:rsidRDefault="002D6E52" w:rsidP="002D6E52">
      <w:pPr>
        <w:spacing w:after="200" w:line="276" w:lineRule="auto"/>
        <w:rPr>
          <w:b/>
          <w:bCs/>
          <w:i/>
          <w:iCs/>
        </w:rPr>
      </w:pPr>
      <w:r w:rsidRPr="00DB3FE7">
        <w:rPr>
          <w:b/>
          <w:bCs/>
          <w:i/>
          <w:iCs/>
        </w:rPr>
        <w:t>These restrictions may be subject to further review. Should there be any changes made to the restriction the sponsor will be informed.</w:t>
      </w:r>
    </w:p>
    <w:p w14:paraId="29121950" w14:textId="77777777" w:rsidR="009F766B" w:rsidRPr="00DB3FE7" w:rsidRDefault="009F766B" w:rsidP="009F766B">
      <w:pPr>
        <w:pStyle w:val="COMH1numbered"/>
        <w:ind w:left="720"/>
      </w:pPr>
      <w:r w:rsidRPr="00DB3FE7">
        <w:t>Context for Decision</w:t>
      </w:r>
    </w:p>
    <w:p w14:paraId="09D1F5C3" w14:textId="77777777" w:rsidR="009F766B" w:rsidRPr="00C91ADA" w:rsidRDefault="009F766B" w:rsidP="00C91ADA">
      <w:pPr>
        <w:spacing w:after="120"/>
        <w:ind w:left="720"/>
        <w:rPr>
          <w:rFonts w:asciiTheme="minorHAnsi" w:hAnsiTheme="minorHAnsi"/>
          <w:bCs/>
        </w:rPr>
      </w:pPr>
      <w:r w:rsidRPr="00C91ADA">
        <w:rPr>
          <w:rFonts w:asciiTheme="minorHAnsi" w:hAnsiTheme="minorHAnsi"/>
          <w:bC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1D1760C" w14:textId="77777777" w:rsidR="009F766B" w:rsidRPr="00D2286B" w:rsidRDefault="009F766B" w:rsidP="009F766B">
      <w:pPr>
        <w:pStyle w:val="COMH1numbered"/>
        <w:ind w:left="720"/>
      </w:pPr>
      <w:r w:rsidRPr="0042765C">
        <w:t>Sponsor’s Comment</w:t>
      </w:r>
    </w:p>
    <w:p w14:paraId="5BF04BD1" w14:textId="2BE2C5AF" w:rsidR="002D6E52" w:rsidRPr="007118F5" w:rsidRDefault="009F766B" w:rsidP="00C91ADA">
      <w:pPr>
        <w:spacing w:after="120"/>
        <w:ind w:left="426"/>
        <w:rPr>
          <w:rFonts w:asciiTheme="minorHAnsi" w:hAnsiTheme="minorHAnsi"/>
          <w:b/>
          <w:bCs/>
          <w:snapToGrid w:val="0"/>
        </w:rPr>
      </w:pPr>
      <w:r w:rsidRPr="007118F5">
        <w:rPr>
          <w:rFonts w:asciiTheme="minorHAnsi" w:hAnsiTheme="minorHAnsi"/>
          <w:b/>
          <w:bCs/>
          <w:snapToGrid w:val="0"/>
        </w:rPr>
        <w:tab/>
      </w:r>
      <w:r w:rsidRPr="007118F5">
        <w:rPr>
          <w:rFonts w:asciiTheme="minorHAnsi" w:hAnsiTheme="minorHAnsi"/>
          <w:bCs/>
        </w:rPr>
        <w:t>The sponsor had no comment.</w:t>
      </w:r>
      <w:bookmarkEnd w:id="46"/>
      <w:bookmarkEnd w:id="57"/>
      <w:bookmarkEnd w:id="58"/>
      <w:bookmarkEnd w:id="59"/>
      <w:bookmarkEnd w:id="60"/>
    </w:p>
    <w:sectPr w:rsidR="002D6E52" w:rsidRPr="007118F5" w:rsidSect="00282EC9">
      <w:type w:val="continuous"/>
      <w:pgSz w:w="11907" w:h="16840" w:code="9"/>
      <w:pgMar w:top="1440" w:right="1440" w:bottom="1440" w:left="1440" w:header="1440" w:footer="1440" w:gutter="0"/>
      <w:pgNumType w:start="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920B" w14:textId="77777777" w:rsidR="004E2FE4" w:rsidRDefault="004E2FE4" w:rsidP="00124A51">
      <w:r>
        <w:separator/>
      </w:r>
    </w:p>
    <w:p w14:paraId="4EBF8052" w14:textId="77777777" w:rsidR="004E2FE4" w:rsidRDefault="004E2FE4"/>
    <w:p w14:paraId="23AA98D7" w14:textId="77777777" w:rsidR="004E2FE4" w:rsidRDefault="004E2FE4"/>
  </w:endnote>
  <w:endnote w:type="continuationSeparator" w:id="0">
    <w:p w14:paraId="04205308" w14:textId="77777777" w:rsidR="004E2FE4" w:rsidRDefault="004E2FE4" w:rsidP="00124A51">
      <w:r>
        <w:continuationSeparator/>
      </w:r>
    </w:p>
    <w:p w14:paraId="671E188B" w14:textId="77777777" w:rsidR="004E2FE4" w:rsidRDefault="004E2FE4"/>
    <w:p w14:paraId="08A08702" w14:textId="77777777" w:rsidR="004E2FE4" w:rsidRDefault="004E2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abon">
    <w:altName w:val="Constantia"/>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9070000" w:usb2="00000010" w:usb3="00000000" w:csb0="000A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7878" w14:textId="77777777" w:rsidR="00B650E1" w:rsidRDefault="00B65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FB2C" w14:textId="77777777" w:rsidR="004E1C78" w:rsidRDefault="004E1C78">
    <w:pPr>
      <w:pStyle w:val="Footer"/>
      <w:jc w:val="center"/>
    </w:pPr>
  </w:p>
  <w:p w14:paraId="409A6736" w14:textId="045D148E" w:rsidR="004E1C78" w:rsidRPr="00A058F2" w:rsidRDefault="00D71C83" w:rsidP="00A058F2">
    <w:pPr>
      <w:pStyle w:val="Footer"/>
      <w:jc w:val="center"/>
      <w:rPr>
        <w:b/>
        <w:bCs/>
      </w:rPr>
    </w:pPr>
    <w:sdt>
      <w:sdtPr>
        <w:id w:val="727646110"/>
        <w:docPartObj>
          <w:docPartGallery w:val="Page Numbers (Bottom of Page)"/>
          <w:docPartUnique/>
        </w:docPartObj>
      </w:sdtPr>
      <w:sdtEndPr>
        <w:rPr>
          <w:b/>
          <w:bCs/>
          <w:noProof/>
        </w:rPr>
      </w:sdtEndPr>
      <w:sdtContent>
        <w:r w:rsidR="004E1C78" w:rsidRPr="007F2E83">
          <w:rPr>
            <w:b/>
            <w:bCs/>
          </w:rPr>
          <w:fldChar w:fldCharType="begin"/>
        </w:r>
        <w:r w:rsidR="004E1C78" w:rsidRPr="007F2E83">
          <w:rPr>
            <w:b/>
            <w:bCs/>
          </w:rPr>
          <w:instrText xml:space="preserve"> PAGE   \* MERGEFORMAT </w:instrText>
        </w:r>
        <w:r w:rsidR="004E1C78" w:rsidRPr="007F2E83">
          <w:rPr>
            <w:b/>
            <w:bCs/>
          </w:rPr>
          <w:fldChar w:fldCharType="separate"/>
        </w:r>
        <w:r w:rsidR="004E1C78" w:rsidRPr="007F2E83">
          <w:rPr>
            <w:b/>
            <w:bCs/>
            <w:noProof/>
          </w:rPr>
          <w:t>2</w:t>
        </w:r>
        <w:r w:rsidR="004E1C78" w:rsidRPr="007F2E83">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D2F" w14:textId="77777777" w:rsidR="00B650E1" w:rsidRDefault="00B650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B866" w14:textId="77777777" w:rsidR="007C4AE2" w:rsidRDefault="007C4A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8E61" w14:textId="77777777" w:rsidR="007C4AE2" w:rsidRDefault="007C4AE2">
    <w:pPr>
      <w:pStyle w:val="Footer"/>
      <w:jc w:val="center"/>
    </w:pPr>
  </w:p>
  <w:p w14:paraId="67690A15" w14:textId="39A4D445" w:rsidR="007C4AE2" w:rsidRPr="00A058F2" w:rsidRDefault="00D71C83" w:rsidP="00A058F2">
    <w:pPr>
      <w:pStyle w:val="Footer"/>
      <w:jc w:val="center"/>
      <w:rPr>
        <w:b/>
        <w:bCs/>
      </w:rPr>
    </w:pPr>
    <w:sdt>
      <w:sdtPr>
        <w:id w:val="-1981448710"/>
        <w:docPartObj>
          <w:docPartGallery w:val="Page Numbers (Bottom of Page)"/>
          <w:docPartUnique/>
        </w:docPartObj>
      </w:sdtPr>
      <w:sdtEndPr>
        <w:rPr>
          <w:b/>
          <w:bCs/>
          <w:noProof/>
        </w:rPr>
      </w:sdtEndPr>
      <w:sdtContent>
        <w:r w:rsidR="007C4AE2" w:rsidRPr="007F2E83">
          <w:rPr>
            <w:b/>
            <w:bCs/>
          </w:rPr>
          <w:fldChar w:fldCharType="begin"/>
        </w:r>
        <w:r w:rsidR="007C4AE2" w:rsidRPr="007F2E83">
          <w:rPr>
            <w:b/>
            <w:bCs/>
          </w:rPr>
          <w:instrText xml:space="preserve"> PAGE   \* MERGEFORMAT </w:instrText>
        </w:r>
        <w:r w:rsidR="007C4AE2" w:rsidRPr="007F2E83">
          <w:rPr>
            <w:b/>
            <w:bCs/>
          </w:rPr>
          <w:fldChar w:fldCharType="separate"/>
        </w:r>
        <w:r w:rsidR="007C4AE2" w:rsidRPr="007F2E83">
          <w:rPr>
            <w:b/>
            <w:bCs/>
            <w:noProof/>
          </w:rPr>
          <w:t>2</w:t>
        </w:r>
        <w:r w:rsidR="007C4AE2" w:rsidRPr="007F2E83">
          <w:rPr>
            <w:b/>
            <w:bCs/>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ACCA" w14:textId="77777777" w:rsidR="007C4AE2" w:rsidRDefault="007C4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357C" w14:textId="77777777" w:rsidR="004E2FE4" w:rsidRDefault="004E2FE4" w:rsidP="00124A51">
      <w:r>
        <w:separator/>
      </w:r>
    </w:p>
    <w:p w14:paraId="3208D8F3" w14:textId="77777777" w:rsidR="004E2FE4" w:rsidRDefault="004E2FE4"/>
    <w:p w14:paraId="1877A258" w14:textId="77777777" w:rsidR="004E2FE4" w:rsidRDefault="004E2FE4"/>
  </w:footnote>
  <w:footnote w:type="continuationSeparator" w:id="0">
    <w:p w14:paraId="337D1C0B" w14:textId="77777777" w:rsidR="004E2FE4" w:rsidRDefault="004E2FE4" w:rsidP="00124A51">
      <w:r>
        <w:continuationSeparator/>
      </w:r>
    </w:p>
    <w:p w14:paraId="61A9926F" w14:textId="77777777" w:rsidR="004E2FE4" w:rsidRDefault="004E2FE4"/>
    <w:p w14:paraId="41638E41" w14:textId="77777777" w:rsidR="004E2FE4" w:rsidRDefault="004E2FE4"/>
  </w:footnote>
  <w:footnote w:id="1">
    <w:p w14:paraId="7984FBC7" w14:textId="7676594B" w:rsidR="00A50230" w:rsidRPr="00856C37" w:rsidRDefault="00A50230">
      <w:pPr>
        <w:pStyle w:val="FootnoteText"/>
      </w:pPr>
      <w:r w:rsidRPr="00856C37">
        <w:rPr>
          <w:rStyle w:val="FootnoteReference"/>
        </w:rPr>
        <w:footnoteRef/>
      </w:r>
      <w:r w:rsidRPr="00856C37">
        <w:t xml:space="preserve"> Ray, Kausik K., et al. (2023) Inclisiran and cardiovascular events: a patient-level analysis of phase III trials. European Heart Journal 44.2: 129-138.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33935" w14:textId="77777777" w:rsidR="00B650E1" w:rsidRDefault="00B65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813E" w14:textId="677461EB" w:rsidR="004E1C78" w:rsidRPr="004E1C78" w:rsidRDefault="00BA3310" w:rsidP="004E1C78">
    <w:pPr>
      <w:pStyle w:val="Header"/>
      <w:jc w:val="center"/>
      <w:rPr>
        <w:i/>
        <w:iCs/>
      </w:rPr>
    </w:pPr>
    <w:r>
      <w:rPr>
        <w:i/>
        <w:iCs/>
      </w:rPr>
      <w:t>Public Summary Document</w:t>
    </w:r>
    <w:r w:rsidR="007F2E83">
      <w:rPr>
        <w:i/>
        <w:iCs/>
      </w:rPr>
      <w:t xml:space="preserve"> - </w:t>
    </w:r>
    <w:r w:rsidR="004E1C78" w:rsidRPr="004E1C78">
      <w:rPr>
        <w:i/>
        <w:iCs/>
      </w:rPr>
      <w:t>March 2023 PBAC Meeting</w:t>
    </w:r>
    <w:r w:rsidR="00E17A4E">
      <w:rPr>
        <w:i/>
        <w:iCs/>
      </w:rPr>
      <w:t xml:space="preserve"> with May 2023 Addendum</w:t>
    </w:r>
  </w:p>
  <w:p w14:paraId="310EF7CD" w14:textId="77777777" w:rsidR="004E1C78" w:rsidRDefault="004E1C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6A55" w14:textId="77777777" w:rsidR="00B650E1" w:rsidRDefault="00B650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1C2D" w14:textId="77777777" w:rsidR="007C4AE2" w:rsidRDefault="007C4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79B" w14:textId="5A26308B" w:rsidR="007C4AE2" w:rsidRPr="004E1C78" w:rsidRDefault="007C4AE2" w:rsidP="004E1C78">
    <w:pPr>
      <w:pStyle w:val="Header"/>
      <w:jc w:val="center"/>
      <w:rPr>
        <w:i/>
        <w:iCs/>
      </w:rPr>
    </w:pPr>
    <w:r>
      <w:rPr>
        <w:i/>
        <w:iCs/>
      </w:rPr>
      <w:t xml:space="preserve">Public Summary Document - </w:t>
    </w:r>
    <w:r w:rsidRPr="004E1C78">
      <w:rPr>
        <w:i/>
        <w:iCs/>
      </w:rPr>
      <w:t>March 2023 PBAC Meeting</w:t>
    </w:r>
    <w:r w:rsidR="00531E6C">
      <w:rPr>
        <w:i/>
        <w:iCs/>
      </w:rPr>
      <w:t xml:space="preserve"> with May 2023 Addendum</w:t>
    </w:r>
  </w:p>
  <w:p w14:paraId="1456E9A4" w14:textId="77777777" w:rsidR="007C4AE2" w:rsidRDefault="007C4A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C6C3" w14:textId="77777777" w:rsidR="007C4AE2" w:rsidRDefault="007C4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C42405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5D7689"/>
    <w:multiLevelType w:val="hybridMultilevel"/>
    <w:tmpl w:val="36D034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18156A8"/>
    <w:multiLevelType w:val="hybridMultilevel"/>
    <w:tmpl w:val="07E682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523CD"/>
    <w:multiLevelType w:val="hybridMultilevel"/>
    <w:tmpl w:val="24F2A7F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D77194B"/>
    <w:multiLevelType w:val="hybridMultilevel"/>
    <w:tmpl w:val="2C984E9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FB219F8"/>
    <w:multiLevelType w:val="hybridMultilevel"/>
    <w:tmpl w:val="DB9682A6"/>
    <w:lvl w:ilvl="0" w:tplc="594416C2">
      <w:start w:val="1"/>
      <w:numFmt w:val="bullet"/>
      <w:pStyle w:val="COMexecsummmainissuesbullets"/>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2"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A42BE5"/>
    <w:multiLevelType w:val="multilevel"/>
    <w:tmpl w:val="559A806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210628"/>
    <w:multiLevelType w:val="multilevel"/>
    <w:tmpl w:val="61845D3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91269C"/>
    <w:multiLevelType w:val="multilevel"/>
    <w:tmpl w:val="F57654C8"/>
    <w:lvl w:ilvl="0">
      <w:start w:val="1"/>
      <w:numFmt w:val="bullet"/>
      <w:lvlText w:val=""/>
      <w:lvlJc w:val="left"/>
      <w:pPr>
        <w:ind w:left="348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01A7202"/>
    <w:multiLevelType w:val="hybridMultilevel"/>
    <w:tmpl w:val="6EBC9F5E"/>
    <w:lvl w:ilvl="0" w:tplc="A350C6E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71551504"/>
    <w:multiLevelType w:val="hybridMultilevel"/>
    <w:tmpl w:val="E8548C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6A5657E"/>
    <w:multiLevelType w:val="multilevel"/>
    <w:tmpl w:val="F66069F4"/>
    <w:lvl w:ilvl="0">
      <w:start w:val="1"/>
      <w:numFmt w:val="bullet"/>
      <w:lvlText w:val=""/>
      <w:lvlJc w:val="left"/>
      <w:pPr>
        <w:ind w:left="1440" w:hanging="720"/>
      </w:pPr>
      <w:rPr>
        <w:rFonts w:ascii="Symbol" w:hAnsi="Symbol" w:hint="default"/>
        <w:b/>
      </w:rPr>
    </w:lvl>
    <w:lvl w:ilvl="1">
      <w:start w:val="1"/>
      <w:numFmt w:val="decimal"/>
      <w:lvlText w:val="%1.%2"/>
      <w:lvlJc w:val="left"/>
      <w:pPr>
        <w:ind w:left="-13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320" w:hanging="720"/>
      </w:pPr>
      <w:rPr>
        <w:rFonts w:hint="default"/>
      </w:rPr>
    </w:lvl>
    <w:lvl w:ilvl="3">
      <w:start w:val="1"/>
      <w:numFmt w:val="decimal"/>
      <w:lvlText w:val="%1.%2.%3.%4"/>
      <w:lvlJc w:val="left"/>
      <w:pPr>
        <w:ind w:left="-96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600" w:hanging="1440"/>
      </w:pPr>
      <w:rPr>
        <w:rFonts w:hint="default"/>
      </w:rPr>
    </w:lvl>
    <w:lvl w:ilvl="6">
      <w:start w:val="1"/>
      <w:numFmt w:val="decimal"/>
      <w:lvlText w:val="%1.%2.%3.%4.%5.%6.%7"/>
      <w:lvlJc w:val="left"/>
      <w:pPr>
        <w:ind w:left="-600" w:hanging="1440"/>
      </w:pPr>
      <w:rPr>
        <w:rFonts w:hint="default"/>
      </w:rPr>
    </w:lvl>
    <w:lvl w:ilvl="7">
      <w:start w:val="1"/>
      <w:numFmt w:val="decimal"/>
      <w:lvlText w:val="%1.%2.%3.%4.%5.%6.%7.%8"/>
      <w:lvlJc w:val="left"/>
      <w:pPr>
        <w:ind w:left="-240" w:hanging="1800"/>
      </w:pPr>
      <w:rPr>
        <w:rFonts w:hint="default"/>
      </w:rPr>
    </w:lvl>
    <w:lvl w:ilvl="8">
      <w:start w:val="1"/>
      <w:numFmt w:val="decimal"/>
      <w:lvlText w:val="%1.%2.%3.%4.%5.%6.%7.%8.%9"/>
      <w:lvlJc w:val="left"/>
      <w:pPr>
        <w:ind w:left="-240" w:hanging="1800"/>
      </w:pPr>
      <w:rPr>
        <w:rFonts w:hint="default"/>
      </w:rPr>
    </w:lvl>
  </w:abstractNum>
  <w:abstractNum w:abstractNumId="22" w15:restartNumberingAfterBreak="0">
    <w:nsid w:val="77240108"/>
    <w:multiLevelType w:val="hybridMultilevel"/>
    <w:tmpl w:val="42C887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84D033C"/>
    <w:multiLevelType w:val="multilevel"/>
    <w:tmpl w:val="85AED71A"/>
    <w:lvl w:ilvl="0">
      <w:start w:val="1"/>
      <w:numFmt w:val="decimal"/>
      <w:pStyle w:val="COMH1numbered"/>
      <w:lvlText w:val="%1"/>
      <w:lvlJc w:val="left"/>
      <w:pPr>
        <w:ind w:left="348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53019842">
    <w:abstractNumId w:val="23"/>
  </w:num>
  <w:num w:numId="2" w16cid:durableId="1561791954">
    <w:abstractNumId w:val="12"/>
  </w:num>
  <w:num w:numId="3" w16cid:durableId="623852432">
    <w:abstractNumId w:val="13"/>
  </w:num>
  <w:num w:numId="4" w16cid:durableId="1196963152">
    <w:abstractNumId w:val="1"/>
  </w:num>
  <w:num w:numId="5" w16cid:durableId="193349938">
    <w:abstractNumId w:val="23"/>
  </w:num>
  <w:num w:numId="6" w16cid:durableId="1167555282">
    <w:abstractNumId w:val="8"/>
  </w:num>
  <w:num w:numId="7" w16cid:durableId="1659336206">
    <w:abstractNumId w:val="3"/>
  </w:num>
  <w:num w:numId="8" w16cid:durableId="807555816">
    <w:abstractNumId w:val="20"/>
  </w:num>
  <w:num w:numId="9" w16cid:durableId="440493906">
    <w:abstractNumId w:val="4"/>
  </w:num>
  <w:num w:numId="10" w16cid:durableId="523175340">
    <w:abstractNumId w:val="7"/>
  </w:num>
  <w:num w:numId="11" w16cid:durableId="227229451">
    <w:abstractNumId w:val="6"/>
  </w:num>
  <w:num w:numId="12" w16cid:durableId="155146196">
    <w:abstractNumId w:val="0"/>
  </w:num>
  <w:num w:numId="13" w16cid:durableId="606043452">
    <w:abstractNumId w:val="16"/>
  </w:num>
  <w:num w:numId="14" w16cid:durableId="783842596">
    <w:abstractNumId w:val="11"/>
    <w:lvlOverride w:ilvl="0">
      <w:startOverride w:val="1"/>
    </w:lvlOverride>
  </w:num>
  <w:num w:numId="15" w16cid:durableId="1652711194">
    <w:abstractNumId w:val="22"/>
  </w:num>
  <w:num w:numId="16" w16cid:durableId="1234462451">
    <w:abstractNumId w:val="14"/>
  </w:num>
  <w:num w:numId="17" w16cid:durableId="1949969529">
    <w:abstractNumId w:val="15"/>
  </w:num>
  <w:num w:numId="18" w16cid:durableId="748575449">
    <w:abstractNumId w:val="21"/>
  </w:num>
  <w:num w:numId="19" w16cid:durableId="1463184388">
    <w:abstractNumId w:val="18"/>
  </w:num>
  <w:num w:numId="20" w16cid:durableId="443115989">
    <w:abstractNumId w:val="5"/>
  </w:num>
  <w:num w:numId="21" w16cid:durableId="2107578584">
    <w:abstractNumId w:val="2"/>
  </w:num>
  <w:num w:numId="22" w16cid:durableId="1167865623">
    <w:abstractNumId w:val="10"/>
  </w:num>
  <w:num w:numId="23" w16cid:durableId="1445462895">
    <w:abstractNumId w:val="9"/>
  </w:num>
  <w:num w:numId="24" w16cid:durableId="619382914">
    <w:abstractNumId w:val="17"/>
  </w:num>
  <w:num w:numId="25" w16cid:durableId="62666722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926"/>
    <w:rsid w:val="00000C67"/>
    <w:rsid w:val="00000FDC"/>
    <w:rsid w:val="0000110B"/>
    <w:rsid w:val="00001BA9"/>
    <w:rsid w:val="00002394"/>
    <w:rsid w:val="00002D13"/>
    <w:rsid w:val="00002D82"/>
    <w:rsid w:val="00003499"/>
    <w:rsid w:val="000039B7"/>
    <w:rsid w:val="000056B9"/>
    <w:rsid w:val="00005C20"/>
    <w:rsid w:val="0000639A"/>
    <w:rsid w:val="0000761D"/>
    <w:rsid w:val="000077AC"/>
    <w:rsid w:val="00012039"/>
    <w:rsid w:val="00013247"/>
    <w:rsid w:val="000134F9"/>
    <w:rsid w:val="00015253"/>
    <w:rsid w:val="00015886"/>
    <w:rsid w:val="000162EF"/>
    <w:rsid w:val="000164A1"/>
    <w:rsid w:val="00017698"/>
    <w:rsid w:val="00017FC4"/>
    <w:rsid w:val="000207C9"/>
    <w:rsid w:val="000220E9"/>
    <w:rsid w:val="0002225F"/>
    <w:rsid w:val="00023763"/>
    <w:rsid w:val="00023AB6"/>
    <w:rsid w:val="000249CA"/>
    <w:rsid w:val="00024D33"/>
    <w:rsid w:val="00024EB5"/>
    <w:rsid w:val="000274B8"/>
    <w:rsid w:val="00031B92"/>
    <w:rsid w:val="00031C3F"/>
    <w:rsid w:val="0003280D"/>
    <w:rsid w:val="00033863"/>
    <w:rsid w:val="00035058"/>
    <w:rsid w:val="00035DC0"/>
    <w:rsid w:val="00035F43"/>
    <w:rsid w:val="00035F47"/>
    <w:rsid w:val="000367B2"/>
    <w:rsid w:val="00036829"/>
    <w:rsid w:val="00036CF1"/>
    <w:rsid w:val="00037D64"/>
    <w:rsid w:val="00037EE4"/>
    <w:rsid w:val="00040895"/>
    <w:rsid w:val="00040B51"/>
    <w:rsid w:val="00040D09"/>
    <w:rsid w:val="000410A0"/>
    <w:rsid w:val="00041536"/>
    <w:rsid w:val="000430E4"/>
    <w:rsid w:val="000435EE"/>
    <w:rsid w:val="00043C37"/>
    <w:rsid w:val="00044424"/>
    <w:rsid w:val="00045017"/>
    <w:rsid w:val="00045A2B"/>
    <w:rsid w:val="0004698F"/>
    <w:rsid w:val="00046D64"/>
    <w:rsid w:val="00046E8E"/>
    <w:rsid w:val="00047BFD"/>
    <w:rsid w:val="00050678"/>
    <w:rsid w:val="000508C2"/>
    <w:rsid w:val="00051E90"/>
    <w:rsid w:val="00052F54"/>
    <w:rsid w:val="00053242"/>
    <w:rsid w:val="000539D0"/>
    <w:rsid w:val="00053A9E"/>
    <w:rsid w:val="00053E80"/>
    <w:rsid w:val="00054621"/>
    <w:rsid w:val="000546D7"/>
    <w:rsid w:val="00054A8D"/>
    <w:rsid w:val="00054C64"/>
    <w:rsid w:val="00055715"/>
    <w:rsid w:val="00056ECF"/>
    <w:rsid w:val="0006020D"/>
    <w:rsid w:val="00060254"/>
    <w:rsid w:val="000604DF"/>
    <w:rsid w:val="00061A80"/>
    <w:rsid w:val="00062324"/>
    <w:rsid w:val="000627A2"/>
    <w:rsid w:val="000653B5"/>
    <w:rsid w:val="00066360"/>
    <w:rsid w:val="00066AF8"/>
    <w:rsid w:val="00067324"/>
    <w:rsid w:val="00071248"/>
    <w:rsid w:val="0007160B"/>
    <w:rsid w:val="000720B9"/>
    <w:rsid w:val="00072462"/>
    <w:rsid w:val="000726D1"/>
    <w:rsid w:val="000737F7"/>
    <w:rsid w:val="00073853"/>
    <w:rsid w:val="00073C76"/>
    <w:rsid w:val="00074FCE"/>
    <w:rsid w:val="0007592C"/>
    <w:rsid w:val="00076437"/>
    <w:rsid w:val="0007648C"/>
    <w:rsid w:val="000764CD"/>
    <w:rsid w:val="0007672F"/>
    <w:rsid w:val="00076B54"/>
    <w:rsid w:val="0007746A"/>
    <w:rsid w:val="000774F0"/>
    <w:rsid w:val="00080304"/>
    <w:rsid w:val="000806E9"/>
    <w:rsid w:val="00080909"/>
    <w:rsid w:val="000812CA"/>
    <w:rsid w:val="00081E63"/>
    <w:rsid w:val="0008258D"/>
    <w:rsid w:val="00082857"/>
    <w:rsid w:val="00083477"/>
    <w:rsid w:val="00083E99"/>
    <w:rsid w:val="00084FA8"/>
    <w:rsid w:val="000856C5"/>
    <w:rsid w:val="00085C31"/>
    <w:rsid w:val="000902D9"/>
    <w:rsid w:val="00090AD4"/>
    <w:rsid w:val="00090C7E"/>
    <w:rsid w:val="000911AC"/>
    <w:rsid w:val="00092165"/>
    <w:rsid w:val="00092600"/>
    <w:rsid w:val="0009262B"/>
    <w:rsid w:val="00092BB5"/>
    <w:rsid w:val="00093310"/>
    <w:rsid w:val="00093E2F"/>
    <w:rsid w:val="0009445C"/>
    <w:rsid w:val="000949B4"/>
    <w:rsid w:val="00094C84"/>
    <w:rsid w:val="00095200"/>
    <w:rsid w:val="00095FE5"/>
    <w:rsid w:val="00096284"/>
    <w:rsid w:val="000972E5"/>
    <w:rsid w:val="00097682"/>
    <w:rsid w:val="000A0654"/>
    <w:rsid w:val="000A1BC0"/>
    <w:rsid w:val="000A24C3"/>
    <w:rsid w:val="000A296D"/>
    <w:rsid w:val="000A2F9E"/>
    <w:rsid w:val="000A3342"/>
    <w:rsid w:val="000A3E47"/>
    <w:rsid w:val="000A42BE"/>
    <w:rsid w:val="000A522B"/>
    <w:rsid w:val="000A545F"/>
    <w:rsid w:val="000A6039"/>
    <w:rsid w:val="000A618A"/>
    <w:rsid w:val="000A6C7B"/>
    <w:rsid w:val="000A7453"/>
    <w:rsid w:val="000A79C6"/>
    <w:rsid w:val="000A7C1E"/>
    <w:rsid w:val="000A7D08"/>
    <w:rsid w:val="000B0121"/>
    <w:rsid w:val="000B0670"/>
    <w:rsid w:val="000B0E75"/>
    <w:rsid w:val="000B2BE9"/>
    <w:rsid w:val="000B2DCB"/>
    <w:rsid w:val="000B30D9"/>
    <w:rsid w:val="000B3ABB"/>
    <w:rsid w:val="000B3CF9"/>
    <w:rsid w:val="000B41E8"/>
    <w:rsid w:val="000B5CE0"/>
    <w:rsid w:val="000B6516"/>
    <w:rsid w:val="000B6CAC"/>
    <w:rsid w:val="000B7612"/>
    <w:rsid w:val="000B78AE"/>
    <w:rsid w:val="000B79DB"/>
    <w:rsid w:val="000C17AF"/>
    <w:rsid w:val="000C18FD"/>
    <w:rsid w:val="000C2905"/>
    <w:rsid w:val="000C3DF9"/>
    <w:rsid w:val="000C4CF2"/>
    <w:rsid w:val="000C50DC"/>
    <w:rsid w:val="000C5ACE"/>
    <w:rsid w:val="000C6713"/>
    <w:rsid w:val="000C6A58"/>
    <w:rsid w:val="000C7CE2"/>
    <w:rsid w:val="000D0BD7"/>
    <w:rsid w:val="000D1BFC"/>
    <w:rsid w:val="000D1D5D"/>
    <w:rsid w:val="000D281A"/>
    <w:rsid w:val="000D2848"/>
    <w:rsid w:val="000D326A"/>
    <w:rsid w:val="000D4EF0"/>
    <w:rsid w:val="000D51FB"/>
    <w:rsid w:val="000D567E"/>
    <w:rsid w:val="000E0557"/>
    <w:rsid w:val="000E0640"/>
    <w:rsid w:val="000E135D"/>
    <w:rsid w:val="000E4573"/>
    <w:rsid w:val="000E49A0"/>
    <w:rsid w:val="000E5D79"/>
    <w:rsid w:val="000E70F0"/>
    <w:rsid w:val="000F00BA"/>
    <w:rsid w:val="000F10C2"/>
    <w:rsid w:val="000F168F"/>
    <w:rsid w:val="000F18C0"/>
    <w:rsid w:val="000F2653"/>
    <w:rsid w:val="000F295C"/>
    <w:rsid w:val="000F316A"/>
    <w:rsid w:val="000F32DA"/>
    <w:rsid w:val="000F3C74"/>
    <w:rsid w:val="000F4BB8"/>
    <w:rsid w:val="000F4CCE"/>
    <w:rsid w:val="000F4DAD"/>
    <w:rsid w:val="000F4FA9"/>
    <w:rsid w:val="000F4FD2"/>
    <w:rsid w:val="000F53FB"/>
    <w:rsid w:val="000F7127"/>
    <w:rsid w:val="000F7B54"/>
    <w:rsid w:val="000F7BC0"/>
    <w:rsid w:val="001000B3"/>
    <w:rsid w:val="00100CEA"/>
    <w:rsid w:val="00100D1D"/>
    <w:rsid w:val="00100F8A"/>
    <w:rsid w:val="0010452E"/>
    <w:rsid w:val="00104D76"/>
    <w:rsid w:val="00105AE2"/>
    <w:rsid w:val="00105FD7"/>
    <w:rsid w:val="001060C6"/>
    <w:rsid w:val="001060DE"/>
    <w:rsid w:val="00106B80"/>
    <w:rsid w:val="00106F25"/>
    <w:rsid w:val="0010795D"/>
    <w:rsid w:val="00107BFB"/>
    <w:rsid w:val="0011032E"/>
    <w:rsid w:val="00110338"/>
    <w:rsid w:val="0011263C"/>
    <w:rsid w:val="00112F46"/>
    <w:rsid w:val="0011348B"/>
    <w:rsid w:val="0011430E"/>
    <w:rsid w:val="00115982"/>
    <w:rsid w:val="00116C53"/>
    <w:rsid w:val="00117607"/>
    <w:rsid w:val="00121799"/>
    <w:rsid w:val="001222FC"/>
    <w:rsid w:val="00123100"/>
    <w:rsid w:val="00123902"/>
    <w:rsid w:val="00124A51"/>
    <w:rsid w:val="00125BAD"/>
    <w:rsid w:val="00125DEB"/>
    <w:rsid w:val="00126621"/>
    <w:rsid w:val="00126B1D"/>
    <w:rsid w:val="001271EB"/>
    <w:rsid w:val="001301E9"/>
    <w:rsid w:val="00130749"/>
    <w:rsid w:val="00130BEA"/>
    <w:rsid w:val="00130D66"/>
    <w:rsid w:val="00131D82"/>
    <w:rsid w:val="0013295B"/>
    <w:rsid w:val="00132B22"/>
    <w:rsid w:val="00133C0A"/>
    <w:rsid w:val="00133CA8"/>
    <w:rsid w:val="00133D36"/>
    <w:rsid w:val="001341D5"/>
    <w:rsid w:val="0013441A"/>
    <w:rsid w:val="001365AD"/>
    <w:rsid w:val="00136713"/>
    <w:rsid w:val="00136EC4"/>
    <w:rsid w:val="00137645"/>
    <w:rsid w:val="0014015A"/>
    <w:rsid w:val="001403A7"/>
    <w:rsid w:val="00140E99"/>
    <w:rsid w:val="00142AEF"/>
    <w:rsid w:val="00143C83"/>
    <w:rsid w:val="00143F67"/>
    <w:rsid w:val="00144650"/>
    <w:rsid w:val="00144F54"/>
    <w:rsid w:val="00145234"/>
    <w:rsid w:val="00145540"/>
    <w:rsid w:val="001456B0"/>
    <w:rsid w:val="00146B7F"/>
    <w:rsid w:val="0014749D"/>
    <w:rsid w:val="0014751A"/>
    <w:rsid w:val="00147B41"/>
    <w:rsid w:val="00147F07"/>
    <w:rsid w:val="00150200"/>
    <w:rsid w:val="0015043F"/>
    <w:rsid w:val="0015456E"/>
    <w:rsid w:val="001547AB"/>
    <w:rsid w:val="00155B22"/>
    <w:rsid w:val="001565FB"/>
    <w:rsid w:val="00156F8F"/>
    <w:rsid w:val="00157130"/>
    <w:rsid w:val="001575EE"/>
    <w:rsid w:val="001576B1"/>
    <w:rsid w:val="001578E8"/>
    <w:rsid w:val="00160189"/>
    <w:rsid w:val="0016047B"/>
    <w:rsid w:val="00160A4C"/>
    <w:rsid w:val="00160EF0"/>
    <w:rsid w:val="001610A6"/>
    <w:rsid w:val="001626C9"/>
    <w:rsid w:val="00162913"/>
    <w:rsid w:val="001629B8"/>
    <w:rsid w:val="001635E7"/>
    <w:rsid w:val="00163C99"/>
    <w:rsid w:val="00163E81"/>
    <w:rsid w:val="00163EFF"/>
    <w:rsid w:val="00163F66"/>
    <w:rsid w:val="00164474"/>
    <w:rsid w:val="0016478E"/>
    <w:rsid w:val="001650F0"/>
    <w:rsid w:val="00165EC4"/>
    <w:rsid w:val="001661FB"/>
    <w:rsid w:val="00166855"/>
    <w:rsid w:val="001671A0"/>
    <w:rsid w:val="0016767F"/>
    <w:rsid w:val="0017300C"/>
    <w:rsid w:val="00173565"/>
    <w:rsid w:val="00173B07"/>
    <w:rsid w:val="00173C07"/>
    <w:rsid w:val="00173F1B"/>
    <w:rsid w:val="001751FA"/>
    <w:rsid w:val="00175FF1"/>
    <w:rsid w:val="00181A75"/>
    <w:rsid w:val="00181C10"/>
    <w:rsid w:val="00181D9C"/>
    <w:rsid w:val="00182450"/>
    <w:rsid w:val="0018262A"/>
    <w:rsid w:val="001837FF"/>
    <w:rsid w:val="00184B0E"/>
    <w:rsid w:val="00184D18"/>
    <w:rsid w:val="00185424"/>
    <w:rsid w:val="00185435"/>
    <w:rsid w:val="001857ED"/>
    <w:rsid w:val="00186492"/>
    <w:rsid w:val="001868F6"/>
    <w:rsid w:val="0018752F"/>
    <w:rsid w:val="00191D24"/>
    <w:rsid w:val="001935B5"/>
    <w:rsid w:val="00193838"/>
    <w:rsid w:val="001939AD"/>
    <w:rsid w:val="00193AE3"/>
    <w:rsid w:val="00194AD8"/>
    <w:rsid w:val="00194C15"/>
    <w:rsid w:val="00195026"/>
    <w:rsid w:val="00195222"/>
    <w:rsid w:val="00195452"/>
    <w:rsid w:val="00195508"/>
    <w:rsid w:val="0019691B"/>
    <w:rsid w:val="00196954"/>
    <w:rsid w:val="001975D8"/>
    <w:rsid w:val="001A05BB"/>
    <w:rsid w:val="001A178E"/>
    <w:rsid w:val="001A23A4"/>
    <w:rsid w:val="001A2FCA"/>
    <w:rsid w:val="001A3360"/>
    <w:rsid w:val="001A361E"/>
    <w:rsid w:val="001A3B85"/>
    <w:rsid w:val="001A43FA"/>
    <w:rsid w:val="001A47C5"/>
    <w:rsid w:val="001A47E3"/>
    <w:rsid w:val="001A4CD0"/>
    <w:rsid w:val="001A59FB"/>
    <w:rsid w:val="001A5E9E"/>
    <w:rsid w:val="001A6354"/>
    <w:rsid w:val="001A6366"/>
    <w:rsid w:val="001A66F8"/>
    <w:rsid w:val="001A75C7"/>
    <w:rsid w:val="001A75E4"/>
    <w:rsid w:val="001A7AE8"/>
    <w:rsid w:val="001B0F55"/>
    <w:rsid w:val="001B1243"/>
    <w:rsid w:val="001B13B5"/>
    <w:rsid w:val="001B1A34"/>
    <w:rsid w:val="001B1B6B"/>
    <w:rsid w:val="001B204E"/>
    <w:rsid w:val="001B2372"/>
    <w:rsid w:val="001B3443"/>
    <w:rsid w:val="001B4D20"/>
    <w:rsid w:val="001B5720"/>
    <w:rsid w:val="001B6026"/>
    <w:rsid w:val="001B7F84"/>
    <w:rsid w:val="001C1AA9"/>
    <w:rsid w:val="001C2A9B"/>
    <w:rsid w:val="001C3DD6"/>
    <w:rsid w:val="001C4032"/>
    <w:rsid w:val="001C4299"/>
    <w:rsid w:val="001C444D"/>
    <w:rsid w:val="001C4874"/>
    <w:rsid w:val="001C5F94"/>
    <w:rsid w:val="001C6444"/>
    <w:rsid w:val="001C6E66"/>
    <w:rsid w:val="001C7247"/>
    <w:rsid w:val="001D0AF0"/>
    <w:rsid w:val="001D1100"/>
    <w:rsid w:val="001D1391"/>
    <w:rsid w:val="001D1ABD"/>
    <w:rsid w:val="001D25D7"/>
    <w:rsid w:val="001D50B2"/>
    <w:rsid w:val="001D5805"/>
    <w:rsid w:val="001D582B"/>
    <w:rsid w:val="001D696E"/>
    <w:rsid w:val="001D71F4"/>
    <w:rsid w:val="001D7400"/>
    <w:rsid w:val="001D7645"/>
    <w:rsid w:val="001E0256"/>
    <w:rsid w:val="001E038D"/>
    <w:rsid w:val="001E0CA9"/>
    <w:rsid w:val="001E19D5"/>
    <w:rsid w:val="001E1E86"/>
    <w:rsid w:val="001E238E"/>
    <w:rsid w:val="001E2483"/>
    <w:rsid w:val="001E2B1E"/>
    <w:rsid w:val="001E2CFF"/>
    <w:rsid w:val="001E2F24"/>
    <w:rsid w:val="001E30D4"/>
    <w:rsid w:val="001E34DF"/>
    <w:rsid w:val="001E4DED"/>
    <w:rsid w:val="001E52EB"/>
    <w:rsid w:val="001E61D2"/>
    <w:rsid w:val="001E63A1"/>
    <w:rsid w:val="001E740C"/>
    <w:rsid w:val="001E7D6F"/>
    <w:rsid w:val="001E7F5B"/>
    <w:rsid w:val="001F1235"/>
    <w:rsid w:val="001F17F6"/>
    <w:rsid w:val="001F1CB3"/>
    <w:rsid w:val="001F20FF"/>
    <w:rsid w:val="001F2A3B"/>
    <w:rsid w:val="001F38B5"/>
    <w:rsid w:val="001F3A70"/>
    <w:rsid w:val="001F3B5C"/>
    <w:rsid w:val="001F4081"/>
    <w:rsid w:val="001F40F1"/>
    <w:rsid w:val="001F5D6B"/>
    <w:rsid w:val="001F6266"/>
    <w:rsid w:val="001F72FA"/>
    <w:rsid w:val="001F7361"/>
    <w:rsid w:val="001F7D01"/>
    <w:rsid w:val="00200103"/>
    <w:rsid w:val="00200480"/>
    <w:rsid w:val="0020104F"/>
    <w:rsid w:val="002011B0"/>
    <w:rsid w:val="00201B4C"/>
    <w:rsid w:val="00203181"/>
    <w:rsid w:val="00203783"/>
    <w:rsid w:val="0020385F"/>
    <w:rsid w:val="002068A0"/>
    <w:rsid w:val="002069D7"/>
    <w:rsid w:val="00207021"/>
    <w:rsid w:val="0020732F"/>
    <w:rsid w:val="002074F2"/>
    <w:rsid w:val="00207D00"/>
    <w:rsid w:val="002105C1"/>
    <w:rsid w:val="002116FD"/>
    <w:rsid w:val="00212518"/>
    <w:rsid w:val="00213B67"/>
    <w:rsid w:val="00213EF5"/>
    <w:rsid w:val="0021435D"/>
    <w:rsid w:val="00216BF5"/>
    <w:rsid w:val="00220C1D"/>
    <w:rsid w:val="00222F32"/>
    <w:rsid w:val="002236A5"/>
    <w:rsid w:val="00223B49"/>
    <w:rsid w:val="00223D5A"/>
    <w:rsid w:val="00223FEC"/>
    <w:rsid w:val="002248A3"/>
    <w:rsid w:val="00224D30"/>
    <w:rsid w:val="00224DD4"/>
    <w:rsid w:val="002278A0"/>
    <w:rsid w:val="00227A39"/>
    <w:rsid w:val="00227CE0"/>
    <w:rsid w:val="00230793"/>
    <w:rsid w:val="002309CC"/>
    <w:rsid w:val="00230B77"/>
    <w:rsid w:val="00230C3D"/>
    <w:rsid w:val="00230FC8"/>
    <w:rsid w:val="00231BA9"/>
    <w:rsid w:val="0023209F"/>
    <w:rsid w:val="00232DA7"/>
    <w:rsid w:val="00233C01"/>
    <w:rsid w:val="0023413C"/>
    <w:rsid w:val="002346F0"/>
    <w:rsid w:val="00235159"/>
    <w:rsid w:val="00236014"/>
    <w:rsid w:val="0023629D"/>
    <w:rsid w:val="00237255"/>
    <w:rsid w:val="00237491"/>
    <w:rsid w:val="00237BDB"/>
    <w:rsid w:val="00242270"/>
    <w:rsid w:val="002424AF"/>
    <w:rsid w:val="0024293B"/>
    <w:rsid w:val="00243101"/>
    <w:rsid w:val="00243862"/>
    <w:rsid w:val="002439DC"/>
    <w:rsid w:val="002441D2"/>
    <w:rsid w:val="002443B1"/>
    <w:rsid w:val="002447A7"/>
    <w:rsid w:val="00244DC8"/>
    <w:rsid w:val="002458BA"/>
    <w:rsid w:val="00245CE9"/>
    <w:rsid w:val="0024636C"/>
    <w:rsid w:val="00247925"/>
    <w:rsid w:val="00250E00"/>
    <w:rsid w:val="00250E22"/>
    <w:rsid w:val="00251006"/>
    <w:rsid w:val="00251942"/>
    <w:rsid w:val="002524D5"/>
    <w:rsid w:val="0025331D"/>
    <w:rsid w:val="002536B0"/>
    <w:rsid w:val="002539A0"/>
    <w:rsid w:val="00253B1D"/>
    <w:rsid w:val="002542B0"/>
    <w:rsid w:val="0025467F"/>
    <w:rsid w:val="00254DCF"/>
    <w:rsid w:val="0025534B"/>
    <w:rsid w:val="00255BB7"/>
    <w:rsid w:val="00256ABB"/>
    <w:rsid w:val="00257541"/>
    <w:rsid w:val="00257A39"/>
    <w:rsid w:val="00257AC4"/>
    <w:rsid w:val="00257BBE"/>
    <w:rsid w:val="00261B19"/>
    <w:rsid w:val="00261EBC"/>
    <w:rsid w:val="00261EEF"/>
    <w:rsid w:val="00262039"/>
    <w:rsid w:val="00262A1A"/>
    <w:rsid w:val="00262A87"/>
    <w:rsid w:val="00263352"/>
    <w:rsid w:val="00263B57"/>
    <w:rsid w:val="00264D26"/>
    <w:rsid w:val="00267642"/>
    <w:rsid w:val="002677D3"/>
    <w:rsid w:val="00267AEA"/>
    <w:rsid w:val="002700E6"/>
    <w:rsid w:val="0027019B"/>
    <w:rsid w:val="00270582"/>
    <w:rsid w:val="0027119D"/>
    <w:rsid w:val="00271C03"/>
    <w:rsid w:val="0027294B"/>
    <w:rsid w:val="00272F2B"/>
    <w:rsid w:val="00273EB4"/>
    <w:rsid w:val="00274682"/>
    <w:rsid w:val="00275158"/>
    <w:rsid w:val="002753B5"/>
    <w:rsid w:val="00275C5A"/>
    <w:rsid w:val="0027669C"/>
    <w:rsid w:val="00280C98"/>
    <w:rsid w:val="00281014"/>
    <w:rsid w:val="00282EC9"/>
    <w:rsid w:val="00285BCE"/>
    <w:rsid w:val="0028665D"/>
    <w:rsid w:val="00290FF6"/>
    <w:rsid w:val="00291780"/>
    <w:rsid w:val="00292830"/>
    <w:rsid w:val="00293FBA"/>
    <w:rsid w:val="00296460"/>
    <w:rsid w:val="0029682B"/>
    <w:rsid w:val="002970F9"/>
    <w:rsid w:val="002973B9"/>
    <w:rsid w:val="00297C11"/>
    <w:rsid w:val="00297E26"/>
    <w:rsid w:val="002A0952"/>
    <w:rsid w:val="002A0F48"/>
    <w:rsid w:val="002A14AB"/>
    <w:rsid w:val="002A1504"/>
    <w:rsid w:val="002A1F1A"/>
    <w:rsid w:val="002A2ADE"/>
    <w:rsid w:val="002A2F50"/>
    <w:rsid w:val="002A2FAF"/>
    <w:rsid w:val="002A31D1"/>
    <w:rsid w:val="002A4090"/>
    <w:rsid w:val="002A4CEA"/>
    <w:rsid w:val="002A4FB8"/>
    <w:rsid w:val="002A689B"/>
    <w:rsid w:val="002A7943"/>
    <w:rsid w:val="002A7E0C"/>
    <w:rsid w:val="002B045B"/>
    <w:rsid w:val="002B05A1"/>
    <w:rsid w:val="002B09A4"/>
    <w:rsid w:val="002B1C1F"/>
    <w:rsid w:val="002B432F"/>
    <w:rsid w:val="002B5102"/>
    <w:rsid w:val="002B62B3"/>
    <w:rsid w:val="002B6754"/>
    <w:rsid w:val="002B6CCE"/>
    <w:rsid w:val="002C2510"/>
    <w:rsid w:val="002C265A"/>
    <w:rsid w:val="002C2775"/>
    <w:rsid w:val="002C27C1"/>
    <w:rsid w:val="002C36E3"/>
    <w:rsid w:val="002C46EC"/>
    <w:rsid w:val="002C5099"/>
    <w:rsid w:val="002C5889"/>
    <w:rsid w:val="002C5C59"/>
    <w:rsid w:val="002C5E71"/>
    <w:rsid w:val="002C6559"/>
    <w:rsid w:val="002C71CE"/>
    <w:rsid w:val="002D08F8"/>
    <w:rsid w:val="002D1F88"/>
    <w:rsid w:val="002D577C"/>
    <w:rsid w:val="002D6434"/>
    <w:rsid w:val="002D67D0"/>
    <w:rsid w:val="002D6E52"/>
    <w:rsid w:val="002D7832"/>
    <w:rsid w:val="002D7C8A"/>
    <w:rsid w:val="002E0449"/>
    <w:rsid w:val="002E0590"/>
    <w:rsid w:val="002E0E68"/>
    <w:rsid w:val="002E1071"/>
    <w:rsid w:val="002E114C"/>
    <w:rsid w:val="002E15B9"/>
    <w:rsid w:val="002E2158"/>
    <w:rsid w:val="002E2ABD"/>
    <w:rsid w:val="002E2C8D"/>
    <w:rsid w:val="002E37CE"/>
    <w:rsid w:val="002E4F02"/>
    <w:rsid w:val="002E6E7A"/>
    <w:rsid w:val="002E7722"/>
    <w:rsid w:val="002E7B56"/>
    <w:rsid w:val="002F07BA"/>
    <w:rsid w:val="002F0DA9"/>
    <w:rsid w:val="002F1014"/>
    <w:rsid w:val="002F1E3B"/>
    <w:rsid w:val="002F3693"/>
    <w:rsid w:val="002F4DD7"/>
    <w:rsid w:val="002F5487"/>
    <w:rsid w:val="002F5650"/>
    <w:rsid w:val="002F5A4F"/>
    <w:rsid w:val="002F643C"/>
    <w:rsid w:val="002F71C0"/>
    <w:rsid w:val="002F74F1"/>
    <w:rsid w:val="00301017"/>
    <w:rsid w:val="003010B3"/>
    <w:rsid w:val="003011F1"/>
    <w:rsid w:val="0030155F"/>
    <w:rsid w:val="0030286A"/>
    <w:rsid w:val="0030366B"/>
    <w:rsid w:val="0030395A"/>
    <w:rsid w:val="00304116"/>
    <w:rsid w:val="0030587B"/>
    <w:rsid w:val="00306D98"/>
    <w:rsid w:val="003074E1"/>
    <w:rsid w:val="0030777B"/>
    <w:rsid w:val="0030786C"/>
    <w:rsid w:val="0031031A"/>
    <w:rsid w:val="00310981"/>
    <w:rsid w:val="00310CCF"/>
    <w:rsid w:val="00311642"/>
    <w:rsid w:val="00311CB5"/>
    <w:rsid w:val="00311D9B"/>
    <w:rsid w:val="00312137"/>
    <w:rsid w:val="003124D9"/>
    <w:rsid w:val="00312594"/>
    <w:rsid w:val="00312DE6"/>
    <w:rsid w:val="00312DFA"/>
    <w:rsid w:val="0031498A"/>
    <w:rsid w:val="00315498"/>
    <w:rsid w:val="003159B5"/>
    <w:rsid w:val="00315E87"/>
    <w:rsid w:val="00316474"/>
    <w:rsid w:val="00316B56"/>
    <w:rsid w:val="00320CBE"/>
    <w:rsid w:val="00321194"/>
    <w:rsid w:val="00322107"/>
    <w:rsid w:val="00322355"/>
    <w:rsid w:val="00322846"/>
    <w:rsid w:val="00322881"/>
    <w:rsid w:val="003246EF"/>
    <w:rsid w:val="00326B75"/>
    <w:rsid w:val="00326DA7"/>
    <w:rsid w:val="00326EC0"/>
    <w:rsid w:val="003270E4"/>
    <w:rsid w:val="00327180"/>
    <w:rsid w:val="0032738E"/>
    <w:rsid w:val="00330DAA"/>
    <w:rsid w:val="00330E0D"/>
    <w:rsid w:val="00330F5C"/>
    <w:rsid w:val="0033126D"/>
    <w:rsid w:val="00331284"/>
    <w:rsid w:val="0033345C"/>
    <w:rsid w:val="00333519"/>
    <w:rsid w:val="00333897"/>
    <w:rsid w:val="00334451"/>
    <w:rsid w:val="003350A2"/>
    <w:rsid w:val="003356B3"/>
    <w:rsid w:val="003366C9"/>
    <w:rsid w:val="003371B0"/>
    <w:rsid w:val="00337D1B"/>
    <w:rsid w:val="00340D33"/>
    <w:rsid w:val="00340DF1"/>
    <w:rsid w:val="00340F75"/>
    <w:rsid w:val="00342D4B"/>
    <w:rsid w:val="00342F46"/>
    <w:rsid w:val="00344D2F"/>
    <w:rsid w:val="00345445"/>
    <w:rsid w:val="003507AD"/>
    <w:rsid w:val="00350E57"/>
    <w:rsid w:val="0035166C"/>
    <w:rsid w:val="003517F9"/>
    <w:rsid w:val="00351AEA"/>
    <w:rsid w:val="00351BA9"/>
    <w:rsid w:val="00352E1C"/>
    <w:rsid w:val="00353A9E"/>
    <w:rsid w:val="00353CCB"/>
    <w:rsid w:val="00354F64"/>
    <w:rsid w:val="0035620E"/>
    <w:rsid w:val="00356480"/>
    <w:rsid w:val="00356DB4"/>
    <w:rsid w:val="0035723A"/>
    <w:rsid w:val="003575BE"/>
    <w:rsid w:val="003577AE"/>
    <w:rsid w:val="003578E5"/>
    <w:rsid w:val="00360345"/>
    <w:rsid w:val="00360470"/>
    <w:rsid w:val="00361A05"/>
    <w:rsid w:val="003624C4"/>
    <w:rsid w:val="00363345"/>
    <w:rsid w:val="00363B00"/>
    <w:rsid w:val="00364CEE"/>
    <w:rsid w:val="00364F42"/>
    <w:rsid w:val="003654AC"/>
    <w:rsid w:val="003710CF"/>
    <w:rsid w:val="003731D4"/>
    <w:rsid w:val="0037358A"/>
    <w:rsid w:val="00373590"/>
    <w:rsid w:val="00373DFB"/>
    <w:rsid w:val="00373E85"/>
    <w:rsid w:val="003750F6"/>
    <w:rsid w:val="003760FC"/>
    <w:rsid w:val="003766C6"/>
    <w:rsid w:val="00376E0E"/>
    <w:rsid w:val="00380D32"/>
    <w:rsid w:val="0038365C"/>
    <w:rsid w:val="0038369B"/>
    <w:rsid w:val="00383B78"/>
    <w:rsid w:val="00384385"/>
    <w:rsid w:val="00384BDF"/>
    <w:rsid w:val="00385A9D"/>
    <w:rsid w:val="00387121"/>
    <w:rsid w:val="003872BA"/>
    <w:rsid w:val="003902B1"/>
    <w:rsid w:val="003905DD"/>
    <w:rsid w:val="00391698"/>
    <w:rsid w:val="0039179C"/>
    <w:rsid w:val="00392202"/>
    <w:rsid w:val="00392ADD"/>
    <w:rsid w:val="00393B17"/>
    <w:rsid w:val="00394BD6"/>
    <w:rsid w:val="00394DBD"/>
    <w:rsid w:val="00396896"/>
    <w:rsid w:val="00396FD0"/>
    <w:rsid w:val="003A077F"/>
    <w:rsid w:val="003A0C86"/>
    <w:rsid w:val="003A1A7A"/>
    <w:rsid w:val="003A2392"/>
    <w:rsid w:val="003A2692"/>
    <w:rsid w:val="003A2831"/>
    <w:rsid w:val="003A3CB6"/>
    <w:rsid w:val="003A3ED1"/>
    <w:rsid w:val="003A44DB"/>
    <w:rsid w:val="003A4C14"/>
    <w:rsid w:val="003A4D8B"/>
    <w:rsid w:val="003A74F2"/>
    <w:rsid w:val="003B07E4"/>
    <w:rsid w:val="003B0A64"/>
    <w:rsid w:val="003B30DE"/>
    <w:rsid w:val="003B3971"/>
    <w:rsid w:val="003B3D8B"/>
    <w:rsid w:val="003B55D1"/>
    <w:rsid w:val="003B5B61"/>
    <w:rsid w:val="003B5F41"/>
    <w:rsid w:val="003B6181"/>
    <w:rsid w:val="003B62AC"/>
    <w:rsid w:val="003B6488"/>
    <w:rsid w:val="003C04B3"/>
    <w:rsid w:val="003C1654"/>
    <w:rsid w:val="003C2A05"/>
    <w:rsid w:val="003C2DE2"/>
    <w:rsid w:val="003C5542"/>
    <w:rsid w:val="003C5663"/>
    <w:rsid w:val="003C5C6D"/>
    <w:rsid w:val="003C6ACB"/>
    <w:rsid w:val="003C6CF5"/>
    <w:rsid w:val="003C7C15"/>
    <w:rsid w:val="003C7D19"/>
    <w:rsid w:val="003C7D2F"/>
    <w:rsid w:val="003D0C5A"/>
    <w:rsid w:val="003D1828"/>
    <w:rsid w:val="003D1DE4"/>
    <w:rsid w:val="003D1E9A"/>
    <w:rsid w:val="003D2173"/>
    <w:rsid w:val="003D2200"/>
    <w:rsid w:val="003D2422"/>
    <w:rsid w:val="003D24F0"/>
    <w:rsid w:val="003D2625"/>
    <w:rsid w:val="003D3771"/>
    <w:rsid w:val="003D39A1"/>
    <w:rsid w:val="003D3A43"/>
    <w:rsid w:val="003D3FBF"/>
    <w:rsid w:val="003D41F9"/>
    <w:rsid w:val="003D4738"/>
    <w:rsid w:val="003D4A30"/>
    <w:rsid w:val="003D4A99"/>
    <w:rsid w:val="003D6710"/>
    <w:rsid w:val="003D7452"/>
    <w:rsid w:val="003D79BB"/>
    <w:rsid w:val="003D7B11"/>
    <w:rsid w:val="003D7C98"/>
    <w:rsid w:val="003D7D9D"/>
    <w:rsid w:val="003E04E7"/>
    <w:rsid w:val="003E0543"/>
    <w:rsid w:val="003E109E"/>
    <w:rsid w:val="003E1755"/>
    <w:rsid w:val="003E21B1"/>
    <w:rsid w:val="003E2E5A"/>
    <w:rsid w:val="003E3915"/>
    <w:rsid w:val="003E399E"/>
    <w:rsid w:val="003E5109"/>
    <w:rsid w:val="003E5603"/>
    <w:rsid w:val="003E5EB6"/>
    <w:rsid w:val="003E678E"/>
    <w:rsid w:val="003E749E"/>
    <w:rsid w:val="003E7DD6"/>
    <w:rsid w:val="003F0062"/>
    <w:rsid w:val="003F0704"/>
    <w:rsid w:val="003F0767"/>
    <w:rsid w:val="003F115D"/>
    <w:rsid w:val="003F25DF"/>
    <w:rsid w:val="003F2F60"/>
    <w:rsid w:val="003F3283"/>
    <w:rsid w:val="003F3D53"/>
    <w:rsid w:val="003F4156"/>
    <w:rsid w:val="003F4162"/>
    <w:rsid w:val="003F5ADF"/>
    <w:rsid w:val="003F6316"/>
    <w:rsid w:val="003F6325"/>
    <w:rsid w:val="003F6421"/>
    <w:rsid w:val="00400909"/>
    <w:rsid w:val="00400B29"/>
    <w:rsid w:val="00400E09"/>
    <w:rsid w:val="0040143D"/>
    <w:rsid w:val="00402812"/>
    <w:rsid w:val="00403595"/>
    <w:rsid w:val="00403FD3"/>
    <w:rsid w:val="00404328"/>
    <w:rsid w:val="0040504B"/>
    <w:rsid w:val="004059F4"/>
    <w:rsid w:val="00405C36"/>
    <w:rsid w:val="0040659A"/>
    <w:rsid w:val="00407163"/>
    <w:rsid w:val="00407FE5"/>
    <w:rsid w:val="00407FF3"/>
    <w:rsid w:val="004101B0"/>
    <w:rsid w:val="00410326"/>
    <w:rsid w:val="00410708"/>
    <w:rsid w:val="00410EC7"/>
    <w:rsid w:val="00410F50"/>
    <w:rsid w:val="00411374"/>
    <w:rsid w:val="00411B39"/>
    <w:rsid w:val="004127A7"/>
    <w:rsid w:val="00412C73"/>
    <w:rsid w:val="00413A1E"/>
    <w:rsid w:val="004140AA"/>
    <w:rsid w:val="00414476"/>
    <w:rsid w:val="00414C2E"/>
    <w:rsid w:val="00414D2A"/>
    <w:rsid w:val="004151CF"/>
    <w:rsid w:val="00415C67"/>
    <w:rsid w:val="00415E60"/>
    <w:rsid w:val="00416364"/>
    <w:rsid w:val="0042047F"/>
    <w:rsid w:val="00420AA6"/>
    <w:rsid w:val="00420B9F"/>
    <w:rsid w:val="00421606"/>
    <w:rsid w:val="0042192C"/>
    <w:rsid w:val="00422260"/>
    <w:rsid w:val="004228D2"/>
    <w:rsid w:val="00424034"/>
    <w:rsid w:val="0042413F"/>
    <w:rsid w:val="00424365"/>
    <w:rsid w:val="00424520"/>
    <w:rsid w:val="00424BC9"/>
    <w:rsid w:val="0042547D"/>
    <w:rsid w:val="00426579"/>
    <w:rsid w:val="0042765C"/>
    <w:rsid w:val="00427DA6"/>
    <w:rsid w:val="004308CB"/>
    <w:rsid w:val="004317D4"/>
    <w:rsid w:val="004319F8"/>
    <w:rsid w:val="00431E55"/>
    <w:rsid w:val="004321F6"/>
    <w:rsid w:val="00432677"/>
    <w:rsid w:val="00433044"/>
    <w:rsid w:val="00433F74"/>
    <w:rsid w:val="00434088"/>
    <w:rsid w:val="00434DAB"/>
    <w:rsid w:val="00436286"/>
    <w:rsid w:val="00436554"/>
    <w:rsid w:val="004375B9"/>
    <w:rsid w:val="004406A8"/>
    <w:rsid w:val="004428D0"/>
    <w:rsid w:val="00443AA3"/>
    <w:rsid w:val="00444185"/>
    <w:rsid w:val="00444247"/>
    <w:rsid w:val="004443A7"/>
    <w:rsid w:val="0044442C"/>
    <w:rsid w:val="00445941"/>
    <w:rsid w:val="004464EB"/>
    <w:rsid w:val="00446755"/>
    <w:rsid w:val="00447039"/>
    <w:rsid w:val="00447D26"/>
    <w:rsid w:val="00447DFC"/>
    <w:rsid w:val="00450E40"/>
    <w:rsid w:val="00451FE6"/>
    <w:rsid w:val="00452D92"/>
    <w:rsid w:val="00453C34"/>
    <w:rsid w:val="00454A50"/>
    <w:rsid w:val="00454F30"/>
    <w:rsid w:val="00454F92"/>
    <w:rsid w:val="00455A03"/>
    <w:rsid w:val="00455D45"/>
    <w:rsid w:val="00456DF3"/>
    <w:rsid w:val="0045707B"/>
    <w:rsid w:val="00457EB4"/>
    <w:rsid w:val="004610F4"/>
    <w:rsid w:val="00463429"/>
    <w:rsid w:val="00464595"/>
    <w:rsid w:val="004658B5"/>
    <w:rsid w:val="00465C01"/>
    <w:rsid w:val="004702E3"/>
    <w:rsid w:val="004712D9"/>
    <w:rsid w:val="00471EA5"/>
    <w:rsid w:val="00472A79"/>
    <w:rsid w:val="00473552"/>
    <w:rsid w:val="004739BD"/>
    <w:rsid w:val="00473F04"/>
    <w:rsid w:val="00473F19"/>
    <w:rsid w:val="00474729"/>
    <w:rsid w:val="004756BD"/>
    <w:rsid w:val="00475E22"/>
    <w:rsid w:val="00477628"/>
    <w:rsid w:val="0048088E"/>
    <w:rsid w:val="00480F2B"/>
    <w:rsid w:val="00482720"/>
    <w:rsid w:val="00482D50"/>
    <w:rsid w:val="004835E7"/>
    <w:rsid w:val="0048445F"/>
    <w:rsid w:val="00484A30"/>
    <w:rsid w:val="004859E1"/>
    <w:rsid w:val="00485A21"/>
    <w:rsid w:val="00485CD8"/>
    <w:rsid w:val="004867E2"/>
    <w:rsid w:val="00487A05"/>
    <w:rsid w:val="00490A0D"/>
    <w:rsid w:val="00490B17"/>
    <w:rsid w:val="004912EF"/>
    <w:rsid w:val="00491953"/>
    <w:rsid w:val="00491B3A"/>
    <w:rsid w:val="00492870"/>
    <w:rsid w:val="004928ED"/>
    <w:rsid w:val="00492CFD"/>
    <w:rsid w:val="00494207"/>
    <w:rsid w:val="00494DD5"/>
    <w:rsid w:val="004962D2"/>
    <w:rsid w:val="004A0DA1"/>
    <w:rsid w:val="004A13D6"/>
    <w:rsid w:val="004A37F3"/>
    <w:rsid w:val="004A43DB"/>
    <w:rsid w:val="004A4438"/>
    <w:rsid w:val="004A52E9"/>
    <w:rsid w:val="004A5508"/>
    <w:rsid w:val="004A6040"/>
    <w:rsid w:val="004A6340"/>
    <w:rsid w:val="004A6597"/>
    <w:rsid w:val="004A7848"/>
    <w:rsid w:val="004A793B"/>
    <w:rsid w:val="004A7CEA"/>
    <w:rsid w:val="004A7DA4"/>
    <w:rsid w:val="004B0B56"/>
    <w:rsid w:val="004B1CB4"/>
    <w:rsid w:val="004B2F18"/>
    <w:rsid w:val="004B319C"/>
    <w:rsid w:val="004B3DDB"/>
    <w:rsid w:val="004B3FDE"/>
    <w:rsid w:val="004B44FD"/>
    <w:rsid w:val="004B5CFC"/>
    <w:rsid w:val="004B6A29"/>
    <w:rsid w:val="004B6F79"/>
    <w:rsid w:val="004B73C0"/>
    <w:rsid w:val="004B755F"/>
    <w:rsid w:val="004B774D"/>
    <w:rsid w:val="004C09AC"/>
    <w:rsid w:val="004C1359"/>
    <w:rsid w:val="004C224C"/>
    <w:rsid w:val="004C22F9"/>
    <w:rsid w:val="004C2AC2"/>
    <w:rsid w:val="004C3012"/>
    <w:rsid w:val="004C4AED"/>
    <w:rsid w:val="004C665A"/>
    <w:rsid w:val="004C762A"/>
    <w:rsid w:val="004C7EC7"/>
    <w:rsid w:val="004D0039"/>
    <w:rsid w:val="004D04A8"/>
    <w:rsid w:val="004D07CE"/>
    <w:rsid w:val="004D1668"/>
    <w:rsid w:val="004D1806"/>
    <w:rsid w:val="004D1CAC"/>
    <w:rsid w:val="004D299E"/>
    <w:rsid w:val="004D2C2D"/>
    <w:rsid w:val="004D3A87"/>
    <w:rsid w:val="004D4B75"/>
    <w:rsid w:val="004D5703"/>
    <w:rsid w:val="004D5F35"/>
    <w:rsid w:val="004D69B5"/>
    <w:rsid w:val="004D7017"/>
    <w:rsid w:val="004D7227"/>
    <w:rsid w:val="004D7B5E"/>
    <w:rsid w:val="004D7D07"/>
    <w:rsid w:val="004E0E7F"/>
    <w:rsid w:val="004E0EB8"/>
    <w:rsid w:val="004E1077"/>
    <w:rsid w:val="004E14A4"/>
    <w:rsid w:val="004E18E9"/>
    <w:rsid w:val="004E1C78"/>
    <w:rsid w:val="004E1F7B"/>
    <w:rsid w:val="004E22D5"/>
    <w:rsid w:val="004E2982"/>
    <w:rsid w:val="004E2ADC"/>
    <w:rsid w:val="004E2FE4"/>
    <w:rsid w:val="004E31EF"/>
    <w:rsid w:val="004E43B2"/>
    <w:rsid w:val="004E56AF"/>
    <w:rsid w:val="004E5896"/>
    <w:rsid w:val="004E6E14"/>
    <w:rsid w:val="004E7C07"/>
    <w:rsid w:val="004F120D"/>
    <w:rsid w:val="004F178D"/>
    <w:rsid w:val="004F1C78"/>
    <w:rsid w:val="004F1D02"/>
    <w:rsid w:val="004F2679"/>
    <w:rsid w:val="004F26FE"/>
    <w:rsid w:val="004F2F21"/>
    <w:rsid w:val="004F3DE5"/>
    <w:rsid w:val="004F4014"/>
    <w:rsid w:val="004F4794"/>
    <w:rsid w:val="004F47EB"/>
    <w:rsid w:val="004F543A"/>
    <w:rsid w:val="004F5945"/>
    <w:rsid w:val="004F5C83"/>
    <w:rsid w:val="004F6913"/>
    <w:rsid w:val="004F7865"/>
    <w:rsid w:val="005003BD"/>
    <w:rsid w:val="0050174E"/>
    <w:rsid w:val="00501854"/>
    <w:rsid w:val="0050187F"/>
    <w:rsid w:val="00501ACE"/>
    <w:rsid w:val="00501BCF"/>
    <w:rsid w:val="0050219B"/>
    <w:rsid w:val="005025A8"/>
    <w:rsid w:val="00503F17"/>
    <w:rsid w:val="00503F3A"/>
    <w:rsid w:val="0050412D"/>
    <w:rsid w:val="00504D05"/>
    <w:rsid w:val="00506928"/>
    <w:rsid w:val="005077EF"/>
    <w:rsid w:val="00510DCB"/>
    <w:rsid w:val="00510F21"/>
    <w:rsid w:val="00511AD5"/>
    <w:rsid w:val="00511DC2"/>
    <w:rsid w:val="00511DC7"/>
    <w:rsid w:val="00514085"/>
    <w:rsid w:val="005142C5"/>
    <w:rsid w:val="00514FF4"/>
    <w:rsid w:val="0051501B"/>
    <w:rsid w:val="005152B5"/>
    <w:rsid w:val="00515886"/>
    <w:rsid w:val="005177B5"/>
    <w:rsid w:val="0052123C"/>
    <w:rsid w:val="00521319"/>
    <w:rsid w:val="00522BC8"/>
    <w:rsid w:val="00522F2F"/>
    <w:rsid w:val="00523C28"/>
    <w:rsid w:val="005254F9"/>
    <w:rsid w:val="00525985"/>
    <w:rsid w:val="005264E5"/>
    <w:rsid w:val="0053176B"/>
    <w:rsid w:val="00531E6C"/>
    <w:rsid w:val="00532C20"/>
    <w:rsid w:val="0053342C"/>
    <w:rsid w:val="005335D7"/>
    <w:rsid w:val="00533825"/>
    <w:rsid w:val="005341B3"/>
    <w:rsid w:val="00536787"/>
    <w:rsid w:val="00536F42"/>
    <w:rsid w:val="00537182"/>
    <w:rsid w:val="00537E89"/>
    <w:rsid w:val="005409E6"/>
    <w:rsid w:val="0054116D"/>
    <w:rsid w:val="00541EDD"/>
    <w:rsid w:val="0054209D"/>
    <w:rsid w:val="00542743"/>
    <w:rsid w:val="00542C2D"/>
    <w:rsid w:val="00543212"/>
    <w:rsid w:val="00544295"/>
    <w:rsid w:val="00544691"/>
    <w:rsid w:val="0054610A"/>
    <w:rsid w:val="005473EA"/>
    <w:rsid w:val="005478BD"/>
    <w:rsid w:val="005479E3"/>
    <w:rsid w:val="00550F8A"/>
    <w:rsid w:val="00551985"/>
    <w:rsid w:val="00551E20"/>
    <w:rsid w:val="005521AF"/>
    <w:rsid w:val="00552BD3"/>
    <w:rsid w:val="005532A0"/>
    <w:rsid w:val="00553A3F"/>
    <w:rsid w:val="005549CF"/>
    <w:rsid w:val="00555109"/>
    <w:rsid w:val="005556B0"/>
    <w:rsid w:val="00556B35"/>
    <w:rsid w:val="00557011"/>
    <w:rsid w:val="00557231"/>
    <w:rsid w:val="00557335"/>
    <w:rsid w:val="0055741A"/>
    <w:rsid w:val="00557693"/>
    <w:rsid w:val="0055785D"/>
    <w:rsid w:val="00560B2D"/>
    <w:rsid w:val="005611B7"/>
    <w:rsid w:val="0056169F"/>
    <w:rsid w:val="005618D4"/>
    <w:rsid w:val="00562A9F"/>
    <w:rsid w:val="00563673"/>
    <w:rsid w:val="005645AF"/>
    <w:rsid w:val="00564867"/>
    <w:rsid w:val="0056595D"/>
    <w:rsid w:val="00565AF6"/>
    <w:rsid w:val="00565C79"/>
    <w:rsid w:val="00565DF0"/>
    <w:rsid w:val="0056671F"/>
    <w:rsid w:val="0056696F"/>
    <w:rsid w:val="00570FA4"/>
    <w:rsid w:val="00572269"/>
    <w:rsid w:val="0057244A"/>
    <w:rsid w:val="00572F26"/>
    <w:rsid w:val="00573EC4"/>
    <w:rsid w:val="00574DC1"/>
    <w:rsid w:val="005750C5"/>
    <w:rsid w:val="005752DE"/>
    <w:rsid w:val="00575A54"/>
    <w:rsid w:val="00575D60"/>
    <w:rsid w:val="00575D8D"/>
    <w:rsid w:val="00576671"/>
    <w:rsid w:val="00576972"/>
    <w:rsid w:val="00577248"/>
    <w:rsid w:val="0058172F"/>
    <w:rsid w:val="00581A65"/>
    <w:rsid w:val="00581F64"/>
    <w:rsid w:val="0058282D"/>
    <w:rsid w:val="00583699"/>
    <w:rsid w:val="00585AD1"/>
    <w:rsid w:val="00585CDD"/>
    <w:rsid w:val="005861B3"/>
    <w:rsid w:val="00586AE7"/>
    <w:rsid w:val="00586DE0"/>
    <w:rsid w:val="00587058"/>
    <w:rsid w:val="005912AA"/>
    <w:rsid w:val="00591957"/>
    <w:rsid w:val="00593B97"/>
    <w:rsid w:val="005949CC"/>
    <w:rsid w:val="00594A89"/>
    <w:rsid w:val="00594F71"/>
    <w:rsid w:val="00595D56"/>
    <w:rsid w:val="0059642F"/>
    <w:rsid w:val="00597092"/>
    <w:rsid w:val="00597BF9"/>
    <w:rsid w:val="005A0B9C"/>
    <w:rsid w:val="005A0C11"/>
    <w:rsid w:val="005A0DC2"/>
    <w:rsid w:val="005A0F7E"/>
    <w:rsid w:val="005A2D14"/>
    <w:rsid w:val="005A309A"/>
    <w:rsid w:val="005A373D"/>
    <w:rsid w:val="005A39BF"/>
    <w:rsid w:val="005A459D"/>
    <w:rsid w:val="005A4A84"/>
    <w:rsid w:val="005A4C54"/>
    <w:rsid w:val="005A5E0A"/>
    <w:rsid w:val="005A74CC"/>
    <w:rsid w:val="005B036A"/>
    <w:rsid w:val="005B0793"/>
    <w:rsid w:val="005B0B58"/>
    <w:rsid w:val="005B0E5D"/>
    <w:rsid w:val="005B235A"/>
    <w:rsid w:val="005B2B5B"/>
    <w:rsid w:val="005B32E1"/>
    <w:rsid w:val="005B3A8E"/>
    <w:rsid w:val="005B4E53"/>
    <w:rsid w:val="005B5110"/>
    <w:rsid w:val="005B5857"/>
    <w:rsid w:val="005B5D86"/>
    <w:rsid w:val="005B6208"/>
    <w:rsid w:val="005B6D74"/>
    <w:rsid w:val="005B6EA2"/>
    <w:rsid w:val="005B6FA6"/>
    <w:rsid w:val="005C19C4"/>
    <w:rsid w:val="005C1B83"/>
    <w:rsid w:val="005C25FF"/>
    <w:rsid w:val="005C2C06"/>
    <w:rsid w:val="005C2D55"/>
    <w:rsid w:val="005C2EA0"/>
    <w:rsid w:val="005C2FCD"/>
    <w:rsid w:val="005C346B"/>
    <w:rsid w:val="005C4748"/>
    <w:rsid w:val="005C47F3"/>
    <w:rsid w:val="005C4FA0"/>
    <w:rsid w:val="005C5ABC"/>
    <w:rsid w:val="005C6913"/>
    <w:rsid w:val="005C7C8D"/>
    <w:rsid w:val="005D044D"/>
    <w:rsid w:val="005D0ABD"/>
    <w:rsid w:val="005D18AD"/>
    <w:rsid w:val="005D2583"/>
    <w:rsid w:val="005D2647"/>
    <w:rsid w:val="005D26B4"/>
    <w:rsid w:val="005D3100"/>
    <w:rsid w:val="005D4516"/>
    <w:rsid w:val="005D7225"/>
    <w:rsid w:val="005D72A5"/>
    <w:rsid w:val="005E1995"/>
    <w:rsid w:val="005E19C5"/>
    <w:rsid w:val="005E538F"/>
    <w:rsid w:val="005E5515"/>
    <w:rsid w:val="005E574C"/>
    <w:rsid w:val="005E62F0"/>
    <w:rsid w:val="005E6CBC"/>
    <w:rsid w:val="005E72FF"/>
    <w:rsid w:val="005E73C0"/>
    <w:rsid w:val="005E778E"/>
    <w:rsid w:val="005E7B1D"/>
    <w:rsid w:val="005F07ED"/>
    <w:rsid w:val="005F0A07"/>
    <w:rsid w:val="005F255D"/>
    <w:rsid w:val="005F2706"/>
    <w:rsid w:val="005F27AE"/>
    <w:rsid w:val="005F2AEB"/>
    <w:rsid w:val="005F353D"/>
    <w:rsid w:val="005F3BA0"/>
    <w:rsid w:val="005F4412"/>
    <w:rsid w:val="005F5F3B"/>
    <w:rsid w:val="005F62C0"/>
    <w:rsid w:val="005F66E7"/>
    <w:rsid w:val="005F6882"/>
    <w:rsid w:val="005F6A8F"/>
    <w:rsid w:val="005F6BB7"/>
    <w:rsid w:val="005F7227"/>
    <w:rsid w:val="005F7588"/>
    <w:rsid w:val="0060080A"/>
    <w:rsid w:val="0060118B"/>
    <w:rsid w:val="00601605"/>
    <w:rsid w:val="00601A65"/>
    <w:rsid w:val="00601CCB"/>
    <w:rsid w:val="006024BE"/>
    <w:rsid w:val="00602CE6"/>
    <w:rsid w:val="00602E33"/>
    <w:rsid w:val="00602EA0"/>
    <w:rsid w:val="00603248"/>
    <w:rsid w:val="00603DB9"/>
    <w:rsid w:val="00603F11"/>
    <w:rsid w:val="00606097"/>
    <w:rsid w:val="00606FBA"/>
    <w:rsid w:val="00607669"/>
    <w:rsid w:val="006076F4"/>
    <w:rsid w:val="00607AFD"/>
    <w:rsid w:val="00610D19"/>
    <w:rsid w:val="00611515"/>
    <w:rsid w:val="006116DB"/>
    <w:rsid w:val="00611B12"/>
    <w:rsid w:val="00612F97"/>
    <w:rsid w:val="0061345D"/>
    <w:rsid w:val="00613816"/>
    <w:rsid w:val="0061549B"/>
    <w:rsid w:val="006166AD"/>
    <w:rsid w:val="00616802"/>
    <w:rsid w:val="00617A6D"/>
    <w:rsid w:val="00617E12"/>
    <w:rsid w:val="00620C25"/>
    <w:rsid w:val="00621477"/>
    <w:rsid w:val="00621ADA"/>
    <w:rsid w:val="00623F7B"/>
    <w:rsid w:val="0062408D"/>
    <w:rsid w:val="00624BD4"/>
    <w:rsid w:val="00624DEC"/>
    <w:rsid w:val="00624EF6"/>
    <w:rsid w:val="00625421"/>
    <w:rsid w:val="0062567E"/>
    <w:rsid w:val="00627E07"/>
    <w:rsid w:val="0063158F"/>
    <w:rsid w:val="006319D9"/>
    <w:rsid w:val="00631D6B"/>
    <w:rsid w:val="00632032"/>
    <w:rsid w:val="00632183"/>
    <w:rsid w:val="006330A1"/>
    <w:rsid w:val="0063404D"/>
    <w:rsid w:val="0063479F"/>
    <w:rsid w:val="006353F0"/>
    <w:rsid w:val="006357B5"/>
    <w:rsid w:val="006364A1"/>
    <w:rsid w:val="0063678E"/>
    <w:rsid w:val="00636952"/>
    <w:rsid w:val="00637BFD"/>
    <w:rsid w:val="00637C5C"/>
    <w:rsid w:val="00637D1B"/>
    <w:rsid w:val="0064154E"/>
    <w:rsid w:val="00641C4E"/>
    <w:rsid w:val="00641D92"/>
    <w:rsid w:val="00641FB3"/>
    <w:rsid w:val="00642A8E"/>
    <w:rsid w:val="0064434C"/>
    <w:rsid w:val="006447D0"/>
    <w:rsid w:val="006471CC"/>
    <w:rsid w:val="006472FE"/>
    <w:rsid w:val="00647676"/>
    <w:rsid w:val="00647A29"/>
    <w:rsid w:val="00650285"/>
    <w:rsid w:val="0065079F"/>
    <w:rsid w:val="00651AB4"/>
    <w:rsid w:val="00652A28"/>
    <w:rsid w:val="0065379F"/>
    <w:rsid w:val="00653AE5"/>
    <w:rsid w:val="0065548D"/>
    <w:rsid w:val="00655780"/>
    <w:rsid w:val="006559DC"/>
    <w:rsid w:val="00656188"/>
    <w:rsid w:val="00656622"/>
    <w:rsid w:val="0065715A"/>
    <w:rsid w:val="0065754F"/>
    <w:rsid w:val="006578CB"/>
    <w:rsid w:val="00660804"/>
    <w:rsid w:val="006610F1"/>
    <w:rsid w:val="00661C6B"/>
    <w:rsid w:val="00661D61"/>
    <w:rsid w:val="00661EE7"/>
    <w:rsid w:val="006621C2"/>
    <w:rsid w:val="00662918"/>
    <w:rsid w:val="00662D3E"/>
    <w:rsid w:val="00663100"/>
    <w:rsid w:val="00664379"/>
    <w:rsid w:val="00665B1B"/>
    <w:rsid w:val="00665BF9"/>
    <w:rsid w:val="00667BE3"/>
    <w:rsid w:val="00667C32"/>
    <w:rsid w:val="00667ED5"/>
    <w:rsid w:val="00670729"/>
    <w:rsid w:val="00671004"/>
    <w:rsid w:val="00671B67"/>
    <w:rsid w:val="00672123"/>
    <w:rsid w:val="00672646"/>
    <w:rsid w:val="00672691"/>
    <w:rsid w:val="0067311F"/>
    <w:rsid w:val="00674E42"/>
    <w:rsid w:val="00675FA8"/>
    <w:rsid w:val="00676563"/>
    <w:rsid w:val="006776B3"/>
    <w:rsid w:val="00677855"/>
    <w:rsid w:val="00677FFA"/>
    <w:rsid w:val="00680C0B"/>
    <w:rsid w:val="006813F8"/>
    <w:rsid w:val="00682112"/>
    <w:rsid w:val="00682BA6"/>
    <w:rsid w:val="006835C2"/>
    <w:rsid w:val="00684478"/>
    <w:rsid w:val="00686364"/>
    <w:rsid w:val="00686957"/>
    <w:rsid w:val="00686EAE"/>
    <w:rsid w:val="006872BA"/>
    <w:rsid w:val="00687514"/>
    <w:rsid w:val="00687BFD"/>
    <w:rsid w:val="006900D3"/>
    <w:rsid w:val="00690795"/>
    <w:rsid w:val="00690831"/>
    <w:rsid w:val="00690B50"/>
    <w:rsid w:val="00691648"/>
    <w:rsid w:val="006917D7"/>
    <w:rsid w:val="0069434C"/>
    <w:rsid w:val="00694F44"/>
    <w:rsid w:val="00696EF9"/>
    <w:rsid w:val="00696F51"/>
    <w:rsid w:val="006979A5"/>
    <w:rsid w:val="006A016F"/>
    <w:rsid w:val="006A06A6"/>
    <w:rsid w:val="006A08A2"/>
    <w:rsid w:val="006A0DF7"/>
    <w:rsid w:val="006A0F07"/>
    <w:rsid w:val="006A1120"/>
    <w:rsid w:val="006A214F"/>
    <w:rsid w:val="006A2A66"/>
    <w:rsid w:val="006A2AD4"/>
    <w:rsid w:val="006A3799"/>
    <w:rsid w:val="006A41E4"/>
    <w:rsid w:val="006A4321"/>
    <w:rsid w:val="006A43D9"/>
    <w:rsid w:val="006A48CB"/>
    <w:rsid w:val="006A497B"/>
    <w:rsid w:val="006A5E6D"/>
    <w:rsid w:val="006A6A00"/>
    <w:rsid w:val="006A6B99"/>
    <w:rsid w:val="006A6FF1"/>
    <w:rsid w:val="006A7009"/>
    <w:rsid w:val="006A74CB"/>
    <w:rsid w:val="006A7E5F"/>
    <w:rsid w:val="006B037F"/>
    <w:rsid w:val="006B1417"/>
    <w:rsid w:val="006B261B"/>
    <w:rsid w:val="006B2C90"/>
    <w:rsid w:val="006B32C7"/>
    <w:rsid w:val="006B35E6"/>
    <w:rsid w:val="006B3758"/>
    <w:rsid w:val="006B41DF"/>
    <w:rsid w:val="006B465A"/>
    <w:rsid w:val="006B5825"/>
    <w:rsid w:val="006B5C3D"/>
    <w:rsid w:val="006B6DD0"/>
    <w:rsid w:val="006B78FC"/>
    <w:rsid w:val="006C0399"/>
    <w:rsid w:val="006C03A3"/>
    <w:rsid w:val="006C049A"/>
    <w:rsid w:val="006C1024"/>
    <w:rsid w:val="006C16F3"/>
    <w:rsid w:val="006C17A4"/>
    <w:rsid w:val="006C1E2F"/>
    <w:rsid w:val="006C2A8E"/>
    <w:rsid w:val="006C3255"/>
    <w:rsid w:val="006C3F26"/>
    <w:rsid w:val="006C4027"/>
    <w:rsid w:val="006C4457"/>
    <w:rsid w:val="006C504E"/>
    <w:rsid w:val="006C5B3A"/>
    <w:rsid w:val="006C6079"/>
    <w:rsid w:val="006C6213"/>
    <w:rsid w:val="006C6D46"/>
    <w:rsid w:val="006C7A03"/>
    <w:rsid w:val="006D08F5"/>
    <w:rsid w:val="006D090D"/>
    <w:rsid w:val="006D0D17"/>
    <w:rsid w:val="006D1432"/>
    <w:rsid w:val="006D205A"/>
    <w:rsid w:val="006D2C27"/>
    <w:rsid w:val="006D3509"/>
    <w:rsid w:val="006D3C7D"/>
    <w:rsid w:val="006D4659"/>
    <w:rsid w:val="006D4990"/>
    <w:rsid w:val="006D5AD6"/>
    <w:rsid w:val="006D5C86"/>
    <w:rsid w:val="006D5D5F"/>
    <w:rsid w:val="006D5DAB"/>
    <w:rsid w:val="006D68FB"/>
    <w:rsid w:val="006D6A6E"/>
    <w:rsid w:val="006D738C"/>
    <w:rsid w:val="006D748D"/>
    <w:rsid w:val="006E16A6"/>
    <w:rsid w:val="006E1F0D"/>
    <w:rsid w:val="006E2548"/>
    <w:rsid w:val="006E2868"/>
    <w:rsid w:val="006E3406"/>
    <w:rsid w:val="006E353A"/>
    <w:rsid w:val="006E4336"/>
    <w:rsid w:val="006E5AAC"/>
    <w:rsid w:val="006E72B8"/>
    <w:rsid w:val="006E7D5F"/>
    <w:rsid w:val="006F02B6"/>
    <w:rsid w:val="006F088B"/>
    <w:rsid w:val="006F1712"/>
    <w:rsid w:val="006F2B09"/>
    <w:rsid w:val="006F306C"/>
    <w:rsid w:val="006F3F93"/>
    <w:rsid w:val="006F4085"/>
    <w:rsid w:val="006F5856"/>
    <w:rsid w:val="006F63A5"/>
    <w:rsid w:val="006F6595"/>
    <w:rsid w:val="006F792D"/>
    <w:rsid w:val="00700411"/>
    <w:rsid w:val="0070142B"/>
    <w:rsid w:val="007018ED"/>
    <w:rsid w:val="0070276E"/>
    <w:rsid w:val="00702C25"/>
    <w:rsid w:val="00702F8F"/>
    <w:rsid w:val="0070308E"/>
    <w:rsid w:val="00704537"/>
    <w:rsid w:val="007079FC"/>
    <w:rsid w:val="00707C5A"/>
    <w:rsid w:val="00710B58"/>
    <w:rsid w:val="007118F5"/>
    <w:rsid w:val="00711A36"/>
    <w:rsid w:val="00711EFE"/>
    <w:rsid w:val="0071224B"/>
    <w:rsid w:val="007125D3"/>
    <w:rsid w:val="00714C26"/>
    <w:rsid w:val="007151A8"/>
    <w:rsid w:val="0071529C"/>
    <w:rsid w:val="007152C7"/>
    <w:rsid w:val="0071620F"/>
    <w:rsid w:val="00716353"/>
    <w:rsid w:val="00716A63"/>
    <w:rsid w:val="007170DA"/>
    <w:rsid w:val="007172AD"/>
    <w:rsid w:val="00717546"/>
    <w:rsid w:val="007176FF"/>
    <w:rsid w:val="00717950"/>
    <w:rsid w:val="00717CE4"/>
    <w:rsid w:val="00720801"/>
    <w:rsid w:val="007216C3"/>
    <w:rsid w:val="00721EA3"/>
    <w:rsid w:val="00722B1B"/>
    <w:rsid w:val="0072416F"/>
    <w:rsid w:val="00725902"/>
    <w:rsid w:val="00725BBE"/>
    <w:rsid w:val="00727C94"/>
    <w:rsid w:val="00727F2B"/>
    <w:rsid w:val="00731704"/>
    <w:rsid w:val="00731B0A"/>
    <w:rsid w:val="00731EAE"/>
    <w:rsid w:val="00733073"/>
    <w:rsid w:val="0073374A"/>
    <w:rsid w:val="0073426F"/>
    <w:rsid w:val="00734E75"/>
    <w:rsid w:val="00735033"/>
    <w:rsid w:val="00735328"/>
    <w:rsid w:val="0073685B"/>
    <w:rsid w:val="00736C7D"/>
    <w:rsid w:val="00737031"/>
    <w:rsid w:val="00737956"/>
    <w:rsid w:val="007417D5"/>
    <w:rsid w:val="007427A3"/>
    <w:rsid w:val="0074281B"/>
    <w:rsid w:val="007449BF"/>
    <w:rsid w:val="0074638B"/>
    <w:rsid w:val="007463FE"/>
    <w:rsid w:val="00746BC0"/>
    <w:rsid w:val="00747252"/>
    <w:rsid w:val="00747F3A"/>
    <w:rsid w:val="007510B4"/>
    <w:rsid w:val="00752142"/>
    <w:rsid w:val="007523F9"/>
    <w:rsid w:val="00752A84"/>
    <w:rsid w:val="00752B87"/>
    <w:rsid w:val="0075357E"/>
    <w:rsid w:val="00753B29"/>
    <w:rsid w:val="00756BB5"/>
    <w:rsid w:val="00756E86"/>
    <w:rsid w:val="007573E8"/>
    <w:rsid w:val="0075795C"/>
    <w:rsid w:val="00757A47"/>
    <w:rsid w:val="00760093"/>
    <w:rsid w:val="00760C4E"/>
    <w:rsid w:val="00760F9E"/>
    <w:rsid w:val="007616E6"/>
    <w:rsid w:val="00761FB8"/>
    <w:rsid w:val="00761FF4"/>
    <w:rsid w:val="007627B6"/>
    <w:rsid w:val="007627BE"/>
    <w:rsid w:val="00764F03"/>
    <w:rsid w:val="00765345"/>
    <w:rsid w:val="00765B1A"/>
    <w:rsid w:val="00765B55"/>
    <w:rsid w:val="00765DC1"/>
    <w:rsid w:val="00771AF9"/>
    <w:rsid w:val="00772F34"/>
    <w:rsid w:val="00773BF1"/>
    <w:rsid w:val="00775AFA"/>
    <w:rsid w:val="00776A92"/>
    <w:rsid w:val="00777335"/>
    <w:rsid w:val="00777982"/>
    <w:rsid w:val="00780F05"/>
    <w:rsid w:val="00782687"/>
    <w:rsid w:val="00782FB5"/>
    <w:rsid w:val="007836A4"/>
    <w:rsid w:val="007843F2"/>
    <w:rsid w:val="007846FA"/>
    <w:rsid w:val="007847E6"/>
    <w:rsid w:val="00784A52"/>
    <w:rsid w:val="00785A9F"/>
    <w:rsid w:val="00785EFE"/>
    <w:rsid w:val="0078638F"/>
    <w:rsid w:val="00792480"/>
    <w:rsid w:val="007924AF"/>
    <w:rsid w:val="007925DF"/>
    <w:rsid w:val="00792FE1"/>
    <w:rsid w:val="00793FDC"/>
    <w:rsid w:val="00794697"/>
    <w:rsid w:val="007952D3"/>
    <w:rsid w:val="00795E0E"/>
    <w:rsid w:val="0079607F"/>
    <w:rsid w:val="007A08AA"/>
    <w:rsid w:val="007A0A12"/>
    <w:rsid w:val="007A132D"/>
    <w:rsid w:val="007A1345"/>
    <w:rsid w:val="007A166C"/>
    <w:rsid w:val="007A1886"/>
    <w:rsid w:val="007A1A00"/>
    <w:rsid w:val="007A20E3"/>
    <w:rsid w:val="007A2194"/>
    <w:rsid w:val="007A2619"/>
    <w:rsid w:val="007A2BC6"/>
    <w:rsid w:val="007A2DDB"/>
    <w:rsid w:val="007A374D"/>
    <w:rsid w:val="007A6320"/>
    <w:rsid w:val="007A70BA"/>
    <w:rsid w:val="007A745B"/>
    <w:rsid w:val="007A7DA9"/>
    <w:rsid w:val="007A7FD7"/>
    <w:rsid w:val="007B0428"/>
    <w:rsid w:val="007B0D68"/>
    <w:rsid w:val="007B1278"/>
    <w:rsid w:val="007B251D"/>
    <w:rsid w:val="007B2837"/>
    <w:rsid w:val="007B2C92"/>
    <w:rsid w:val="007B3533"/>
    <w:rsid w:val="007B3F1F"/>
    <w:rsid w:val="007B3F72"/>
    <w:rsid w:val="007B4F44"/>
    <w:rsid w:val="007B4F58"/>
    <w:rsid w:val="007B528D"/>
    <w:rsid w:val="007B63CA"/>
    <w:rsid w:val="007B7407"/>
    <w:rsid w:val="007B74A0"/>
    <w:rsid w:val="007B77D1"/>
    <w:rsid w:val="007B78F1"/>
    <w:rsid w:val="007B7F15"/>
    <w:rsid w:val="007C07C7"/>
    <w:rsid w:val="007C1308"/>
    <w:rsid w:val="007C13E6"/>
    <w:rsid w:val="007C1CD9"/>
    <w:rsid w:val="007C3064"/>
    <w:rsid w:val="007C32EF"/>
    <w:rsid w:val="007C361D"/>
    <w:rsid w:val="007C4805"/>
    <w:rsid w:val="007C4AE2"/>
    <w:rsid w:val="007C4B2A"/>
    <w:rsid w:val="007C4B84"/>
    <w:rsid w:val="007C5C26"/>
    <w:rsid w:val="007C70FF"/>
    <w:rsid w:val="007C77B0"/>
    <w:rsid w:val="007C7C25"/>
    <w:rsid w:val="007D004F"/>
    <w:rsid w:val="007D035F"/>
    <w:rsid w:val="007D06B2"/>
    <w:rsid w:val="007D0924"/>
    <w:rsid w:val="007D0AD0"/>
    <w:rsid w:val="007D0B38"/>
    <w:rsid w:val="007D1938"/>
    <w:rsid w:val="007D2185"/>
    <w:rsid w:val="007D3D2B"/>
    <w:rsid w:val="007D3FFC"/>
    <w:rsid w:val="007D41C3"/>
    <w:rsid w:val="007D4BFB"/>
    <w:rsid w:val="007D5440"/>
    <w:rsid w:val="007D6645"/>
    <w:rsid w:val="007D69EB"/>
    <w:rsid w:val="007D740E"/>
    <w:rsid w:val="007E0E23"/>
    <w:rsid w:val="007E128F"/>
    <w:rsid w:val="007E22A4"/>
    <w:rsid w:val="007E3BF3"/>
    <w:rsid w:val="007E41C9"/>
    <w:rsid w:val="007E5855"/>
    <w:rsid w:val="007E6C79"/>
    <w:rsid w:val="007F1017"/>
    <w:rsid w:val="007F1212"/>
    <w:rsid w:val="007F2363"/>
    <w:rsid w:val="007F2E83"/>
    <w:rsid w:val="007F4A3F"/>
    <w:rsid w:val="007F4A61"/>
    <w:rsid w:val="007F4F69"/>
    <w:rsid w:val="007F5255"/>
    <w:rsid w:val="007F56CC"/>
    <w:rsid w:val="007F590D"/>
    <w:rsid w:val="007F61C2"/>
    <w:rsid w:val="007F7668"/>
    <w:rsid w:val="00800E84"/>
    <w:rsid w:val="00802CE5"/>
    <w:rsid w:val="008040B4"/>
    <w:rsid w:val="00804A75"/>
    <w:rsid w:val="008050CF"/>
    <w:rsid w:val="00805142"/>
    <w:rsid w:val="00805FCE"/>
    <w:rsid w:val="0080671D"/>
    <w:rsid w:val="0080725D"/>
    <w:rsid w:val="0080763A"/>
    <w:rsid w:val="00807A8B"/>
    <w:rsid w:val="00811269"/>
    <w:rsid w:val="00811383"/>
    <w:rsid w:val="008113A1"/>
    <w:rsid w:val="00812149"/>
    <w:rsid w:val="00812CAC"/>
    <w:rsid w:val="00813683"/>
    <w:rsid w:val="00816361"/>
    <w:rsid w:val="008166EF"/>
    <w:rsid w:val="00816FEF"/>
    <w:rsid w:val="00817722"/>
    <w:rsid w:val="00820A8C"/>
    <w:rsid w:val="00820BE8"/>
    <w:rsid w:val="008215FB"/>
    <w:rsid w:val="008220CC"/>
    <w:rsid w:val="00823174"/>
    <w:rsid w:val="008231B2"/>
    <w:rsid w:val="00825751"/>
    <w:rsid w:val="008264EB"/>
    <w:rsid w:val="008268CE"/>
    <w:rsid w:val="008274F2"/>
    <w:rsid w:val="00827BDD"/>
    <w:rsid w:val="00827C23"/>
    <w:rsid w:val="0083060E"/>
    <w:rsid w:val="00831800"/>
    <w:rsid w:val="00831AFA"/>
    <w:rsid w:val="00831C00"/>
    <w:rsid w:val="00831D4F"/>
    <w:rsid w:val="00832794"/>
    <w:rsid w:val="008335D3"/>
    <w:rsid w:val="00833B05"/>
    <w:rsid w:val="00834201"/>
    <w:rsid w:val="00834CE7"/>
    <w:rsid w:val="00835273"/>
    <w:rsid w:val="0083531E"/>
    <w:rsid w:val="00835C89"/>
    <w:rsid w:val="008362B4"/>
    <w:rsid w:val="00836BEC"/>
    <w:rsid w:val="00840CA2"/>
    <w:rsid w:val="0084374F"/>
    <w:rsid w:val="00843944"/>
    <w:rsid w:val="00843ACB"/>
    <w:rsid w:val="0084421D"/>
    <w:rsid w:val="00844A22"/>
    <w:rsid w:val="008452AF"/>
    <w:rsid w:val="008456E5"/>
    <w:rsid w:val="00847703"/>
    <w:rsid w:val="00847DF5"/>
    <w:rsid w:val="00850EA1"/>
    <w:rsid w:val="00851D35"/>
    <w:rsid w:val="0085309D"/>
    <w:rsid w:val="00854127"/>
    <w:rsid w:val="0085648F"/>
    <w:rsid w:val="00856897"/>
    <w:rsid w:val="00856C37"/>
    <w:rsid w:val="00856E9A"/>
    <w:rsid w:val="0086075D"/>
    <w:rsid w:val="008621A8"/>
    <w:rsid w:val="0086244E"/>
    <w:rsid w:val="00862502"/>
    <w:rsid w:val="00862CC1"/>
    <w:rsid w:val="00862CF1"/>
    <w:rsid w:val="00863578"/>
    <w:rsid w:val="00863763"/>
    <w:rsid w:val="008639CA"/>
    <w:rsid w:val="008642A7"/>
    <w:rsid w:val="00864961"/>
    <w:rsid w:val="00865272"/>
    <w:rsid w:val="00865AF4"/>
    <w:rsid w:val="008660D4"/>
    <w:rsid w:val="00866843"/>
    <w:rsid w:val="00866AB6"/>
    <w:rsid w:val="00866E9E"/>
    <w:rsid w:val="00871FA9"/>
    <w:rsid w:val="008722FB"/>
    <w:rsid w:val="008728E9"/>
    <w:rsid w:val="00872947"/>
    <w:rsid w:val="0087363F"/>
    <w:rsid w:val="00873B86"/>
    <w:rsid w:val="00874324"/>
    <w:rsid w:val="00876F84"/>
    <w:rsid w:val="00880B1E"/>
    <w:rsid w:val="008812CF"/>
    <w:rsid w:val="008818E0"/>
    <w:rsid w:val="00882874"/>
    <w:rsid w:val="00882CDF"/>
    <w:rsid w:val="00882E3C"/>
    <w:rsid w:val="0088308A"/>
    <w:rsid w:val="00883787"/>
    <w:rsid w:val="008855E4"/>
    <w:rsid w:val="00886CD2"/>
    <w:rsid w:val="008874BD"/>
    <w:rsid w:val="00887733"/>
    <w:rsid w:val="00887814"/>
    <w:rsid w:val="008879D1"/>
    <w:rsid w:val="008904D9"/>
    <w:rsid w:val="0089087A"/>
    <w:rsid w:val="00891499"/>
    <w:rsid w:val="0089171C"/>
    <w:rsid w:val="00891E6F"/>
    <w:rsid w:val="00892218"/>
    <w:rsid w:val="008922B7"/>
    <w:rsid w:val="0089275D"/>
    <w:rsid w:val="00892A36"/>
    <w:rsid w:val="00892C86"/>
    <w:rsid w:val="008930BD"/>
    <w:rsid w:val="00893239"/>
    <w:rsid w:val="008940EB"/>
    <w:rsid w:val="00894489"/>
    <w:rsid w:val="00894CD6"/>
    <w:rsid w:val="00894E87"/>
    <w:rsid w:val="008963A5"/>
    <w:rsid w:val="0089663E"/>
    <w:rsid w:val="00896CEA"/>
    <w:rsid w:val="00896D5D"/>
    <w:rsid w:val="008A081A"/>
    <w:rsid w:val="008A1310"/>
    <w:rsid w:val="008A1BB2"/>
    <w:rsid w:val="008A2BE8"/>
    <w:rsid w:val="008A3003"/>
    <w:rsid w:val="008A3158"/>
    <w:rsid w:val="008A3363"/>
    <w:rsid w:val="008A3371"/>
    <w:rsid w:val="008A3C3E"/>
    <w:rsid w:val="008A4270"/>
    <w:rsid w:val="008A5FD7"/>
    <w:rsid w:val="008A6FDA"/>
    <w:rsid w:val="008A79DE"/>
    <w:rsid w:val="008B0151"/>
    <w:rsid w:val="008B0207"/>
    <w:rsid w:val="008B06D6"/>
    <w:rsid w:val="008B1757"/>
    <w:rsid w:val="008B1C33"/>
    <w:rsid w:val="008B3509"/>
    <w:rsid w:val="008B37F7"/>
    <w:rsid w:val="008B4B6F"/>
    <w:rsid w:val="008B5C10"/>
    <w:rsid w:val="008B5F77"/>
    <w:rsid w:val="008B66D1"/>
    <w:rsid w:val="008B70A9"/>
    <w:rsid w:val="008B7783"/>
    <w:rsid w:val="008B7992"/>
    <w:rsid w:val="008B7D7E"/>
    <w:rsid w:val="008C0808"/>
    <w:rsid w:val="008C11F3"/>
    <w:rsid w:val="008C2194"/>
    <w:rsid w:val="008C254D"/>
    <w:rsid w:val="008C3487"/>
    <w:rsid w:val="008C5610"/>
    <w:rsid w:val="008C5739"/>
    <w:rsid w:val="008C5D38"/>
    <w:rsid w:val="008C7282"/>
    <w:rsid w:val="008C7ECB"/>
    <w:rsid w:val="008D0173"/>
    <w:rsid w:val="008D117D"/>
    <w:rsid w:val="008D1841"/>
    <w:rsid w:val="008D1FCB"/>
    <w:rsid w:val="008D2488"/>
    <w:rsid w:val="008D29F9"/>
    <w:rsid w:val="008D3B86"/>
    <w:rsid w:val="008D43FD"/>
    <w:rsid w:val="008D4491"/>
    <w:rsid w:val="008D4598"/>
    <w:rsid w:val="008D4755"/>
    <w:rsid w:val="008D4C3D"/>
    <w:rsid w:val="008D743C"/>
    <w:rsid w:val="008D77D6"/>
    <w:rsid w:val="008D7AD7"/>
    <w:rsid w:val="008E0D3C"/>
    <w:rsid w:val="008E17BA"/>
    <w:rsid w:val="008E1B9E"/>
    <w:rsid w:val="008E2289"/>
    <w:rsid w:val="008E3C75"/>
    <w:rsid w:val="008E44AF"/>
    <w:rsid w:val="008E50C1"/>
    <w:rsid w:val="008E55AB"/>
    <w:rsid w:val="008E5684"/>
    <w:rsid w:val="008E7EE7"/>
    <w:rsid w:val="008F00C9"/>
    <w:rsid w:val="008F0DB1"/>
    <w:rsid w:val="008F120A"/>
    <w:rsid w:val="008F22F6"/>
    <w:rsid w:val="008F24D1"/>
    <w:rsid w:val="008F27E0"/>
    <w:rsid w:val="008F327E"/>
    <w:rsid w:val="008F392E"/>
    <w:rsid w:val="008F3960"/>
    <w:rsid w:val="008F48EB"/>
    <w:rsid w:val="008F4F0B"/>
    <w:rsid w:val="008F502E"/>
    <w:rsid w:val="008F5ABB"/>
    <w:rsid w:val="008F620D"/>
    <w:rsid w:val="008F6685"/>
    <w:rsid w:val="008F7325"/>
    <w:rsid w:val="009015FA"/>
    <w:rsid w:val="0090248D"/>
    <w:rsid w:val="00902DA0"/>
    <w:rsid w:val="009046C4"/>
    <w:rsid w:val="00904906"/>
    <w:rsid w:val="0090498F"/>
    <w:rsid w:val="00904EBB"/>
    <w:rsid w:val="009062A5"/>
    <w:rsid w:val="00907699"/>
    <w:rsid w:val="00910CFD"/>
    <w:rsid w:val="00910FA7"/>
    <w:rsid w:val="00911272"/>
    <w:rsid w:val="00911276"/>
    <w:rsid w:val="00911339"/>
    <w:rsid w:val="0091230C"/>
    <w:rsid w:val="009135D6"/>
    <w:rsid w:val="0091488D"/>
    <w:rsid w:val="00914C77"/>
    <w:rsid w:val="00915228"/>
    <w:rsid w:val="00915F03"/>
    <w:rsid w:val="00916067"/>
    <w:rsid w:val="00916E68"/>
    <w:rsid w:val="00917440"/>
    <w:rsid w:val="009176C7"/>
    <w:rsid w:val="0092083A"/>
    <w:rsid w:val="00920F23"/>
    <w:rsid w:val="009214F1"/>
    <w:rsid w:val="00921ACB"/>
    <w:rsid w:val="00922726"/>
    <w:rsid w:val="00922A6E"/>
    <w:rsid w:val="0092369B"/>
    <w:rsid w:val="00923E52"/>
    <w:rsid w:val="009258B7"/>
    <w:rsid w:val="0092675A"/>
    <w:rsid w:val="00927D2C"/>
    <w:rsid w:val="0093084D"/>
    <w:rsid w:val="00931064"/>
    <w:rsid w:val="00931355"/>
    <w:rsid w:val="00931753"/>
    <w:rsid w:val="00934826"/>
    <w:rsid w:val="00934988"/>
    <w:rsid w:val="00936107"/>
    <w:rsid w:val="00936AEF"/>
    <w:rsid w:val="00936B5E"/>
    <w:rsid w:val="00937089"/>
    <w:rsid w:val="009411F0"/>
    <w:rsid w:val="00941475"/>
    <w:rsid w:val="00944F8A"/>
    <w:rsid w:val="00945293"/>
    <w:rsid w:val="009510A2"/>
    <w:rsid w:val="00953094"/>
    <w:rsid w:val="00953257"/>
    <w:rsid w:val="00953DF1"/>
    <w:rsid w:val="00954110"/>
    <w:rsid w:val="0095474C"/>
    <w:rsid w:val="009549FE"/>
    <w:rsid w:val="00954D3C"/>
    <w:rsid w:val="00955F30"/>
    <w:rsid w:val="009569E5"/>
    <w:rsid w:val="00957D92"/>
    <w:rsid w:val="00961516"/>
    <w:rsid w:val="00961C9D"/>
    <w:rsid w:val="00962AE7"/>
    <w:rsid w:val="00962CB9"/>
    <w:rsid w:val="00962E2C"/>
    <w:rsid w:val="00962F11"/>
    <w:rsid w:val="00964312"/>
    <w:rsid w:val="00964CBA"/>
    <w:rsid w:val="00965B8A"/>
    <w:rsid w:val="009670D6"/>
    <w:rsid w:val="00967351"/>
    <w:rsid w:val="0097071F"/>
    <w:rsid w:val="009709EF"/>
    <w:rsid w:val="009710FA"/>
    <w:rsid w:val="00971233"/>
    <w:rsid w:val="009716E2"/>
    <w:rsid w:val="009717AC"/>
    <w:rsid w:val="009718AB"/>
    <w:rsid w:val="00971C06"/>
    <w:rsid w:val="00974C34"/>
    <w:rsid w:val="009751C1"/>
    <w:rsid w:val="0098030E"/>
    <w:rsid w:val="00980CB2"/>
    <w:rsid w:val="00980E94"/>
    <w:rsid w:val="009811F1"/>
    <w:rsid w:val="009827BE"/>
    <w:rsid w:val="0098298E"/>
    <w:rsid w:val="00982EE8"/>
    <w:rsid w:val="00983E57"/>
    <w:rsid w:val="00985DE2"/>
    <w:rsid w:val="0098675D"/>
    <w:rsid w:val="00987BA4"/>
    <w:rsid w:val="00991497"/>
    <w:rsid w:val="009926E0"/>
    <w:rsid w:val="00993459"/>
    <w:rsid w:val="0099364B"/>
    <w:rsid w:val="0099451E"/>
    <w:rsid w:val="00994D53"/>
    <w:rsid w:val="00995EB3"/>
    <w:rsid w:val="00995FFC"/>
    <w:rsid w:val="00996B1A"/>
    <w:rsid w:val="00996EAA"/>
    <w:rsid w:val="0099709C"/>
    <w:rsid w:val="009A07B6"/>
    <w:rsid w:val="009A18F6"/>
    <w:rsid w:val="009A1D14"/>
    <w:rsid w:val="009A2DCC"/>
    <w:rsid w:val="009A31C7"/>
    <w:rsid w:val="009A3554"/>
    <w:rsid w:val="009A3D92"/>
    <w:rsid w:val="009A5ABC"/>
    <w:rsid w:val="009A7F10"/>
    <w:rsid w:val="009B1051"/>
    <w:rsid w:val="009B111B"/>
    <w:rsid w:val="009B18AD"/>
    <w:rsid w:val="009B20BD"/>
    <w:rsid w:val="009B2E99"/>
    <w:rsid w:val="009B3E26"/>
    <w:rsid w:val="009B4F8D"/>
    <w:rsid w:val="009B541B"/>
    <w:rsid w:val="009B5445"/>
    <w:rsid w:val="009B562A"/>
    <w:rsid w:val="009B5B5D"/>
    <w:rsid w:val="009B6012"/>
    <w:rsid w:val="009B6087"/>
    <w:rsid w:val="009B666E"/>
    <w:rsid w:val="009B75AE"/>
    <w:rsid w:val="009B7B13"/>
    <w:rsid w:val="009C1271"/>
    <w:rsid w:val="009C1E5B"/>
    <w:rsid w:val="009C2DB7"/>
    <w:rsid w:val="009C3706"/>
    <w:rsid w:val="009C37DD"/>
    <w:rsid w:val="009C3A3A"/>
    <w:rsid w:val="009C5F0D"/>
    <w:rsid w:val="009C6860"/>
    <w:rsid w:val="009C6A65"/>
    <w:rsid w:val="009C6CEA"/>
    <w:rsid w:val="009C7B85"/>
    <w:rsid w:val="009D0254"/>
    <w:rsid w:val="009D1A64"/>
    <w:rsid w:val="009D278D"/>
    <w:rsid w:val="009D2A51"/>
    <w:rsid w:val="009D3750"/>
    <w:rsid w:val="009D5406"/>
    <w:rsid w:val="009D5B91"/>
    <w:rsid w:val="009D68B2"/>
    <w:rsid w:val="009D7096"/>
    <w:rsid w:val="009D792E"/>
    <w:rsid w:val="009D7A51"/>
    <w:rsid w:val="009D7BAC"/>
    <w:rsid w:val="009E0DFE"/>
    <w:rsid w:val="009E1C1D"/>
    <w:rsid w:val="009E2155"/>
    <w:rsid w:val="009E31F6"/>
    <w:rsid w:val="009E4463"/>
    <w:rsid w:val="009E4C07"/>
    <w:rsid w:val="009E4CE9"/>
    <w:rsid w:val="009E5510"/>
    <w:rsid w:val="009E581A"/>
    <w:rsid w:val="009E6E30"/>
    <w:rsid w:val="009E777F"/>
    <w:rsid w:val="009F283E"/>
    <w:rsid w:val="009F2AC7"/>
    <w:rsid w:val="009F395D"/>
    <w:rsid w:val="009F6120"/>
    <w:rsid w:val="009F7033"/>
    <w:rsid w:val="009F766B"/>
    <w:rsid w:val="009F7AD2"/>
    <w:rsid w:val="00A00D76"/>
    <w:rsid w:val="00A01184"/>
    <w:rsid w:val="00A01449"/>
    <w:rsid w:val="00A01A67"/>
    <w:rsid w:val="00A02887"/>
    <w:rsid w:val="00A037C2"/>
    <w:rsid w:val="00A03D43"/>
    <w:rsid w:val="00A04380"/>
    <w:rsid w:val="00A046CC"/>
    <w:rsid w:val="00A04786"/>
    <w:rsid w:val="00A05472"/>
    <w:rsid w:val="00A05651"/>
    <w:rsid w:val="00A058F2"/>
    <w:rsid w:val="00A05C32"/>
    <w:rsid w:val="00A0629F"/>
    <w:rsid w:val="00A062E3"/>
    <w:rsid w:val="00A0653F"/>
    <w:rsid w:val="00A11CD0"/>
    <w:rsid w:val="00A12701"/>
    <w:rsid w:val="00A13948"/>
    <w:rsid w:val="00A1555B"/>
    <w:rsid w:val="00A155C5"/>
    <w:rsid w:val="00A16AD8"/>
    <w:rsid w:val="00A174BC"/>
    <w:rsid w:val="00A178A2"/>
    <w:rsid w:val="00A2021E"/>
    <w:rsid w:val="00A21C95"/>
    <w:rsid w:val="00A21CF3"/>
    <w:rsid w:val="00A2240F"/>
    <w:rsid w:val="00A23897"/>
    <w:rsid w:val="00A24813"/>
    <w:rsid w:val="00A25538"/>
    <w:rsid w:val="00A25E7A"/>
    <w:rsid w:val="00A27340"/>
    <w:rsid w:val="00A27AEC"/>
    <w:rsid w:val="00A31D54"/>
    <w:rsid w:val="00A320DB"/>
    <w:rsid w:val="00A32343"/>
    <w:rsid w:val="00A35D16"/>
    <w:rsid w:val="00A3619F"/>
    <w:rsid w:val="00A36576"/>
    <w:rsid w:val="00A37BCD"/>
    <w:rsid w:val="00A37C88"/>
    <w:rsid w:val="00A37DDF"/>
    <w:rsid w:val="00A40E13"/>
    <w:rsid w:val="00A4152B"/>
    <w:rsid w:val="00A41689"/>
    <w:rsid w:val="00A42592"/>
    <w:rsid w:val="00A4297E"/>
    <w:rsid w:val="00A43296"/>
    <w:rsid w:val="00A43C59"/>
    <w:rsid w:val="00A46B16"/>
    <w:rsid w:val="00A50230"/>
    <w:rsid w:val="00A5088B"/>
    <w:rsid w:val="00A50ECD"/>
    <w:rsid w:val="00A51175"/>
    <w:rsid w:val="00A51442"/>
    <w:rsid w:val="00A518F3"/>
    <w:rsid w:val="00A52248"/>
    <w:rsid w:val="00A522E7"/>
    <w:rsid w:val="00A52729"/>
    <w:rsid w:val="00A53675"/>
    <w:rsid w:val="00A54756"/>
    <w:rsid w:val="00A54B8E"/>
    <w:rsid w:val="00A552CE"/>
    <w:rsid w:val="00A55E60"/>
    <w:rsid w:val="00A564D7"/>
    <w:rsid w:val="00A56A4A"/>
    <w:rsid w:val="00A56B6A"/>
    <w:rsid w:val="00A57604"/>
    <w:rsid w:val="00A578DC"/>
    <w:rsid w:val="00A60C9F"/>
    <w:rsid w:val="00A61146"/>
    <w:rsid w:val="00A613B0"/>
    <w:rsid w:val="00A63CC3"/>
    <w:rsid w:val="00A640E2"/>
    <w:rsid w:val="00A64433"/>
    <w:rsid w:val="00A64C44"/>
    <w:rsid w:val="00A64D65"/>
    <w:rsid w:val="00A6725B"/>
    <w:rsid w:val="00A678AA"/>
    <w:rsid w:val="00A70605"/>
    <w:rsid w:val="00A71836"/>
    <w:rsid w:val="00A71B5C"/>
    <w:rsid w:val="00A722A2"/>
    <w:rsid w:val="00A72E7E"/>
    <w:rsid w:val="00A73134"/>
    <w:rsid w:val="00A7359B"/>
    <w:rsid w:val="00A7365A"/>
    <w:rsid w:val="00A74075"/>
    <w:rsid w:val="00A74426"/>
    <w:rsid w:val="00A75CDF"/>
    <w:rsid w:val="00A76001"/>
    <w:rsid w:val="00A774DF"/>
    <w:rsid w:val="00A777A6"/>
    <w:rsid w:val="00A777B2"/>
    <w:rsid w:val="00A825D4"/>
    <w:rsid w:val="00A828F6"/>
    <w:rsid w:val="00A82939"/>
    <w:rsid w:val="00A82B73"/>
    <w:rsid w:val="00A8330E"/>
    <w:rsid w:val="00A83C16"/>
    <w:rsid w:val="00A83FD4"/>
    <w:rsid w:val="00A84044"/>
    <w:rsid w:val="00A846EE"/>
    <w:rsid w:val="00A85CDF"/>
    <w:rsid w:val="00A86031"/>
    <w:rsid w:val="00A86B1A"/>
    <w:rsid w:val="00A86E8B"/>
    <w:rsid w:val="00A87164"/>
    <w:rsid w:val="00A871A9"/>
    <w:rsid w:val="00A87DFF"/>
    <w:rsid w:val="00A87F31"/>
    <w:rsid w:val="00A87FAF"/>
    <w:rsid w:val="00A93072"/>
    <w:rsid w:val="00A9331B"/>
    <w:rsid w:val="00A938BD"/>
    <w:rsid w:val="00A93953"/>
    <w:rsid w:val="00A94A99"/>
    <w:rsid w:val="00A94BAA"/>
    <w:rsid w:val="00A94BB8"/>
    <w:rsid w:val="00A94D4D"/>
    <w:rsid w:val="00A95552"/>
    <w:rsid w:val="00A959D8"/>
    <w:rsid w:val="00A96C66"/>
    <w:rsid w:val="00A9728E"/>
    <w:rsid w:val="00A97429"/>
    <w:rsid w:val="00AA113D"/>
    <w:rsid w:val="00AA26C3"/>
    <w:rsid w:val="00AA2DC0"/>
    <w:rsid w:val="00AA44B3"/>
    <w:rsid w:val="00AA5AB8"/>
    <w:rsid w:val="00AA5BA7"/>
    <w:rsid w:val="00AA5FA0"/>
    <w:rsid w:val="00AA6698"/>
    <w:rsid w:val="00AA6BD5"/>
    <w:rsid w:val="00AA6BD8"/>
    <w:rsid w:val="00AA6C7D"/>
    <w:rsid w:val="00AA71DE"/>
    <w:rsid w:val="00AA7C2C"/>
    <w:rsid w:val="00AA7FD6"/>
    <w:rsid w:val="00AB042A"/>
    <w:rsid w:val="00AB11AD"/>
    <w:rsid w:val="00AB1376"/>
    <w:rsid w:val="00AB1497"/>
    <w:rsid w:val="00AB19EF"/>
    <w:rsid w:val="00AB2495"/>
    <w:rsid w:val="00AB2D34"/>
    <w:rsid w:val="00AB2FB9"/>
    <w:rsid w:val="00AB3012"/>
    <w:rsid w:val="00AB33EA"/>
    <w:rsid w:val="00AB3430"/>
    <w:rsid w:val="00AB37B9"/>
    <w:rsid w:val="00AB4AD1"/>
    <w:rsid w:val="00AB4DC6"/>
    <w:rsid w:val="00AB5E07"/>
    <w:rsid w:val="00AB5E60"/>
    <w:rsid w:val="00AB667A"/>
    <w:rsid w:val="00AB7424"/>
    <w:rsid w:val="00AB7CFA"/>
    <w:rsid w:val="00AC000B"/>
    <w:rsid w:val="00AC17D0"/>
    <w:rsid w:val="00AC18F6"/>
    <w:rsid w:val="00AC26FE"/>
    <w:rsid w:val="00AC4141"/>
    <w:rsid w:val="00AC52CD"/>
    <w:rsid w:val="00AC5B42"/>
    <w:rsid w:val="00AC5B48"/>
    <w:rsid w:val="00AC6912"/>
    <w:rsid w:val="00AC7168"/>
    <w:rsid w:val="00AC731D"/>
    <w:rsid w:val="00AC7D8A"/>
    <w:rsid w:val="00AD05D2"/>
    <w:rsid w:val="00AD1450"/>
    <w:rsid w:val="00AD15E8"/>
    <w:rsid w:val="00AD1A48"/>
    <w:rsid w:val="00AD356D"/>
    <w:rsid w:val="00AD3736"/>
    <w:rsid w:val="00AD3BD7"/>
    <w:rsid w:val="00AD5B73"/>
    <w:rsid w:val="00AD6502"/>
    <w:rsid w:val="00AD68EC"/>
    <w:rsid w:val="00AE0695"/>
    <w:rsid w:val="00AE16D6"/>
    <w:rsid w:val="00AE1A3E"/>
    <w:rsid w:val="00AE2EB6"/>
    <w:rsid w:val="00AE3B1B"/>
    <w:rsid w:val="00AE3E7E"/>
    <w:rsid w:val="00AE4596"/>
    <w:rsid w:val="00AE782C"/>
    <w:rsid w:val="00AE7CF0"/>
    <w:rsid w:val="00AE7E1D"/>
    <w:rsid w:val="00AE7E53"/>
    <w:rsid w:val="00AF0F76"/>
    <w:rsid w:val="00AF1315"/>
    <w:rsid w:val="00AF19BF"/>
    <w:rsid w:val="00AF2DC3"/>
    <w:rsid w:val="00AF54E7"/>
    <w:rsid w:val="00AF5937"/>
    <w:rsid w:val="00AF7067"/>
    <w:rsid w:val="00B014AF"/>
    <w:rsid w:val="00B02664"/>
    <w:rsid w:val="00B033E5"/>
    <w:rsid w:val="00B03872"/>
    <w:rsid w:val="00B03A63"/>
    <w:rsid w:val="00B05785"/>
    <w:rsid w:val="00B0663A"/>
    <w:rsid w:val="00B07579"/>
    <w:rsid w:val="00B07819"/>
    <w:rsid w:val="00B10ADB"/>
    <w:rsid w:val="00B11A6E"/>
    <w:rsid w:val="00B129A4"/>
    <w:rsid w:val="00B130A2"/>
    <w:rsid w:val="00B155C9"/>
    <w:rsid w:val="00B16CC7"/>
    <w:rsid w:val="00B17F93"/>
    <w:rsid w:val="00B201A4"/>
    <w:rsid w:val="00B201D1"/>
    <w:rsid w:val="00B210AA"/>
    <w:rsid w:val="00B213A6"/>
    <w:rsid w:val="00B21524"/>
    <w:rsid w:val="00B21530"/>
    <w:rsid w:val="00B235B0"/>
    <w:rsid w:val="00B24DF6"/>
    <w:rsid w:val="00B24EDA"/>
    <w:rsid w:val="00B25A18"/>
    <w:rsid w:val="00B27A61"/>
    <w:rsid w:val="00B3216E"/>
    <w:rsid w:val="00B32F29"/>
    <w:rsid w:val="00B33316"/>
    <w:rsid w:val="00B3390C"/>
    <w:rsid w:val="00B34FE2"/>
    <w:rsid w:val="00B35166"/>
    <w:rsid w:val="00B357D8"/>
    <w:rsid w:val="00B35F2C"/>
    <w:rsid w:val="00B360F4"/>
    <w:rsid w:val="00B36A00"/>
    <w:rsid w:val="00B36CB2"/>
    <w:rsid w:val="00B36DE3"/>
    <w:rsid w:val="00B375F8"/>
    <w:rsid w:val="00B3792B"/>
    <w:rsid w:val="00B37960"/>
    <w:rsid w:val="00B37BFC"/>
    <w:rsid w:val="00B40358"/>
    <w:rsid w:val="00B41614"/>
    <w:rsid w:val="00B4179B"/>
    <w:rsid w:val="00B417D7"/>
    <w:rsid w:val="00B42851"/>
    <w:rsid w:val="00B42F80"/>
    <w:rsid w:val="00B435CB"/>
    <w:rsid w:val="00B43ACB"/>
    <w:rsid w:val="00B4514E"/>
    <w:rsid w:val="00B45F81"/>
    <w:rsid w:val="00B465EC"/>
    <w:rsid w:val="00B46A70"/>
    <w:rsid w:val="00B46DF8"/>
    <w:rsid w:val="00B47262"/>
    <w:rsid w:val="00B474D9"/>
    <w:rsid w:val="00B505C8"/>
    <w:rsid w:val="00B50DB8"/>
    <w:rsid w:val="00B50E64"/>
    <w:rsid w:val="00B5103E"/>
    <w:rsid w:val="00B52F18"/>
    <w:rsid w:val="00B53409"/>
    <w:rsid w:val="00B53654"/>
    <w:rsid w:val="00B5370E"/>
    <w:rsid w:val="00B53905"/>
    <w:rsid w:val="00B53B26"/>
    <w:rsid w:val="00B546DB"/>
    <w:rsid w:val="00B54B5B"/>
    <w:rsid w:val="00B5562E"/>
    <w:rsid w:val="00B557F7"/>
    <w:rsid w:val="00B55862"/>
    <w:rsid w:val="00B55D65"/>
    <w:rsid w:val="00B56305"/>
    <w:rsid w:val="00B57000"/>
    <w:rsid w:val="00B60352"/>
    <w:rsid w:val="00B60939"/>
    <w:rsid w:val="00B60AFD"/>
    <w:rsid w:val="00B6119D"/>
    <w:rsid w:val="00B622A4"/>
    <w:rsid w:val="00B62715"/>
    <w:rsid w:val="00B6439C"/>
    <w:rsid w:val="00B64476"/>
    <w:rsid w:val="00B649FC"/>
    <w:rsid w:val="00B650E1"/>
    <w:rsid w:val="00B65611"/>
    <w:rsid w:val="00B661F5"/>
    <w:rsid w:val="00B6645D"/>
    <w:rsid w:val="00B66E05"/>
    <w:rsid w:val="00B67E4B"/>
    <w:rsid w:val="00B70726"/>
    <w:rsid w:val="00B70E8E"/>
    <w:rsid w:val="00B73417"/>
    <w:rsid w:val="00B73EA9"/>
    <w:rsid w:val="00B75BD7"/>
    <w:rsid w:val="00B76B04"/>
    <w:rsid w:val="00B76C92"/>
    <w:rsid w:val="00B774FC"/>
    <w:rsid w:val="00B809D6"/>
    <w:rsid w:val="00B80EFD"/>
    <w:rsid w:val="00B815FD"/>
    <w:rsid w:val="00B818A4"/>
    <w:rsid w:val="00B82AE8"/>
    <w:rsid w:val="00B8367B"/>
    <w:rsid w:val="00B83739"/>
    <w:rsid w:val="00B83E4D"/>
    <w:rsid w:val="00B84117"/>
    <w:rsid w:val="00B84136"/>
    <w:rsid w:val="00B84EB0"/>
    <w:rsid w:val="00B8538B"/>
    <w:rsid w:val="00B8547B"/>
    <w:rsid w:val="00B85873"/>
    <w:rsid w:val="00B858F0"/>
    <w:rsid w:val="00B85966"/>
    <w:rsid w:val="00B85AA2"/>
    <w:rsid w:val="00B8649C"/>
    <w:rsid w:val="00B8695D"/>
    <w:rsid w:val="00B87E8E"/>
    <w:rsid w:val="00B87F0A"/>
    <w:rsid w:val="00B905BA"/>
    <w:rsid w:val="00B926BC"/>
    <w:rsid w:val="00B92D0B"/>
    <w:rsid w:val="00B93134"/>
    <w:rsid w:val="00B941DA"/>
    <w:rsid w:val="00B94945"/>
    <w:rsid w:val="00B94DD6"/>
    <w:rsid w:val="00B96021"/>
    <w:rsid w:val="00BA07D2"/>
    <w:rsid w:val="00BA15AE"/>
    <w:rsid w:val="00BA19E6"/>
    <w:rsid w:val="00BA26A3"/>
    <w:rsid w:val="00BA2FCD"/>
    <w:rsid w:val="00BA322D"/>
    <w:rsid w:val="00BA3310"/>
    <w:rsid w:val="00BA5754"/>
    <w:rsid w:val="00BA63FA"/>
    <w:rsid w:val="00BA71A3"/>
    <w:rsid w:val="00BA7707"/>
    <w:rsid w:val="00BA7CC5"/>
    <w:rsid w:val="00BB00B3"/>
    <w:rsid w:val="00BB0A65"/>
    <w:rsid w:val="00BB0AB3"/>
    <w:rsid w:val="00BB0BDD"/>
    <w:rsid w:val="00BB176C"/>
    <w:rsid w:val="00BB192D"/>
    <w:rsid w:val="00BB22AE"/>
    <w:rsid w:val="00BB275B"/>
    <w:rsid w:val="00BB2A73"/>
    <w:rsid w:val="00BB2D8D"/>
    <w:rsid w:val="00BB3A45"/>
    <w:rsid w:val="00BB4402"/>
    <w:rsid w:val="00BB447C"/>
    <w:rsid w:val="00BB4ACC"/>
    <w:rsid w:val="00BB57AE"/>
    <w:rsid w:val="00BB6852"/>
    <w:rsid w:val="00BB6FA0"/>
    <w:rsid w:val="00BB703E"/>
    <w:rsid w:val="00BB70EF"/>
    <w:rsid w:val="00BB732D"/>
    <w:rsid w:val="00BB7405"/>
    <w:rsid w:val="00BB7437"/>
    <w:rsid w:val="00BC0C7C"/>
    <w:rsid w:val="00BC1316"/>
    <w:rsid w:val="00BC28C2"/>
    <w:rsid w:val="00BC31FA"/>
    <w:rsid w:val="00BC3631"/>
    <w:rsid w:val="00BC368B"/>
    <w:rsid w:val="00BC4AE3"/>
    <w:rsid w:val="00BC507E"/>
    <w:rsid w:val="00BC591F"/>
    <w:rsid w:val="00BC6356"/>
    <w:rsid w:val="00BC696E"/>
    <w:rsid w:val="00BC74B5"/>
    <w:rsid w:val="00BC7C3C"/>
    <w:rsid w:val="00BC7D6D"/>
    <w:rsid w:val="00BD0474"/>
    <w:rsid w:val="00BD0FED"/>
    <w:rsid w:val="00BD186B"/>
    <w:rsid w:val="00BD2108"/>
    <w:rsid w:val="00BD4F67"/>
    <w:rsid w:val="00BD536E"/>
    <w:rsid w:val="00BD68A3"/>
    <w:rsid w:val="00BD6938"/>
    <w:rsid w:val="00BD6CF3"/>
    <w:rsid w:val="00BD6F3E"/>
    <w:rsid w:val="00BD7F72"/>
    <w:rsid w:val="00BE0606"/>
    <w:rsid w:val="00BE07CC"/>
    <w:rsid w:val="00BE0ECA"/>
    <w:rsid w:val="00BE193F"/>
    <w:rsid w:val="00BE202A"/>
    <w:rsid w:val="00BE2180"/>
    <w:rsid w:val="00BE21F2"/>
    <w:rsid w:val="00BE22E2"/>
    <w:rsid w:val="00BE2550"/>
    <w:rsid w:val="00BE3923"/>
    <w:rsid w:val="00BE4275"/>
    <w:rsid w:val="00BE466A"/>
    <w:rsid w:val="00BF033C"/>
    <w:rsid w:val="00BF06AE"/>
    <w:rsid w:val="00BF0F95"/>
    <w:rsid w:val="00BF20C6"/>
    <w:rsid w:val="00BF2433"/>
    <w:rsid w:val="00BF25A0"/>
    <w:rsid w:val="00BF2E6E"/>
    <w:rsid w:val="00BF3837"/>
    <w:rsid w:val="00BF3E22"/>
    <w:rsid w:val="00BF4A36"/>
    <w:rsid w:val="00BF55BB"/>
    <w:rsid w:val="00BF61C9"/>
    <w:rsid w:val="00BF6B79"/>
    <w:rsid w:val="00BF6C94"/>
    <w:rsid w:val="00BF7F60"/>
    <w:rsid w:val="00C00424"/>
    <w:rsid w:val="00C00BB0"/>
    <w:rsid w:val="00C012CE"/>
    <w:rsid w:val="00C0277D"/>
    <w:rsid w:val="00C042D3"/>
    <w:rsid w:val="00C051AD"/>
    <w:rsid w:val="00C05F0C"/>
    <w:rsid w:val="00C0718D"/>
    <w:rsid w:val="00C07E25"/>
    <w:rsid w:val="00C07E35"/>
    <w:rsid w:val="00C100AB"/>
    <w:rsid w:val="00C11201"/>
    <w:rsid w:val="00C1179F"/>
    <w:rsid w:val="00C11B86"/>
    <w:rsid w:val="00C127B9"/>
    <w:rsid w:val="00C128FA"/>
    <w:rsid w:val="00C12C14"/>
    <w:rsid w:val="00C133F9"/>
    <w:rsid w:val="00C13402"/>
    <w:rsid w:val="00C15F04"/>
    <w:rsid w:val="00C17495"/>
    <w:rsid w:val="00C17639"/>
    <w:rsid w:val="00C179B3"/>
    <w:rsid w:val="00C17E3F"/>
    <w:rsid w:val="00C2004A"/>
    <w:rsid w:val="00C200AA"/>
    <w:rsid w:val="00C21286"/>
    <w:rsid w:val="00C23325"/>
    <w:rsid w:val="00C237ED"/>
    <w:rsid w:val="00C23F44"/>
    <w:rsid w:val="00C241AF"/>
    <w:rsid w:val="00C24632"/>
    <w:rsid w:val="00C24FA6"/>
    <w:rsid w:val="00C25418"/>
    <w:rsid w:val="00C2595B"/>
    <w:rsid w:val="00C25D9C"/>
    <w:rsid w:val="00C26D16"/>
    <w:rsid w:val="00C2778B"/>
    <w:rsid w:val="00C27C98"/>
    <w:rsid w:val="00C30982"/>
    <w:rsid w:val="00C309D7"/>
    <w:rsid w:val="00C313A4"/>
    <w:rsid w:val="00C31649"/>
    <w:rsid w:val="00C3243E"/>
    <w:rsid w:val="00C32FA7"/>
    <w:rsid w:val="00C3319D"/>
    <w:rsid w:val="00C339E3"/>
    <w:rsid w:val="00C33FE8"/>
    <w:rsid w:val="00C3434C"/>
    <w:rsid w:val="00C34AB6"/>
    <w:rsid w:val="00C37202"/>
    <w:rsid w:val="00C37EAF"/>
    <w:rsid w:val="00C40385"/>
    <w:rsid w:val="00C40DA3"/>
    <w:rsid w:val="00C41373"/>
    <w:rsid w:val="00C416CD"/>
    <w:rsid w:val="00C41768"/>
    <w:rsid w:val="00C41A91"/>
    <w:rsid w:val="00C41CD5"/>
    <w:rsid w:val="00C420B6"/>
    <w:rsid w:val="00C4476D"/>
    <w:rsid w:val="00C4487B"/>
    <w:rsid w:val="00C44C01"/>
    <w:rsid w:val="00C44D7E"/>
    <w:rsid w:val="00C4692C"/>
    <w:rsid w:val="00C46ABF"/>
    <w:rsid w:val="00C475AA"/>
    <w:rsid w:val="00C47FEC"/>
    <w:rsid w:val="00C527C7"/>
    <w:rsid w:val="00C52E47"/>
    <w:rsid w:val="00C52F17"/>
    <w:rsid w:val="00C537B1"/>
    <w:rsid w:val="00C53C98"/>
    <w:rsid w:val="00C554CC"/>
    <w:rsid w:val="00C55DC0"/>
    <w:rsid w:val="00C56FCF"/>
    <w:rsid w:val="00C57AEF"/>
    <w:rsid w:val="00C57B6C"/>
    <w:rsid w:val="00C6133C"/>
    <w:rsid w:val="00C61A59"/>
    <w:rsid w:val="00C628A6"/>
    <w:rsid w:val="00C62A5D"/>
    <w:rsid w:val="00C634CA"/>
    <w:rsid w:val="00C63C35"/>
    <w:rsid w:val="00C64344"/>
    <w:rsid w:val="00C65108"/>
    <w:rsid w:val="00C65576"/>
    <w:rsid w:val="00C656B5"/>
    <w:rsid w:val="00C66165"/>
    <w:rsid w:val="00C6689F"/>
    <w:rsid w:val="00C67A4B"/>
    <w:rsid w:val="00C7060A"/>
    <w:rsid w:val="00C7151A"/>
    <w:rsid w:val="00C717E3"/>
    <w:rsid w:val="00C71F60"/>
    <w:rsid w:val="00C72241"/>
    <w:rsid w:val="00C72F99"/>
    <w:rsid w:val="00C740A3"/>
    <w:rsid w:val="00C74EB5"/>
    <w:rsid w:val="00C750C8"/>
    <w:rsid w:val="00C7560F"/>
    <w:rsid w:val="00C77F00"/>
    <w:rsid w:val="00C8098E"/>
    <w:rsid w:val="00C80A0E"/>
    <w:rsid w:val="00C8213F"/>
    <w:rsid w:val="00C8303F"/>
    <w:rsid w:val="00C83632"/>
    <w:rsid w:val="00C8455C"/>
    <w:rsid w:val="00C85154"/>
    <w:rsid w:val="00C851EC"/>
    <w:rsid w:val="00C85A70"/>
    <w:rsid w:val="00C869C7"/>
    <w:rsid w:val="00C86F4A"/>
    <w:rsid w:val="00C8797A"/>
    <w:rsid w:val="00C87C1D"/>
    <w:rsid w:val="00C900B8"/>
    <w:rsid w:val="00C90197"/>
    <w:rsid w:val="00C90C71"/>
    <w:rsid w:val="00C9164F"/>
    <w:rsid w:val="00C91ADA"/>
    <w:rsid w:val="00C91FD1"/>
    <w:rsid w:val="00C931CF"/>
    <w:rsid w:val="00C938CF"/>
    <w:rsid w:val="00C93DF0"/>
    <w:rsid w:val="00C94053"/>
    <w:rsid w:val="00C9525B"/>
    <w:rsid w:val="00C95457"/>
    <w:rsid w:val="00C9624D"/>
    <w:rsid w:val="00C964FB"/>
    <w:rsid w:val="00C969DA"/>
    <w:rsid w:val="00C97EE3"/>
    <w:rsid w:val="00CA0C37"/>
    <w:rsid w:val="00CA2270"/>
    <w:rsid w:val="00CA2C77"/>
    <w:rsid w:val="00CA2F0F"/>
    <w:rsid w:val="00CA313C"/>
    <w:rsid w:val="00CA444F"/>
    <w:rsid w:val="00CA5245"/>
    <w:rsid w:val="00CA71F4"/>
    <w:rsid w:val="00CA7A39"/>
    <w:rsid w:val="00CA7B09"/>
    <w:rsid w:val="00CB04A5"/>
    <w:rsid w:val="00CB12A5"/>
    <w:rsid w:val="00CB1CAC"/>
    <w:rsid w:val="00CB24B2"/>
    <w:rsid w:val="00CB2F2A"/>
    <w:rsid w:val="00CB3DEF"/>
    <w:rsid w:val="00CB5B1A"/>
    <w:rsid w:val="00CB68BE"/>
    <w:rsid w:val="00CB6B22"/>
    <w:rsid w:val="00CB76ED"/>
    <w:rsid w:val="00CB7F5F"/>
    <w:rsid w:val="00CC01DB"/>
    <w:rsid w:val="00CC103F"/>
    <w:rsid w:val="00CC1B39"/>
    <w:rsid w:val="00CC1BFA"/>
    <w:rsid w:val="00CC1DB2"/>
    <w:rsid w:val="00CC2966"/>
    <w:rsid w:val="00CC2D83"/>
    <w:rsid w:val="00CC2E9F"/>
    <w:rsid w:val="00CC35EA"/>
    <w:rsid w:val="00CC3848"/>
    <w:rsid w:val="00CC40AD"/>
    <w:rsid w:val="00CC54D7"/>
    <w:rsid w:val="00CC6B14"/>
    <w:rsid w:val="00CC6C3F"/>
    <w:rsid w:val="00CC6D1B"/>
    <w:rsid w:val="00CC6D5E"/>
    <w:rsid w:val="00CD0200"/>
    <w:rsid w:val="00CD0449"/>
    <w:rsid w:val="00CD1B8F"/>
    <w:rsid w:val="00CD2B51"/>
    <w:rsid w:val="00CD3F77"/>
    <w:rsid w:val="00CD4D74"/>
    <w:rsid w:val="00CD5E0D"/>
    <w:rsid w:val="00CD6994"/>
    <w:rsid w:val="00CD6ADC"/>
    <w:rsid w:val="00CD7046"/>
    <w:rsid w:val="00CD7193"/>
    <w:rsid w:val="00CD7F4B"/>
    <w:rsid w:val="00CE19B8"/>
    <w:rsid w:val="00CE35DC"/>
    <w:rsid w:val="00CE38C8"/>
    <w:rsid w:val="00CE3910"/>
    <w:rsid w:val="00CE4565"/>
    <w:rsid w:val="00CE49EC"/>
    <w:rsid w:val="00CE4A37"/>
    <w:rsid w:val="00CE524F"/>
    <w:rsid w:val="00CE58CC"/>
    <w:rsid w:val="00CE5A1F"/>
    <w:rsid w:val="00CE5CF8"/>
    <w:rsid w:val="00CE6274"/>
    <w:rsid w:val="00CE77B6"/>
    <w:rsid w:val="00CE77E4"/>
    <w:rsid w:val="00CF0E7E"/>
    <w:rsid w:val="00CF2B8D"/>
    <w:rsid w:val="00CF3A1B"/>
    <w:rsid w:val="00CF41AF"/>
    <w:rsid w:val="00CF4290"/>
    <w:rsid w:val="00CF456B"/>
    <w:rsid w:val="00CF5A22"/>
    <w:rsid w:val="00CF5E45"/>
    <w:rsid w:val="00CF7D84"/>
    <w:rsid w:val="00CF7E82"/>
    <w:rsid w:val="00D0032B"/>
    <w:rsid w:val="00D02316"/>
    <w:rsid w:val="00D0262E"/>
    <w:rsid w:val="00D03679"/>
    <w:rsid w:val="00D03AB7"/>
    <w:rsid w:val="00D04054"/>
    <w:rsid w:val="00D05E3D"/>
    <w:rsid w:val="00D06139"/>
    <w:rsid w:val="00D0653B"/>
    <w:rsid w:val="00D07CEA"/>
    <w:rsid w:val="00D103D2"/>
    <w:rsid w:val="00D110BD"/>
    <w:rsid w:val="00D11947"/>
    <w:rsid w:val="00D12020"/>
    <w:rsid w:val="00D13675"/>
    <w:rsid w:val="00D13DC4"/>
    <w:rsid w:val="00D141E1"/>
    <w:rsid w:val="00D15314"/>
    <w:rsid w:val="00D15B48"/>
    <w:rsid w:val="00D1686B"/>
    <w:rsid w:val="00D17D6C"/>
    <w:rsid w:val="00D2155B"/>
    <w:rsid w:val="00D2184A"/>
    <w:rsid w:val="00D224EB"/>
    <w:rsid w:val="00D226D6"/>
    <w:rsid w:val="00D2286B"/>
    <w:rsid w:val="00D23D11"/>
    <w:rsid w:val="00D244B6"/>
    <w:rsid w:val="00D24890"/>
    <w:rsid w:val="00D24F55"/>
    <w:rsid w:val="00D2661E"/>
    <w:rsid w:val="00D271BD"/>
    <w:rsid w:val="00D2754D"/>
    <w:rsid w:val="00D27B27"/>
    <w:rsid w:val="00D27EF5"/>
    <w:rsid w:val="00D30313"/>
    <w:rsid w:val="00D304BF"/>
    <w:rsid w:val="00D307C2"/>
    <w:rsid w:val="00D30D5B"/>
    <w:rsid w:val="00D31343"/>
    <w:rsid w:val="00D31A34"/>
    <w:rsid w:val="00D33149"/>
    <w:rsid w:val="00D33BE9"/>
    <w:rsid w:val="00D33C89"/>
    <w:rsid w:val="00D33F93"/>
    <w:rsid w:val="00D34E02"/>
    <w:rsid w:val="00D357FF"/>
    <w:rsid w:val="00D362F2"/>
    <w:rsid w:val="00D37B2F"/>
    <w:rsid w:val="00D37B6A"/>
    <w:rsid w:val="00D400E7"/>
    <w:rsid w:val="00D410E4"/>
    <w:rsid w:val="00D41467"/>
    <w:rsid w:val="00D41BBD"/>
    <w:rsid w:val="00D424C7"/>
    <w:rsid w:val="00D4256C"/>
    <w:rsid w:val="00D4265F"/>
    <w:rsid w:val="00D43B2A"/>
    <w:rsid w:val="00D43CF1"/>
    <w:rsid w:val="00D43D83"/>
    <w:rsid w:val="00D43DE2"/>
    <w:rsid w:val="00D47575"/>
    <w:rsid w:val="00D47982"/>
    <w:rsid w:val="00D47A76"/>
    <w:rsid w:val="00D5070D"/>
    <w:rsid w:val="00D50AEE"/>
    <w:rsid w:val="00D50CBC"/>
    <w:rsid w:val="00D5243B"/>
    <w:rsid w:val="00D52D3E"/>
    <w:rsid w:val="00D533BF"/>
    <w:rsid w:val="00D533EC"/>
    <w:rsid w:val="00D53649"/>
    <w:rsid w:val="00D53EA9"/>
    <w:rsid w:val="00D54FD0"/>
    <w:rsid w:val="00D56A95"/>
    <w:rsid w:val="00D6076E"/>
    <w:rsid w:val="00D6081B"/>
    <w:rsid w:val="00D61CFA"/>
    <w:rsid w:val="00D70334"/>
    <w:rsid w:val="00D70E26"/>
    <w:rsid w:val="00D70F16"/>
    <w:rsid w:val="00D71A1B"/>
    <w:rsid w:val="00D71C83"/>
    <w:rsid w:val="00D72147"/>
    <w:rsid w:val="00D72327"/>
    <w:rsid w:val="00D72617"/>
    <w:rsid w:val="00D72BBD"/>
    <w:rsid w:val="00D72BDD"/>
    <w:rsid w:val="00D72F57"/>
    <w:rsid w:val="00D74817"/>
    <w:rsid w:val="00D74D0E"/>
    <w:rsid w:val="00D76A44"/>
    <w:rsid w:val="00D77DB4"/>
    <w:rsid w:val="00D8046E"/>
    <w:rsid w:val="00D815EF"/>
    <w:rsid w:val="00D81809"/>
    <w:rsid w:val="00D81949"/>
    <w:rsid w:val="00D81F26"/>
    <w:rsid w:val="00D822E2"/>
    <w:rsid w:val="00D824DB"/>
    <w:rsid w:val="00D82E48"/>
    <w:rsid w:val="00D834E3"/>
    <w:rsid w:val="00D843F2"/>
    <w:rsid w:val="00D85827"/>
    <w:rsid w:val="00D86231"/>
    <w:rsid w:val="00D91220"/>
    <w:rsid w:val="00D912AB"/>
    <w:rsid w:val="00D91923"/>
    <w:rsid w:val="00D919F6"/>
    <w:rsid w:val="00D926FE"/>
    <w:rsid w:val="00D93753"/>
    <w:rsid w:val="00DA0A78"/>
    <w:rsid w:val="00DA141F"/>
    <w:rsid w:val="00DA17A3"/>
    <w:rsid w:val="00DA2B2C"/>
    <w:rsid w:val="00DA2B52"/>
    <w:rsid w:val="00DA3167"/>
    <w:rsid w:val="00DA37B3"/>
    <w:rsid w:val="00DA3B7A"/>
    <w:rsid w:val="00DA4007"/>
    <w:rsid w:val="00DA430D"/>
    <w:rsid w:val="00DA4DC3"/>
    <w:rsid w:val="00DA5546"/>
    <w:rsid w:val="00DA7744"/>
    <w:rsid w:val="00DA77A5"/>
    <w:rsid w:val="00DB0020"/>
    <w:rsid w:val="00DB01F4"/>
    <w:rsid w:val="00DB0E36"/>
    <w:rsid w:val="00DB15E8"/>
    <w:rsid w:val="00DB2C68"/>
    <w:rsid w:val="00DB3DBF"/>
    <w:rsid w:val="00DB3FE7"/>
    <w:rsid w:val="00DB47E8"/>
    <w:rsid w:val="00DB484F"/>
    <w:rsid w:val="00DB4987"/>
    <w:rsid w:val="00DB5F36"/>
    <w:rsid w:val="00DB6A32"/>
    <w:rsid w:val="00DC03A0"/>
    <w:rsid w:val="00DC04F6"/>
    <w:rsid w:val="00DC0690"/>
    <w:rsid w:val="00DC1BB2"/>
    <w:rsid w:val="00DC1D65"/>
    <w:rsid w:val="00DC3C57"/>
    <w:rsid w:val="00DC439D"/>
    <w:rsid w:val="00DC5501"/>
    <w:rsid w:val="00DC5DE4"/>
    <w:rsid w:val="00DC7154"/>
    <w:rsid w:val="00DC7AE9"/>
    <w:rsid w:val="00DC7E8A"/>
    <w:rsid w:val="00DD0086"/>
    <w:rsid w:val="00DD0F78"/>
    <w:rsid w:val="00DD273C"/>
    <w:rsid w:val="00DD3F28"/>
    <w:rsid w:val="00DD4446"/>
    <w:rsid w:val="00DD4537"/>
    <w:rsid w:val="00DD4E15"/>
    <w:rsid w:val="00DD6E32"/>
    <w:rsid w:val="00DD7627"/>
    <w:rsid w:val="00DE0437"/>
    <w:rsid w:val="00DE2023"/>
    <w:rsid w:val="00DE2304"/>
    <w:rsid w:val="00DE24A8"/>
    <w:rsid w:val="00DE276B"/>
    <w:rsid w:val="00DE2898"/>
    <w:rsid w:val="00DE28CB"/>
    <w:rsid w:val="00DE290C"/>
    <w:rsid w:val="00DE29B6"/>
    <w:rsid w:val="00DE3138"/>
    <w:rsid w:val="00DE3604"/>
    <w:rsid w:val="00DE37F8"/>
    <w:rsid w:val="00DE4273"/>
    <w:rsid w:val="00DE4FCB"/>
    <w:rsid w:val="00DE5D07"/>
    <w:rsid w:val="00DE7056"/>
    <w:rsid w:val="00DE72A7"/>
    <w:rsid w:val="00DE7319"/>
    <w:rsid w:val="00DE7832"/>
    <w:rsid w:val="00DE7C59"/>
    <w:rsid w:val="00DF1008"/>
    <w:rsid w:val="00DF18FC"/>
    <w:rsid w:val="00DF1FA4"/>
    <w:rsid w:val="00DF355A"/>
    <w:rsid w:val="00DF3601"/>
    <w:rsid w:val="00DF3A75"/>
    <w:rsid w:val="00DF454A"/>
    <w:rsid w:val="00DF4C79"/>
    <w:rsid w:val="00DF5D2B"/>
    <w:rsid w:val="00DF61C7"/>
    <w:rsid w:val="00DF6276"/>
    <w:rsid w:val="00DF629A"/>
    <w:rsid w:val="00DF6341"/>
    <w:rsid w:val="00DF6B3A"/>
    <w:rsid w:val="00DF73D7"/>
    <w:rsid w:val="00E00E8E"/>
    <w:rsid w:val="00E01609"/>
    <w:rsid w:val="00E02274"/>
    <w:rsid w:val="00E038F6"/>
    <w:rsid w:val="00E0390D"/>
    <w:rsid w:val="00E03AC7"/>
    <w:rsid w:val="00E04E24"/>
    <w:rsid w:val="00E05630"/>
    <w:rsid w:val="00E06DBB"/>
    <w:rsid w:val="00E076C1"/>
    <w:rsid w:val="00E10149"/>
    <w:rsid w:val="00E10219"/>
    <w:rsid w:val="00E11340"/>
    <w:rsid w:val="00E11C39"/>
    <w:rsid w:val="00E1209D"/>
    <w:rsid w:val="00E122A1"/>
    <w:rsid w:val="00E1368F"/>
    <w:rsid w:val="00E15BF5"/>
    <w:rsid w:val="00E16372"/>
    <w:rsid w:val="00E16871"/>
    <w:rsid w:val="00E16AD8"/>
    <w:rsid w:val="00E170BF"/>
    <w:rsid w:val="00E17A4E"/>
    <w:rsid w:val="00E17FFA"/>
    <w:rsid w:val="00E20E4D"/>
    <w:rsid w:val="00E20ED6"/>
    <w:rsid w:val="00E210F5"/>
    <w:rsid w:val="00E21358"/>
    <w:rsid w:val="00E2161E"/>
    <w:rsid w:val="00E21EFF"/>
    <w:rsid w:val="00E2249B"/>
    <w:rsid w:val="00E22A0D"/>
    <w:rsid w:val="00E237E6"/>
    <w:rsid w:val="00E244F6"/>
    <w:rsid w:val="00E258DB"/>
    <w:rsid w:val="00E25C89"/>
    <w:rsid w:val="00E26A9E"/>
    <w:rsid w:val="00E26ED4"/>
    <w:rsid w:val="00E2771E"/>
    <w:rsid w:val="00E30DDC"/>
    <w:rsid w:val="00E311EF"/>
    <w:rsid w:val="00E311F2"/>
    <w:rsid w:val="00E32180"/>
    <w:rsid w:val="00E32251"/>
    <w:rsid w:val="00E3367E"/>
    <w:rsid w:val="00E34948"/>
    <w:rsid w:val="00E34A7C"/>
    <w:rsid w:val="00E3541B"/>
    <w:rsid w:val="00E35891"/>
    <w:rsid w:val="00E37569"/>
    <w:rsid w:val="00E401B2"/>
    <w:rsid w:val="00E41692"/>
    <w:rsid w:val="00E41BCF"/>
    <w:rsid w:val="00E41E30"/>
    <w:rsid w:val="00E42446"/>
    <w:rsid w:val="00E4249D"/>
    <w:rsid w:val="00E42F73"/>
    <w:rsid w:val="00E43D70"/>
    <w:rsid w:val="00E44B2A"/>
    <w:rsid w:val="00E466F3"/>
    <w:rsid w:val="00E47667"/>
    <w:rsid w:val="00E477F2"/>
    <w:rsid w:val="00E47A79"/>
    <w:rsid w:val="00E47B2C"/>
    <w:rsid w:val="00E51560"/>
    <w:rsid w:val="00E51821"/>
    <w:rsid w:val="00E51A62"/>
    <w:rsid w:val="00E52F9F"/>
    <w:rsid w:val="00E53FC8"/>
    <w:rsid w:val="00E53FDA"/>
    <w:rsid w:val="00E54347"/>
    <w:rsid w:val="00E55424"/>
    <w:rsid w:val="00E55915"/>
    <w:rsid w:val="00E55BB5"/>
    <w:rsid w:val="00E57671"/>
    <w:rsid w:val="00E57AA5"/>
    <w:rsid w:val="00E57B08"/>
    <w:rsid w:val="00E606B5"/>
    <w:rsid w:val="00E611DF"/>
    <w:rsid w:val="00E61821"/>
    <w:rsid w:val="00E629CD"/>
    <w:rsid w:val="00E62EDE"/>
    <w:rsid w:val="00E6461E"/>
    <w:rsid w:val="00E65026"/>
    <w:rsid w:val="00E65E79"/>
    <w:rsid w:val="00E660BC"/>
    <w:rsid w:val="00E66289"/>
    <w:rsid w:val="00E66BA2"/>
    <w:rsid w:val="00E67416"/>
    <w:rsid w:val="00E67518"/>
    <w:rsid w:val="00E67A0C"/>
    <w:rsid w:val="00E7062D"/>
    <w:rsid w:val="00E7123C"/>
    <w:rsid w:val="00E715DE"/>
    <w:rsid w:val="00E718B6"/>
    <w:rsid w:val="00E71D5A"/>
    <w:rsid w:val="00E723BA"/>
    <w:rsid w:val="00E73502"/>
    <w:rsid w:val="00E73581"/>
    <w:rsid w:val="00E748C2"/>
    <w:rsid w:val="00E76C67"/>
    <w:rsid w:val="00E7790C"/>
    <w:rsid w:val="00E801D8"/>
    <w:rsid w:val="00E804B1"/>
    <w:rsid w:val="00E80771"/>
    <w:rsid w:val="00E80C4B"/>
    <w:rsid w:val="00E82D09"/>
    <w:rsid w:val="00E833F7"/>
    <w:rsid w:val="00E83BDF"/>
    <w:rsid w:val="00E8536E"/>
    <w:rsid w:val="00E86FCC"/>
    <w:rsid w:val="00E87952"/>
    <w:rsid w:val="00E87A1D"/>
    <w:rsid w:val="00E87B55"/>
    <w:rsid w:val="00E9094A"/>
    <w:rsid w:val="00E911CC"/>
    <w:rsid w:val="00E91D35"/>
    <w:rsid w:val="00E92108"/>
    <w:rsid w:val="00E926A5"/>
    <w:rsid w:val="00E930F2"/>
    <w:rsid w:val="00E94759"/>
    <w:rsid w:val="00E95BC3"/>
    <w:rsid w:val="00E962CC"/>
    <w:rsid w:val="00E96C0C"/>
    <w:rsid w:val="00E96F77"/>
    <w:rsid w:val="00EA000F"/>
    <w:rsid w:val="00EA17C3"/>
    <w:rsid w:val="00EA2CAA"/>
    <w:rsid w:val="00EA3864"/>
    <w:rsid w:val="00EA3E2C"/>
    <w:rsid w:val="00EA6B90"/>
    <w:rsid w:val="00EA7DFB"/>
    <w:rsid w:val="00EA7F1C"/>
    <w:rsid w:val="00EB15B6"/>
    <w:rsid w:val="00EB18FF"/>
    <w:rsid w:val="00EB1BE8"/>
    <w:rsid w:val="00EB1ED1"/>
    <w:rsid w:val="00EB3108"/>
    <w:rsid w:val="00EB3522"/>
    <w:rsid w:val="00EB3600"/>
    <w:rsid w:val="00EB3D06"/>
    <w:rsid w:val="00EB4916"/>
    <w:rsid w:val="00EB4AD8"/>
    <w:rsid w:val="00EB6E77"/>
    <w:rsid w:val="00EB7D0B"/>
    <w:rsid w:val="00EC00C9"/>
    <w:rsid w:val="00EC0116"/>
    <w:rsid w:val="00EC0DD9"/>
    <w:rsid w:val="00EC12AD"/>
    <w:rsid w:val="00EC2649"/>
    <w:rsid w:val="00EC31ED"/>
    <w:rsid w:val="00EC346C"/>
    <w:rsid w:val="00EC37B6"/>
    <w:rsid w:val="00EC38FF"/>
    <w:rsid w:val="00EC3B40"/>
    <w:rsid w:val="00EC5836"/>
    <w:rsid w:val="00EC688C"/>
    <w:rsid w:val="00EC6C56"/>
    <w:rsid w:val="00EC7FEF"/>
    <w:rsid w:val="00ED0340"/>
    <w:rsid w:val="00ED12E3"/>
    <w:rsid w:val="00ED1402"/>
    <w:rsid w:val="00ED1A0E"/>
    <w:rsid w:val="00ED2A42"/>
    <w:rsid w:val="00ED3DAD"/>
    <w:rsid w:val="00ED4B04"/>
    <w:rsid w:val="00ED57EA"/>
    <w:rsid w:val="00ED5BD4"/>
    <w:rsid w:val="00ED611A"/>
    <w:rsid w:val="00ED6A6F"/>
    <w:rsid w:val="00ED77B4"/>
    <w:rsid w:val="00EE014D"/>
    <w:rsid w:val="00EE071A"/>
    <w:rsid w:val="00EE07D3"/>
    <w:rsid w:val="00EE0D87"/>
    <w:rsid w:val="00EE1996"/>
    <w:rsid w:val="00EE1C01"/>
    <w:rsid w:val="00EE22AF"/>
    <w:rsid w:val="00EE26AC"/>
    <w:rsid w:val="00EE2CAF"/>
    <w:rsid w:val="00EE64C2"/>
    <w:rsid w:val="00EE6B86"/>
    <w:rsid w:val="00EE75EE"/>
    <w:rsid w:val="00EE7811"/>
    <w:rsid w:val="00EF0171"/>
    <w:rsid w:val="00EF0F69"/>
    <w:rsid w:val="00EF1B25"/>
    <w:rsid w:val="00EF1DA0"/>
    <w:rsid w:val="00EF21D9"/>
    <w:rsid w:val="00EF2CC7"/>
    <w:rsid w:val="00EF3954"/>
    <w:rsid w:val="00EF46E3"/>
    <w:rsid w:val="00EF4747"/>
    <w:rsid w:val="00EF4ADB"/>
    <w:rsid w:val="00EF4BF8"/>
    <w:rsid w:val="00EF5824"/>
    <w:rsid w:val="00EF6361"/>
    <w:rsid w:val="00F00548"/>
    <w:rsid w:val="00F02253"/>
    <w:rsid w:val="00F02669"/>
    <w:rsid w:val="00F02B2F"/>
    <w:rsid w:val="00F02E43"/>
    <w:rsid w:val="00F03C2E"/>
    <w:rsid w:val="00F04A66"/>
    <w:rsid w:val="00F04B4B"/>
    <w:rsid w:val="00F0516C"/>
    <w:rsid w:val="00F063C7"/>
    <w:rsid w:val="00F067A2"/>
    <w:rsid w:val="00F072F1"/>
    <w:rsid w:val="00F07B9E"/>
    <w:rsid w:val="00F106BD"/>
    <w:rsid w:val="00F10BA6"/>
    <w:rsid w:val="00F1116F"/>
    <w:rsid w:val="00F11B75"/>
    <w:rsid w:val="00F1263A"/>
    <w:rsid w:val="00F131D6"/>
    <w:rsid w:val="00F139C5"/>
    <w:rsid w:val="00F149B5"/>
    <w:rsid w:val="00F14B9F"/>
    <w:rsid w:val="00F15207"/>
    <w:rsid w:val="00F15B77"/>
    <w:rsid w:val="00F16574"/>
    <w:rsid w:val="00F16A22"/>
    <w:rsid w:val="00F16AFC"/>
    <w:rsid w:val="00F16B27"/>
    <w:rsid w:val="00F1749F"/>
    <w:rsid w:val="00F17D01"/>
    <w:rsid w:val="00F17FBE"/>
    <w:rsid w:val="00F20B6D"/>
    <w:rsid w:val="00F20F32"/>
    <w:rsid w:val="00F21236"/>
    <w:rsid w:val="00F225F9"/>
    <w:rsid w:val="00F232D1"/>
    <w:rsid w:val="00F239DF"/>
    <w:rsid w:val="00F24837"/>
    <w:rsid w:val="00F24C9A"/>
    <w:rsid w:val="00F24E45"/>
    <w:rsid w:val="00F2526A"/>
    <w:rsid w:val="00F253E8"/>
    <w:rsid w:val="00F2575F"/>
    <w:rsid w:val="00F25B51"/>
    <w:rsid w:val="00F27565"/>
    <w:rsid w:val="00F27854"/>
    <w:rsid w:val="00F30BAA"/>
    <w:rsid w:val="00F310D4"/>
    <w:rsid w:val="00F31B8A"/>
    <w:rsid w:val="00F31D5A"/>
    <w:rsid w:val="00F31E5B"/>
    <w:rsid w:val="00F31E5E"/>
    <w:rsid w:val="00F32C70"/>
    <w:rsid w:val="00F33975"/>
    <w:rsid w:val="00F33DE9"/>
    <w:rsid w:val="00F345BF"/>
    <w:rsid w:val="00F3530D"/>
    <w:rsid w:val="00F35E6D"/>
    <w:rsid w:val="00F3619A"/>
    <w:rsid w:val="00F36861"/>
    <w:rsid w:val="00F40949"/>
    <w:rsid w:val="00F40AAA"/>
    <w:rsid w:val="00F40BA7"/>
    <w:rsid w:val="00F40F9D"/>
    <w:rsid w:val="00F41370"/>
    <w:rsid w:val="00F41ACD"/>
    <w:rsid w:val="00F430CD"/>
    <w:rsid w:val="00F442DD"/>
    <w:rsid w:val="00F4583B"/>
    <w:rsid w:val="00F46530"/>
    <w:rsid w:val="00F4658D"/>
    <w:rsid w:val="00F46CB6"/>
    <w:rsid w:val="00F4756D"/>
    <w:rsid w:val="00F47DE8"/>
    <w:rsid w:val="00F5086C"/>
    <w:rsid w:val="00F52F23"/>
    <w:rsid w:val="00F5332C"/>
    <w:rsid w:val="00F537A3"/>
    <w:rsid w:val="00F53D16"/>
    <w:rsid w:val="00F54047"/>
    <w:rsid w:val="00F542C1"/>
    <w:rsid w:val="00F54333"/>
    <w:rsid w:val="00F547A2"/>
    <w:rsid w:val="00F54938"/>
    <w:rsid w:val="00F54E77"/>
    <w:rsid w:val="00F550E3"/>
    <w:rsid w:val="00F5544E"/>
    <w:rsid w:val="00F55E73"/>
    <w:rsid w:val="00F55EDA"/>
    <w:rsid w:val="00F56C80"/>
    <w:rsid w:val="00F5760B"/>
    <w:rsid w:val="00F60092"/>
    <w:rsid w:val="00F61C18"/>
    <w:rsid w:val="00F632B8"/>
    <w:rsid w:val="00F633EA"/>
    <w:rsid w:val="00F637F0"/>
    <w:rsid w:val="00F65F4B"/>
    <w:rsid w:val="00F67A69"/>
    <w:rsid w:val="00F70A85"/>
    <w:rsid w:val="00F70BFF"/>
    <w:rsid w:val="00F70C9D"/>
    <w:rsid w:val="00F7184E"/>
    <w:rsid w:val="00F73421"/>
    <w:rsid w:val="00F73E04"/>
    <w:rsid w:val="00F73E08"/>
    <w:rsid w:val="00F74CD9"/>
    <w:rsid w:val="00F75E61"/>
    <w:rsid w:val="00F80A7B"/>
    <w:rsid w:val="00F80E5D"/>
    <w:rsid w:val="00F81E78"/>
    <w:rsid w:val="00F82DB4"/>
    <w:rsid w:val="00F83916"/>
    <w:rsid w:val="00F83944"/>
    <w:rsid w:val="00F850F4"/>
    <w:rsid w:val="00F851CE"/>
    <w:rsid w:val="00F86349"/>
    <w:rsid w:val="00F86CCE"/>
    <w:rsid w:val="00F90691"/>
    <w:rsid w:val="00F90754"/>
    <w:rsid w:val="00F91219"/>
    <w:rsid w:val="00F92444"/>
    <w:rsid w:val="00F9289D"/>
    <w:rsid w:val="00F9393E"/>
    <w:rsid w:val="00F942A1"/>
    <w:rsid w:val="00F954E9"/>
    <w:rsid w:val="00F95EB6"/>
    <w:rsid w:val="00F96916"/>
    <w:rsid w:val="00F96FD0"/>
    <w:rsid w:val="00F9708A"/>
    <w:rsid w:val="00F97A78"/>
    <w:rsid w:val="00FA0B20"/>
    <w:rsid w:val="00FA17BA"/>
    <w:rsid w:val="00FA1DDA"/>
    <w:rsid w:val="00FA24E7"/>
    <w:rsid w:val="00FA3A15"/>
    <w:rsid w:val="00FA5EE6"/>
    <w:rsid w:val="00FA7040"/>
    <w:rsid w:val="00FA7956"/>
    <w:rsid w:val="00FA7F2B"/>
    <w:rsid w:val="00FB0824"/>
    <w:rsid w:val="00FB1FD9"/>
    <w:rsid w:val="00FB226E"/>
    <w:rsid w:val="00FB2D7B"/>
    <w:rsid w:val="00FB2FCB"/>
    <w:rsid w:val="00FB4C9C"/>
    <w:rsid w:val="00FB4E86"/>
    <w:rsid w:val="00FB6A90"/>
    <w:rsid w:val="00FB79E9"/>
    <w:rsid w:val="00FB7C55"/>
    <w:rsid w:val="00FC1074"/>
    <w:rsid w:val="00FC1884"/>
    <w:rsid w:val="00FC19A2"/>
    <w:rsid w:val="00FC2173"/>
    <w:rsid w:val="00FC371D"/>
    <w:rsid w:val="00FC3E10"/>
    <w:rsid w:val="00FC5D2A"/>
    <w:rsid w:val="00FC5F0B"/>
    <w:rsid w:val="00FC77E5"/>
    <w:rsid w:val="00FC7EEE"/>
    <w:rsid w:val="00FD0408"/>
    <w:rsid w:val="00FD1666"/>
    <w:rsid w:val="00FD1C1E"/>
    <w:rsid w:val="00FD206A"/>
    <w:rsid w:val="00FD2100"/>
    <w:rsid w:val="00FD3BF8"/>
    <w:rsid w:val="00FD436C"/>
    <w:rsid w:val="00FD446D"/>
    <w:rsid w:val="00FD4649"/>
    <w:rsid w:val="00FD483E"/>
    <w:rsid w:val="00FD4ED6"/>
    <w:rsid w:val="00FD4F2C"/>
    <w:rsid w:val="00FD5786"/>
    <w:rsid w:val="00FD6394"/>
    <w:rsid w:val="00FD678B"/>
    <w:rsid w:val="00FD78B2"/>
    <w:rsid w:val="00FD7D73"/>
    <w:rsid w:val="00FE07D2"/>
    <w:rsid w:val="00FE093D"/>
    <w:rsid w:val="00FE0E6C"/>
    <w:rsid w:val="00FE1CDC"/>
    <w:rsid w:val="00FE1D7C"/>
    <w:rsid w:val="00FE207A"/>
    <w:rsid w:val="00FE3FEE"/>
    <w:rsid w:val="00FE4C29"/>
    <w:rsid w:val="00FE4FC4"/>
    <w:rsid w:val="00FE70C3"/>
    <w:rsid w:val="00FE7135"/>
    <w:rsid w:val="00FE7A78"/>
    <w:rsid w:val="00FF1A8B"/>
    <w:rsid w:val="00FF1EA2"/>
    <w:rsid w:val="00FF2521"/>
    <w:rsid w:val="00FF2561"/>
    <w:rsid w:val="00FF2AD9"/>
    <w:rsid w:val="00FF346C"/>
    <w:rsid w:val="00FF359F"/>
    <w:rsid w:val="00FF3B19"/>
    <w:rsid w:val="00FF3DCF"/>
    <w:rsid w:val="00FF453B"/>
    <w:rsid w:val="00FF492C"/>
    <w:rsid w:val="00FF4A21"/>
    <w:rsid w:val="00FF5AA3"/>
    <w:rsid w:val="00FF5AD8"/>
    <w:rsid w:val="00FF5C5A"/>
    <w:rsid w:val="00FF71A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aliases w:val="Subsection Headings"/>
    <w:next w:val="Normal"/>
    <w:link w:val="Heading2Char"/>
    <w:uiPriority w:val="1"/>
    <w:qFormat/>
    <w:rsid w:val="00D410E4"/>
    <w:pPr>
      <w:outlineLvl w:val="1"/>
    </w:pPr>
    <w:rPr>
      <w:rFonts w:ascii="Calibri" w:hAnsi="Calibri" w:cs="Arial"/>
      <w:b/>
      <w:i/>
      <w:sz w:val="28"/>
      <w:szCs w:val="24"/>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Numbered para,BulletPoints,Bullet point,List Paragraph1,List Paragraph11,Recommendation,L1 Bulleted List,Summary Bullets,Footer Setting,Bullet List,FooterText,numbered,Paragraphe de liste1,Bulletr List Paragraph,列出段落,列出段落1,List Paragraph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Bullet point Char,List Paragraph1 Char,List Paragraph11 Char,Recommendation Char,L1 Bulleted List Char,Summary Bullets Char,Footer Setting Char,Bullet List Char,FooterText Char,numbered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MSD Table Grid,PBAC table,new style,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4C224C"/>
    <w:pPr>
      <w:spacing w:after="120"/>
      <w:outlineLvl w:val="3"/>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4C224C"/>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71"/>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5"/>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6A74CB"/>
    <w:rPr>
      <w:color w:val="605E5C"/>
      <w:shd w:val="clear" w:color="auto" w:fill="E1DFDD"/>
    </w:rPr>
  </w:style>
  <w:style w:type="paragraph" w:customStyle="1" w:styleId="Commentitalics">
    <w:name w:val="Comment (italics)"/>
    <w:basedOn w:val="Normal"/>
    <w:next w:val="Normal"/>
    <w:qFormat/>
    <w:rsid w:val="00E04E24"/>
    <w:rPr>
      <w:i/>
    </w:rPr>
  </w:style>
  <w:style w:type="paragraph" w:customStyle="1" w:styleId="TableFooter">
    <w:name w:val="Table Footer"/>
    <w:basedOn w:val="Normal"/>
    <w:link w:val="TableFooterChar"/>
    <w:qFormat/>
    <w:rsid w:val="009A07B6"/>
    <w:pPr>
      <w:widowControl w:val="0"/>
    </w:pPr>
    <w:rPr>
      <w:rFonts w:ascii="Arial Narrow" w:hAnsi="Arial Narrow"/>
      <w:snapToGrid w:val="0"/>
      <w:sz w:val="18"/>
      <w:szCs w:val="22"/>
      <w:lang w:eastAsia="en-US"/>
    </w:rPr>
  </w:style>
  <w:style w:type="character" w:customStyle="1" w:styleId="TableFooterChar">
    <w:name w:val="Table Footer Char"/>
    <w:link w:val="TableFooter"/>
    <w:rsid w:val="009A07B6"/>
    <w:rPr>
      <w:rFonts w:ascii="Arial Narrow" w:hAnsi="Arial Narrow" w:cs="Arial"/>
      <w:snapToGrid w:val="0"/>
      <w:sz w:val="18"/>
      <w:szCs w:val="22"/>
      <w:lang w:eastAsia="en-US"/>
    </w:rPr>
  </w:style>
  <w:style w:type="paragraph" w:customStyle="1" w:styleId="PBACTableText">
    <w:name w:val="PBAC Table Text"/>
    <w:basedOn w:val="Normal"/>
    <w:link w:val="PBACTableTextChar"/>
    <w:qFormat/>
    <w:rsid w:val="00B3390C"/>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B3390C"/>
    <w:rPr>
      <w:rFonts w:ascii="Arial Narrow" w:hAnsi="Arial Narrow"/>
      <w:lang w:eastAsia="en-US"/>
    </w:rPr>
  </w:style>
  <w:style w:type="paragraph" w:customStyle="1" w:styleId="TableText">
    <w:name w:val="Table Text"/>
    <w:link w:val="TableTextChar"/>
    <w:qFormat/>
    <w:rsid w:val="00017698"/>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017698"/>
    <w:rPr>
      <w:rFonts w:ascii="Arial Narrow" w:eastAsiaTheme="majorEastAsia" w:hAnsi="Arial Narrow" w:cstheme="majorBidi"/>
      <w:bCs/>
      <w:szCs w:val="24"/>
    </w:rPr>
  </w:style>
  <w:style w:type="paragraph" w:customStyle="1" w:styleId="V50Instructions">
    <w:name w:val="V5.0 Instructions"/>
    <w:basedOn w:val="Normal"/>
    <w:link w:val="V50InstructionsChar"/>
    <w:qFormat/>
    <w:rsid w:val="00017698"/>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017698"/>
    <w:rPr>
      <w:rFonts w:asciiTheme="minorHAnsi" w:eastAsiaTheme="minorHAnsi" w:hAnsiTheme="minorHAnsi" w:cstheme="minorBidi"/>
      <w:color w:val="4BACC6" w:themeColor="accent5"/>
      <w:sz w:val="24"/>
      <w:szCs w:val="22"/>
      <w:lang w:eastAsia="en-US"/>
    </w:rPr>
  </w:style>
  <w:style w:type="paragraph" w:customStyle="1" w:styleId="TableHeading">
    <w:name w:val="Table Heading"/>
    <w:basedOn w:val="Normal"/>
    <w:link w:val="TableHeadingChar"/>
    <w:qFormat/>
    <w:rsid w:val="00017698"/>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017698"/>
    <w:rPr>
      <w:rFonts w:ascii="Arial Narrow" w:eastAsiaTheme="minorHAnsi" w:hAnsi="Arial Narrow" w:cstheme="minorBidi"/>
      <w:b/>
      <w:szCs w:val="22"/>
      <w:lang w:eastAsia="en-US"/>
    </w:rPr>
  </w:style>
  <w:style w:type="character" w:customStyle="1" w:styleId="COMBodyChar0">
    <w:name w:val="COMBody Char"/>
    <w:basedOn w:val="DefaultParagraphFont"/>
    <w:link w:val="COMBody0"/>
    <w:locked/>
    <w:rsid w:val="003F115D"/>
    <w:rPr>
      <w:rFonts w:ascii="Calibri" w:hAnsi="Calibri" w:cs="Arial"/>
      <w:sz w:val="24"/>
    </w:rPr>
  </w:style>
  <w:style w:type="paragraph" w:customStyle="1" w:styleId="COMBody0">
    <w:name w:val="COMBody"/>
    <w:basedOn w:val="Normal"/>
    <w:link w:val="COMBodyChar0"/>
    <w:qFormat/>
    <w:rsid w:val="003F115D"/>
    <w:pPr>
      <w:widowControl w:val="0"/>
      <w:snapToGrid w:val="0"/>
    </w:pPr>
    <w:rPr>
      <w:szCs w:val="20"/>
    </w:rPr>
  </w:style>
  <w:style w:type="paragraph" w:customStyle="1" w:styleId="TableFigureFooter">
    <w:name w:val="Table/Figure Footer"/>
    <w:basedOn w:val="Normal"/>
    <w:link w:val="TableFigureFooterChar"/>
    <w:qFormat/>
    <w:rsid w:val="0093084D"/>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93084D"/>
    <w:rPr>
      <w:rFonts w:ascii="Arial Narrow" w:hAnsi="Arial Narrow" w:cs="Arial"/>
      <w:snapToGrid w:val="0"/>
      <w:sz w:val="18"/>
      <w:szCs w:val="22"/>
    </w:rPr>
  </w:style>
  <w:style w:type="paragraph" w:customStyle="1" w:styleId="Tableheadingrow">
    <w:name w:val="Table heading row"/>
    <w:qFormat/>
    <w:rsid w:val="00F16A22"/>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F16A22"/>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F16A22"/>
    <w:rPr>
      <w:rFonts w:ascii="Arial Narrow" w:eastAsiaTheme="majorEastAsia" w:hAnsi="Arial Narrow" w:cstheme="majorBidi"/>
      <w:b/>
      <w:bCs/>
      <w:szCs w:val="24"/>
    </w:rPr>
  </w:style>
  <w:style w:type="paragraph" w:customStyle="1" w:styleId="PBACTblFignote">
    <w:name w:val="PBAC Tbl/Fig note"/>
    <w:qFormat/>
    <w:rsid w:val="00BC7C3C"/>
    <w:pPr>
      <w:keepNext/>
      <w:keepLines/>
      <w:spacing w:after="360"/>
      <w:contextualSpacing/>
      <w:textboxTightWrap w:val="allLines"/>
    </w:pPr>
    <w:rPr>
      <w:rFonts w:ascii="Arial Narrow" w:hAnsi="Arial Narrow" w:cs="Arial"/>
      <w:sz w:val="18"/>
      <w:szCs w:val="24"/>
      <w:lang w:eastAsia="en-GB"/>
    </w:rPr>
  </w:style>
  <w:style w:type="paragraph" w:customStyle="1" w:styleId="4-SubsectSubhead">
    <w:name w:val="4-Subsect Subhead"/>
    <w:basedOn w:val="Heading3"/>
    <w:next w:val="Normal"/>
    <w:link w:val="4-SubsectSubheadChar"/>
    <w:qFormat/>
    <w:rsid w:val="00756E86"/>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756E86"/>
    <w:rPr>
      <w:rFonts w:asciiTheme="minorHAnsi" w:eastAsiaTheme="majorEastAsia" w:hAnsiTheme="minorHAnsi" w:cstheme="majorBidi"/>
      <w:b/>
      <w:color w:val="000000" w:themeColor="text1"/>
      <w:sz w:val="28"/>
      <w:szCs w:val="28"/>
    </w:rPr>
  </w:style>
  <w:style w:type="paragraph" w:customStyle="1" w:styleId="PBACTabletext0">
    <w:name w:val="PBAC Table text"/>
    <w:link w:val="PBACTabletextChar0"/>
    <w:qFormat/>
    <w:rsid w:val="00147B41"/>
    <w:pPr>
      <w:keepNext/>
      <w:keepLines/>
      <w:suppressLineNumbers/>
      <w:spacing w:after="20"/>
      <w:textboxTightWrap w:val="allLines"/>
    </w:pPr>
    <w:rPr>
      <w:rFonts w:ascii="Arial Narrow" w:hAnsi="Arial Narrow" w:cs="Arial"/>
      <w:szCs w:val="24"/>
      <w:lang w:eastAsia="en-GB"/>
    </w:rPr>
  </w:style>
  <w:style w:type="character" w:customStyle="1" w:styleId="PBACTabletextChar0">
    <w:name w:val="PBAC Table text Char"/>
    <w:basedOn w:val="DefaultParagraphFont"/>
    <w:link w:val="PBACTabletext0"/>
    <w:rsid w:val="00147B41"/>
    <w:rPr>
      <w:rFonts w:ascii="Arial Narrow" w:hAnsi="Arial Narrow" w:cs="Arial"/>
      <w:szCs w:val="24"/>
      <w:lang w:eastAsia="en-GB"/>
    </w:rPr>
  </w:style>
  <w:style w:type="paragraph" w:customStyle="1" w:styleId="Tabletext0">
    <w:name w:val="Table text"/>
    <w:basedOn w:val="Normal"/>
    <w:link w:val="TabletextChar0"/>
    <w:uiPriority w:val="2"/>
    <w:qFormat/>
    <w:rsid w:val="009718AB"/>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9718AB"/>
    <w:rPr>
      <w:rFonts w:ascii="Arial Narrow" w:hAnsi="Arial Narrow"/>
      <w:szCs w:val="22"/>
      <w:lang w:eastAsia="en-US"/>
    </w:rPr>
  </w:style>
  <w:style w:type="character" w:styleId="CommentReference">
    <w:name w:val="annotation reference"/>
    <w:aliases w:val="Table Title"/>
    <w:basedOn w:val="DefaultParagraphFont"/>
    <w:uiPriority w:val="99"/>
    <w:unhideWhenUsed/>
    <w:qFormat/>
    <w:rsid w:val="00AB33EA"/>
    <w:rPr>
      <w:sz w:val="16"/>
      <w:szCs w:val="16"/>
    </w:rPr>
  </w:style>
  <w:style w:type="paragraph" w:styleId="Header">
    <w:name w:val="header"/>
    <w:aliases w:val="Page Header,Header title,he=header,cntr/bld"/>
    <w:basedOn w:val="Normal"/>
    <w:link w:val="HeaderChar"/>
    <w:uiPriority w:val="99"/>
    <w:unhideWhenUsed/>
    <w:qFormat/>
    <w:rsid w:val="00792FE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792FE1"/>
    <w:rPr>
      <w:rFonts w:ascii="Calibri" w:hAnsi="Calibri" w:cs="Arial"/>
      <w:sz w:val="24"/>
      <w:szCs w:val="24"/>
    </w:rPr>
  </w:style>
  <w:style w:type="paragraph" w:styleId="Footer">
    <w:name w:val="footer"/>
    <w:basedOn w:val="Normal"/>
    <w:link w:val="FooterChar"/>
    <w:uiPriority w:val="99"/>
    <w:unhideWhenUsed/>
    <w:rsid w:val="00792FE1"/>
    <w:pPr>
      <w:tabs>
        <w:tab w:val="center" w:pos="4513"/>
        <w:tab w:val="right" w:pos="9026"/>
      </w:tabs>
    </w:pPr>
  </w:style>
  <w:style w:type="character" w:customStyle="1" w:styleId="FooterChar">
    <w:name w:val="Footer Char"/>
    <w:basedOn w:val="DefaultParagraphFont"/>
    <w:link w:val="Footer"/>
    <w:uiPriority w:val="99"/>
    <w:rsid w:val="00792FE1"/>
    <w:rPr>
      <w:rFonts w:ascii="Calibri" w:hAnsi="Calibri" w:cs="Arial"/>
      <w:sz w:val="24"/>
      <w:szCs w:val="24"/>
    </w:rPr>
  </w:style>
  <w:style w:type="paragraph" w:styleId="CommentText">
    <w:name w:val="annotation text"/>
    <w:basedOn w:val="Normal"/>
    <w:link w:val="CommentTextChar"/>
    <w:uiPriority w:val="99"/>
    <w:unhideWhenUsed/>
    <w:rsid w:val="00780F05"/>
    <w:rPr>
      <w:sz w:val="20"/>
      <w:szCs w:val="20"/>
    </w:rPr>
  </w:style>
  <w:style w:type="character" w:customStyle="1" w:styleId="CommentTextChar">
    <w:name w:val="Comment Text Char"/>
    <w:basedOn w:val="DefaultParagraphFont"/>
    <w:link w:val="CommentText"/>
    <w:uiPriority w:val="99"/>
    <w:rsid w:val="00780F05"/>
    <w:rPr>
      <w:rFonts w:ascii="Calibri" w:hAnsi="Calibri" w:cs="Arial"/>
    </w:rPr>
  </w:style>
  <w:style w:type="paragraph" w:styleId="CommentSubject">
    <w:name w:val="annotation subject"/>
    <w:basedOn w:val="CommentText"/>
    <w:next w:val="CommentText"/>
    <w:link w:val="CommentSubjectChar"/>
    <w:uiPriority w:val="99"/>
    <w:unhideWhenUsed/>
    <w:rsid w:val="00780F05"/>
    <w:rPr>
      <w:b/>
      <w:bCs/>
    </w:rPr>
  </w:style>
  <w:style w:type="character" w:customStyle="1" w:styleId="CommentSubjectChar">
    <w:name w:val="Comment Subject Char"/>
    <w:basedOn w:val="CommentTextChar"/>
    <w:link w:val="CommentSubject"/>
    <w:uiPriority w:val="99"/>
    <w:rsid w:val="00780F05"/>
    <w:rPr>
      <w:rFonts w:ascii="Calibri" w:hAnsi="Calibri" w:cs="Arial"/>
      <w:b/>
      <w:bCs/>
    </w:rPr>
  </w:style>
  <w:style w:type="paragraph" w:customStyle="1" w:styleId="2-SectionHeading">
    <w:name w:val="2-Section Heading"/>
    <w:qFormat/>
    <w:rsid w:val="00B375F8"/>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B375F8"/>
    <w:p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B375F8"/>
    <w:rPr>
      <w:rFonts w:asciiTheme="minorHAnsi" w:hAnsiTheme="minorHAnsi" w:cs="Arial"/>
      <w:snapToGrid w:val="0"/>
      <w:sz w:val="24"/>
      <w:szCs w:val="24"/>
    </w:rPr>
  </w:style>
  <w:style w:type="character" w:customStyle="1" w:styleId="normaltextrun">
    <w:name w:val="normaltextrun"/>
    <w:basedOn w:val="DefaultParagraphFont"/>
    <w:rsid w:val="00581A65"/>
  </w:style>
  <w:style w:type="character" w:customStyle="1" w:styleId="eop">
    <w:name w:val="eop"/>
    <w:basedOn w:val="DefaultParagraphFont"/>
    <w:rsid w:val="00581A65"/>
  </w:style>
  <w:style w:type="character" w:customStyle="1" w:styleId="Heading1Char">
    <w:name w:val="Heading 1 Char"/>
    <w:basedOn w:val="DefaultParagraphFont"/>
    <w:link w:val="Heading1"/>
    <w:uiPriority w:val="1"/>
    <w:rsid w:val="007C3064"/>
    <w:rPr>
      <w:rFonts w:ascii="Calibri" w:hAnsi="Calibri" w:cs="Arial"/>
      <w:b/>
      <w:caps/>
      <w:sz w:val="32"/>
      <w:szCs w:val="24"/>
    </w:rPr>
  </w:style>
  <w:style w:type="character" w:customStyle="1" w:styleId="Heading3Char">
    <w:name w:val="Heading 3 Char"/>
    <w:basedOn w:val="DefaultParagraphFont"/>
    <w:link w:val="Heading3"/>
    <w:rsid w:val="007C3064"/>
    <w:rPr>
      <w:rFonts w:ascii="Calibri" w:hAnsi="Calibri" w:cs="Arial"/>
      <w:sz w:val="24"/>
      <w:szCs w:val="24"/>
      <w:u w:val="single"/>
    </w:rPr>
  </w:style>
  <w:style w:type="character" w:customStyle="1" w:styleId="Heading4Char">
    <w:name w:val="Heading 4 Char"/>
    <w:basedOn w:val="DefaultParagraphFont"/>
    <w:link w:val="Heading4"/>
    <w:rsid w:val="007C3064"/>
    <w:rPr>
      <w:rFonts w:ascii="Calibri" w:hAnsi="Calibri" w:cs="Arial"/>
      <w:b/>
      <w:bCs/>
      <w:i/>
      <w:sz w:val="26"/>
      <w:szCs w:val="28"/>
    </w:rPr>
  </w:style>
  <w:style w:type="character" w:customStyle="1" w:styleId="Heading5Char">
    <w:name w:val="Heading 5 Char"/>
    <w:basedOn w:val="DefaultParagraphFont"/>
    <w:link w:val="Heading5"/>
    <w:rsid w:val="007C3064"/>
    <w:rPr>
      <w:rFonts w:ascii="Calibri" w:hAnsi="Calibri" w:cs="Arial"/>
      <w:b/>
      <w:bCs/>
      <w:iCs/>
      <w:sz w:val="26"/>
      <w:szCs w:val="26"/>
    </w:rPr>
  </w:style>
  <w:style w:type="character" w:customStyle="1" w:styleId="Heading6Char">
    <w:name w:val="Heading 6 Char"/>
    <w:basedOn w:val="DefaultParagraphFont"/>
    <w:link w:val="Heading6"/>
    <w:rsid w:val="007C3064"/>
    <w:rPr>
      <w:rFonts w:ascii="Calibri" w:hAnsi="Calibri" w:cs="Arial"/>
      <w:b/>
      <w:bCs/>
      <w:i/>
      <w:sz w:val="24"/>
      <w:szCs w:val="24"/>
    </w:rPr>
  </w:style>
  <w:style w:type="paragraph" w:customStyle="1" w:styleId="5-SubSubSubHead">
    <w:name w:val="5-Sub Sub Sub Head"/>
    <w:basedOn w:val="Heading4"/>
    <w:qFormat/>
    <w:rsid w:val="007C3064"/>
  </w:style>
  <w:style w:type="paragraph" w:customStyle="1" w:styleId="Bulletpoints">
    <w:name w:val="Bullet points"/>
    <w:basedOn w:val="Normal"/>
    <w:qFormat/>
    <w:rsid w:val="007C3064"/>
    <w:pPr>
      <w:spacing w:after="120"/>
      <w:ind w:left="720" w:hanging="360"/>
      <w:contextualSpacing/>
    </w:pPr>
    <w:rPr>
      <w:rFonts w:asciiTheme="minorHAnsi" w:hAnsiTheme="minorHAnsi"/>
      <w:snapToGrid w:val="0"/>
    </w:rPr>
  </w:style>
  <w:style w:type="paragraph" w:customStyle="1" w:styleId="1-MainHeading">
    <w:name w:val="1- Main Heading"/>
    <w:link w:val="1-MainHeadingChar"/>
    <w:qFormat/>
    <w:rsid w:val="007C306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7C3064"/>
    <w:rPr>
      <w:rFonts w:asciiTheme="minorHAnsi" w:eastAsiaTheme="majorEastAsia" w:hAnsiTheme="minorHAnsi" w:cstheme="majorBidi"/>
      <w:b/>
      <w:spacing w:val="5"/>
      <w:kern w:val="28"/>
      <w:sz w:val="36"/>
      <w:szCs w:val="36"/>
    </w:rPr>
  </w:style>
  <w:style w:type="paragraph" w:customStyle="1" w:styleId="3-SubsectionHeading">
    <w:name w:val="3-Subsection Heading"/>
    <w:basedOn w:val="Heading2"/>
    <w:next w:val="ExecSumBodyText"/>
    <w:link w:val="3-SubsectionHeadingChar"/>
    <w:qFormat/>
    <w:rsid w:val="007C3064"/>
    <w:pPr>
      <w:keepNext/>
      <w:spacing w:before="120" w:after="120"/>
      <w:jc w:val="both"/>
    </w:pPr>
    <w:rPr>
      <w:rFonts w:eastAsiaTheme="majorEastAsia" w:cstheme="majorBidi"/>
      <w:spacing w:val="5"/>
      <w:kern w:val="28"/>
      <w:szCs w:val="36"/>
    </w:rPr>
  </w:style>
  <w:style w:type="character" w:customStyle="1" w:styleId="3-SubsectionHeadingChar">
    <w:name w:val="3-Subsection Heading Char"/>
    <w:basedOn w:val="Heading2Char"/>
    <w:link w:val="3-SubsectionHeading"/>
    <w:rsid w:val="007C3064"/>
    <w:rPr>
      <w:rFonts w:ascii="Calibri" w:eastAsiaTheme="majorEastAsia" w:hAnsi="Calibri" w:cstheme="majorBidi"/>
      <w:b/>
      <w:i/>
      <w:spacing w:val="5"/>
      <w:kern w:val="28"/>
      <w:sz w:val="28"/>
      <w:szCs w:val="36"/>
    </w:rPr>
  </w:style>
  <w:style w:type="paragraph" w:customStyle="1" w:styleId="PbacTableHeading">
    <w:name w:val="Pbac Table Heading"/>
    <w:basedOn w:val="Normal"/>
    <w:qFormat/>
    <w:rsid w:val="007C3064"/>
    <w:pPr>
      <w:spacing w:after="80"/>
      <w:jc w:val="left"/>
    </w:pPr>
    <w:rPr>
      <w:rFonts w:ascii="Arial Narrow" w:eastAsiaTheme="minorHAnsi" w:hAnsi="Arial Narrow"/>
      <w:b/>
      <w:sz w:val="20"/>
      <w:szCs w:val="20"/>
      <w:lang w:eastAsia="en-US"/>
    </w:rPr>
  </w:style>
  <w:style w:type="paragraph" w:customStyle="1" w:styleId="PBACtablecaption">
    <w:name w:val="PBAC table caption"/>
    <w:basedOn w:val="Normal"/>
    <w:link w:val="PBACtablecaptionChar"/>
    <w:autoRedefine/>
    <w:qFormat/>
    <w:rsid w:val="007C3064"/>
    <w:pPr>
      <w:keepNext/>
      <w:widowControl w:val="0"/>
      <w:spacing w:before="60" w:after="60"/>
      <w:jc w:val="left"/>
    </w:pPr>
    <w:rPr>
      <w:rFonts w:ascii="Sabon" w:eastAsiaTheme="minorHAnsi" w:hAnsi="Sabon"/>
      <w:b/>
      <w:sz w:val="22"/>
      <w:szCs w:val="22"/>
      <w:lang w:eastAsia="en-US"/>
    </w:rPr>
  </w:style>
  <w:style w:type="character" w:customStyle="1" w:styleId="PBACtablecaptionChar">
    <w:name w:val="PBAC table caption Char"/>
    <w:basedOn w:val="DefaultParagraphFont"/>
    <w:link w:val="PBACtablecaption"/>
    <w:rsid w:val="007C3064"/>
    <w:rPr>
      <w:rFonts w:ascii="Sabon" w:eastAsiaTheme="minorHAnsi" w:hAnsi="Sabon" w:cs="Arial"/>
      <w:b/>
      <w:sz w:val="22"/>
      <w:szCs w:val="22"/>
      <w:lang w:eastAsia="en-US"/>
    </w:rPr>
  </w:style>
  <w:style w:type="paragraph" w:customStyle="1" w:styleId="RegularText">
    <w:name w:val="Regular Text"/>
    <w:basedOn w:val="BodyText"/>
    <w:link w:val="RegularTextChar"/>
    <w:rsid w:val="007C3064"/>
    <w:pPr>
      <w:widowControl w:val="0"/>
      <w:spacing w:after="0"/>
      <w:jc w:val="left"/>
    </w:pPr>
    <w:rPr>
      <w:rFonts w:ascii="Arial" w:hAnsi="Arial"/>
      <w:b/>
      <w:snapToGrid w:val="0"/>
    </w:rPr>
  </w:style>
  <w:style w:type="character" w:customStyle="1" w:styleId="RegularTextChar">
    <w:name w:val="Regular Text Char"/>
    <w:basedOn w:val="BodyTextChar"/>
    <w:link w:val="RegularText"/>
    <w:rsid w:val="007C3064"/>
    <w:rPr>
      <w:rFonts w:ascii="Arial" w:hAnsi="Arial" w:cs="Arial"/>
      <w:b/>
      <w:snapToGrid w:val="0"/>
      <w:sz w:val="24"/>
      <w:szCs w:val="24"/>
    </w:rPr>
  </w:style>
  <w:style w:type="paragraph" w:styleId="BodyText">
    <w:name w:val="Body Text"/>
    <w:basedOn w:val="Normal"/>
    <w:link w:val="BodyTextChar"/>
    <w:semiHidden/>
    <w:unhideWhenUsed/>
    <w:rsid w:val="007C3064"/>
    <w:pPr>
      <w:spacing w:after="120"/>
    </w:pPr>
  </w:style>
  <w:style w:type="character" w:customStyle="1" w:styleId="BodyTextChar">
    <w:name w:val="Body Text Char"/>
    <w:basedOn w:val="DefaultParagraphFont"/>
    <w:link w:val="BodyText"/>
    <w:semiHidden/>
    <w:rsid w:val="007C3064"/>
    <w:rPr>
      <w:rFonts w:ascii="Calibri" w:hAnsi="Calibri" w:cs="Arial"/>
      <w:sz w:val="24"/>
      <w:szCs w:val="24"/>
    </w:rPr>
  </w:style>
  <w:style w:type="character" w:customStyle="1" w:styleId="li-content">
    <w:name w:val="li-content"/>
    <w:basedOn w:val="DefaultParagraphFont"/>
    <w:rsid w:val="007C3064"/>
    <w:rPr>
      <w:color w:val="000000"/>
    </w:rPr>
  </w:style>
  <w:style w:type="paragraph" w:styleId="NoSpacing">
    <w:name w:val="No Spacing"/>
    <w:aliases w:val="PBAC Table Footnote"/>
    <w:link w:val="NoSpacingChar"/>
    <w:uiPriority w:val="1"/>
    <w:qFormat/>
    <w:rsid w:val="007C3064"/>
    <w:rPr>
      <w:rFonts w:ascii="Arial Narrow" w:eastAsiaTheme="minorHAnsi" w:hAnsi="Arial Narrow" w:cs="Arial"/>
      <w:sz w:val="16"/>
      <w:lang w:val="en-US" w:eastAsia="en-US"/>
    </w:rPr>
  </w:style>
  <w:style w:type="character" w:customStyle="1" w:styleId="NoSpacingChar">
    <w:name w:val="No Spacing Char"/>
    <w:aliases w:val="PBAC Table Footnote Char"/>
    <w:basedOn w:val="DefaultParagraphFont"/>
    <w:link w:val="NoSpacing"/>
    <w:uiPriority w:val="1"/>
    <w:rsid w:val="007C3064"/>
    <w:rPr>
      <w:rFonts w:ascii="Arial Narrow" w:eastAsiaTheme="minorHAnsi" w:hAnsi="Arial Narrow" w:cs="Arial"/>
      <w:sz w:val="16"/>
      <w:lang w:val="en-US" w:eastAsia="en-US"/>
    </w:rPr>
  </w:style>
  <w:style w:type="paragraph" w:customStyle="1" w:styleId="PBACcaption">
    <w:name w:val="PBAC caption"/>
    <w:basedOn w:val="PBACtablecaption"/>
    <w:link w:val="PBACcaptionChar"/>
    <w:qFormat/>
    <w:rsid w:val="007C3064"/>
    <w:pPr>
      <w:spacing w:before="40" w:after="40"/>
      <w:ind w:left="720" w:hanging="720"/>
    </w:pPr>
  </w:style>
  <w:style w:type="character" w:customStyle="1" w:styleId="PBACcaptionChar">
    <w:name w:val="PBAC caption Char"/>
    <w:basedOn w:val="PBACtablecaptionChar"/>
    <w:link w:val="PBACcaption"/>
    <w:rsid w:val="007C3064"/>
    <w:rPr>
      <w:rFonts w:ascii="Sabon" w:eastAsiaTheme="minorHAnsi" w:hAnsi="Sabon" w:cs="Arial"/>
      <w:b/>
      <w:sz w:val="22"/>
      <w:szCs w:val="22"/>
      <w:lang w:eastAsia="en-US"/>
    </w:rPr>
  </w:style>
  <w:style w:type="character" w:customStyle="1" w:styleId="TablefootnoteChar">
    <w:name w:val="Table footnote Char"/>
    <w:basedOn w:val="DefaultParagraphFont"/>
    <w:link w:val="Tablefootnote"/>
    <w:locked/>
    <w:rsid w:val="007C3064"/>
    <w:rPr>
      <w:rFonts w:ascii="Arial Narrow" w:hAnsi="Arial Narrow"/>
      <w:sz w:val="18"/>
    </w:rPr>
  </w:style>
  <w:style w:type="paragraph" w:customStyle="1" w:styleId="Tablefootnote">
    <w:name w:val="Table footnote"/>
    <w:basedOn w:val="Normal"/>
    <w:link w:val="TablefootnoteChar"/>
    <w:rsid w:val="007C3064"/>
    <w:pPr>
      <w:keepNext/>
      <w:keepLines/>
      <w:spacing w:before="120" w:after="120"/>
      <w:contextualSpacing/>
      <w:jc w:val="left"/>
    </w:pPr>
    <w:rPr>
      <w:rFonts w:ascii="Arial Narrow" w:hAnsi="Arial Narrow" w:cs="Times New Roman"/>
      <w:sz w:val="18"/>
      <w:szCs w:val="20"/>
    </w:rPr>
  </w:style>
  <w:style w:type="paragraph" w:customStyle="1" w:styleId="Default">
    <w:name w:val="Default"/>
    <w:rsid w:val="007C3064"/>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7C3064"/>
    <w:pPr>
      <w:spacing w:before="100" w:beforeAutospacing="1" w:after="100" w:afterAutospacing="1"/>
      <w:jc w:val="left"/>
    </w:pPr>
    <w:rPr>
      <w:rFonts w:ascii="Times New Roman" w:hAnsi="Times New Roman" w:cs="Times New Roman"/>
    </w:rPr>
  </w:style>
  <w:style w:type="character" w:customStyle="1" w:styleId="label-note-id">
    <w:name w:val="label-note-id"/>
    <w:basedOn w:val="DefaultParagraphFont"/>
    <w:rsid w:val="007C3064"/>
  </w:style>
  <w:style w:type="paragraph" w:customStyle="1" w:styleId="PBACTitlePage116ptBoldCentered">
    <w:name w:val="PBAC Title Page 1 16 pt Bold Centered"/>
    <w:basedOn w:val="Normal"/>
    <w:rsid w:val="007C3064"/>
    <w:pPr>
      <w:spacing w:line="360" w:lineRule="auto"/>
      <w:jc w:val="center"/>
    </w:pPr>
    <w:rPr>
      <w:rFonts w:ascii="Sabon" w:hAnsi="Sabon" w:cs="Times New Roman"/>
      <w:b/>
      <w:bCs/>
      <w:sz w:val="32"/>
      <w:szCs w:val="20"/>
      <w:lang w:eastAsia="en-US"/>
    </w:rPr>
  </w:style>
  <w:style w:type="paragraph" w:styleId="FootnoteText">
    <w:name w:val="footnote text"/>
    <w:basedOn w:val="Normal"/>
    <w:link w:val="FootnoteTextChar"/>
    <w:semiHidden/>
    <w:unhideWhenUsed/>
    <w:rsid w:val="007C3064"/>
    <w:rPr>
      <w:sz w:val="20"/>
      <w:szCs w:val="20"/>
    </w:rPr>
  </w:style>
  <w:style w:type="character" w:customStyle="1" w:styleId="FootnoteTextChar">
    <w:name w:val="Footnote Text Char"/>
    <w:basedOn w:val="DefaultParagraphFont"/>
    <w:link w:val="FootnoteText"/>
    <w:semiHidden/>
    <w:rsid w:val="007C3064"/>
    <w:rPr>
      <w:rFonts w:ascii="Calibri" w:hAnsi="Calibri" w:cs="Arial"/>
    </w:rPr>
  </w:style>
  <w:style w:type="character" w:styleId="FootnoteReference">
    <w:name w:val="footnote reference"/>
    <w:basedOn w:val="DefaultParagraphFont"/>
    <w:semiHidden/>
    <w:unhideWhenUsed/>
    <w:rsid w:val="007C3064"/>
    <w:rPr>
      <w:vertAlign w:val="superscript"/>
    </w:rPr>
  </w:style>
  <w:style w:type="paragraph" w:customStyle="1" w:styleId="3Bodytext">
    <w:name w:val="3. Body text"/>
    <w:basedOn w:val="ListParagraph"/>
    <w:link w:val="3BodytextChar"/>
    <w:qFormat/>
    <w:rsid w:val="007C3064"/>
    <w:pPr>
      <w:numPr>
        <w:numId w:val="0"/>
      </w:numPr>
      <w:ind w:left="720" w:hanging="720"/>
      <w:jc w:val="left"/>
    </w:pPr>
    <w:rPr>
      <w:rFonts w:eastAsiaTheme="minorHAnsi" w:cstheme="minorBidi"/>
      <w:snapToGrid/>
      <w:szCs w:val="22"/>
    </w:rPr>
  </w:style>
  <w:style w:type="character" w:customStyle="1" w:styleId="3BodytextChar">
    <w:name w:val="3. Body text Char"/>
    <w:basedOn w:val="DefaultParagraphFont"/>
    <w:link w:val="3Bodytext"/>
    <w:rsid w:val="007C3064"/>
    <w:rPr>
      <w:rFonts w:asciiTheme="minorHAnsi" w:eastAsiaTheme="minorHAnsi" w:hAnsiTheme="minorHAnsi" w:cstheme="minorBidi"/>
      <w:sz w:val="24"/>
      <w:szCs w:val="22"/>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35"/>
    <w:unhideWhenUsed/>
    <w:qFormat/>
    <w:rsid w:val="007C3064"/>
    <w:pPr>
      <w:spacing w:after="200"/>
    </w:pPr>
    <w:rPr>
      <w:i/>
      <w:iCs/>
      <w:color w:val="1F497D" w:themeColor="text2"/>
      <w:sz w:val="18"/>
      <w:szCs w:val="1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7C3064"/>
    <w:pPr>
      <w:spacing w:after="160" w:line="240" w:lineRule="exact"/>
      <w:jc w:val="left"/>
    </w:pPr>
    <w:rPr>
      <w:rFonts w:ascii="Verdana" w:eastAsia="MS Mincho" w:hAnsi="Verdana" w:cs="Verdana"/>
      <w:sz w:val="20"/>
      <w:szCs w:val="20"/>
      <w:lang w:val="en-US" w:eastAsia="en-US"/>
    </w:rPr>
  </w:style>
  <w:style w:type="paragraph" w:styleId="BodyText2">
    <w:name w:val="Body Text 2"/>
    <w:basedOn w:val="Normal"/>
    <w:link w:val="BodyText2Char"/>
    <w:rsid w:val="007C3064"/>
    <w:pPr>
      <w:widowControl w:val="0"/>
    </w:pPr>
    <w:rPr>
      <w:rFonts w:ascii="Arial" w:hAnsi="Arial" w:cs="Times New Roman"/>
      <w:snapToGrid w:val="0"/>
      <w:sz w:val="20"/>
      <w:szCs w:val="20"/>
      <w:lang w:eastAsia="en-US"/>
    </w:rPr>
  </w:style>
  <w:style w:type="character" w:customStyle="1" w:styleId="BodyText2Char">
    <w:name w:val="Body Text 2 Char"/>
    <w:basedOn w:val="DefaultParagraphFont"/>
    <w:link w:val="BodyText2"/>
    <w:rsid w:val="007C3064"/>
    <w:rPr>
      <w:rFonts w:ascii="Arial" w:hAnsi="Arial"/>
      <w:snapToGrid w:val="0"/>
      <w:lang w:eastAsia="en-US"/>
    </w:rPr>
  </w:style>
  <w:style w:type="paragraph" w:customStyle="1" w:styleId="TableHeading0">
    <w:name w:val="TableHeading"/>
    <w:basedOn w:val="Normal"/>
    <w:rsid w:val="007C3064"/>
    <w:pPr>
      <w:keepNext/>
      <w:spacing w:before="40" w:after="40"/>
      <w:jc w:val="left"/>
    </w:pPr>
    <w:rPr>
      <w:rFonts w:ascii="Arial Narrow" w:hAnsi="Arial Narrow" w:cs="Arial Narrow"/>
      <w:b/>
      <w:bCs/>
      <w:sz w:val="20"/>
      <w:szCs w:val="20"/>
      <w:lang w:eastAsia="en-US"/>
    </w:rPr>
  </w:style>
  <w:style w:type="paragraph" w:customStyle="1" w:styleId="Char1CharCharChar">
    <w:name w:val="Char1 Char Char Char"/>
    <w:basedOn w:val="Normal"/>
    <w:rsid w:val="007C3064"/>
    <w:pPr>
      <w:spacing w:after="160" w:line="240" w:lineRule="exact"/>
      <w:jc w:val="left"/>
    </w:pPr>
    <w:rPr>
      <w:rFonts w:ascii="Verdana" w:eastAsia="MS Mincho" w:hAnsi="Verdana" w:cs="Verdana"/>
      <w:sz w:val="20"/>
      <w:szCs w:val="20"/>
      <w:lang w:val="en-US" w:eastAsia="en-US"/>
    </w:rPr>
  </w:style>
  <w:style w:type="paragraph" w:styleId="BodyText3">
    <w:name w:val="Body Text 3"/>
    <w:basedOn w:val="Normal"/>
    <w:link w:val="BodyText3Char"/>
    <w:rsid w:val="007C3064"/>
    <w:pPr>
      <w:spacing w:after="120"/>
      <w:jc w:val="left"/>
    </w:pPr>
    <w:rPr>
      <w:rFonts w:ascii="Times New Roman" w:hAnsi="Times New Roman" w:cs="Times New Roman"/>
      <w:sz w:val="16"/>
      <w:szCs w:val="16"/>
    </w:rPr>
  </w:style>
  <w:style w:type="character" w:customStyle="1" w:styleId="BodyText3Char">
    <w:name w:val="Body Text 3 Char"/>
    <w:basedOn w:val="DefaultParagraphFont"/>
    <w:link w:val="BodyText3"/>
    <w:rsid w:val="007C3064"/>
    <w:rPr>
      <w:sz w:val="16"/>
      <w:szCs w:val="16"/>
    </w:rPr>
  </w:style>
  <w:style w:type="character" w:customStyle="1" w:styleId="SubtitleChar">
    <w:name w:val="Subtitle Char"/>
    <w:link w:val="Subtitle"/>
    <w:rsid w:val="007C3064"/>
  </w:style>
  <w:style w:type="paragraph" w:styleId="Subtitle">
    <w:name w:val="Subtitle"/>
    <w:basedOn w:val="Normal"/>
    <w:link w:val="SubtitleChar"/>
    <w:rsid w:val="007C3064"/>
    <w:rPr>
      <w:rFonts w:ascii="Times New Roman" w:hAnsi="Times New Roman" w:cs="Times New Roman"/>
      <w:sz w:val="20"/>
      <w:szCs w:val="20"/>
    </w:rPr>
  </w:style>
  <w:style w:type="character" w:customStyle="1" w:styleId="SubtitleChar1">
    <w:name w:val="Subtitle Char1"/>
    <w:basedOn w:val="DefaultParagraphFont"/>
    <w:uiPriority w:val="11"/>
    <w:rsid w:val="007C3064"/>
    <w:rPr>
      <w:rFonts w:asciiTheme="minorHAnsi" w:eastAsiaTheme="minorEastAsia" w:hAnsiTheme="minorHAnsi" w:cstheme="minorBidi"/>
      <w:color w:val="5A5A5A" w:themeColor="text1" w:themeTint="A5"/>
      <w:spacing w:val="15"/>
      <w:sz w:val="22"/>
      <w:szCs w:val="22"/>
    </w:rPr>
  </w:style>
  <w:style w:type="paragraph" w:customStyle="1" w:styleId="MediumGrid21">
    <w:name w:val="Medium Grid 21"/>
    <w:link w:val="MediumGrid2Char"/>
    <w:rsid w:val="007C3064"/>
    <w:rPr>
      <w:rFonts w:ascii="PMingLiU" w:eastAsia="MS Mincho" w:hAnsi="PMingLiU"/>
      <w:sz w:val="22"/>
      <w:szCs w:val="22"/>
      <w:lang w:val="en-US" w:eastAsia="en-US"/>
    </w:rPr>
  </w:style>
  <w:style w:type="character" w:customStyle="1" w:styleId="MediumGrid2Char">
    <w:name w:val="Medium Grid 2 Char"/>
    <w:link w:val="MediumGrid21"/>
    <w:rsid w:val="007C3064"/>
    <w:rPr>
      <w:rFonts w:ascii="PMingLiU" w:eastAsia="MS Mincho" w:hAnsi="PMingLiU"/>
      <w:sz w:val="22"/>
      <w:szCs w:val="22"/>
      <w:lang w:val="en-US" w:eastAsia="en-US"/>
    </w:rPr>
  </w:style>
  <w:style w:type="paragraph" w:customStyle="1" w:styleId="tablenotes">
    <w:name w:val="table notes"/>
    <w:basedOn w:val="BodyText2"/>
    <w:qFormat/>
    <w:rsid w:val="007C3064"/>
  </w:style>
  <w:style w:type="paragraph" w:styleId="Title">
    <w:name w:val="Title"/>
    <w:basedOn w:val="Normal"/>
    <w:next w:val="Normal"/>
    <w:link w:val="TitleChar"/>
    <w:rsid w:val="007C3064"/>
    <w:pPr>
      <w:spacing w:after="300"/>
      <w:contextualSpacing/>
      <w:jc w:val="left"/>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7C3064"/>
    <w:rPr>
      <w:rFonts w:ascii="Arial Bold" w:eastAsiaTheme="majorEastAsia" w:hAnsi="Arial Bold" w:cstheme="majorBidi"/>
      <w:b/>
      <w:spacing w:val="5"/>
      <w:kern w:val="28"/>
      <w:sz w:val="28"/>
      <w:szCs w:val="52"/>
    </w:rPr>
  </w:style>
  <w:style w:type="paragraph" w:styleId="ListNumber">
    <w:name w:val="List Number"/>
    <w:basedOn w:val="Normal"/>
    <w:rsid w:val="007C3064"/>
    <w:pPr>
      <w:numPr>
        <w:numId w:val="12"/>
      </w:numPr>
      <w:contextualSpacing/>
      <w:jc w:val="left"/>
    </w:pPr>
    <w:rPr>
      <w:rFonts w:ascii="Times New Roman" w:hAnsi="Times New Roman" w:cs="Times New Roman"/>
    </w:rPr>
  </w:style>
  <w:style w:type="paragraph" w:styleId="ListContinue2">
    <w:name w:val="List Continue 2"/>
    <w:basedOn w:val="Normal"/>
    <w:rsid w:val="007C3064"/>
    <w:pPr>
      <w:spacing w:after="120"/>
      <w:ind w:left="566"/>
      <w:contextualSpacing/>
      <w:jc w:val="left"/>
    </w:pPr>
    <w:rPr>
      <w:rFonts w:ascii="Times New Roman" w:hAnsi="Times New Roman" w:cs="Times New Roman"/>
    </w:rPr>
  </w:style>
  <w:style w:type="paragraph" w:styleId="ListNumber2">
    <w:name w:val="List Number 2"/>
    <w:basedOn w:val="Normal"/>
    <w:rsid w:val="007C3064"/>
    <w:pPr>
      <w:tabs>
        <w:tab w:val="num" w:pos="643"/>
      </w:tabs>
      <w:ind w:left="643" w:hanging="360"/>
      <w:contextualSpacing/>
      <w:jc w:val="left"/>
    </w:pPr>
    <w:rPr>
      <w:rFonts w:ascii="Times New Roman" w:hAnsi="Times New Roman" w:cs="Times New Roman"/>
    </w:rPr>
  </w:style>
  <w:style w:type="paragraph" w:customStyle="1" w:styleId="2Sections">
    <w:name w:val="2. Sections"/>
    <w:qFormat/>
    <w:rsid w:val="007C3064"/>
    <w:pPr>
      <w:spacing w:before="240" w:after="120"/>
      <w:ind w:left="720" w:hanging="720"/>
      <w:outlineLvl w:val="0"/>
    </w:pPr>
    <w:rPr>
      <w:rFonts w:asciiTheme="minorHAnsi" w:hAnsiTheme="minorHAnsi" w:cs="Arial"/>
      <w:b/>
      <w:snapToGrid w:val="0"/>
      <w:sz w:val="32"/>
      <w:szCs w:val="32"/>
      <w:lang w:eastAsia="en-US"/>
    </w:rPr>
  </w:style>
  <w:style w:type="paragraph" w:customStyle="1" w:styleId="1MainTitle">
    <w:name w:val="1. Main Title"/>
    <w:basedOn w:val="Title"/>
    <w:link w:val="1MainTitleChar"/>
    <w:qFormat/>
    <w:rsid w:val="007C3064"/>
    <w:pPr>
      <w:spacing w:before="120" w:after="160"/>
      <w:ind w:left="720" w:hanging="720"/>
    </w:pPr>
    <w:rPr>
      <w:sz w:val="36"/>
      <w:szCs w:val="36"/>
    </w:rPr>
  </w:style>
  <w:style w:type="character" w:customStyle="1" w:styleId="1MainTitleChar">
    <w:name w:val="1. Main Title Char"/>
    <w:basedOn w:val="TitleChar"/>
    <w:link w:val="1MainTitle"/>
    <w:rsid w:val="007C3064"/>
    <w:rPr>
      <w:rFonts w:ascii="Arial Bold" w:eastAsiaTheme="majorEastAsia" w:hAnsi="Arial Bold" w:cstheme="majorBidi"/>
      <w:b/>
      <w:spacing w:val="5"/>
      <w:kern w:val="28"/>
      <w:sz w:val="36"/>
      <w:szCs w:val="36"/>
    </w:rPr>
  </w:style>
  <w:style w:type="paragraph" w:customStyle="1" w:styleId="MinorOVRHeader">
    <w:name w:val="Minor OVR Header"/>
    <w:basedOn w:val="Header"/>
    <w:link w:val="MinorOVRHeaderChar"/>
    <w:rsid w:val="007C3064"/>
    <w:pPr>
      <w:tabs>
        <w:tab w:val="clear" w:pos="4513"/>
        <w:tab w:val="clear" w:pos="9026"/>
        <w:tab w:val="center" w:pos="4153"/>
        <w:tab w:val="right" w:pos="8306"/>
      </w:tabs>
      <w:jc w:val="right"/>
    </w:pPr>
  </w:style>
  <w:style w:type="character" w:customStyle="1" w:styleId="MinorOVRHeaderChar">
    <w:name w:val="Minor OVR Header Char"/>
    <w:basedOn w:val="HeaderChar"/>
    <w:link w:val="MinorOVRHeader"/>
    <w:rsid w:val="007C3064"/>
    <w:rPr>
      <w:rFonts w:ascii="Calibri" w:hAnsi="Calibri" w:cs="Arial"/>
      <w:sz w:val="24"/>
      <w:szCs w:val="24"/>
    </w:rPr>
  </w:style>
  <w:style w:type="paragraph" w:customStyle="1" w:styleId="Tabletitles">
    <w:name w:val="Table titles"/>
    <w:basedOn w:val="NoSpacing"/>
    <w:link w:val="TabletitlesChar"/>
    <w:qFormat/>
    <w:rsid w:val="007C3064"/>
    <w:pPr>
      <w:spacing w:after="60"/>
      <w:jc w:val="both"/>
    </w:pPr>
    <w:rPr>
      <w:b/>
    </w:rPr>
  </w:style>
  <w:style w:type="character" w:customStyle="1" w:styleId="TabletitlesChar">
    <w:name w:val="Table titles Char"/>
    <w:basedOn w:val="NoSpacingChar"/>
    <w:link w:val="Tabletitles"/>
    <w:rsid w:val="007C3064"/>
    <w:rPr>
      <w:rFonts w:ascii="Arial Narrow" w:eastAsiaTheme="minorHAnsi" w:hAnsi="Arial Narrow" w:cs="Arial"/>
      <w:b/>
      <w:sz w:val="16"/>
      <w:lang w:val="en-US" w:eastAsia="en-US"/>
    </w:rPr>
  </w:style>
  <w:style w:type="paragraph" w:customStyle="1" w:styleId="PBACFooter">
    <w:name w:val="PBAC Footer"/>
    <w:basedOn w:val="Footer"/>
    <w:link w:val="PBACFooterChar"/>
    <w:qFormat/>
    <w:rsid w:val="007C3064"/>
    <w:pPr>
      <w:tabs>
        <w:tab w:val="clear" w:pos="4513"/>
        <w:tab w:val="clear" w:pos="9026"/>
        <w:tab w:val="center" w:pos="4153"/>
        <w:tab w:val="right" w:pos="8306"/>
      </w:tabs>
      <w:jc w:val="center"/>
    </w:pPr>
    <w:rPr>
      <w:rFonts w:ascii="Arial" w:hAnsi="Arial"/>
      <w:b/>
    </w:rPr>
  </w:style>
  <w:style w:type="character" w:customStyle="1" w:styleId="PBACFooterChar">
    <w:name w:val="PBAC Footer Char"/>
    <w:basedOn w:val="FooterChar"/>
    <w:link w:val="PBACFooter"/>
    <w:rsid w:val="007C3064"/>
    <w:rPr>
      <w:rFonts w:ascii="Arial" w:hAnsi="Arial" w:cs="Arial"/>
      <w:b/>
      <w:sz w:val="24"/>
      <w:szCs w:val="24"/>
    </w:rPr>
  </w:style>
  <w:style w:type="paragraph" w:customStyle="1" w:styleId="PBACHeading1">
    <w:name w:val="PBAC Heading 1"/>
    <w:qFormat/>
    <w:rsid w:val="007C3064"/>
    <w:pPr>
      <w:ind w:left="720" w:hanging="720"/>
      <w:outlineLvl w:val="0"/>
    </w:pPr>
    <w:rPr>
      <w:rFonts w:ascii="Arial" w:hAnsi="Arial" w:cs="Arial"/>
      <w:b/>
      <w:snapToGrid w:val="0"/>
      <w:sz w:val="22"/>
      <w:szCs w:val="22"/>
      <w:lang w:eastAsia="en-US"/>
    </w:rPr>
  </w:style>
  <w:style w:type="paragraph" w:customStyle="1" w:styleId="Lists">
    <w:name w:val="Lists"/>
    <w:basedOn w:val="3Bodytext"/>
    <w:link w:val="ListsChar"/>
    <w:qFormat/>
    <w:rsid w:val="007C3064"/>
    <w:pPr>
      <w:widowControl w:val="0"/>
      <w:numPr>
        <w:numId w:val="13"/>
      </w:numPr>
      <w:jc w:val="both"/>
    </w:pPr>
    <w:rPr>
      <w:rFonts w:cstheme="minorHAnsi"/>
      <w:bCs/>
      <w:snapToGrid w:val="0"/>
      <w:szCs w:val="24"/>
      <w:lang w:val="en-GB"/>
    </w:rPr>
  </w:style>
  <w:style w:type="character" w:customStyle="1" w:styleId="ListsChar">
    <w:name w:val="Lists Char"/>
    <w:basedOn w:val="3BodytextChar"/>
    <w:link w:val="Lists"/>
    <w:rsid w:val="007C3064"/>
    <w:rPr>
      <w:rFonts w:asciiTheme="minorHAnsi" w:eastAsiaTheme="minorHAnsi" w:hAnsiTheme="minorHAnsi" w:cstheme="minorHAnsi"/>
      <w:bCs/>
      <w:snapToGrid w:val="0"/>
      <w:sz w:val="24"/>
      <w:szCs w:val="24"/>
      <w:lang w:val="en-GB"/>
    </w:rPr>
  </w:style>
  <w:style w:type="paragraph" w:customStyle="1" w:styleId="Bodytextitalics">
    <w:name w:val="Body text italics"/>
    <w:basedOn w:val="BodyText"/>
    <w:qFormat/>
    <w:rsid w:val="007C3064"/>
    <w:pPr>
      <w:ind w:left="720" w:hanging="720"/>
      <w:jc w:val="left"/>
    </w:pPr>
    <w:rPr>
      <w:rFonts w:asciiTheme="minorHAnsi" w:eastAsiaTheme="minorHAnsi" w:hAnsiTheme="minorHAnsi" w:cstheme="minorBidi"/>
      <w:i/>
      <w:szCs w:val="22"/>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Char"/>
    <w:link w:val="Caption"/>
    <w:uiPriority w:val="35"/>
    <w:rsid w:val="007C3064"/>
    <w:rPr>
      <w:rFonts w:ascii="Calibri" w:hAnsi="Calibri" w:cs="Arial"/>
      <w:i/>
      <w:iCs/>
      <w:color w:val="1F497D" w:themeColor="text2"/>
      <w:sz w:val="18"/>
      <w:szCs w:val="18"/>
    </w:rPr>
  </w:style>
  <w:style w:type="paragraph" w:customStyle="1" w:styleId="ProcedureStep">
    <w:name w:val="ProcedureStep"/>
    <w:basedOn w:val="Normal"/>
    <w:rsid w:val="007C3064"/>
    <w:pPr>
      <w:numPr>
        <w:numId w:val="14"/>
      </w:numPr>
      <w:spacing w:before="60" w:after="60" w:line="300" w:lineRule="atLeast"/>
      <w:ind w:right="567"/>
      <w:jc w:val="left"/>
    </w:pPr>
    <w:rPr>
      <w:rFonts w:ascii="Tahoma" w:hAnsi="Tahoma" w:cs="Times New Roman"/>
      <w:sz w:val="22"/>
      <w:szCs w:val="20"/>
    </w:rPr>
  </w:style>
  <w:style w:type="paragraph" w:customStyle="1" w:styleId="TableNotes0">
    <w:name w:val="TableNotes"/>
    <w:basedOn w:val="Normal"/>
    <w:next w:val="Normal"/>
    <w:link w:val="TableNotesChar"/>
    <w:uiPriority w:val="3"/>
    <w:qFormat/>
    <w:rsid w:val="007C3064"/>
    <w:pPr>
      <w:tabs>
        <w:tab w:val="left" w:pos="1134"/>
      </w:tabs>
      <w:ind w:left="1134" w:hanging="1134"/>
      <w:jc w:val="left"/>
    </w:pPr>
    <w:rPr>
      <w:rFonts w:eastAsia="SimSun" w:cs="Times New Roman"/>
      <w:sz w:val="18"/>
      <w:szCs w:val="18"/>
      <w:lang w:eastAsia="en-US"/>
    </w:rPr>
  </w:style>
  <w:style w:type="character" w:customStyle="1" w:styleId="TableNotesChar">
    <w:name w:val="TableNotes Char"/>
    <w:basedOn w:val="DefaultParagraphFont"/>
    <w:link w:val="TableNotes0"/>
    <w:uiPriority w:val="3"/>
    <w:rsid w:val="007C3064"/>
    <w:rPr>
      <w:rFonts w:ascii="Calibri" w:eastAsia="SimSun" w:hAnsi="Calibri"/>
      <w:sz w:val="18"/>
      <w:szCs w:val="18"/>
      <w:lang w:eastAsia="en-US"/>
    </w:rPr>
  </w:style>
  <w:style w:type="paragraph" w:customStyle="1" w:styleId="ESTableText">
    <w:name w:val="ESTableText"/>
    <w:basedOn w:val="Normal"/>
    <w:link w:val="ESTableTextChar"/>
    <w:uiPriority w:val="1"/>
    <w:qFormat/>
    <w:rsid w:val="007C3064"/>
    <w:pPr>
      <w:jc w:val="left"/>
    </w:pPr>
    <w:rPr>
      <w:rFonts w:cstheme="minorHAnsi"/>
      <w:bCs/>
      <w:sz w:val="20"/>
      <w:szCs w:val="20"/>
      <w:lang w:eastAsia="en-US"/>
    </w:rPr>
  </w:style>
  <w:style w:type="character" w:customStyle="1" w:styleId="ESTableTextChar">
    <w:name w:val="ESTableText Char"/>
    <w:basedOn w:val="DefaultParagraphFont"/>
    <w:link w:val="ESTableText"/>
    <w:uiPriority w:val="1"/>
    <w:rsid w:val="007C3064"/>
    <w:rPr>
      <w:rFonts w:ascii="Calibri" w:hAnsi="Calibri" w:cstheme="minorHAnsi"/>
      <w:bCs/>
      <w:lang w:eastAsia="en-US"/>
    </w:rPr>
  </w:style>
  <w:style w:type="paragraph" w:styleId="EndnoteText">
    <w:name w:val="endnote text"/>
    <w:basedOn w:val="Normal"/>
    <w:link w:val="EndnoteTextChar"/>
    <w:semiHidden/>
    <w:unhideWhenUsed/>
    <w:rsid w:val="007C3064"/>
    <w:pPr>
      <w:jc w:val="left"/>
    </w:pPr>
    <w:rPr>
      <w:rFonts w:ascii="Times New Roman" w:hAnsi="Times New Roman" w:cs="Times New Roman"/>
      <w:sz w:val="20"/>
      <w:szCs w:val="20"/>
    </w:rPr>
  </w:style>
  <w:style w:type="character" w:customStyle="1" w:styleId="EndnoteTextChar">
    <w:name w:val="Endnote Text Char"/>
    <w:basedOn w:val="DefaultParagraphFont"/>
    <w:link w:val="EndnoteText"/>
    <w:semiHidden/>
    <w:rsid w:val="007C3064"/>
  </w:style>
  <w:style w:type="character" w:styleId="Strong">
    <w:name w:val="Strong"/>
    <w:basedOn w:val="DefaultParagraphFont"/>
    <w:uiPriority w:val="22"/>
    <w:qFormat/>
    <w:rsid w:val="007C3064"/>
    <w:rPr>
      <w:b/>
      <w:bCs/>
    </w:rPr>
  </w:style>
  <w:style w:type="paragraph" w:customStyle="1" w:styleId="NormalPBACsubtext">
    <w:name w:val="Normal PBAC sub text"/>
    <w:basedOn w:val="Normal"/>
    <w:next w:val="Normal"/>
    <w:rsid w:val="007C3064"/>
    <w:pPr>
      <w:keepNext/>
      <w:spacing w:after="240"/>
    </w:pPr>
    <w:rPr>
      <w:rFonts w:ascii="Sabon" w:eastAsiaTheme="minorHAnsi" w:hAnsi="Sabon" w:cstheme="minorBidi"/>
      <w:sz w:val="22"/>
      <w:szCs w:val="22"/>
      <w:lang w:eastAsia="en-US"/>
    </w:rPr>
  </w:style>
  <w:style w:type="table" w:customStyle="1" w:styleId="TableGrid1">
    <w:name w:val="Table Grid1"/>
    <w:basedOn w:val="TableNormal"/>
    <w:next w:val="TableGrid"/>
    <w:uiPriority w:val="39"/>
    <w:rsid w:val="007C3064"/>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C3064"/>
    <w:pPr>
      <w:spacing w:before="100" w:beforeAutospacing="1" w:after="100" w:afterAutospacing="1"/>
      <w:jc w:val="left"/>
    </w:pPr>
    <w:rPr>
      <w:rFonts w:ascii="Times New Roman" w:hAnsi="Times New Roman" w:cs="Times New Roman"/>
    </w:rPr>
  </w:style>
  <w:style w:type="character" w:customStyle="1" w:styleId="3-BodyTextChar">
    <w:name w:val="3-Body Text Char"/>
    <w:basedOn w:val="DefaultParagraphFont"/>
    <w:link w:val="3-BodyText"/>
    <w:locked/>
    <w:rsid w:val="002D6E52"/>
    <w:rPr>
      <w:rFonts w:asciiTheme="minorHAnsi" w:hAnsiTheme="minorHAnsi" w:cs="Arial"/>
      <w:sz w:val="24"/>
      <w:szCs w:val="24"/>
    </w:rPr>
  </w:style>
  <w:style w:type="paragraph" w:customStyle="1" w:styleId="3-BodyText">
    <w:name w:val="3-Body Text"/>
    <w:basedOn w:val="ListParagraph"/>
    <w:link w:val="3-BodyTextChar"/>
    <w:qFormat/>
    <w:rsid w:val="002D6E52"/>
    <w:pPr>
      <w:numPr>
        <w:numId w:val="0"/>
      </w:numPr>
      <w:snapToGrid w:val="0"/>
      <w:ind w:left="720" w:hanging="720"/>
    </w:pPr>
    <w:rPr>
      <w:snapToGrid/>
    </w:rPr>
  </w:style>
  <w:style w:type="paragraph" w:customStyle="1" w:styleId="GeneralHeading">
    <w:name w:val="General Heading"/>
    <w:qFormat/>
    <w:rsid w:val="002D6E52"/>
    <w:pPr>
      <w:keepNext/>
      <w:spacing w:before="120" w:after="120"/>
      <w:ind w:left="720" w:hanging="720"/>
      <w:outlineLvl w:val="0"/>
    </w:pPr>
    <w:rPr>
      <w:rFonts w:ascii="Calibri" w:hAnsi="Calibri" w:cs="Arial"/>
      <w:b/>
      <w:snapToGrid w:val="0"/>
      <w:sz w:val="28"/>
      <w:szCs w:val="22"/>
    </w:rPr>
  </w:style>
  <w:style w:type="character" w:styleId="UnresolvedMention">
    <w:name w:val="Unresolved Mention"/>
    <w:basedOn w:val="DefaultParagraphFont"/>
    <w:uiPriority w:val="99"/>
    <w:semiHidden/>
    <w:unhideWhenUsed/>
    <w:rsid w:val="002D6E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7565980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67055875">
      <w:bodyDiv w:val="1"/>
      <w:marLeft w:val="0"/>
      <w:marRight w:val="0"/>
      <w:marTop w:val="0"/>
      <w:marBottom w:val="0"/>
      <w:divBdr>
        <w:top w:val="none" w:sz="0" w:space="0" w:color="auto"/>
        <w:left w:val="none" w:sz="0" w:space="0" w:color="auto"/>
        <w:bottom w:val="none" w:sz="0" w:space="0" w:color="auto"/>
        <w:right w:val="none" w:sz="0" w:space="0" w:color="auto"/>
      </w:divBdr>
    </w:div>
    <w:div w:id="809975576">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461120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47177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servicesaustralia.gov.au/HPO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servicesaustralia.gov.au/HP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servicesaustralia.gov.au/HPOS"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servicesaustralia.gov.au/HP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12E1B-DCAD-4549-A517-40A3FC66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25046</Words>
  <Characters>142766</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2023-08-21T04:28:00Z</dcterms:created>
  <dcterms:modified xsi:type="dcterms:W3CDTF">2023-08-21T05:24:00Z</dcterms:modified>
</cp:coreProperties>
</file>