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CFA7" w14:textId="1D1D5946" w:rsidR="00067FE4" w:rsidRDefault="00463257" w:rsidP="00F163BE">
      <w:pPr>
        <w:pStyle w:val="1-MainHeading"/>
        <w:ind w:left="907" w:hanging="907"/>
        <w:contextualSpacing/>
      </w:pPr>
      <w:r>
        <w:t>11.04</w:t>
      </w:r>
      <w:r w:rsidR="00DF2D0E">
        <w:tab/>
      </w:r>
      <w:r w:rsidR="00067FE4" w:rsidRPr="00DF2D0E">
        <w:t>HIGH FAT FORMULA WITH VITAMINS, MINERALS</w:t>
      </w:r>
      <w:r w:rsidR="00DF2D0E" w:rsidRPr="00DF2D0E">
        <w:t xml:space="preserve"> </w:t>
      </w:r>
      <w:r w:rsidR="00067FE4" w:rsidRPr="00DF2D0E">
        <w:t>AND TRACE ELEMENTS AND LOW IN PROTEIN AND</w:t>
      </w:r>
      <w:r w:rsidR="00DF2D0E" w:rsidRPr="00DF2D0E">
        <w:t xml:space="preserve"> </w:t>
      </w:r>
      <w:r w:rsidR="00067FE4" w:rsidRPr="00DF2D0E">
        <w:t>CARBOHYDRATE</w:t>
      </w:r>
      <w:r w:rsidR="00067FE4" w:rsidRPr="00067FE4">
        <w:t xml:space="preserve"> </w:t>
      </w:r>
    </w:p>
    <w:p w14:paraId="2DB4FBD5" w14:textId="11D2FAF0" w:rsidR="00067FE4" w:rsidRDefault="00067FE4" w:rsidP="00F163BE">
      <w:pPr>
        <w:pStyle w:val="1-MainHeading"/>
        <w:ind w:left="907" w:firstLine="0"/>
        <w:contextualSpacing/>
        <w:outlineLvl w:val="9"/>
      </w:pPr>
      <w:r w:rsidRPr="00067FE4">
        <w:t>Oral liquid 250 mL, 30</w:t>
      </w:r>
      <w:r>
        <w:t xml:space="preserve"> (</w:t>
      </w:r>
      <w:r w:rsidRPr="00067FE4">
        <w:t>KetoVie 3:1</w:t>
      </w:r>
      <w:r>
        <w:t>)</w:t>
      </w:r>
      <w:r>
        <w:br/>
      </w:r>
      <w:r w:rsidRPr="00067FE4">
        <w:t>KetoVie® 3:1</w:t>
      </w:r>
    </w:p>
    <w:p w14:paraId="53E61CD7" w14:textId="65F18F3E" w:rsidR="00067FE4" w:rsidRDefault="00067FE4" w:rsidP="00F163BE">
      <w:pPr>
        <w:pStyle w:val="1-MainHeading"/>
        <w:ind w:left="907" w:firstLine="0"/>
        <w:contextualSpacing/>
        <w:outlineLvl w:val="9"/>
      </w:pPr>
      <w:r w:rsidRPr="00067FE4">
        <w:t>Oral liquid 250 mL, 30</w:t>
      </w:r>
      <w:r>
        <w:t xml:space="preserve"> (</w:t>
      </w:r>
      <w:r w:rsidRPr="00067FE4">
        <w:t>KetoVie 4:1</w:t>
      </w:r>
      <w:r>
        <w:t>)</w:t>
      </w:r>
      <w:r>
        <w:br/>
      </w:r>
      <w:r w:rsidRPr="00067FE4">
        <w:t>KetoVie® 4:1</w:t>
      </w:r>
    </w:p>
    <w:p w14:paraId="132DDCC5" w14:textId="7F11375A" w:rsidR="00067FE4" w:rsidRDefault="00067FE4" w:rsidP="00F163BE">
      <w:pPr>
        <w:pStyle w:val="1-MainHeading"/>
        <w:ind w:left="907" w:firstLine="0"/>
        <w:contextualSpacing/>
        <w:outlineLvl w:val="9"/>
      </w:pPr>
      <w:r w:rsidRPr="00067FE4">
        <w:t>Oral liquid 250 mL, 30</w:t>
      </w:r>
      <w:r>
        <w:t xml:space="preserve"> (</w:t>
      </w:r>
      <w:r w:rsidRPr="00067FE4">
        <w:t>KetoVie Peptide 4:1</w:t>
      </w:r>
      <w:r>
        <w:t>)</w:t>
      </w:r>
      <w:r>
        <w:br/>
      </w:r>
      <w:r w:rsidRPr="00067FE4">
        <w:t>KetoVie® Peptide 4:1</w:t>
      </w:r>
    </w:p>
    <w:p w14:paraId="0C970CB4" w14:textId="59171777" w:rsidR="00067FE4" w:rsidRPr="00067FE4" w:rsidRDefault="00067FE4" w:rsidP="00F163BE">
      <w:pPr>
        <w:pStyle w:val="1-MainHeading"/>
        <w:ind w:left="907"/>
        <w:contextualSpacing/>
        <w:outlineLvl w:val="9"/>
      </w:pPr>
      <w:r>
        <w:tab/>
        <w:t>Cortex Health Pty Ltd</w:t>
      </w:r>
    </w:p>
    <w:p w14:paraId="5F4D54C1" w14:textId="4272D00E" w:rsidR="00E11F44" w:rsidRPr="00E11F44" w:rsidRDefault="007E490F" w:rsidP="00F163BE">
      <w:pPr>
        <w:pStyle w:val="2-SectionHeading"/>
        <w:jc w:val="both"/>
        <w:rPr>
          <w:rFonts w:cstheme="minorHAnsi"/>
          <w:color w:val="FF0000"/>
        </w:rPr>
      </w:pPr>
      <w:r w:rsidRPr="0033263D">
        <w:t xml:space="preserve">Purpose of </w:t>
      </w:r>
      <w:r w:rsidR="00FA0B04">
        <w:t>Submission</w:t>
      </w:r>
      <w:r>
        <w:t xml:space="preserve"> </w:t>
      </w:r>
    </w:p>
    <w:p w14:paraId="67C82EEB" w14:textId="76D006EE" w:rsidR="00463257" w:rsidRPr="00416580" w:rsidRDefault="00463257" w:rsidP="00F163BE">
      <w:pPr>
        <w:pStyle w:val="3Bodytext"/>
        <w:jc w:val="both"/>
      </w:pPr>
      <w:r w:rsidRPr="00EF4580">
        <w:t>The</w:t>
      </w:r>
      <w:r>
        <w:t xml:space="preserve"> Committee </w:t>
      </w:r>
      <w:r w:rsidRPr="00C01872">
        <w:t xml:space="preserve">Secretariat submission requested that </w:t>
      </w:r>
      <w:r w:rsidR="009561F7">
        <w:t xml:space="preserve">new formulations of </w:t>
      </w:r>
      <w:r w:rsidRPr="00C01872">
        <w:t xml:space="preserve">high fat </w:t>
      </w:r>
      <w:bookmarkStart w:id="0" w:name="_Hlk128490046"/>
      <w:bookmarkStart w:id="1" w:name="_Hlk128490055"/>
      <w:r w:rsidRPr="00C01872">
        <w:t>formula w</w:t>
      </w:r>
      <w:bookmarkEnd w:id="0"/>
      <w:r w:rsidRPr="00C01872">
        <w:t xml:space="preserve">ith vitamins, minerals and trace elements and low in protein and carbohydrate </w:t>
      </w:r>
      <w:bookmarkEnd w:id="1"/>
      <w:r w:rsidRPr="00C01872">
        <w:t>(KetoVie® 3:1, KetoVie® 4:1, KetoVie® Peptide 4:1) continue to be listed on the Pharmaceutical Benefits Scheme (PBS) under the existing conditions</w:t>
      </w:r>
      <w:r w:rsidR="009561F7">
        <w:t xml:space="preserve"> of the current formulations</w:t>
      </w:r>
      <w:r w:rsidRPr="00C01872">
        <w:t>.</w:t>
      </w:r>
    </w:p>
    <w:p w14:paraId="3D1D4320" w14:textId="77777777" w:rsidR="007E490F" w:rsidRPr="00FD6D8E" w:rsidRDefault="007E490F" w:rsidP="005834B6">
      <w:pPr>
        <w:pStyle w:val="2-SectionHeading"/>
        <w:numPr>
          <w:ilvl w:val="0"/>
          <w:numId w:val="1"/>
        </w:numPr>
        <w:jc w:val="both"/>
      </w:pPr>
      <w:r w:rsidRPr="009E2E8E">
        <w:t>Background</w:t>
      </w:r>
      <w:r>
        <w:t xml:space="preserve"> </w:t>
      </w:r>
    </w:p>
    <w:p w14:paraId="2AACA8F6" w14:textId="77777777" w:rsidR="00463257" w:rsidRDefault="00463257" w:rsidP="00F163BE">
      <w:pPr>
        <w:pStyle w:val="3Bodytext"/>
        <w:jc w:val="both"/>
      </w:pPr>
      <w:r w:rsidRPr="00C01872">
        <w:t>KetoVie® 3:1, KetoVie® 4:1, KetoVie® Peptide 4:1</w:t>
      </w:r>
      <w:r>
        <w:t xml:space="preserve"> were recommended by the PBAC at </w:t>
      </w:r>
      <w:r w:rsidRPr="00CB587B">
        <w:t>its November 2020 meeting</w:t>
      </w:r>
      <w:r>
        <w:t xml:space="preserve"> and are</w:t>
      </w:r>
      <w:r w:rsidRPr="00416580">
        <w:t xml:space="preserve"> </w:t>
      </w:r>
      <w:r w:rsidRPr="00CD1568">
        <w:rPr>
          <w:color w:val="000000" w:themeColor="text1"/>
        </w:rPr>
        <w:t>currently listed on the PBS as a restricted benefit</w:t>
      </w:r>
      <w:r>
        <w:rPr>
          <w:color w:val="000000" w:themeColor="text1"/>
        </w:rPr>
        <w:t xml:space="preserve"> </w:t>
      </w:r>
      <w:r w:rsidRPr="00CD1568">
        <w:rPr>
          <w:color w:val="000000" w:themeColor="text1"/>
        </w:rPr>
        <w:t xml:space="preserve">listing for </w:t>
      </w:r>
      <w:r>
        <w:rPr>
          <w:color w:val="000000" w:themeColor="text1"/>
        </w:rPr>
        <w:t>ketogenic diet.</w:t>
      </w:r>
      <w:r w:rsidRPr="00CD1568">
        <w:rPr>
          <w:color w:val="000000" w:themeColor="text1"/>
        </w:rPr>
        <w:t xml:space="preserve"> </w:t>
      </w:r>
    </w:p>
    <w:p w14:paraId="3CDAA5A8" w14:textId="6D5BBC55" w:rsidR="00463257" w:rsidRDefault="003C7B13" w:rsidP="00F163BE">
      <w:pPr>
        <w:pStyle w:val="3Bodytext"/>
        <w:jc w:val="both"/>
      </w:pPr>
      <w:r>
        <w:t>The</w:t>
      </w:r>
      <w:r w:rsidR="00463257">
        <w:t xml:space="preserve"> submission claimed</w:t>
      </w:r>
      <w:r w:rsidR="00334C4C">
        <w:t xml:space="preserve"> the new formulations of</w:t>
      </w:r>
      <w:r w:rsidR="00463257">
        <w:t xml:space="preserve"> </w:t>
      </w:r>
      <w:r w:rsidR="00463257" w:rsidRPr="002C50FA">
        <w:t xml:space="preserve">KetoVie 3:1, KetoVie 4:1 and KetoVie Peptide 4:1 </w:t>
      </w:r>
      <w:r w:rsidR="00463257">
        <w:t xml:space="preserve">continue to </w:t>
      </w:r>
      <w:r w:rsidR="00463257" w:rsidRPr="00CD1568">
        <w:t xml:space="preserve">meet the requirements for foods that have special medical purposes as set out under </w:t>
      </w:r>
      <w:r w:rsidR="00463257" w:rsidRPr="00183E77">
        <w:rPr>
          <w:i/>
          <w:iCs/>
        </w:rPr>
        <w:t>The Australia New Zealand Food Standards Code – Standard 2.9.5: Food for Special Medical Purposes</w:t>
      </w:r>
      <w:r w:rsidR="00463257">
        <w:t>.</w:t>
      </w:r>
    </w:p>
    <w:p w14:paraId="73550721" w14:textId="45EC9931" w:rsidR="00334C4C" w:rsidRPr="00C01872" w:rsidRDefault="00334C4C" w:rsidP="00F163BE">
      <w:pPr>
        <w:pStyle w:val="3Bodytext"/>
        <w:jc w:val="both"/>
      </w:pPr>
      <w:r>
        <w:t>As these products are marketed as nutritional products</w:t>
      </w:r>
      <w:r w:rsidRPr="00334C4C">
        <w:rPr>
          <w:rFonts w:ascii="Calibri" w:eastAsia="Times New Roman" w:hAnsi="Calibri" w:cs="Times New Roman"/>
          <w:szCs w:val="24"/>
        </w:rPr>
        <w:t xml:space="preserve"> </w:t>
      </w:r>
      <w:r w:rsidRPr="00334C4C">
        <w:t>and not therapeutic good</w:t>
      </w:r>
      <w:r>
        <w:t>s</w:t>
      </w:r>
      <w:r w:rsidRPr="00334C4C">
        <w:t xml:space="preserve">, </w:t>
      </w:r>
      <w:r>
        <w:t>they are</w:t>
      </w:r>
      <w:r w:rsidRPr="00334C4C">
        <w:t xml:space="preserve"> not registered in the Australian Register of Therapeutic Goods</w:t>
      </w:r>
      <w:r>
        <w:t>.</w:t>
      </w:r>
    </w:p>
    <w:p w14:paraId="1B8790B6" w14:textId="77777777" w:rsidR="00964A9F" w:rsidRDefault="00964A9F" w:rsidP="00F163BE">
      <w:pPr>
        <w:pStyle w:val="2-SectionHeading"/>
        <w:jc w:val="both"/>
      </w:pPr>
      <w:r w:rsidRPr="009D507A">
        <w:t xml:space="preserve">Requested listing </w:t>
      </w:r>
    </w:p>
    <w:p w14:paraId="4C59DA64" w14:textId="167427E6" w:rsidR="00463257" w:rsidRPr="00324350" w:rsidRDefault="00463257" w:rsidP="00F163BE">
      <w:pPr>
        <w:pStyle w:val="3Bodytext"/>
        <w:jc w:val="both"/>
      </w:pPr>
      <w:r>
        <w:t>The submission requested no changes to the existing listing</w:t>
      </w:r>
      <w:r w:rsidR="00334C4C">
        <w:t>s</w:t>
      </w:r>
      <w:r>
        <w:t xml:space="preserve"> of </w:t>
      </w:r>
      <w:r w:rsidRPr="00C01872">
        <w:t>KetoVie 3:1, KetoVie 4:1 and KetoVie Peptide 4:1</w:t>
      </w:r>
      <w:r>
        <w:t>.</w:t>
      </w:r>
    </w:p>
    <w:p w14:paraId="0436B7D8" w14:textId="77777777" w:rsidR="00C27C1C" w:rsidRDefault="00C27C1C" w:rsidP="00433F9C">
      <w:pPr>
        <w:pStyle w:val="Heading1"/>
        <w:keepNext/>
        <w:keepLines/>
        <w:numPr>
          <w:ilvl w:val="0"/>
          <w:numId w:val="1"/>
        </w:numPr>
        <w:spacing w:before="240"/>
        <w:ind w:left="709" w:hanging="709"/>
        <w:jc w:val="both"/>
        <w:rPr>
          <w:sz w:val="32"/>
          <w:szCs w:val="32"/>
        </w:rPr>
      </w:pPr>
      <w:r w:rsidRPr="003C2FB5">
        <w:rPr>
          <w:sz w:val="32"/>
          <w:szCs w:val="32"/>
        </w:rPr>
        <w:lastRenderedPageBreak/>
        <w:t>Consideration of the evidence</w:t>
      </w:r>
    </w:p>
    <w:p w14:paraId="13E3296E" w14:textId="77777777" w:rsidR="005834B6" w:rsidRPr="006E1229" w:rsidRDefault="005834B6" w:rsidP="00433F9C">
      <w:pPr>
        <w:pStyle w:val="4-SubsectionHeading"/>
        <w:rPr>
          <w:lang w:eastAsia="en-US"/>
        </w:rPr>
      </w:pPr>
      <w:bookmarkStart w:id="2" w:name="_Hlk76375935"/>
      <w:r w:rsidRPr="006E1229">
        <w:rPr>
          <w:lang w:eastAsia="en-US"/>
        </w:rPr>
        <w:t>Sponsor hearing</w:t>
      </w:r>
    </w:p>
    <w:p w14:paraId="336E9D11" w14:textId="780D2BF5" w:rsidR="005834B6" w:rsidRPr="00F91542" w:rsidRDefault="005834B6" w:rsidP="005834B6">
      <w:pPr>
        <w:widowControl w:val="0"/>
        <w:numPr>
          <w:ilvl w:val="1"/>
          <w:numId w:val="1"/>
        </w:numPr>
        <w:spacing w:after="120"/>
        <w:rPr>
          <w:rFonts w:cs="Calibri"/>
          <w:bCs/>
          <w:snapToGrid w:val="0"/>
        </w:rPr>
      </w:pPr>
      <w:r w:rsidRPr="00F91542">
        <w:rPr>
          <w:rFonts w:cs="Calibri"/>
          <w:bCs/>
          <w:snapToGrid w:val="0"/>
        </w:rPr>
        <w:t>There was no hearing for this item.</w:t>
      </w:r>
    </w:p>
    <w:p w14:paraId="670D43D0" w14:textId="77777777" w:rsidR="005834B6" w:rsidRPr="006E1229" w:rsidRDefault="005834B6" w:rsidP="005834B6">
      <w:pPr>
        <w:pStyle w:val="4-SubsectionHeading"/>
        <w:keepNext w:val="0"/>
        <w:rPr>
          <w:lang w:eastAsia="en-US"/>
        </w:rPr>
      </w:pPr>
      <w:r w:rsidRPr="006E1229">
        <w:rPr>
          <w:lang w:eastAsia="en-US"/>
        </w:rPr>
        <w:t>Consumer comments</w:t>
      </w:r>
    </w:p>
    <w:p w14:paraId="778088BA" w14:textId="5EDC14B2" w:rsidR="005834B6" w:rsidRPr="00836F75" w:rsidRDefault="005834B6" w:rsidP="005834B6">
      <w:pPr>
        <w:widowControl w:val="0"/>
        <w:numPr>
          <w:ilvl w:val="1"/>
          <w:numId w:val="1"/>
        </w:numPr>
        <w:spacing w:after="120"/>
        <w:rPr>
          <w:rFonts w:asciiTheme="minorHAnsi" w:hAnsiTheme="minorHAnsi" w:cs="Arial"/>
          <w:bCs/>
          <w:snapToGrid w:val="0"/>
        </w:rPr>
      </w:pPr>
      <w:bookmarkStart w:id="3" w:name="_Hlk76382618"/>
      <w:r w:rsidRPr="00836F75">
        <w:rPr>
          <w:rFonts w:asciiTheme="minorHAnsi" w:hAnsiTheme="minorHAnsi" w:cs="Arial"/>
          <w:bCs/>
          <w:snapToGrid w:val="0"/>
        </w:rPr>
        <w:t>The PBAC noted that no consumer comments were received for this item.</w:t>
      </w:r>
    </w:p>
    <w:bookmarkEnd w:id="2"/>
    <w:bookmarkEnd w:id="3"/>
    <w:p w14:paraId="3F679FE9" w14:textId="54FFAE47" w:rsidR="00C27C1C" w:rsidRPr="00937958" w:rsidRDefault="00463257" w:rsidP="00F163BE">
      <w:pPr>
        <w:pStyle w:val="4-SubsectionHeading"/>
        <w:keepNext w:val="0"/>
        <w:rPr>
          <w:lang w:eastAsia="en-US"/>
        </w:rPr>
      </w:pPr>
      <w:r w:rsidRPr="00463257">
        <w:rPr>
          <w:lang w:eastAsia="en-US"/>
        </w:rPr>
        <w:t>Nutritional profile</w:t>
      </w:r>
    </w:p>
    <w:p w14:paraId="6E61F241" w14:textId="5FBD69E1" w:rsidR="00334C4C" w:rsidRPr="00334C4C" w:rsidRDefault="00334C4C" w:rsidP="00F163BE">
      <w:pPr>
        <w:pStyle w:val="3Bodytext"/>
        <w:jc w:val="both"/>
        <w:rPr>
          <w:i/>
          <w:iCs/>
          <w:lang w:eastAsia="en-US"/>
        </w:rPr>
      </w:pPr>
      <w:bookmarkStart w:id="4" w:name="_Hlk86163265"/>
      <w:r>
        <w:rPr>
          <w:lang w:eastAsia="en-US"/>
        </w:rPr>
        <w:t>A comparison of the new and previous formulation of KetoVie 3:1 is provided at Table</w:t>
      </w:r>
      <w:r w:rsidR="00FF4D9E">
        <w:rPr>
          <w:lang w:eastAsia="en-US"/>
        </w:rPr>
        <w:t> </w:t>
      </w:r>
      <w:r>
        <w:rPr>
          <w:lang w:eastAsia="en-US"/>
        </w:rPr>
        <w:t>1.</w:t>
      </w:r>
    </w:p>
    <w:p w14:paraId="5B5C6025" w14:textId="03B5BEB6" w:rsidR="00463257" w:rsidRPr="006743A0" w:rsidRDefault="00463257" w:rsidP="00F163BE">
      <w:pPr>
        <w:pStyle w:val="3Bodytext"/>
        <w:jc w:val="both"/>
        <w:rPr>
          <w:i/>
          <w:iCs/>
          <w:lang w:eastAsia="en-US"/>
        </w:rPr>
      </w:pPr>
      <w:r>
        <w:rPr>
          <w:lang w:eastAsia="en-US"/>
        </w:rPr>
        <w:t>For KetoVie 3:1, t</w:t>
      </w:r>
      <w:r w:rsidRPr="00164D79">
        <w:rPr>
          <w:lang w:eastAsia="en-US"/>
        </w:rPr>
        <w:t xml:space="preserve">he submission stated that the </w:t>
      </w:r>
      <w:r>
        <w:rPr>
          <w:lang w:eastAsia="en-US"/>
        </w:rPr>
        <w:t>following changes have been made</w:t>
      </w:r>
      <w:r w:rsidR="003C7B13">
        <w:rPr>
          <w:lang w:eastAsia="en-US"/>
        </w:rPr>
        <w:t>:</w:t>
      </w:r>
    </w:p>
    <w:p w14:paraId="3FEFDFE4" w14:textId="4B28594E" w:rsidR="003C7B13" w:rsidRDefault="00463257" w:rsidP="005834B6">
      <w:pPr>
        <w:pStyle w:val="3Bodytext"/>
        <w:numPr>
          <w:ilvl w:val="0"/>
          <w:numId w:val="7"/>
        </w:numPr>
        <w:jc w:val="both"/>
      </w:pPr>
      <w:r>
        <w:t>The amount of Vitamin A has been lowered to match the levels in KetoVie 4:1 as previous clinician feedback reported some patients on higher calorie volumes approached upper limits of Vitamin A.</w:t>
      </w:r>
    </w:p>
    <w:p w14:paraId="2CB32B61" w14:textId="0CF787BA" w:rsidR="003C7B13" w:rsidRDefault="00463257" w:rsidP="005834B6">
      <w:pPr>
        <w:pStyle w:val="3Bodytext"/>
        <w:numPr>
          <w:ilvl w:val="0"/>
          <w:numId w:val="7"/>
        </w:numPr>
        <w:jc w:val="both"/>
      </w:pPr>
      <w:r>
        <w:t xml:space="preserve">The amounts for folate and folic acid have been lowered to better meet the dietary requirements and to match the levels in KetoVie 4:1. </w:t>
      </w:r>
    </w:p>
    <w:p w14:paraId="51874ED3" w14:textId="0729C0A2" w:rsidR="00463257" w:rsidRDefault="00463257" w:rsidP="005834B6">
      <w:pPr>
        <w:pStyle w:val="3Bodytext"/>
        <w:numPr>
          <w:ilvl w:val="0"/>
          <w:numId w:val="7"/>
        </w:numPr>
        <w:jc w:val="both"/>
      </w:pPr>
      <w:r>
        <w:t xml:space="preserve">The change in zinc content </w:t>
      </w:r>
      <w:r w:rsidR="00346DD6">
        <w:t>unifies</w:t>
      </w:r>
      <w:r>
        <w:t xml:space="preserve"> the micronutrient blend used across the KetoVie line of formulas for the purpose of easier administration. </w:t>
      </w:r>
    </w:p>
    <w:p w14:paraId="2D8F6A80" w14:textId="2312A1F1" w:rsidR="006A4E53" w:rsidRPr="00433F9C" w:rsidRDefault="0018501C" w:rsidP="00433F9C">
      <w:pPr>
        <w:pStyle w:val="3Bodytext"/>
        <w:numPr>
          <w:ilvl w:val="0"/>
          <w:numId w:val="7"/>
        </w:numPr>
        <w:jc w:val="both"/>
      </w:pPr>
      <w:r>
        <w:t>The primary fat source in KetoVie flavours was changed from cocoa butter to high oleic sunflower oil as a means of reducing saturated fat content and improving the levels of mono and polyunsaturated fats.</w:t>
      </w:r>
    </w:p>
    <w:p w14:paraId="057041EF" w14:textId="0D486676" w:rsidR="003C7B13" w:rsidRDefault="003C7B13" w:rsidP="00433F9C">
      <w:pPr>
        <w:pStyle w:val="3Bodytext"/>
        <w:keepNext/>
        <w:numPr>
          <w:ilvl w:val="0"/>
          <w:numId w:val="0"/>
        </w:numPr>
        <w:spacing w:after="0"/>
        <w:ind w:left="720" w:hanging="720"/>
        <w:jc w:val="both"/>
      </w:pPr>
      <w:r w:rsidRPr="00195B99">
        <w:rPr>
          <w:rFonts w:ascii="Arial Narrow" w:hAnsi="Arial Narrow"/>
          <w:b/>
          <w:bCs/>
          <w:sz w:val="20"/>
          <w:szCs w:val="20"/>
        </w:rPr>
        <w:lastRenderedPageBreak/>
        <w:t>Table 1: KetoVie 3:1 reformulation</w:t>
      </w:r>
    </w:p>
    <w:tbl>
      <w:tblPr>
        <w:tblStyle w:val="TableGrid"/>
        <w:tblW w:w="5000" w:type="pct"/>
        <w:tblLook w:val="04A0" w:firstRow="1" w:lastRow="0" w:firstColumn="1" w:lastColumn="0" w:noHBand="0" w:noVBand="1"/>
      </w:tblPr>
      <w:tblGrid>
        <w:gridCol w:w="3134"/>
        <w:gridCol w:w="1662"/>
        <w:gridCol w:w="1917"/>
        <w:gridCol w:w="2303"/>
      </w:tblGrid>
      <w:tr w:rsidR="003C7B13" w:rsidRPr="007A7F40" w14:paraId="1FC284BA" w14:textId="77777777" w:rsidTr="003C7B13">
        <w:trPr>
          <w:trHeight w:val="285"/>
          <w:tblHeader/>
        </w:trPr>
        <w:tc>
          <w:tcPr>
            <w:tcW w:w="1738" w:type="pct"/>
            <w:vMerge w:val="restart"/>
            <w:shd w:val="clear" w:color="auto" w:fill="BFBFBF" w:themeFill="background1" w:themeFillShade="BF"/>
            <w:noWrap/>
            <w:hideMark/>
          </w:tcPr>
          <w:p w14:paraId="19B8F9CD" w14:textId="77777777" w:rsidR="003C7B13" w:rsidRPr="007A7F40" w:rsidRDefault="003C7B13" w:rsidP="00433F9C">
            <w:pPr>
              <w:pStyle w:val="TableHeading"/>
            </w:pPr>
            <w:r w:rsidRPr="007A7F40">
              <w:t>Nutrient</w:t>
            </w:r>
          </w:p>
        </w:tc>
        <w:tc>
          <w:tcPr>
            <w:tcW w:w="3262" w:type="pct"/>
            <w:gridSpan w:val="3"/>
            <w:shd w:val="clear" w:color="auto" w:fill="BFBFBF" w:themeFill="background1" w:themeFillShade="BF"/>
            <w:hideMark/>
          </w:tcPr>
          <w:p w14:paraId="6853DA0E" w14:textId="77777777" w:rsidR="003C7B13" w:rsidRPr="007A7F40" w:rsidRDefault="003C7B13" w:rsidP="00433F9C">
            <w:pPr>
              <w:pStyle w:val="TableHeading"/>
            </w:pPr>
            <w:r w:rsidRPr="007A7F40">
              <w:t>Product nutritional content</w:t>
            </w:r>
            <w:r>
              <w:t xml:space="preserve"> (per 250 mL carton)</w:t>
            </w:r>
          </w:p>
        </w:tc>
      </w:tr>
      <w:tr w:rsidR="003C7B13" w:rsidRPr="007A7F40" w14:paraId="7916F2C0" w14:textId="77777777" w:rsidTr="003C7B13">
        <w:trPr>
          <w:trHeight w:val="463"/>
          <w:tblHeader/>
        </w:trPr>
        <w:tc>
          <w:tcPr>
            <w:tcW w:w="1738" w:type="pct"/>
            <w:vMerge/>
            <w:shd w:val="clear" w:color="auto" w:fill="BFBFBF" w:themeFill="background1" w:themeFillShade="BF"/>
            <w:hideMark/>
          </w:tcPr>
          <w:p w14:paraId="046AA5C5" w14:textId="77777777" w:rsidR="003C7B13" w:rsidRPr="007A7F40" w:rsidRDefault="003C7B13" w:rsidP="00433F9C">
            <w:pPr>
              <w:pStyle w:val="TableHeading"/>
            </w:pPr>
          </w:p>
        </w:tc>
        <w:tc>
          <w:tcPr>
            <w:tcW w:w="922" w:type="pct"/>
            <w:shd w:val="clear" w:color="auto" w:fill="BFBFBF" w:themeFill="background1" w:themeFillShade="BF"/>
            <w:hideMark/>
          </w:tcPr>
          <w:p w14:paraId="0A663403" w14:textId="5933AF72" w:rsidR="003C7B13" w:rsidRPr="007A7F40" w:rsidRDefault="003C7B13" w:rsidP="00433F9C">
            <w:pPr>
              <w:pStyle w:val="TableHeading"/>
            </w:pPr>
            <w:r>
              <w:t>KetoVie 3:1</w:t>
            </w:r>
            <w:r w:rsidRPr="00092B3C">
              <w:t xml:space="preserve"> </w:t>
            </w:r>
            <w:r>
              <w:t xml:space="preserve">new </w:t>
            </w:r>
            <w:r w:rsidRPr="00092B3C">
              <w:t>formulation</w:t>
            </w:r>
          </w:p>
        </w:tc>
        <w:tc>
          <w:tcPr>
            <w:tcW w:w="1063" w:type="pct"/>
            <w:shd w:val="clear" w:color="auto" w:fill="BFBFBF" w:themeFill="background1" w:themeFillShade="BF"/>
            <w:hideMark/>
          </w:tcPr>
          <w:p w14:paraId="0DE60879" w14:textId="77777777" w:rsidR="003C7B13" w:rsidRPr="007A7F40" w:rsidRDefault="003C7B13" w:rsidP="00433F9C">
            <w:pPr>
              <w:pStyle w:val="TableHeading"/>
            </w:pPr>
            <w:r>
              <w:t>KetoVie 3:1</w:t>
            </w:r>
            <w:r w:rsidRPr="00092B3C">
              <w:t xml:space="preserve"> current formulation</w:t>
            </w:r>
          </w:p>
        </w:tc>
        <w:tc>
          <w:tcPr>
            <w:tcW w:w="1277" w:type="pct"/>
            <w:shd w:val="clear" w:color="auto" w:fill="BFBFBF" w:themeFill="background1" w:themeFillShade="BF"/>
            <w:hideMark/>
          </w:tcPr>
          <w:p w14:paraId="4CDFB1F8" w14:textId="77777777" w:rsidR="003C7B13" w:rsidRPr="006E1620" w:rsidRDefault="003C7B13" w:rsidP="00433F9C">
            <w:pPr>
              <w:keepNext/>
              <w:rPr>
                <w:rFonts w:ascii="Arial Narrow" w:hAnsi="Arial Narrow" w:cs="Arial Narrow"/>
                <w:b/>
                <w:bCs/>
                <w:sz w:val="20"/>
                <w:lang w:eastAsia="en-US"/>
              </w:rPr>
            </w:pPr>
            <w:r w:rsidRPr="006E1620">
              <w:rPr>
                <w:rFonts w:ascii="Arial Narrow" w:hAnsi="Arial Narrow" w:cs="Arial Narrow"/>
                <w:b/>
                <w:bCs/>
                <w:sz w:val="20"/>
                <w:lang w:eastAsia="en-US"/>
              </w:rPr>
              <w:t>New formula/current formula nutritional content</w:t>
            </w:r>
          </w:p>
        </w:tc>
      </w:tr>
      <w:tr w:rsidR="003C7B13" w:rsidRPr="0074646B" w14:paraId="3A5E6FCF" w14:textId="77777777" w:rsidTr="003C7B13">
        <w:trPr>
          <w:trHeight w:val="255"/>
        </w:trPr>
        <w:tc>
          <w:tcPr>
            <w:tcW w:w="1738" w:type="pct"/>
            <w:noWrap/>
          </w:tcPr>
          <w:p w14:paraId="006BB7C0" w14:textId="77777777" w:rsidR="003C7B13" w:rsidRPr="004C01F9" w:rsidRDefault="003C7B13" w:rsidP="00433F9C">
            <w:pPr>
              <w:pStyle w:val="TableText0"/>
              <w:jc w:val="both"/>
            </w:pPr>
            <w:r w:rsidRPr="004C01F9">
              <w:t>Energy (kilojoule)</w:t>
            </w:r>
          </w:p>
        </w:tc>
        <w:tc>
          <w:tcPr>
            <w:tcW w:w="922" w:type="pct"/>
            <w:noWrap/>
          </w:tcPr>
          <w:p w14:paraId="3F74E7F0" w14:textId="77777777" w:rsidR="003C7B13" w:rsidRPr="004C01F9" w:rsidRDefault="003C7B13" w:rsidP="00433F9C">
            <w:pPr>
              <w:pStyle w:val="TableText0"/>
              <w:jc w:val="both"/>
            </w:pPr>
            <w:r w:rsidRPr="004C01F9">
              <w:t>1106</w:t>
            </w:r>
          </w:p>
        </w:tc>
        <w:tc>
          <w:tcPr>
            <w:tcW w:w="1063" w:type="pct"/>
            <w:noWrap/>
          </w:tcPr>
          <w:p w14:paraId="02F2BBF5" w14:textId="77777777" w:rsidR="003C7B13" w:rsidRPr="004C01F9" w:rsidRDefault="003C7B13" w:rsidP="00433F9C">
            <w:pPr>
              <w:pStyle w:val="TableText0"/>
              <w:jc w:val="both"/>
            </w:pPr>
            <w:r w:rsidRPr="004C01F9">
              <w:t>1088</w:t>
            </w:r>
          </w:p>
        </w:tc>
        <w:tc>
          <w:tcPr>
            <w:tcW w:w="1277" w:type="pct"/>
            <w:noWrap/>
          </w:tcPr>
          <w:p w14:paraId="352155CF" w14:textId="77777777" w:rsidR="003C7B13" w:rsidRPr="004C01F9" w:rsidRDefault="003C7B13" w:rsidP="00433F9C">
            <w:pPr>
              <w:pStyle w:val="TableText0"/>
              <w:jc w:val="both"/>
            </w:pPr>
            <w:r w:rsidRPr="004C01F9">
              <w:t>102%</w:t>
            </w:r>
          </w:p>
        </w:tc>
      </w:tr>
      <w:tr w:rsidR="003C7B13" w:rsidRPr="004C01F9" w14:paraId="6C61461A" w14:textId="77777777" w:rsidTr="003C7B13">
        <w:trPr>
          <w:trHeight w:val="255"/>
        </w:trPr>
        <w:tc>
          <w:tcPr>
            <w:tcW w:w="1738" w:type="pct"/>
            <w:noWrap/>
            <w:hideMark/>
          </w:tcPr>
          <w:p w14:paraId="53F4315D" w14:textId="77777777" w:rsidR="003C7B13" w:rsidRPr="004C01F9" w:rsidRDefault="003C7B13" w:rsidP="00433F9C">
            <w:pPr>
              <w:pStyle w:val="TableText0"/>
              <w:jc w:val="both"/>
            </w:pPr>
            <w:r w:rsidRPr="004C01F9">
              <w:t>Protein (g)</w:t>
            </w:r>
          </w:p>
        </w:tc>
        <w:tc>
          <w:tcPr>
            <w:tcW w:w="922" w:type="pct"/>
            <w:noWrap/>
          </w:tcPr>
          <w:p w14:paraId="5A169C78" w14:textId="77777777" w:rsidR="003C7B13" w:rsidRPr="004C01F9" w:rsidRDefault="003C7B13" w:rsidP="00433F9C">
            <w:pPr>
              <w:pStyle w:val="TableText0"/>
              <w:jc w:val="both"/>
            </w:pPr>
            <w:r w:rsidRPr="004C01F9">
              <w:t>7</w:t>
            </w:r>
          </w:p>
        </w:tc>
        <w:tc>
          <w:tcPr>
            <w:tcW w:w="1063" w:type="pct"/>
            <w:noWrap/>
          </w:tcPr>
          <w:p w14:paraId="307D7FB6" w14:textId="77777777" w:rsidR="003C7B13" w:rsidRPr="004C01F9" w:rsidRDefault="003C7B13" w:rsidP="00433F9C">
            <w:pPr>
              <w:pStyle w:val="TableText0"/>
              <w:jc w:val="both"/>
            </w:pPr>
            <w:r w:rsidRPr="004C01F9">
              <w:t>7</w:t>
            </w:r>
          </w:p>
        </w:tc>
        <w:tc>
          <w:tcPr>
            <w:tcW w:w="1277" w:type="pct"/>
            <w:noWrap/>
          </w:tcPr>
          <w:p w14:paraId="599933F8" w14:textId="77777777" w:rsidR="003C7B13" w:rsidRPr="004C01F9" w:rsidRDefault="003C7B13" w:rsidP="00433F9C">
            <w:pPr>
              <w:pStyle w:val="TableText0"/>
              <w:jc w:val="both"/>
            </w:pPr>
            <w:r w:rsidRPr="004C01F9">
              <w:t>100%</w:t>
            </w:r>
          </w:p>
        </w:tc>
      </w:tr>
      <w:tr w:rsidR="003C7B13" w:rsidRPr="004C01F9" w14:paraId="04D26126" w14:textId="77777777" w:rsidTr="003C7B13">
        <w:trPr>
          <w:trHeight w:val="255"/>
        </w:trPr>
        <w:tc>
          <w:tcPr>
            <w:tcW w:w="1738" w:type="pct"/>
            <w:noWrap/>
            <w:hideMark/>
          </w:tcPr>
          <w:p w14:paraId="6ACB49D4" w14:textId="77777777" w:rsidR="003C7B13" w:rsidRPr="004C01F9" w:rsidRDefault="003C7B13" w:rsidP="00433F9C">
            <w:pPr>
              <w:pStyle w:val="TableText0"/>
              <w:jc w:val="both"/>
            </w:pPr>
            <w:r w:rsidRPr="004C01F9">
              <w:t>Carbohydrate (g)</w:t>
            </w:r>
          </w:p>
        </w:tc>
        <w:tc>
          <w:tcPr>
            <w:tcW w:w="922" w:type="pct"/>
            <w:noWrap/>
          </w:tcPr>
          <w:p w14:paraId="13DC49EC" w14:textId="77777777" w:rsidR="003C7B13" w:rsidRPr="004C01F9" w:rsidRDefault="003C7B13" w:rsidP="00433F9C">
            <w:pPr>
              <w:pStyle w:val="TableText0"/>
              <w:jc w:val="both"/>
            </w:pPr>
            <w:r w:rsidRPr="004C01F9">
              <w:t>1.3</w:t>
            </w:r>
          </w:p>
        </w:tc>
        <w:tc>
          <w:tcPr>
            <w:tcW w:w="1063" w:type="pct"/>
            <w:noWrap/>
          </w:tcPr>
          <w:p w14:paraId="050C989D" w14:textId="77777777" w:rsidR="003C7B13" w:rsidRPr="004C01F9" w:rsidRDefault="003C7B13" w:rsidP="00433F9C">
            <w:pPr>
              <w:pStyle w:val="TableText0"/>
              <w:jc w:val="both"/>
            </w:pPr>
            <w:r w:rsidRPr="004C01F9">
              <w:t>1.3</w:t>
            </w:r>
          </w:p>
        </w:tc>
        <w:tc>
          <w:tcPr>
            <w:tcW w:w="1277" w:type="pct"/>
            <w:noWrap/>
          </w:tcPr>
          <w:p w14:paraId="4F476326" w14:textId="77777777" w:rsidR="003C7B13" w:rsidRPr="004C01F9" w:rsidRDefault="003C7B13" w:rsidP="00433F9C">
            <w:pPr>
              <w:pStyle w:val="TableText0"/>
              <w:jc w:val="both"/>
            </w:pPr>
            <w:r w:rsidRPr="004C01F9">
              <w:t>100%</w:t>
            </w:r>
          </w:p>
        </w:tc>
      </w:tr>
      <w:tr w:rsidR="003C7B13" w:rsidRPr="004C01F9" w14:paraId="098CC16D" w14:textId="77777777" w:rsidTr="003C7B13">
        <w:trPr>
          <w:trHeight w:val="255"/>
        </w:trPr>
        <w:tc>
          <w:tcPr>
            <w:tcW w:w="1738" w:type="pct"/>
            <w:noWrap/>
            <w:hideMark/>
          </w:tcPr>
          <w:p w14:paraId="15E59698" w14:textId="77777777" w:rsidR="003C7B13" w:rsidRPr="004C01F9" w:rsidRDefault="003C7B13" w:rsidP="00433F9C">
            <w:pPr>
              <w:pStyle w:val="TableText0"/>
              <w:jc w:val="both"/>
            </w:pPr>
            <w:r w:rsidRPr="004C01F9">
              <w:t>Fibre (g)</w:t>
            </w:r>
          </w:p>
        </w:tc>
        <w:tc>
          <w:tcPr>
            <w:tcW w:w="922" w:type="pct"/>
            <w:noWrap/>
          </w:tcPr>
          <w:p w14:paraId="23CF1580" w14:textId="77777777" w:rsidR="003C7B13" w:rsidRPr="004C01F9" w:rsidRDefault="003C7B13" w:rsidP="00433F9C">
            <w:pPr>
              <w:pStyle w:val="TableText0"/>
              <w:jc w:val="both"/>
            </w:pPr>
            <w:r w:rsidRPr="004C01F9">
              <w:t>1</w:t>
            </w:r>
          </w:p>
        </w:tc>
        <w:tc>
          <w:tcPr>
            <w:tcW w:w="1063" w:type="pct"/>
            <w:noWrap/>
          </w:tcPr>
          <w:p w14:paraId="5A78A69F" w14:textId="77777777" w:rsidR="003C7B13" w:rsidRPr="004C01F9" w:rsidRDefault="003C7B13" w:rsidP="00433F9C">
            <w:pPr>
              <w:pStyle w:val="TableText0"/>
              <w:jc w:val="both"/>
            </w:pPr>
            <w:r w:rsidRPr="004C01F9">
              <w:t>1</w:t>
            </w:r>
          </w:p>
        </w:tc>
        <w:tc>
          <w:tcPr>
            <w:tcW w:w="1277" w:type="pct"/>
            <w:noWrap/>
          </w:tcPr>
          <w:p w14:paraId="619D0CFB" w14:textId="77777777" w:rsidR="003C7B13" w:rsidRPr="004C01F9" w:rsidRDefault="003C7B13" w:rsidP="00433F9C">
            <w:pPr>
              <w:pStyle w:val="TableText0"/>
              <w:jc w:val="both"/>
            </w:pPr>
            <w:r w:rsidRPr="004C01F9">
              <w:t>100%</w:t>
            </w:r>
          </w:p>
        </w:tc>
      </w:tr>
      <w:tr w:rsidR="003C7B13" w:rsidRPr="004C01F9" w14:paraId="7C158192" w14:textId="77777777" w:rsidTr="003C7B13">
        <w:trPr>
          <w:trHeight w:val="255"/>
        </w:trPr>
        <w:tc>
          <w:tcPr>
            <w:tcW w:w="1738" w:type="pct"/>
            <w:noWrap/>
            <w:hideMark/>
          </w:tcPr>
          <w:p w14:paraId="77E524A6" w14:textId="77777777" w:rsidR="003C7B13" w:rsidRPr="004C01F9" w:rsidRDefault="003C7B13" w:rsidP="00433F9C">
            <w:pPr>
              <w:pStyle w:val="TableText0"/>
              <w:jc w:val="both"/>
            </w:pPr>
            <w:r w:rsidRPr="004C01F9">
              <w:t>Fat (g)</w:t>
            </w:r>
          </w:p>
        </w:tc>
        <w:tc>
          <w:tcPr>
            <w:tcW w:w="922" w:type="pct"/>
            <w:noWrap/>
          </w:tcPr>
          <w:p w14:paraId="2CBBDB08" w14:textId="77777777" w:rsidR="003C7B13" w:rsidRPr="004C01F9" w:rsidRDefault="003C7B13" w:rsidP="00433F9C">
            <w:pPr>
              <w:pStyle w:val="TableText0"/>
              <w:jc w:val="both"/>
            </w:pPr>
            <w:r w:rsidRPr="004C01F9">
              <w:t>25</w:t>
            </w:r>
          </w:p>
        </w:tc>
        <w:tc>
          <w:tcPr>
            <w:tcW w:w="1063" w:type="pct"/>
            <w:noWrap/>
          </w:tcPr>
          <w:p w14:paraId="3DCE9CF2" w14:textId="77777777" w:rsidR="003C7B13" w:rsidRPr="004C01F9" w:rsidRDefault="003C7B13" w:rsidP="00433F9C">
            <w:pPr>
              <w:pStyle w:val="TableText0"/>
              <w:jc w:val="both"/>
            </w:pPr>
            <w:r w:rsidRPr="004C01F9">
              <w:t>25</w:t>
            </w:r>
          </w:p>
        </w:tc>
        <w:tc>
          <w:tcPr>
            <w:tcW w:w="1277" w:type="pct"/>
            <w:noWrap/>
          </w:tcPr>
          <w:p w14:paraId="3A67BDFD" w14:textId="77777777" w:rsidR="003C7B13" w:rsidRPr="004C01F9" w:rsidRDefault="003C7B13" w:rsidP="00433F9C">
            <w:pPr>
              <w:pStyle w:val="TableText0"/>
              <w:jc w:val="both"/>
            </w:pPr>
            <w:r w:rsidRPr="004C01F9">
              <w:t>100%</w:t>
            </w:r>
          </w:p>
        </w:tc>
      </w:tr>
      <w:tr w:rsidR="003C7B13" w:rsidRPr="004C01F9" w14:paraId="544C67EA" w14:textId="77777777" w:rsidTr="003C7B13">
        <w:trPr>
          <w:trHeight w:val="255"/>
        </w:trPr>
        <w:tc>
          <w:tcPr>
            <w:tcW w:w="1738" w:type="pct"/>
            <w:noWrap/>
            <w:hideMark/>
          </w:tcPr>
          <w:p w14:paraId="6018C489" w14:textId="77777777" w:rsidR="003C7B13" w:rsidRPr="004C01F9" w:rsidRDefault="003C7B13" w:rsidP="00433F9C">
            <w:pPr>
              <w:pStyle w:val="TableText0"/>
              <w:jc w:val="both"/>
            </w:pPr>
            <w:r w:rsidRPr="004C01F9">
              <w:t>DHA (mg)</w:t>
            </w:r>
          </w:p>
        </w:tc>
        <w:tc>
          <w:tcPr>
            <w:tcW w:w="922" w:type="pct"/>
            <w:noWrap/>
          </w:tcPr>
          <w:p w14:paraId="31389768" w14:textId="77777777" w:rsidR="003C7B13" w:rsidRPr="004C01F9" w:rsidRDefault="003C7B13" w:rsidP="00433F9C">
            <w:pPr>
              <w:pStyle w:val="TableText0"/>
              <w:jc w:val="both"/>
            </w:pPr>
            <w:r w:rsidRPr="004C01F9">
              <w:t>93</w:t>
            </w:r>
          </w:p>
        </w:tc>
        <w:tc>
          <w:tcPr>
            <w:tcW w:w="1063" w:type="pct"/>
            <w:noWrap/>
          </w:tcPr>
          <w:p w14:paraId="6315503D" w14:textId="77777777" w:rsidR="003C7B13" w:rsidRPr="004C01F9" w:rsidRDefault="003C7B13" w:rsidP="00433F9C">
            <w:pPr>
              <w:pStyle w:val="TableText0"/>
              <w:jc w:val="both"/>
            </w:pPr>
            <w:r w:rsidRPr="004C01F9">
              <w:t>93</w:t>
            </w:r>
          </w:p>
        </w:tc>
        <w:tc>
          <w:tcPr>
            <w:tcW w:w="1277" w:type="pct"/>
            <w:noWrap/>
          </w:tcPr>
          <w:p w14:paraId="43B41DBC" w14:textId="77777777" w:rsidR="003C7B13" w:rsidRPr="004C01F9" w:rsidRDefault="003C7B13" w:rsidP="00433F9C">
            <w:pPr>
              <w:pStyle w:val="TableText0"/>
              <w:jc w:val="both"/>
            </w:pPr>
            <w:r w:rsidRPr="004C01F9">
              <w:t>100%</w:t>
            </w:r>
          </w:p>
        </w:tc>
      </w:tr>
      <w:tr w:rsidR="003C7B13" w:rsidRPr="0074646B" w14:paraId="10B256E1" w14:textId="77777777" w:rsidTr="003C7B13">
        <w:trPr>
          <w:trHeight w:val="255"/>
        </w:trPr>
        <w:tc>
          <w:tcPr>
            <w:tcW w:w="1738" w:type="pct"/>
            <w:noWrap/>
            <w:hideMark/>
          </w:tcPr>
          <w:p w14:paraId="123B4C42" w14:textId="77777777" w:rsidR="003C7B13" w:rsidRPr="0074646B" w:rsidRDefault="003C7B13" w:rsidP="00433F9C">
            <w:pPr>
              <w:pStyle w:val="TableText0"/>
              <w:jc w:val="both"/>
            </w:pPr>
            <w:r w:rsidRPr="008E581C">
              <w:t>Vitamin A (mcg retinol equivalents)</w:t>
            </w:r>
          </w:p>
        </w:tc>
        <w:tc>
          <w:tcPr>
            <w:tcW w:w="922" w:type="pct"/>
            <w:noWrap/>
          </w:tcPr>
          <w:p w14:paraId="07E94810" w14:textId="77777777" w:rsidR="003C7B13" w:rsidRPr="0074646B" w:rsidRDefault="003C7B13" w:rsidP="00433F9C">
            <w:pPr>
              <w:pStyle w:val="TableText0"/>
              <w:jc w:val="both"/>
            </w:pPr>
            <w:r w:rsidRPr="008E581C">
              <w:t>167</w:t>
            </w:r>
          </w:p>
        </w:tc>
        <w:tc>
          <w:tcPr>
            <w:tcW w:w="1063" w:type="pct"/>
            <w:noWrap/>
          </w:tcPr>
          <w:p w14:paraId="1B7E3740" w14:textId="77777777" w:rsidR="003C7B13" w:rsidRPr="0074646B" w:rsidRDefault="003C7B13" w:rsidP="00433F9C">
            <w:pPr>
              <w:pStyle w:val="TableText0"/>
              <w:jc w:val="both"/>
            </w:pPr>
            <w:r w:rsidRPr="008E581C">
              <w:t>188</w:t>
            </w:r>
          </w:p>
        </w:tc>
        <w:tc>
          <w:tcPr>
            <w:tcW w:w="1277" w:type="pct"/>
            <w:noWrap/>
          </w:tcPr>
          <w:p w14:paraId="541A56E2" w14:textId="77777777" w:rsidR="003C7B13" w:rsidRPr="0074646B" w:rsidRDefault="003C7B13" w:rsidP="00433F9C">
            <w:pPr>
              <w:pStyle w:val="TableText0"/>
              <w:jc w:val="both"/>
            </w:pPr>
            <w:r w:rsidRPr="008E581C">
              <w:t>89%</w:t>
            </w:r>
          </w:p>
        </w:tc>
      </w:tr>
      <w:tr w:rsidR="003C7B13" w:rsidRPr="0074646B" w14:paraId="0C291E1B" w14:textId="77777777" w:rsidTr="003C7B13">
        <w:trPr>
          <w:trHeight w:val="255"/>
        </w:trPr>
        <w:tc>
          <w:tcPr>
            <w:tcW w:w="1738" w:type="pct"/>
            <w:noWrap/>
            <w:hideMark/>
          </w:tcPr>
          <w:p w14:paraId="24BBA6AB" w14:textId="77777777" w:rsidR="003C7B13" w:rsidRPr="0074646B" w:rsidRDefault="003C7B13" w:rsidP="00433F9C">
            <w:pPr>
              <w:pStyle w:val="TableText0"/>
              <w:jc w:val="both"/>
            </w:pPr>
            <w:r w:rsidRPr="008E581C">
              <w:t>Vitamin D (mcg of cholecalciferol)</w:t>
            </w:r>
          </w:p>
        </w:tc>
        <w:tc>
          <w:tcPr>
            <w:tcW w:w="922" w:type="pct"/>
            <w:noWrap/>
          </w:tcPr>
          <w:p w14:paraId="4DF5B90D" w14:textId="77777777" w:rsidR="003C7B13" w:rsidRPr="0074646B" w:rsidRDefault="003C7B13" w:rsidP="00433F9C">
            <w:pPr>
              <w:pStyle w:val="TableText0"/>
              <w:jc w:val="both"/>
            </w:pPr>
            <w:r w:rsidRPr="008E581C">
              <w:t>6.3</w:t>
            </w:r>
          </w:p>
        </w:tc>
        <w:tc>
          <w:tcPr>
            <w:tcW w:w="1063" w:type="pct"/>
            <w:noWrap/>
          </w:tcPr>
          <w:p w14:paraId="66C8F3C6" w14:textId="77777777" w:rsidR="003C7B13" w:rsidRPr="0074646B" w:rsidRDefault="003C7B13" w:rsidP="00433F9C">
            <w:pPr>
              <w:pStyle w:val="TableText0"/>
              <w:jc w:val="both"/>
            </w:pPr>
            <w:r w:rsidRPr="008E581C">
              <w:t>6</w:t>
            </w:r>
          </w:p>
        </w:tc>
        <w:tc>
          <w:tcPr>
            <w:tcW w:w="1277" w:type="pct"/>
            <w:noWrap/>
          </w:tcPr>
          <w:p w14:paraId="463CDAC8" w14:textId="77777777" w:rsidR="003C7B13" w:rsidRPr="0074646B" w:rsidRDefault="003C7B13" w:rsidP="00433F9C">
            <w:pPr>
              <w:pStyle w:val="TableText0"/>
              <w:jc w:val="both"/>
            </w:pPr>
            <w:r w:rsidRPr="008E581C">
              <w:t>105%</w:t>
            </w:r>
          </w:p>
        </w:tc>
      </w:tr>
      <w:tr w:rsidR="003C7B13" w:rsidRPr="0074646B" w14:paraId="3E66A083" w14:textId="77777777" w:rsidTr="003C7B13">
        <w:trPr>
          <w:trHeight w:val="255"/>
        </w:trPr>
        <w:tc>
          <w:tcPr>
            <w:tcW w:w="1738" w:type="pct"/>
            <w:noWrap/>
            <w:hideMark/>
          </w:tcPr>
          <w:p w14:paraId="2074B95E" w14:textId="77777777" w:rsidR="003C7B13" w:rsidRPr="0074646B" w:rsidRDefault="003C7B13" w:rsidP="00433F9C">
            <w:pPr>
              <w:pStyle w:val="TableText0"/>
              <w:jc w:val="both"/>
              <w:rPr>
                <w:b/>
                <w:bCs w:val="0"/>
              </w:rPr>
            </w:pPr>
            <w:r w:rsidRPr="008E581C">
              <w:t>Vitamin E (mg a-tocopherol equivalents)</w:t>
            </w:r>
          </w:p>
        </w:tc>
        <w:tc>
          <w:tcPr>
            <w:tcW w:w="922" w:type="pct"/>
            <w:noWrap/>
          </w:tcPr>
          <w:p w14:paraId="38F81088" w14:textId="77777777" w:rsidR="003C7B13" w:rsidRPr="0074646B" w:rsidRDefault="003C7B13" w:rsidP="00433F9C">
            <w:pPr>
              <w:pStyle w:val="TableText0"/>
              <w:jc w:val="both"/>
              <w:rPr>
                <w:b/>
                <w:bCs w:val="0"/>
              </w:rPr>
            </w:pPr>
            <w:r w:rsidRPr="008E581C">
              <w:t>2.8</w:t>
            </w:r>
          </w:p>
        </w:tc>
        <w:tc>
          <w:tcPr>
            <w:tcW w:w="1063" w:type="pct"/>
            <w:noWrap/>
          </w:tcPr>
          <w:p w14:paraId="1F9F12E4" w14:textId="77777777" w:rsidR="003C7B13" w:rsidRPr="0074646B" w:rsidRDefault="003C7B13" w:rsidP="00433F9C">
            <w:pPr>
              <w:pStyle w:val="TableText0"/>
              <w:jc w:val="both"/>
              <w:rPr>
                <w:b/>
                <w:bCs w:val="0"/>
              </w:rPr>
            </w:pPr>
            <w:r w:rsidRPr="008E581C">
              <w:t>2.8</w:t>
            </w:r>
          </w:p>
        </w:tc>
        <w:tc>
          <w:tcPr>
            <w:tcW w:w="1277" w:type="pct"/>
            <w:noWrap/>
          </w:tcPr>
          <w:p w14:paraId="34A4745E" w14:textId="77777777" w:rsidR="003C7B13" w:rsidRPr="0074646B" w:rsidRDefault="003C7B13" w:rsidP="00433F9C">
            <w:pPr>
              <w:pStyle w:val="TableText0"/>
              <w:jc w:val="both"/>
              <w:rPr>
                <w:b/>
                <w:bCs w:val="0"/>
              </w:rPr>
            </w:pPr>
            <w:r w:rsidRPr="008E581C">
              <w:t>100%</w:t>
            </w:r>
          </w:p>
        </w:tc>
      </w:tr>
      <w:tr w:rsidR="003C7B13" w:rsidRPr="0074646B" w14:paraId="076DAF5E" w14:textId="77777777" w:rsidTr="003C7B13">
        <w:trPr>
          <w:trHeight w:val="255"/>
        </w:trPr>
        <w:tc>
          <w:tcPr>
            <w:tcW w:w="1738" w:type="pct"/>
            <w:hideMark/>
          </w:tcPr>
          <w:p w14:paraId="0228A5C6" w14:textId="77777777" w:rsidR="003C7B13" w:rsidRPr="0074646B" w:rsidRDefault="003C7B13" w:rsidP="00433F9C">
            <w:pPr>
              <w:pStyle w:val="TableText0"/>
              <w:jc w:val="both"/>
            </w:pPr>
            <w:r w:rsidRPr="008E581C">
              <w:t>Vitamin K (mcg)</w:t>
            </w:r>
          </w:p>
        </w:tc>
        <w:tc>
          <w:tcPr>
            <w:tcW w:w="922" w:type="pct"/>
          </w:tcPr>
          <w:p w14:paraId="6C6C4AC9" w14:textId="77777777" w:rsidR="003C7B13" w:rsidRPr="0074646B" w:rsidRDefault="003C7B13" w:rsidP="00433F9C">
            <w:pPr>
              <w:pStyle w:val="TableText0"/>
              <w:jc w:val="both"/>
            </w:pPr>
            <w:r w:rsidRPr="008E581C">
              <w:t>20</w:t>
            </w:r>
          </w:p>
        </w:tc>
        <w:tc>
          <w:tcPr>
            <w:tcW w:w="1063" w:type="pct"/>
          </w:tcPr>
          <w:p w14:paraId="117DE128" w14:textId="77777777" w:rsidR="003C7B13" w:rsidRPr="0074646B" w:rsidRDefault="003C7B13" w:rsidP="00433F9C">
            <w:pPr>
              <w:pStyle w:val="TableText0"/>
              <w:jc w:val="both"/>
            </w:pPr>
            <w:r w:rsidRPr="008E581C">
              <w:t>20</w:t>
            </w:r>
          </w:p>
        </w:tc>
        <w:tc>
          <w:tcPr>
            <w:tcW w:w="1277" w:type="pct"/>
            <w:noWrap/>
          </w:tcPr>
          <w:p w14:paraId="253387BC" w14:textId="77777777" w:rsidR="003C7B13" w:rsidRPr="0074646B" w:rsidRDefault="003C7B13" w:rsidP="00433F9C">
            <w:pPr>
              <w:pStyle w:val="TableText0"/>
              <w:jc w:val="both"/>
            </w:pPr>
            <w:r w:rsidRPr="008E581C">
              <w:t>100%</w:t>
            </w:r>
          </w:p>
        </w:tc>
      </w:tr>
      <w:tr w:rsidR="003C7B13" w:rsidRPr="0074646B" w14:paraId="767F7DF6" w14:textId="77777777" w:rsidTr="003C7B13">
        <w:trPr>
          <w:trHeight w:val="255"/>
        </w:trPr>
        <w:tc>
          <w:tcPr>
            <w:tcW w:w="1738" w:type="pct"/>
            <w:hideMark/>
          </w:tcPr>
          <w:p w14:paraId="15ED598E" w14:textId="77777777" w:rsidR="003C7B13" w:rsidRPr="0074646B" w:rsidRDefault="003C7B13" w:rsidP="00433F9C">
            <w:pPr>
              <w:pStyle w:val="TableText0"/>
              <w:jc w:val="both"/>
            </w:pPr>
            <w:r w:rsidRPr="008E581C">
              <w:t>Vitamin K1 (mcg)</w:t>
            </w:r>
          </w:p>
        </w:tc>
        <w:tc>
          <w:tcPr>
            <w:tcW w:w="922" w:type="pct"/>
          </w:tcPr>
          <w:p w14:paraId="4D915D19" w14:textId="77777777" w:rsidR="003C7B13" w:rsidRPr="0074646B" w:rsidRDefault="003C7B13" w:rsidP="00433F9C">
            <w:pPr>
              <w:pStyle w:val="TableText0"/>
              <w:jc w:val="both"/>
            </w:pPr>
            <w:r w:rsidRPr="008E581C">
              <w:t>10</w:t>
            </w:r>
          </w:p>
        </w:tc>
        <w:tc>
          <w:tcPr>
            <w:tcW w:w="1063" w:type="pct"/>
          </w:tcPr>
          <w:p w14:paraId="5CAD70FB" w14:textId="77777777" w:rsidR="003C7B13" w:rsidRPr="0074646B" w:rsidRDefault="003C7B13" w:rsidP="00433F9C">
            <w:pPr>
              <w:pStyle w:val="TableText0"/>
              <w:jc w:val="both"/>
            </w:pPr>
            <w:r w:rsidRPr="008E581C">
              <w:t>20</w:t>
            </w:r>
          </w:p>
        </w:tc>
        <w:tc>
          <w:tcPr>
            <w:tcW w:w="1277" w:type="pct"/>
            <w:noWrap/>
          </w:tcPr>
          <w:p w14:paraId="04D4326A" w14:textId="77777777" w:rsidR="003C7B13" w:rsidRPr="0074646B" w:rsidRDefault="003C7B13" w:rsidP="00433F9C">
            <w:pPr>
              <w:pStyle w:val="TableText0"/>
              <w:jc w:val="both"/>
            </w:pPr>
            <w:r w:rsidRPr="008E581C">
              <w:t>50%</w:t>
            </w:r>
          </w:p>
        </w:tc>
      </w:tr>
      <w:tr w:rsidR="003C7B13" w:rsidRPr="0074646B" w14:paraId="3AA2D078" w14:textId="77777777" w:rsidTr="003C7B13">
        <w:trPr>
          <w:trHeight w:val="255"/>
        </w:trPr>
        <w:tc>
          <w:tcPr>
            <w:tcW w:w="1738" w:type="pct"/>
            <w:hideMark/>
          </w:tcPr>
          <w:p w14:paraId="14104D8A" w14:textId="77777777" w:rsidR="003C7B13" w:rsidRPr="0074646B" w:rsidRDefault="003C7B13" w:rsidP="00433F9C">
            <w:pPr>
              <w:pStyle w:val="TableText0"/>
              <w:jc w:val="both"/>
            </w:pPr>
            <w:r w:rsidRPr="008E581C">
              <w:t>Vitamin K2 (MK-7) (mcg)</w:t>
            </w:r>
          </w:p>
        </w:tc>
        <w:tc>
          <w:tcPr>
            <w:tcW w:w="922" w:type="pct"/>
          </w:tcPr>
          <w:p w14:paraId="507B74AF" w14:textId="77777777" w:rsidR="003C7B13" w:rsidRPr="0074646B" w:rsidRDefault="003C7B13" w:rsidP="00433F9C">
            <w:pPr>
              <w:pStyle w:val="TableText0"/>
              <w:jc w:val="both"/>
            </w:pPr>
            <w:r w:rsidRPr="008E581C">
              <w:t>10</w:t>
            </w:r>
          </w:p>
        </w:tc>
        <w:tc>
          <w:tcPr>
            <w:tcW w:w="1063" w:type="pct"/>
          </w:tcPr>
          <w:p w14:paraId="2B383757" w14:textId="77777777" w:rsidR="003C7B13" w:rsidRPr="0074646B" w:rsidRDefault="003C7B13" w:rsidP="00433F9C">
            <w:pPr>
              <w:pStyle w:val="TableText0"/>
              <w:jc w:val="both"/>
            </w:pPr>
            <w:r w:rsidRPr="008E581C">
              <w:t>0</w:t>
            </w:r>
          </w:p>
        </w:tc>
        <w:tc>
          <w:tcPr>
            <w:tcW w:w="1277" w:type="pct"/>
            <w:noWrap/>
          </w:tcPr>
          <w:p w14:paraId="26AFCF50" w14:textId="77777777" w:rsidR="003C7B13" w:rsidRPr="0074646B" w:rsidRDefault="003C7B13" w:rsidP="00433F9C">
            <w:pPr>
              <w:pStyle w:val="TableText0"/>
              <w:jc w:val="both"/>
            </w:pPr>
            <w:r w:rsidRPr="008E581C">
              <w:t>#DIV/0!</w:t>
            </w:r>
          </w:p>
        </w:tc>
      </w:tr>
      <w:tr w:rsidR="003C7B13" w:rsidRPr="0074646B" w14:paraId="10AA86F6" w14:textId="77777777" w:rsidTr="003C7B13">
        <w:trPr>
          <w:trHeight w:val="255"/>
        </w:trPr>
        <w:tc>
          <w:tcPr>
            <w:tcW w:w="1738" w:type="pct"/>
            <w:hideMark/>
          </w:tcPr>
          <w:p w14:paraId="13245ADF" w14:textId="77777777" w:rsidR="003C7B13" w:rsidRPr="0074646B" w:rsidRDefault="003C7B13" w:rsidP="00433F9C">
            <w:pPr>
              <w:pStyle w:val="TableText0"/>
              <w:jc w:val="both"/>
            </w:pPr>
            <w:r w:rsidRPr="008E581C">
              <w:t>Thiamin / B1 (mg)</w:t>
            </w:r>
          </w:p>
        </w:tc>
        <w:tc>
          <w:tcPr>
            <w:tcW w:w="922" w:type="pct"/>
            <w:noWrap/>
          </w:tcPr>
          <w:p w14:paraId="74BED73A" w14:textId="77777777" w:rsidR="003C7B13" w:rsidRPr="0074646B" w:rsidRDefault="003C7B13" w:rsidP="00433F9C">
            <w:pPr>
              <w:pStyle w:val="TableText0"/>
              <w:jc w:val="both"/>
            </w:pPr>
            <w:r w:rsidRPr="008E581C">
              <w:t>0.3</w:t>
            </w:r>
          </w:p>
        </w:tc>
        <w:tc>
          <w:tcPr>
            <w:tcW w:w="1063" w:type="pct"/>
          </w:tcPr>
          <w:p w14:paraId="5853D171" w14:textId="77777777" w:rsidR="003C7B13" w:rsidRPr="0074646B" w:rsidRDefault="003C7B13" w:rsidP="00433F9C">
            <w:pPr>
              <w:pStyle w:val="TableText0"/>
              <w:jc w:val="both"/>
            </w:pPr>
            <w:r w:rsidRPr="008E581C">
              <w:t>0.3</w:t>
            </w:r>
          </w:p>
        </w:tc>
        <w:tc>
          <w:tcPr>
            <w:tcW w:w="1277" w:type="pct"/>
            <w:noWrap/>
          </w:tcPr>
          <w:p w14:paraId="2296C22E" w14:textId="77777777" w:rsidR="003C7B13" w:rsidRPr="0074646B" w:rsidRDefault="003C7B13" w:rsidP="00433F9C">
            <w:pPr>
              <w:pStyle w:val="TableText0"/>
              <w:jc w:val="both"/>
            </w:pPr>
            <w:r w:rsidRPr="008E581C">
              <w:t>100%</w:t>
            </w:r>
          </w:p>
        </w:tc>
      </w:tr>
      <w:tr w:rsidR="003C7B13" w:rsidRPr="0074646B" w14:paraId="4F64CF9A" w14:textId="77777777" w:rsidTr="003C7B13">
        <w:trPr>
          <w:trHeight w:val="255"/>
        </w:trPr>
        <w:tc>
          <w:tcPr>
            <w:tcW w:w="1738" w:type="pct"/>
            <w:hideMark/>
          </w:tcPr>
          <w:p w14:paraId="79084A4E" w14:textId="77777777" w:rsidR="003C7B13" w:rsidRPr="0074646B" w:rsidRDefault="003C7B13" w:rsidP="00433F9C">
            <w:pPr>
              <w:pStyle w:val="TableText0"/>
              <w:jc w:val="both"/>
            </w:pPr>
            <w:r w:rsidRPr="008E581C">
              <w:t>Riboflavin / B2 (mg)</w:t>
            </w:r>
          </w:p>
        </w:tc>
        <w:tc>
          <w:tcPr>
            <w:tcW w:w="922" w:type="pct"/>
          </w:tcPr>
          <w:p w14:paraId="4E17825A" w14:textId="77777777" w:rsidR="003C7B13" w:rsidRPr="0074646B" w:rsidRDefault="003C7B13" w:rsidP="00433F9C">
            <w:pPr>
              <w:pStyle w:val="TableText0"/>
              <w:jc w:val="both"/>
            </w:pPr>
            <w:r w:rsidRPr="008E581C">
              <w:t>0.5</w:t>
            </w:r>
          </w:p>
        </w:tc>
        <w:tc>
          <w:tcPr>
            <w:tcW w:w="1063" w:type="pct"/>
          </w:tcPr>
          <w:p w14:paraId="76F0A5D0" w14:textId="77777777" w:rsidR="003C7B13" w:rsidRPr="0074646B" w:rsidRDefault="003C7B13" w:rsidP="00433F9C">
            <w:pPr>
              <w:pStyle w:val="TableText0"/>
              <w:jc w:val="both"/>
            </w:pPr>
            <w:r w:rsidRPr="008E581C">
              <w:t>0.5</w:t>
            </w:r>
          </w:p>
        </w:tc>
        <w:tc>
          <w:tcPr>
            <w:tcW w:w="1277" w:type="pct"/>
            <w:noWrap/>
          </w:tcPr>
          <w:p w14:paraId="091604B7" w14:textId="77777777" w:rsidR="003C7B13" w:rsidRPr="0074646B" w:rsidRDefault="003C7B13" w:rsidP="00433F9C">
            <w:pPr>
              <w:pStyle w:val="TableText0"/>
              <w:jc w:val="both"/>
            </w:pPr>
            <w:r w:rsidRPr="008E581C">
              <w:t>100%</w:t>
            </w:r>
          </w:p>
        </w:tc>
      </w:tr>
      <w:tr w:rsidR="003C7B13" w:rsidRPr="0074646B" w14:paraId="1671E8BC" w14:textId="77777777" w:rsidTr="003C7B13">
        <w:trPr>
          <w:trHeight w:val="255"/>
        </w:trPr>
        <w:tc>
          <w:tcPr>
            <w:tcW w:w="1738" w:type="pct"/>
            <w:hideMark/>
          </w:tcPr>
          <w:p w14:paraId="697D2E1F" w14:textId="77777777" w:rsidR="003C7B13" w:rsidRPr="0074646B" w:rsidRDefault="003C7B13" w:rsidP="00433F9C">
            <w:pPr>
              <w:pStyle w:val="TableText0"/>
              <w:jc w:val="both"/>
            </w:pPr>
            <w:r w:rsidRPr="008E581C">
              <w:t>Vitamin B6 (mg)</w:t>
            </w:r>
          </w:p>
        </w:tc>
        <w:tc>
          <w:tcPr>
            <w:tcW w:w="922" w:type="pct"/>
          </w:tcPr>
          <w:p w14:paraId="025F39AD" w14:textId="77777777" w:rsidR="003C7B13" w:rsidRPr="0074646B" w:rsidRDefault="003C7B13" w:rsidP="00433F9C">
            <w:pPr>
              <w:pStyle w:val="TableText0"/>
              <w:jc w:val="both"/>
            </w:pPr>
            <w:r w:rsidRPr="008E581C">
              <w:t>0.3</w:t>
            </w:r>
          </w:p>
        </w:tc>
        <w:tc>
          <w:tcPr>
            <w:tcW w:w="1063" w:type="pct"/>
          </w:tcPr>
          <w:p w14:paraId="1A34503B" w14:textId="77777777" w:rsidR="003C7B13" w:rsidRPr="0074646B" w:rsidRDefault="003C7B13" w:rsidP="00433F9C">
            <w:pPr>
              <w:pStyle w:val="TableText0"/>
              <w:jc w:val="both"/>
            </w:pPr>
            <w:r w:rsidRPr="008E581C">
              <w:t>0.3</w:t>
            </w:r>
          </w:p>
        </w:tc>
        <w:tc>
          <w:tcPr>
            <w:tcW w:w="1277" w:type="pct"/>
            <w:noWrap/>
          </w:tcPr>
          <w:p w14:paraId="63F6AB9E" w14:textId="77777777" w:rsidR="003C7B13" w:rsidRPr="0074646B" w:rsidRDefault="003C7B13" w:rsidP="00433F9C">
            <w:pPr>
              <w:pStyle w:val="TableText0"/>
              <w:jc w:val="both"/>
            </w:pPr>
            <w:r w:rsidRPr="008E581C">
              <w:t>100%</w:t>
            </w:r>
          </w:p>
        </w:tc>
      </w:tr>
      <w:tr w:rsidR="003C7B13" w:rsidRPr="0074646B" w14:paraId="2D933537" w14:textId="77777777" w:rsidTr="003C7B13">
        <w:trPr>
          <w:trHeight w:val="255"/>
        </w:trPr>
        <w:tc>
          <w:tcPr>
            <w:tcW w:w="1738" w:type="pct"/>
            <w:noWrap/>
            <w:hideMark/>
          </w:tcPr>
          <w:p w14:paraId="2AFA23CE" w14:textId="77777777" w:rsidR="003C7B13" w:rsidRPr="0074646B" w:rsidRDefault="003C7B13" w:rsidP="00433F9C">
            <w:pPr>
              <w:pStyle w:val="TableText0"/>
              <w:jc w:val="both"/>
            </w:pPr>
            <w:r w:rsidRPr="0074646B">
              <w:t>Folic acid (mcg)</w:t>
            </w:r>
          </w:p>
        </w:tc>
        <w:tc>
          <w:tcPr>
            <w:tcW w:w="922" w:type="pct"/>
          </w:tcPr>
          <w:p w14:paraId="593C4F74" w14:textId="77777777" w:rsidR="003C7B13" w:rsidRPr="0074646B" w:rsidRDefault="003C7B13" w:rsidP="00433F9C">
            <w:pPr>
              <w:pStyle w:val="TableText0"/>
              <w:jc w:val="both"/>
            </w:pPr>
            <w:r w:rsidRPr="0074646B">
              <w:t>35</w:t>
            </w:r>
          </w:p>
        </w:tc>
        <w:tc>
          <w:tcPr>
            <w:tcW w:w="1063" w:type="pct"/>
          </w:tcPr>
          <w:p w14:paraId="79C10920" w14:textId="77777777" w:rsidR="003C7B13" w:rsidRPr="0074646B" w:rsidRDefault="003C7B13" w:rsidP="00433F9C">
            <w:pPr>
              <w:pStyle w:val="TableText0"/>
              <w:jc w:val="both"/>
            </w:pPr>
            <w:r w:rsidRPr="0074646B">
              <w:t>50</w:t>
            </w:r>
          </w:p>
        </w:tc>
        <w:tc>
          <w:tcPr>
            <w:tcW w:w="1277" w:type="pct"/>
            <w:noWrap/>
          </w:tcPr>
          <w:p w14:paraId="7D8817B8" w14:textId="77777777" w:rsidR="003C7B13" w:rsidRPr="0074646B" w:rsidRDefault="003C7B13" w:rsidP="00433F9C">
            <w:pPr>
              <w:pStyle w:val="TableText0"/>
              <w:jc w:val="both"/>
            </w:pPr>
            <w:r w:rsidRPr="0074646B">
              <w:t>70%</w:t>
            </w:r>
          </w:p>
        </w:tc>
      </w:tr>
      <w:tr w:rsidR="003C7B13" w:rsidRPr="0074646B" w14:paraId="3C0B3C3B" w14:textId="77777777" w:rsidTr="003C7B13">
        <w:trPr>
          <w:trHeight w:val="255"/>
        </w:trPr>
        <w:tc>
          <w:tcPr>
            <w:tcW w:w="1738" w:type="pct"/>
            <w:noWrap/>
            <w:hideMark/>
          </w:tcPr>
          <w:p w14:paraId="036D4C29" w14:textId="77777777" w:rsidR="003C7B13" w:rsidRPr="0074646B" w:rsidRDefault="003C7B13" w:rsidP="00433F9C">
            <w:pPr>
              <w:pStyle w:val="TableText0"/>
              <w:jc w:val="both"/>
            </w:pPr>
            <w:r w:rsidRPr="0074646B">
              <w:t>Folate, DFE (mcg)</w:t>
            </w:r>
          </w:p>
        </w:tc>
        <w:tc>
          <w:tcPr>
            <w:tcW w:w="922" w:type="pct"/>
          </w:tcPr>
          <w:p w14:paraId="130F77D2" w14:textId="77777777" w:rsidR="003C7B13" w:rsidRPr="0074646B" w:rsidRDefault="003C7B13" w:rsidP="00433F9C">
            <w:pPr>
              <w:pStyle w:val="TableText0"/>
              <w:jc w:val="both"/>
            </w:pPr>
            <w:r w:rsidRPr="0074646B">
              <w:t>60</w:t>
            </w:r>
          </w:p>
        </w:tc>
        <w:tc>
          <w:tcPr>
            <w:tcW w:w="1063" w:type="pct"/>
          </w:tcPr>
          <w:p w14:paraId="53746C3C" w14:textId="77777777" w:rsidR="003C7B13" w:rsidRPr="0074646B" w:rsidRDefault="003C7B13" w:rsidP="00433F9C">
            <w:pPr>
              <w:pStyle w:val="TableText0"/>
              <w:jc w:val="both"/>
            </w:pPr>
            <w:r w:rsidRPr="0074646B">
              <w:t>83</w:t>
            </w:r>
          </w:p>
        </w:tc>
        <w:tc>
          <w:tcPr>
            <w:tcW w:w="1277" w:type="pct"/>
            <w:noWrap/>
          </w:tcPr>
          <w:p w14:paraId="3469156F" w14:textId="77777777" w:rsidR="003C7B13" w:rsidRPr="0074646B" w:rsidRDefault="003C7B13" w:rsidP="00433F9C">
            <w:pPr>
              <w:pStyle w:val="TableText0"/>
              <w:jc w:val="both"/>
            </w:pPr>
            <w:r w:rsidRPr="0074646B">
              <w:t>72%</w:t>
            </w:r>
          </w:p>
        </w:tc>
      </w:tr>
      <w:tr w:rsidR="003C7B13" w:rsidRPr="0074646B" w14:paraId="66123115" w14:textId="77777777" w:rsidTr="003C7B13">
        <w:trPr>
          <w:trHeight w:val="255"/>
        </w:trPr>
        <w:tc>
          <w:tcPr>
            <w:tcW w:w="1738" w:type="pct"/>
            <w:noWrap/>
            <w:hideMark/>
          </w:tcPr>
          <w:p w14:paraId="16127AA7" w14:textId="77777777" w:rsidR="003C7B13" w:rsidRPr="0074646B" w:rsidRDefault="003C7B13" w:rsidP="00433F9C">
            <w:pPr>
              <w:pStyle w:val="TableText0"/>
              <w:jc w:val="both"/>
            </w:pPr>
            <w:r w:rsidRPr="00184AF3">
              <w:t>Pantothenic acid / B5 (mg)</w:t>
            </w:r>
          </w:p>
        </w:tc>
        <w:tc>
          <w:tcPr>
            <w:tcW w:w="922" w:type="pct"/>
          </w:tcPr>
          <w:p w14:paraId="5DF81CA0" w14:textId="77777777" w:rsidR="003C7B13" w:rsidRPr="0074646B" w:rsidRDefault="003C7B13" w:rsidP="00433F9C">
            <w:pPr>
              <w:pStyle w:val="TableText0"/>
              <w:jc w:val="both"/>
            </w:pPr>
            <w:r w:rsidRPr="00184AF3">
              <w:t>2.1</w:t>
            </w:r>
          </w:p>
        </w:tc>
        <w:tc>
          <w:tcPr>
            <w:tcW w:w="1063" w:type="pct"/>
          </w:tcPr>
          <w:p w14:paraId="126F1CAA" w14:textId="77777777" w:rsidR="003C7B13" w:rsidRPr="0074646B" w:rsidRDefault="003C7B13" w:rsidP="00433F9C">
            <w:pPr>
              <w:pStyle w:val="TableText0"/>
              <w:jc w:val="both"/>
            </w:pPr>
            <w:r w:rsidRPr="00184AF3">
              <w:t>2.1</w:t>
            </w:r>
          </w:p>
        </w:tc>
        <w:tc>
          <w:tcPr>
            <w:tcW w:w="1277" w:type="pct"/>
            <w:noWrap/>
          </w:tcPr>
          <w:p w14:paraId="4BAB66DF" w14:textId="77777777" w:rsidR="003C7B13" w:rsidRPr="0074646B" w:rsidRDefault="003C7B13" w:rsidP="00433F9C">
            <w:pPr>
              <w:pStyle w:val="TableText0"/>
              <w:jc w:val="both"/>
            </w:pPr>
            <w:r w:rsidRPr="00184AF3">
              <w:t>100%</w:t>
            </w:r>
          </w:p>
        </w:tc>
      </w:tr>
      <w:tr w:rsidR="003C7B13" w:rsidRPr="0074646B" w14:paraId="33FFE284" w14:textId="77777777" w:rsidTr="003C7B13">
        <w:trPr>
          <w:trHeight w:val="255"/>
        </w:trPr>
        <w:tc>
          <w:tcPr>
            <w:tcW w:w="1738" w:type="pct"/>
            <w:hideMark/>
          </w:tcPr>
          <w:p w14:paraId="62F1DEAC" w14:textId="77777777" w:rsidR="003C7B13" w:rsidRPr="0074646B" w:rsidRDefault="003C7B13" w:rsidP="00433F9C">
            <w:pPr>
              <w:pStyle w:val="TableText0"/>
              <w:jc w:val="both"/>
            </w:pPr>
            <w:r w:rsidRPr="00184AF3">
              <w:t>Biotin (mcg)</w:t>
            </w:r>
          </w:p>
        </w:tc>
        <w:tc>
          <w:tcPr>
            <w:tcW w:w="922" w:type="pct"/>
          </w:tcPr>
          <w:p w14:paraId="73F869D6" w14:textId="77777777" w:rsidR="003C7B13" w:rsidRPr="0074646B" w:rsidRDefault="003C7B13" w:rsidP="00433F9C">
            <w:pPr>
              <w:pStyle w:val="TableText0"/>
              <w:jc w:val="both"/>
            </w:pPr>
            <w:r w:rsidRPr="00184AF3">
              <w:t>5</w:t>
            </w:r>
          </w:p>
        </w:tc>
        <w:tc>
          <w:tcPr>
            <w:tcW w:w="1063" w:type="pct"/>
          </w:tcPr>
          <w:p w14:paraId="1C013287" w14:textId="77777777" w:rsidR="003C7B13" w:rsidRPr="0074646B" w:rsidRDefault="003C7B13" w:rsidP="00433F9C">
            <w:pPr>
              <w:pStyle w:val="TableText0"/>
              <w:jc w:val="both"/>
            </w:pPr>
            <w:r w:rsidRPr="00184AF3">
              <w:t>5</w:t>
            </w:r>
          </w:p>
        </w:tc>
        <w:tc>
          <w:tcPr>
            <w:tcW w:w="1277" w:type="pct"/>
            <w:noWrap/>
          </w:tcPr>
          <w:p w14:paraId="74FC1B37" w14:textId="77777777" w:rsidR="003C7B13" w:rsidRPr="0074646B" w:rsidRDefault="003C7B13" w:rsidP="00433F9C">
            <w:pPr>
              <w:pStyle w:val="TableText0"/>
              <w:jc w:val="both"/>
            </w:pPr>
            <w:r w:rsidRPr="00184AF3">
              <w:t>100%</w:t>
            </w:r>
          </w:p>
        </w:tc>
      </w:tr>
      <w:tr w:rsidR="003C7B13" w:rsidRPr="0074646B" w14:paraId="3D09894E" w14:textId="77777777" w:rsidTr="003C7B13">
        <w:trPr>
          <w:trHeight w:val="255"/>
        </w:trPr>
        <w:tc>
          <w:tcPr>
            <w:tcW w:w="1738" w:type="pct"/>
            <w:hideMark/>
          </w:tcPr>
          <w:p w14:paraId="7AA1A53C" w14:textId="77777777" w:rsidR="003C7B13" w:rsidRPr="0074646B" w:rsidRDefault="003C7B13" w:rsidP="00433F9C">
            <w:pPr>
              <w:pStyle w:val="TableText0"/>
              <w:jc w:val="both"/>
            </w:pPr>
            <w:r w:rsidRPr="00184AF3">
              <w:t>Vitamin C (mg)</w:t>
            </w:r>
          </w:p>
        </w:tc>
        <w:tc>
          <w:tcPr>
            <w:tcW w:w="922" w:type="pct"/>
            <w:noWrap/>
          </w:tcPr>
          <w:p w14:paraId="264CF359" w14:textId="77777777" w:rsidR="003C7B13" w:rsidRPr="0074646B" w:rsidRDefault="003C7B13" w:rsidP="00433F9C">
            <w:pPr>
              <w:pStyle w:val="TableText0"/>
              <w:jc w:val="both"/>
            </w:pPr>
            <w:r w:rsidRPr="00184AF3">
              <w:t>30</w:t>
            </w:r>
          </w:p>
        </w:tc>
        <w:tc>
          <w:tcPr>
            <w:tcW w:w="1063" w:type="pct"/>
          </w:tcPr>
          <w:p w14:paraId="71205D3E" w14:textId="77777777" w:rsidR="003C7B13" w:rsidRPr="0074646B" w:rsidRDefault="003C7B13" w:rsidP="00433F9C">
            <w:pPr>
              <w:pStyle w:val="TableText0"/>
              <w:jc w:val="both"/>
            </w:pPr>
            <w:r w:rsidRPr="00184AF3">
              <w:t>30</w:t>
            </w:r>
          </w:p>
        </w:tc>
        <w:tc>
          <w:tcPr>
            <w:tcW w:w="1277" w:type="pct"/>
            <w:noWrap/>
          </w:tcPr>
          <w:p w14:paraId="01A61168" w14:textId="77777777" w:rsidR="003C7B13" w:rsidRPr="0074646B" w:rsidRDefault="003C7B13" w:rsidP="00433F9C">
            <w:pPr>
              <w:pStyle w:val="TableText0"/>
              <w:jc w:val="both"/>
            </w:pPr>
            <w:r w:rsidRPr="00184AF3">
              <w:t>100%</w:t>
            </w:r>
          </w:p>
        </w:tc>
      </w:tr>
      <w:tr w:rsidR="003C7B13" w:rsidRPr="0074646B" w14:paraId="4BAA455A" w14:textId="77777777" w:rsidTr="003C7B13">
        <w:trPr>
          <w:trHeight w:val="255"/>
        </w:trPr>
        <w:tc>
          <w:tcPr>
            <w:tcW w:w="1738" w:type="pct"/>
            <w:hideMark/>
          </w:tcPr>
          <w:p w14:paraId="31E5436A" w14:textId="77777777" w:rsidR="003C7B13" w:rsidRPr="0074646B" w:rsidRDefault="003C7B13" w:rsidP="00433F9C">
            <w:pPr>
              <w:pStyle w:val="TableText0"/>
              <w:jc w:val="both"/>
            </w:pPr>
            <w:r w:rsidRPr="00184AF3">
              <w:t>Choline (mg)</w:t>
            </w:r>
          </w:p>
        </w:tc>
        <w:tc>
          <w:tcPr>
            <w:tcW w:w="922" w:type="pct"/>
            <w:noWrap/>
          </w:tcPr>
          <w:p w14:paraId="4357F753" w14:textId="77777777" w:rsidR="003C7B13" w:rsidRPr="0074646B" w:rsidRDefault="003C7B13" w:rsidP="00433F9C">
            <w:pPr>
              <w:pStyle w:val="TableText0"/>
              <w:jc w:val="both"/>
            </w:pPr>
            <w:r w:rsidRPr="00184AF3">
              <w:t>108</w:t>
            </w:r>
          </w:p>
        </w:tc>
        <w:tc>
          <w:tcPr>
            <w:tcW w:w="1063" w:type="pct"/>
          </w:tcPr>
          <w:p w14:paraId="20B7FF60" w14:textId="77777777" w:rsidR="003C7B13" w:rsidRPr="0074646B" w:rsidRDefault="003C7B13" w:rsidP="00433F9C">
            <w:pPr>
              <w:pStyle w:val="TableText0"/>
              <w:jc w:val="both"/>
            </w:pPr>
            <w:r w:rsidRPr="00184AF3">
              <w:t>108</w:t>
            </w:r>
          </w:p>
        </w:tc>
        <w:tc>
          <w:tcPr>
            <w:tcW w:w="1277" w:type="pct"/>
            <w:noWrap/>
          </w:tcPr>
          <w:p w14:paraId="4DCCBFA5" w14:textId="77777777" w:rsidR="003C7B13" w:rsidRPr="0074646B" w:rsidRDefault="003C7B13" w:rsidP="00433F9C">
            <w:pPr>
              <w:pStyle w:val="TableText0"/>
              <w:jc w:val="both"/>
            </w:pPr>
            <w:r w:rsidRPr="00184AF3">
              <w:t>100%</w:t>
            </w:r>
          </w:p>
        </w:tc>
      </w:tr>
      <w:tr w:rsidR="003C7B13" w:rsidRPr="0074646B" w14:paraId="498180D4" w14:textId="77777777" w:rsidTr="003C7B13">
        <w:trPr>
          <w:trHeight w:val="255"/>
        </w:trPr>
        <w:tc>
          <w:tcPr>
            <w:tcW w:w="1738" w:type="pct"/>
            <w:hideMark/>
          </w:tcPr>
          <w:p w14:paraId="5E337B64" w14:textId="77777777" w:rsidR="003C7B13" w:rsidRPr="0074646B" w:rsidRDefault="003C7B13" w:rsidP="00433F9C">
            <w:pPr>
              <w:pStyle w:val="TableText0"/>
              <w:jc w:val="both"/>
            </w:pPr>
            <w:r w:rsidRPr="00184AF3">
              <w:t>Inositol (mg)</w:t>
            </w:r>
          </w:p>
        </w:tc>
        <w:tc>
          <w:tcPr>
            <w:tcW w:w="922" w:type="pct"/>
          </w:tcPr>
          <w:p w14:paraId="7811822B" w14:textId="77777777" w:rsidR="003C7B13" w:rsidRPr="0074646B" w:rsidRDefault="003C7B13" w:rsidP="00433F9C">
            <w:pPr>
              <w:pStyle w:val="TableText0"/>
              <w:jc w:val="both"/>
            </w:pPr>
            <w:r w:rsidRPr="00184AF3">
              <w:t>20</w:t>
            </w:r>
          </w:p>
        </w:tc>
        <w:tc>
          <w:tcPr>
            <w:tcW w:w="1063" w:type="pct"/>
          </w:tcPr>
          <w:p w14:paraId="52BB9977" w14:textId="77777777" w:rsidR="003C7B13" w:rsidRPr="0074646B" w:rsidRDefault="003C7B13" w:rsidP="00433F9C">
            <w:pPr>
              <w:pStyle w:val="TableText0"/>
              <w:jc w:val="both"/>
            </w:pPr>
            <w:r w:rsidRPr="00184AF3">
              <w:t>20</w:t>
            </w:r>
          </w:p>
        </w:tc>
        <w:tc>
          <w:tcPr>
            <w:tcW w:w="1277" w:type="pct"/>
            <w:noWrap/>
          </w:tcPr>
          <w:p w14:paraId="01FB4F2A" w14:textId="77777777" w:rsidR="003C7B13" w:rsidRPr="0074646B" w:rsidRDefault="003C7B13" w:rsidP="00433F9C">
            <w:pPr>
              <w:pStyle w:val="TableText0"/>
              <w:jc w:val="both"/>
            </w:pPr>
            <w:r w:rsidRPr="00184AF3">
              <w:t>100%</w:t>
            </w:r>
          </w:p>
        </w:tc>
      </w:tr>
      <w:tr w:rsidR="003C7B13" w:rsidRPr="0074646B" w14:paraId="6F18DA19" w14:textId="77777777" w:rsidTr="003C7B13">
        <w:trPr>
          <w:trHeight w:val="255"/>
        </w:trPr>
        <w:tc>
          <w:tcPr>
            <w:tcW w:w="1738" w:type="pct"/>
            <w:hideMark/>
          </w:tcPr>
          <w:p w14:paraId="083814F8" w14:textId="77777777" w:rsidR="003C7B13" w:rsidRPr="0074646B" w:rsidRDefault="003C7B13" w:rsidP="00433F9C">
            <w:pPr>
              <w:pStyle w:val="TableText0"/>
              <w:jc w:val="both"/>
            </w:pPr>
            <w:r w:rsidRPr="00184AF3">
              <w:t>Calcium (mg)</w:t>
            </w:r>
          </w:p>
        </w:tc>
        <w:tc>
          <w:tcPr>
            <w:tcW w:w="922" w:type="pct"/>
          </w:tcPr>
          <w:p w14:paraId="6A891A4D" w14:textId="77777777" w:rsidR="003C7B13" w:rsidRPr="0074646B" w:rsidRDefault="003C7B13" w:rsidP="00433F9C">
            <w:pPr>
              <w:pStyle w:val="TableText0"/>
              <w:jc w:val="both"/>
            </w:pPr>
            <w:r w:rsidRPr="00184AF3">
              <w:t>314</w:t>
            </w:r>
          </w:p>
        </w:tc>
        <w:tc>
          <w:tcPr>
            <w:tcW w:w="1063" w:type="pct"/>
          </w:tcPr>
          <w:p w14:paraId="28C2DC42" w14:textId="77777777" w:rsidR="003C7B13" w:rsidRPr="0074646B" w:rsidRDefault="003C7B13" w:rsidP="00433F9C">
            <w:pPr>
              <w:pStyle w:val="TableText0"/>
              <w:jc w:val="both"/>
            </w:pPr>
            <w:r w:rsidRPr="00184AF3">
              <w:t>313</w:t>
            </w:r>
          </w:p>
        </w:tc>
        <w:tc>
          <w:tcPr>
            <w:tcW w:w="1277" w:type="pct"/>
            <w:noWrap/>
          </w:tcPr>
          <w:p w14:paraId="5688931C" w14:textId="77777777" w:rsidR="003C7B13" w:rsidRPr="0074646B" w:rsidRDefault="003C7B13" w:rsidP="00433F9C">
            <w:pPr>
              <w:pStyle w:val="TableText0"/>
              <w:jc w:val="both"/>
            </w:pPr>
            <w:r w:rsidRPr="00184AF3">
              <w:t>100%</w:t>
            </w:r>
          </w:p>
        </w:tc>
      </w:tr>
      <w:tr w:rsidR="003C7B13" w:rsidRPr="0074646B" w14:paraId="329BC37E" w14:textId="77777777" w:rsidTr="003C7B13">
        <w:trPr>
          <w:trHeight w:val="255"/>
        </w:trPr>
        <w:tc>
          <w:tcPr>
            <w:tcW w:w="1738" w:type="pct"/>
            <w:hideMark/>
          </w:tcPr>
          <w:p w14:paraId="2773E73F" w14:textId="77777777" w:rsidR="003C7B13" w:rsidRPr="0074646B" w:rsidRDefault="003C7B13" w:rsidP="00433F9C">
            <w:pPr>
              <w:pStyle w:val="TableText0"/>
              <w:jc w:val="both"/>
            </w:pPr>
            <w:r w:rsidRPr="00184AF3">
              <w:t>Phosphorous (mg)</w:t>
            </w:r>
          </w:p>
        </w:tc>
        <w:tc>
          <w:tcPr>
            <w:tcW w:w="922" w:type="pct"/>
            <w:noWrap/>
          </w:tcPr>
          <w:p w14:paraId="247B2099" w14:textId="77777777" w:rsidR="003C7B13" w:rsidRPr="0074646B" w:rsidRDefault="003C7B13" w:rsidP="00433F9C">
            <w:pPr>
              <w:pStyle w:val="TableText0"/>
              <w:jc w:val="both"/>
            </w:pPr>
            <w:r w:rsidRPr="00184AF3">
              <w:t>217</w:t>
            </w:r>
          </w:p>
        </w:tc>
        <w:tc>
          <w:tcPr>
            <w:tcW w:w="1063" w:type="pct"/>
          </w:tcPr>
          <w:p w14:paraId="229E56B7" w14:textId="77777777" w:rsidR="003C7B13" w:rsidRPr="0074646B" w:rsidRDefault="003C7B13" w:rsidP="00433F9C">
            <w:pPr>
              <w:pStyle w:val="TableText0"/>
              <w:jc w:val="both"/>
            </w:pPr>
            <w:r w:rsidRPr="00184AF3">
              <w:t>213</w:t>
            </w:r>
          </w:p>
        </w:tc>
        <w:tc>
          <w:tcPr>
            <w:tcW w:w="1277" w:type="pct"/>
            <w:noWrap/>
          </w:tcPr>
          <w:p w14:paraId="2F7168BF" w14:textId="77777777" w:rsidR="003C7B13" w:rsidRPr="0074646B" w:rsidRDefault="003C7B13" w:rsidP="00433F9C">
            <w:pPr>
              <w:pStyle w:val="TableText0"/>
              <w:jc w:val="both"/>
            </w:pPr>
            <w:r w:rsidRPr="00184AF3">
              <w:t>102%</w:t>
            </w:r>
          </w:p>
        </w:tc>
      </w:tr>
      <w:tr w:rsidR="003C7B13" w:rsidRPr="0074646B" w14:paraId="750BD664" w14:textId="77777777" w:rsidTr="003C7B13">
        <w:trPr>
          <w:trHeight w:val="255"/>
        </w:trPr>
        <w:tc>
          <w:tcPr>
            <w:tcW w:w="1738" w:type="pct"/>
            <w:hideMark/>
          </w:tcPr>
          <w:p w14:paraId="1CA79696" w14:textId="77777777" w:rsidR="003C7B13" w:rsidRPr="0074646B" w:rsidRDefault="003C7B13" w:rsidP="00433F9C">
            <w:pPr>
              <w:pStyle w:val="TableText0"/>
              <w:jc w:val="both"/>
            </w:pPr>
            <w:r w:rsidRPr="00184AF3">
              <w:t>Magnesium (mg)</w:t>
            </w:r>
          </w:p>
        </w:tc>
        <w:tc>
          <w:tcPr>
            <w:tcW w:w="922" w:type="pct"/>
          </w:tcPr>
          <w:p w14:paraId="6448BBDA" w14:textId="77777777" w:rsidR="003C7B13" w:rsidRPr="0074646B" w:rsidRDefault="003C7B13" w:rsidP="00433F9C">
            <w:pPr>
              <w:pStyle w:val="TableText0"/>
              <w:jc w:val="both"/>
            </w:pPr>
            <w:r w:rsidRPr="00184AF3">
              <w:t>40</w:t>
            </w:r>
          </w:p>
        </w:tc>
        <w:tc>
          <w:tcPr>
            <w:tcW w:w="1063" w:type="pct"/>
          </w:tcPr>
          <w:p w14:paraId="555B7F59" w14:textId="77777777" w:rsidR="003C7B13" w:rsidRPr="0074646B" w:rsidRDefault="003C7B13" w:rsidP="00433F9C">
            <w:pPr>
              <w:pStyle w:val="TableText0"/>
              <w:jc w:val="both"/>
            </w:pPr>
            <w:r w:rsidRPr="00184AF3">
              <w:t>38</w:t>
            </w:r>
          </w:p>
        </w:tc>
        <w:tc>
          <w:tcPr>
            <w:tcW w:w="1277" w:type="pct"/>
            <w:noWrap/>
          </w:tcPr>
          <w:p w14:paraId="32315B6A" w14:textId="77777777" w:rsidR="003C7B13" w:rsidRPr="0074646B" w:rsidRDefault="003C7B13" w:rsidP="00433F9C">
            <w:pPr>
              <w:pStyle w:val="TableText0"/>
              <w:jc w:val="both"/>
            </w:pPr>
            <w:r w:rsidRPr="00184AF3">
              <w:t>105%</w:t>
            </w:r>
          </w:p>
        </w:tc>
      </w:tr>
      <w:tr w:rsidR="003C7B13" w:rsidRPr="0074646B" w14:paraId="60B59F98" w14:textId="77777777" w:rsidTr="003C7B13">
        <w:trPr>
          <w:trHeight w:val="255"/>
        </w:trPr>
        <w:tc>
          <w:tcPr>
            <w:tcW w:w="1738" w:type="pct"/>
            <w:hideMark/>
          </w:tcPr>
          <w:p w14:paraId="622CB1C3" w14:textId="77777777" w:rsidR="003C7B13" w:rsidRPr="0074646B" w:rsidRDefault="003C7B13" w:rsidP="00433F9C">
            <w:pPr>
              <w:pStyle w:val="TableText0"/>
              <w:jc w:val="both"/>
            </w:pPr>
            <w:r w:rsidRPr="00184AF3">
              <w:t>Iron (mg)</w:t>
            </w:r>
          </w:p>
        </w:tc>
        <w:tc>
          <w:tcPr>
            <w:tcW w:w="922" w:type="pct"/>
          </w:tcPr>
          <w:p w14:paraId="67AC745B" w14:textId="77777777" w:rsidR="003C7B13" w:rsidRPr="0074646B" w:rsidRDefault="003C7B13" w:rsidP="00433F9C">
            <w:pPr>
              <w:pStyle w:val="TableText0"/>
              <w:jc w:val="both"/>
            </w:pPr>
            <w:r w:rsidRPr="00184AF3">
              <w:t>3.3</w:t>
            </w:r>
          </w:p>
        </w:tc>
        <w:tc>
          <w:tcPr>
            <w:tcW w:w="1063" w:type="pct"/>
          </w:tcPr>
          <w:p w14:paraId="5DF8C430" w14:textId="77777777" w:rsidR="003C7B13" w:rsidRPr="0074646B" w:rsidRDefault="003C7B13" w:rsidP="00433F9C">
            <w:pPr>
              <w:pStyle w:val="TableText0"/>
              <w:jc w:val="both"/>
            </w:pPr>
            <w:r w:rsidRPr="00184AF3">
              <w:t>3.3</w:t>
            </w:r>
          </w:p>
        </w:tc>
        <w:tc>
          <w:tcPr>
            <w:tcW w:w="1277" w:type="pct"/>
            <w:noWrap/>
          </w:tcPr>
          <w:p w14:paraId="2B8B4C51" w14:textId="77777777" w:rsidR="003C7B13" w:rsidRPr="0074646B" w:rsidRDefault="003C7B13" w:rsidP="00433F9C">
            <w:pPr>
              <w:pStyle w:val="TableText0"/>
              <w:jc w:val="both"/>
            </w:pPr>
            <w:r w:rsidRPr="00184AF3">
              <w:t>100%</w:t>
            </w:r>
          </w:p>
        </w:tc>
      </w:tr>
      <w:tr w:rsidR="003C7B13" w:rsidRPr="0074646B" w14:paraId="75D4A8E5" w14:textId="77777777" w:rsidTr="003C7B13">
        <w:trPr>
          <w:trHeight w:val="255"/>
        </w:trPr>
        <w:tc>
          <w:tcPr>
            <w:tcW w:w="1738" w:type="pct"/>
            <w:hideMark/>
          </w:tcPr>
          <w:p w14:paraId="32B87345" w14:textId="77777777" w:rsidR="003C7B13" w:rsidRPr="0074646B" w:rsidRDefault="003C7B13" w:rsidP="00433F9C">
            <w:pPr>
              <w:pStyle w:val="TableText0"/>
              <w:jc w:val="both"/>
            </w:pPr>
            <w:r w:rsidRPr="00184AF3">
              <w:t>Zinc (mg)</w:t>
            </w:r>
          </w:p>
        </w:tc>
        <w:tc>
          <w:tcPr>
            <w:tcW w:w="922" w:type="pct"/>
          </w:tcPr>
          <w:p w14:paraId="692AEADE" w14:textId="77777777" w:rsidR="003C7B13" w:rsidRPr="0074646B" w:rsidRDefault="003C7B13" w:rsidP="00433F9C">
            <w:pPr>
              <w:pStyle w:val="TableText0"/>
              <w:jc w:val="both"/>
            </w:pPr>
            <w:r w:rsidRPr="00184AF3">
              <w:t>1.7</w:t>
            </w:r>
          </w:p>
        </w:tc>
        <w:tc>
          <w:tcPr>
            <w:tcW w:w="1063" w:type="pct"/>
          </w:tcPr>
          <w:p w14:paraId="2E812775" w14:textId="77777777" w:rsidR="003C7B13" w:rsidRPr="0074646B" w:rsidRDefault="003C7B13" w:rsidP="00433F9C">
            <w:pPr>
              <w:pStyle w:val="TableText0"/>
              <w:jc w:val="both"/>
            </w:pPr>
            <w:r w:rsidRPr="00184AF3">
              <w:t>2</w:t>
            </w:r>
          </w:p>
        </w:tc>
        <w:tc>
          <w:tcPr>
            <w:tcW w:w="1277" w:type="pct"/>
            <w:noWrap/>
          </w:tcPr>
          <w:p w14:paraId="2BD3810E" w14:textId="77777777" w:rsidR="003C7B13" w:rsidRPr="0074646B" w:rsidRDefault="003C7B13" w:rsidP="00433F9C">
            <w:pPr>
              <w:pStyle w:val="TableText0"/>
              <w:jc w:val="both"/>
            </w:pPr>
            <w:r w:rsidRPr="00184AF3">
              <w:t>85%</w:t>
            </w:r>
          </w:p>
        </w:tc>
      </w:tr>
      <w:tr w:rsidR="003C7B13" w:rsidRPr="0074646B" w14:paraId="7FC11C79" w14:textId="77777777" w:rsidTr="003C7B13">
        <w:trPr>
          <w:trHeight w:val="255"/>
        </w:trPr>
        <w:tc>
          <w:tcPr>
            <w:tcW w:w="1738" w:type="pct"/>
            <w:hideMark/>
          </w:tcPr>
          <w:p w14:paraId="7A605D23" w14:textId="77777777" w:rsidR="003C7B13" w:rsidRPr="0074646B" w:rsidRDefault="003C7B13" w:rsidP="00433F9C">
            <w:pPr>
              <w:pStyle w:val="TableText0"/>
              <w:jc w:val="both"/>
            </w:pPr>
            <w:r w:rsidRPr="00184AF3">
              <w:t>Manganese (mg)</w:t>
            </w:r>
          </w:p>
        </w:tc>
        <w:tc>
          <w:tcPr>
            <w:tcW w:w="922" w:type="pct"/>
          </w:tcPr>
          <w:p w14:paraId="5DE202F8" w14:textId="77777777" w:rsidR="003C7B13" w:rsidRPr="0074646B" w:rsidRDefault="003C7B13" w:rsidP="00433F9C">
            <w:pPr>
              <w:pStyle w:val="TableText0"/>
              <w:jc w:val="both"/>
            </w:pPr>
            <w:r w:rsidRPr="00184AF3">
              <w:t>0.29</w:t>
            </w:r>
          </w:p>
        </w:tc>
        <w:tc>
          <w:tcPr>
            <w:tcW w:w="1063" w:type="pct"/>
          </w:tcPr>
          <w:p w14:paraId="4298DCA7" w14:textId="77777777" w:rsidR="003C7B13" w:rsidRPr="0074646B" w:rsidRDefault="003C7B13" w:rsidP="00433F9C">
            <w:pPr>
              <w:pStyle w:val="TableText0"/>
              <w:jc w:val="both"/>
            </w:pPr>
            <w:r w:rsidRPr="00184AF3">
              <w:t>0.3</w:t>
            </w:r>
          </w:p>
        </w:tc>
        <w:tc>
          <w:tcPr>
            <w:tcW w:w="1277" w:type="pct"/>
            <w:noWrap/>
          </w:tcPr>
          <w:p w14:paraId="7D55D678" w14:textId="77777777" w:rsidR="003C7B13" w:rsidRPr="0074646B" w:rsidRDefault="003C7B13" w:rsidP="00433F9C">
            <w:pPr>
              <w:pStyle w:val="TableText0"/>
              <w:jc w:val="both"/>
            </w:pPr>
            <w:r w:rsidRPr="00184AF3">
              <w:t>97%</w:t>
            </w:r>
          </w:p>
        </w:tc>
      </w:tr>
      <w:tr w:rsidR="003C7B13" w:rsidRPr="0074646B" w14:paraId="2D59E430" w14:textId="77777777" w:rsidTr="003C7B13">
        <w:trPr>
          <w:trHeight w:val="255"/>
        </w:trPr>
        <w:tc>
          <w:tcPr>
            <w:tcW w:w="1738" w:type="pct"/>
            <w:hideMark/>
          </w:tcPr>
          <w:p w14:paraId="2E6E54FB" w14:textId="77777777" w:rsidR="003C7B13" w:rsidRPr="0074646B" w:rsidRDefault="003C7B13" w:rsidP="00433F9C">
            <w:pPr>
              <w:pStyle w:val="TableText0"/>
              <w:jc w:val="both"/>
            </w:pPr>
            <w:r w:rsidRPr="00184AF3">
              <w:t>Copper (mg)</w:t>
            </w:r>
          </w:p>
        </w:tc>
        <w:tc>
          <w:tcPr>
            <w:tcW w:w="922" w:type="pct"/>
          </w:tcPr>
          <w:p w14:paraId="59BEE0F2" w14:textId="77777777" w:rsidR="003C7B13" w:rsidRPr="0074646B" w:rsidRDefault="003C7B13" w:rsidP="00433F9C">
            <w:pPr>
              <w:pStyle w:val="TableText0"/>
              <w:jc w:val="both"/>
            </w:pPr>
            <w:r w:rsidRPr="00184AF3">
              <w:t>0.2</w:t>
            </w:r>
          </w:p>
        </w:tc>
        <w:tc>
          <w:tcPr>
            <w:tcW w:w="1063" w:type="pct"/>
          </w:tcPr>
          <w:p w14:paraId="0AC893DC" w14:textId="77777777" w:rsidR="003C7B13" w:rsidRPr="0074646B" w:rsidRDefault="003C7B13" w:rsidP="00433F9C">
            <w:pPr>
              <w:pStyle w:val="TableText0"/>
              <w:jc w:val="both"/>
            </w:pPr>
            <w:r w:rsidRPr="00184AF3">
              <w:t>0.2</w:t>
            </w:r>
          </w:p>
        </w:tc>
        <w:tc>
          <w:tcPr>
            <w:tcW w:w="1277" w:type="pct"/>
            <w:noWrap/>
          </w:tcPr>
          <w:p w14:paraId="4BDD20A2" w14:textId="77777777" w:rsidR="003C7B13" w:rsidRPr="0074646B" w:rsidRDefault="003C7B13" w:rsidP="00433F9C">
            <w:pPr>
              <w:pStyle w:val="TableText0"/>
              <w:jc w:val="both"/>
            </w:pPr>
            <w:r w:rsidRPr="00184AF3">
              <w:t>100%</w:t>
            </w:r>
          </w:p>
        </w:tc>
      </w:tr>
      <w:tr w:rsidR="003C7B13" w:rsidRPr="0074646B" w14:paraId="3D47415D" w14:textId="77777777" w:rsidTr="003C7B13">
        <w:trPr>
          <w:trHeight w:val="255"/>
        </w:trPr>
        <w:tc>
          <w:tcPr>
            <w:tcW w:w="1738" w:type="pct"/>
            <w:hideMark/>
          </w:tcPr>
          <w:p w14:paraId="6C93CE31" w14:textId="77777777" w:rsidR="003C7B13" w:rsidRPr="0074646B" w:rsidRDefault="003C7B13" w:rsidP="00433F9C">
            <w:pPr>
              <w:pStyle w:val="TableText0"/>
              <w:jc w:val="both"/>
            </w:pPr>
            <w:r w:rsidRPr="00184AF3">
              <w:t>Iodine (mcg)</w:t>
            </w:r>
          </w:p>
        </w:tc>
        <w:tc>
          <w:tcPr>
            <w:tcW w:w="922" w:type="pct"/>
          </w:tcPr>
          <w:p w14:paraId="7D5A15F3" w14:textId="77777777" w:rsidR="003C7B13" w:rsidRPr="0074646B" w:rsidRDefault="003C7B13" w:rsidP="00433F9C">
            <w:pPr>
              <w:pStyle w:val="TableText0"/>
              <w:jc w:val="both"/>
            </w:pPr>
            <w:r w:rsidRPr="00184AF3">
              <w:t>60</w:t>
            </w:r>
          </w:p>
        </w:tc>
        <w:tc>
          <w:tcPr>
            <w:tcW w:w="1063" w:type="pct"/>
          </w:tcPr>
          <w:p w14:paraId="0408F7B4" w14:textId="77777777" w:rsidR="003C7B13" w:rsidRPr="0074646B" w:rsidRDefault="003C7B13" w:rsidP="00433F9C">
            <w:pPr>
              <w:pStyle w:val="TableText0"/>
              <w:jc w:val="both"/>
            </w:pPr>
            <w:r w:rsidRPr="00184AF3">
              <w:t>59</w:t>
            </w:r>
          </w:p>
        </w:tc>
        <w:tc>
          <w:tcPr>
            <w:tcW w:w="1277" w:type="pct"/>
            <w:noWrap/>
          </w:tcPr>
          <w:p w14:paraId="67136192" w14:textId="77777777" w:rsidR="003C7B13" w:rsidRPr="0074646B" w:rsidRDefault="003C7B13" w:rsidP="00433F9C">
            <w:pPr>
              <w:pStyle w:val="TableText0"/>
              <w:jc w:val="both"/>
            </w:pPr>
            <w:r w:rsidRPr="00184AF3">
              <w:t>102%</w:t>
            </w:r>
          </w:p>
        </w:tc>
      </w:tr>
      <w:tr w:rsidR="003C7B13" w:rsidRPr="0074646B" w14:paraId="68FB4301" w14:textId="77777777" w:rsidTr="003C7B13">
        <w:trPr>
          <w:trHeight w:val="255"/>
        </w:trPr>
        <w:tc>
          <w:tcPr>
            <w:tcW w:w="1738" w:type="pct"/>
            <w:hideMark/>
          </w:tcPr>
          <w:p w14:paraId="71A361FA" w14:textId="77777777" w:rsidR="003C7B13" w:rsidRPr="0074646B" w:rsidRDefault="003C7B13" w:rsidP="00433F9C">
            <w:pPr>
              <w:pStyle w:val="TableText0"/>
              <w:jc w:val="both"/>
            </w:pPr>
            <w:r w:rsidRPr="00184AF3">
              <w:t>Molybdenum (mcg)</w:t>
            </w:r>
          </w:p>
        </w:tc>
        <w:tc>
          <w:tcPr>
            <w:tcW w:w="922" w:type="pct"/>
            <w:noWrap/>
          </w:tcPr>
          <w:p w14:paraId="23F2A1D1" w14:textId="77777777" w:rsidR="003C7B13" w:rsidRPr="0074646B" w:rsidRDefault="003C7B13" w:rsidP="00433F9C">
            <w:pPr>
              <w:pStyle w:val="TableText0"/>
              <w:jc w:val="both"/>
            </w:pPr>
            <w:r w:rsidRPr="00184AF3">
              <w:t>11</w:t>
            </w:r>
          </w:p>
        </w:tc>
        <w:tc>
          <w:tcPr>
            <w:tcW w:w="1063" w:type="pct"/>
          </w:tcPr>
          <w:p w14:paraId="2E369B47" w14:textId="77777777" w:rsidR="003C7B13" w:rsidRPr="0074646B" w:rsidRDefault="003C7B13" w:rsidP="00433F9C">
            <w:pPr>
              <w:pStyle w:val="TableText0"/>
              <w:jc w:val="both"/>
            </w:pPr>
            <w:r w:rsidRPr="00184AF3">
              <w:t>10</w:t>
            </w:r>
          </w:p>
        </w:tc>
        <w:tc>
          <w:tcPr>
            <w:tcW w:w="1277" w:type="pct"/>
            <w:noWrap/>
          </w:tcPr>
          <w:p w14:paraId="7FEFD026" w14:textId="77777777" w:rsidR="003C7B13" w:rsidRPr="0074646B" w:rsidRDefault="003C7B13" w:rsidP="00433F9C">
            <w:pPr>
              <w:pStyle w:val="TableText0"/>
              <w:jc w:val="both"/>
            </w:pPr>
            <w:r w:rsidRPr="00184AF3">
              <w:t>110%</w:t>
            </w:r>
          </w:p>
        </w:tc>
      </w:tr>
      <w:tr w:rsidR="003C7B13" w:rsidRPr="0074646B" w14:paraId="6EFAF6D4" w14:textId="77777777" w:rsidTr="003C7B13">
        <w:trPr>
          <w:trHeight w:val="255"/>
        </w:trPr>
        <w:tc>
          <w:tcPr>
            <w:tcW w:w="1738" w:type="pct"/>
            <w:hideMark/>
          </w:tcPr>
          <w:p w14:paraId="0A46642B" w14:textId="77777777" w:rsidR="003C7B13" w:rsidRPr="0074646B" w:rsidRDefault="003C7B13" w:rsidP="00433F9C">
            <w:pPr>
              <w:pStyle w:val="TableText0"/>
              <w:jc w:val="both"/>
            </w:pPr>
            <w:r w:rsidRPr="00184AF3">
              <w:t>Chromium (mcg)</w:t>
            </w:r>
          </w:p>
        </w:tc>
        <w:tc>
          <w:tcPr>
            <w:tcW w:w="922" w:type="pct"/>
          </w:tcPr>
          <w:p w14:paraId="497D8130" w14:textId="77777777" w:rsidR="003C7B13" w:rsidRPr="0074646B" w:rsidRDefault="003C7B13" w:rsidP="00433F9C">
            <w:pPr>
              <w:pStyle w:val="TableText0"/>
              <w:jc w:val="both"/>
            </w:pPr>
            <w:r w:rsidRPr="00184AF3">
              <w:t>8</w:t>
            </w:r>
          </w:p>
        </w:tc>
        <w:tc>
          <w:tcPr>
            <w:tcW w:w="1063" w:type="pct"/>
          </w:tcPr>
          <w:p w14:paraId="6ED1F7C9" w14:textId="77777777" w:rsidR="003C7B13" w:rsidRPr="0074646B" w:rsidRDefault="003C7B13" w:rsidP="00433F9C">
            <w:pPr>
              <w:pStyle w:val="TableText0"/>
              <w:jc w:val="both"/>
            </w:pPr>
            <w:r w:rsidRPr="00184AF3">
              <w:t>8</w:t>
            </w:r>
          </w:p>
        </w:tc>
        <w:tc>
          <w:tcPr>
            <w:tcW w:w="1277" w:type="pct"/>
            <w:noWrap/>
          </w:tcPr>
          <w:p w14:paraId="081BC2B3" w14:textId="77777777" w:rsidR="003C7B13" w:rsidRPr="0074646B" w:rsidRDefault="003C7B13" w:rsidP="00433F9C">
            <w:pPr>
              <w:pStyle w:val="TableText0"/>
              <w:jc w:val="both"/>
            </w:pPr>
            <w:r w:rsidRPr="00184AF3">
              <w:t>100%</w:t>
            </w:r>
          </w:p>
        </w:tc>
      </w:tr>
      <w:tr w:rsidR="003C7B13" w:rsidRPr="0074646B" w14:paraId="3C3EC20C" w14:textId="77777777" w:rsidTr="003C7B13">
        <w:trPr>
          <w:trHeight w:val="255"/>
        </w:trPr>
        <w:tc>
          <w:tcPr>
            <w:tcW w:w="1738" w:type="pct"/>
            <w:hideMark/>
          </w:tcPr>
          <w:p w14:paraId="2CDC10F0" w14:textId="77777777" w:rsidR="003C7B13" w:rsidRPr="0074646B" w:rsidRDefault="003C7B13" w:rsidP="00433F9C">
            <w:pPr>
              <w:pStyle w:val="TableText0"/>
              <w:jc w:val="both"/>
            </w:pPr>
            <w:r w:rsidRPr="00184AF3">
              <w:t>Selenium (mcg)</w:t>
            </w:r>
          </w:p>
        </w:tc>
        <w:tc>
          <w:tcPr>
            <w:tcW w:w="922" w:type="pct"/>
          </w:tcPr>
          <w:p w14:paraId="11828CA6" w14:textId="77777777" w:rsidR="003C7B13" w:rsidRPr="0074646B" w:rsidRDefault="003C7B13" w:rsidP="00433F9C">
            <w:pPr>
              <w:pStyle w:val="TableText0"/>
              <w:jc w:val="both"/>
            </w:pPr>
            <w:r w:rsidRPr="00184AF3">
              <w:t>16</w:t>
            </w:r>
          </w:p>
        </w:tc>
        <w:tc>
          <w:tcPr>
            <w:tcW w:w="1063" w:type="pct"/>
          </w:tcPr>
          <w:p w14:paraId="585A7E64" w14:textId="77777777" w:rsidR="003C7B13" w:rsidRPr="0074646B" w:rsidRDefault="003C7B13" w:rsidP="00433F9C">
            <w:pPr>
              <w:pStyle w:val="TableText0"/>
              <w:jc w:val="both"/>
            </w:pPr>
            <w:r w:rsidRPr="00184AF3">
              <w:t>15</w:t>
            </w:r>
          </w:p>
        </w:tc>
        <w:tc>
          <w:tcPr>
            <w:tcW w:w="1277" w:type="pct"/>
            <w:noWrap/>
          </w:tcPr>
          <w:p w14:paraId="22AFA41D" w14:textId="77777777" w:rsidR="003C7B13" w:rsidRPr="0074646B" w:rsidRDefault="003C7B13" w:rsidP="00433F9C">
            <w:pPr>
              <w:pStyle w:val="TableText0"/>
              <w:jc w:val="both"/>
            </w:pPr>
            <w:r w:rsidRPr="00184AF3">
              <w:t>107%</w:t>
            </w:r>
          </w:p>
        </w:tc>
      </w:tr>
      <w:tr w:rsidR="003C7B13" w:rsidRPr="0074646B" w14:paraId="00AD49E9" w14:textId="77777777" w:rsidTr="003C7B13">
        <w:trPr>
          <w:trHeight w:val="255"/>
        </w:trPr>
        <w:tc>
          <w:tcPr>
            <w:tcW w:w="1738" w:type="pct"/>
            <w:hideMark/>
          </w:tcPr>
          <w:p w14:paraId="4EA715EF" w14:textId="77777777" w:rsidR="003C7B13" w:rsidRPr="0074646B" w:rsidRDefault="003C7B13" w:rsidP="00433F9C">
            <w:pPr>
              <w:pStyle w:val="TableText0"/>
              <w:jc w:val="both"/>
            </w:pPr>
            <w:r w:rsidRPr="00184AF3">
              <w:t>Sodium (mg)</w:t>
            </w:r>
          </w:p>
        </w:tc>
        <w:tc>
          <w:tcPr>
            <w:tcW w:w="922" w:type="pct"/>
          </w:tcPr>
          <w:p w14:paraId="7B0147EA" w14:textId="77777777" w:rsidR="003C7B13" w:rsidRPr="0074646B" w:rsidRDefault="003C7B13" w:rsidP="00433F9C">
            <w:pPr>
              <w:pStyle w:val="TableText0"/>
              <w:jc w:val="both"/>
            </w:pPr>
            <w:r w:rsidRPr="00184AF3">
              <w:t>152</w:t>
            </w:r>
          </w:p>
        </w:tc>
        <w:tc>
          <w:tcPr>
            <w:tcW w:w="1063" w:type="pct"/>
          </w:tcPr>
          <w:p w14:paraId="7B30D0E5" w14:textId="77777777" w:rsidR="003C7B13" w:rsidRPr="0074646B" w:rsidRDefault="003C7B13" w:rsidP="00433F9C">
            <w:pPr>
              <w:pStyle w:val="TableText0"/>
              <w:jc w:val="both"/>
            </w:pPr>
            <w:r w:rsidRPr="00184AF3">
              <w:t>150</w:t>
            </w:r>
          </w:p>
        </w:tc>
        <w:tc>
          <w:tcPr>
            <w:tcW w:w="1277" w:type="pct"/>
            <w:noWrap/>
          </w:tcPr>
          <w:p w14:paraId="1ACAC8D2" w14:textId="77777777" w:rsidR="003C7B13" w:rsidRPr="0074646B" w:rsidRDefault="003C7B13" w:rsidP="00433F9C">
            <w:pPr>
              <w:pStyle w:val="TableText0"/>
              <w:jc w:val="both"/>
            </w:pPr>
            <w:r w:rsidRPr="00184AF3">
              <w:t>101%</w:t>
            </w:r>
          </w:p>
        </w:tc>
      </w:tr>
      <w:tr w:rsidR="003C7B13" w:rsidRPr="0074646B" w14:paraId="116E37F5" w14:textId="77777777" w:rsidTr="003C7B13">
        <w:trPr>
          <w:trHeight w:val="255"/>
        </w:trPr>
        <w:tc>
          <w:tcPr>
            <w:tcW w:w="1738" w:type="pct"/>
            <w:hideMark/>
          </w:tcPr>
          <w:p w14:paraId="12F9321C" w14:textId="77777777" w:rsidR="003C7B13" w:rsidRPr="0074646B" w:rsidRDefault="003C7B13" w:rsidP="00433F9C">
            <w:pPr>
              <w:pStyle w:val="TableText0"/>
              <w:jc w:val="both"/>
            </w:pPr>
            <w:r w:rsidRPr="00184AF3">
              <w:t>Potassium (mg)</w:t>
            </w:r>
          </w:p>
        </w:tc>
        <w:tc>
          <w:tcPr>
            <w:tcW w:w="922" w:type="pct"/>
          </w:tcPr>
          <w:p w14:paraId="7D041411" w14:textId="77777777" w:rsidR="003C7B13" w:rsidRPr="0074646B" w:rsidRDefault="003C7B13" w:rsidP="00433F9C">
            <w:pPr>
              <w:pStyle w:val="TableText0"/>
              <w:jc w:val="both"/>
            </w:pPr>
            <w:r w:rsidRPr="00184AF3">
              <w:t>418</w:t>
            </w:r>
          </w:p>
        </w:tc>
        <w:tc>
          <w:tcPr>
            <w:tcW w:w="1063" w:type="pct"/>
          </w:tcPr>
          <w:p w14:paraId="2082C8DA" w14:textId="77777777" w:rsidR="003C7B13" w:rsidRPr="0074646B" w:rsidRDefault="003C7B13" w:rsidP="00433F9C">
            <w:pPr>
              <w:pStyle w:val="TableText0"/>
              <w:jc w:val="both"/>
            </w:pPr>
            <w:r w:rsidRPr="00184AF3">
              <w:t>400</w:t>
            </w:r>
          </w:p>
        </w:tc>
        <w:tc>
          <w:tcPr>
            <w:tcW w:w="1277" w:type="pct"/>
            <w:noWrap/>
          </w:tcPr>
          <w:p w14:paraId="54600805" w14:textId="77777777" w:rsidR="003C7B13" w:rsidRPr="0074646B" w:rsidRDefault="003C7B13" w:rsidP="00433F9C">
            <w:pPr>
              <w:pStyle w:val="TableText0"/>
              <w:jc w:val="both"/>
            </w:pPr>
            <w:r w:rsidRPr="00184AF3">
              <w:t>105%</w:t>
            </w:r>
          </w:p>
        </w:tc>
      </w:tr>
      <w:tr w:rsidR="003C7B13" w:rsidRPr="0074646B" w14:paraId="5346853D" w14:textId="77777777" w:rsidTr="003C7B13">
        <w:trPr>
          <w:trHeight w:val="255"/>
        </w:trPr>
        <w:tc>
          <w:tcPr>
            <w:tcW w:w="1738" w:type="pct"/>
            <w:hideMark/>
          </w:tcPr>
          <w:p w14:paraId="4C65609C" w14:textId="77777777" w:rsidR="003C7B13" w:rsidRPr="0074646B" w:rsidRDefault="003C7B13" w:rsidP="00433F9C">
            <w:pPr>
              <w:pStyle w:val="TableText0"/>
              <w:jc w:val="both"/>
            </w:pPr>
            <w:r w:rsidRPr="00184AF3">
              <w:t>Chloride (mg)</w:t>
            </w:r>
          </w:p>
        </w:tc>
        <w:tc>
          <w:tcPr>
            <w:tcW w:w="922" w:type="pct"/>
          </w:tcPr>
          <w:p w14:paraId="683830C3" w14:textId="77777777" w:rsidR="003C7B13" w:rsidRPr="0074646B" w:rsidRDefault="003C7B13" w:rsidP="00433F9C">
            <w:pPr>
              <w:pStyle w:val="TableText0"/>
              <w:jc w:val="both"/>
            </w:pPr>
            <w:r w:rsidRPr="00184AF3">
              <w:t>328</w:t>
            </w:r>
          </w:p>
        </w:tc>
        <w:tc>
          <w:tcPr>
            <w:tcW w:w="1063" w:type="pct"/>
          </w:tcPr>
          <w:p w14:paraId="4EB39EDA" w14:textId="77777777" w:rsidR="003C7B13" w:rsidRPr="0074646B" w:rsidRDefault="003C7B13" w:rsidP="00433F9C">
            <w:pPr>
              <w:pStyle w:val="TableText0"/>
              <w:jc w:val="both"/>
            </w:pPr>
            <w:r w:rsidRPr="00184AF3">
              <w:t>376</w:t>
            </w:r>
          </w:p>
        </w:tc>
        <w:tc>
          <w:tcPr>
            <w:tcW w:w="1277" w:type="pct"/>
            <w:noWrap/>
          </w:tcPr>
          <w:p w14:paraId="5BE1EE41" w14:textId="77777777" w:rsidR="003C7B13" w:rsidRPr="0074646B" w:rsidRDefault="003C7B13" w:rsidP="00433F9C">
            <w:pPr>
              <w:pStyle w:val="TableText0"/>
              <w:jc w:val="both"/>
            </w:pPr>
            <w:r w:rsidRPr="00184AF3">
              <w:t>87%</w:t>
            </w:r>
          </w:p>
        </w:tc>
      </w:tr>
      <w:tr w:rsidR="003C7B13" w:rsidRPr="0074646B" w14:paraId="3A2AC664" w14:textId="77777777" w:rsidTr="003C7B13">
        <w:trPr>
          <w:trHeight w:val="255"/>
        </w:trPr>
        <w:tc>
          <w:tcPr>
            <w:tcW w:w="1738" w:type="pct"/>
            <w:hideMark/>
          </w:tcPr>
          <w:p w14:paraId="5372537E" w14:textId="77777777" w:rsidR="003C7B13" w:rsidRPr="0074646B" w:rsidRDefault="003C7B13" w:rsidP="00433F9C">
            <w:pPr>
              <w:pStyle w:val="TableText0"/>
              <w:jc w:val="both"/>
            </w:pPr>
            <w:r w:rsidRPr="00184AF3">
              <w:t>L-Carnitine (mg)</w:t>
            </w:r>
          </w:p>
        </w:tc>
        <w:tc>
          <w:tcPr>
            <w:tcW w:w="922" w:type="pct"/>
          </w:tcPr>
          <w:p w14:paraId="63F9FCE9" w14:textId="77777777" w:rsidR="003C7B13" w:rsidRPr="0074646B" w:rsidRDefault="003C7B13" w:rsidP="00433F9C">
            <w:pPr>
              <w:pStyle w:val="TableText0"/>
              <w:jc w:val="both"/>
            </w:pPr>
            <w:r w:rsidRPr="00184AF3">
              <w:t>34</w:t>
            </w:r>
          </w:p>
        </w:tc>
        <w:tc>
          <w:tcPr>
            <w:tcW w:w="1063" w:type="pct"/>
          </w:tcPr>
          <w:p w14:paraId="08686551" w14:textId="77777777" w:rsidR="003C7B13" w:rsidRPr="0074646B" w:rsidRDefault="003C7B13" w:rsidP="00433F9C">
            <w:pPr>
              <w:pStyle w:val="TableText0"/>
              <w:jc w:val="both"/>
            </w:pPr>
            <w:r w:rsidRPr="00184AF3">
              <w:t>33</w:t>
            </w:r>
          </w:p>
        </w:tc>
        <w:tc>
          <w:tcPr>
            <w:tcW w:w="1277" w:type="pct"/>
            <w:noWrap/>
          </w:tcPr>
          <w:p w14:paraId="280392C5" w14:textId="77777777" w:rsidR="003C7B13" w:rsidRPr="0074646B" w:rsidRDefault="003C7B13" w:rsidP="00433F9C">
            <w:pPr>
              <w:pStyle w:val="TableText0"/>
              <w:jc w:val="both"/>
            </w:pPr>
            <w:r w:rsidRPr="00184AF3">
              <w:t>103%</w:t>
            </w:r>
          </w:p>
        </w:tc>
      </w:tr>
      <w:tr w:rsidR="003C7B13" w:rsidRPr="00112F94" w14:paraId="17DB4D64" w14:textId="77777777" w:rsidTr="003C7B13">
        <w:trPr>
          <w:trHeight w:val="255"/>
        </w:trPr>
        <w:tc>
          <w:tcPr>
            <w:tcW w:w="5000" w:type="pct"/>
            <w:gridSpan w:val="4"/>
            <w:hideMark/>
          </w:tcPr>
          <w:p w14:paraId="585AD433" w14:textId="1375FEC9" w:rsidR="003C7B13" w:rsidRPr="00112F94" w:rsidRDefault="003C7B13" w:rsidP="00433F9C">
            <w:pPr>
              <w:pStyle w:val="TableText0"/>
              <w:jc w:val="both"/>
            </w:pPr>
            <w:r w:rsidRPr="00216F72">
              <w:rPr>
                <w:b/>
              </w:rPr>
              <w:t>Fat content</w:t>
            </w:r>
          </w:p>
        </w:tc>
      </w:tr>
      <w:tr w:rsidR="003C7B13" w:rsidRPr="0074646B" w14:paraId="5E499B0A" w14:textId="77777777" w:rsidTr="003C7B13">
        <w:trPr>
          <w:trHeight w:val="255"/>
        </w:trPr>
        <w:tc>
          <w:tcPr>
            <w:tcW w:w="1738" w:type="pct"/>
          </w:tcPr>
          <w:p w14:paraId="5334A967" w14:textId="77777777" w:rsidR="003C7B13" w:rsidRPr="0074646B" w:rsidRDefault="003C7B13" w:rsidP="00433F9C">
            <w:pPr>
              <w:pStyle w:val="TableText0"/>
              <w:jc w:val="both"/>
              <w:rPr>
                <w:b/>
                <w:bCs w:val="0"/>
              </w:rPr>
            </w:pPr>
            <w:r w:rsidRPr="00237DC2">
              <w:t xml:space="preserve">Saturated fat, g </w:t>
            </w:r>
          </w:p>
        </w:tc>
        <w:tc>
          <w:tcPr>
            <w:tcW w:w="922" w:type="pct"/>
            <w:noWrap/>
          </w:tcPr>
          <w:p w14:paraId="2653B77A" w14:textId="77777777" w:rsidR="003C7B13" w:rsidRPr="0074646B" w:rsidRDefault="003C7B13" w:rsidP="00433F9C">
            <w:pPr>
              <w:pStyle w:val="TableText0"/>
              <w:jc w:val="both"/>
            </w:pPr>
            <w:r w:rsidRPr="00237DC2">
              <w:t>8.1</w:t>
            </w:r>
          </w:p>
        </w:tc>
        <w:tc>
          <w:tcPr>
            <w:tcW w:w="1063" w:type="pct"/>
            <w:noWrap/>
          </w:tcPr>
          <w:p w14:paraId="74B27BBD" w14:textId="77777777" w:rsidR="003C7B13" w:rsidRPr="0074646B" w:rsidRDefault="003C7B13" w:rsidP="00433F9C">
            <w:pPr>
              <w:pStyle w:val="TableText0"/>
              <w:jc w:val="both"/>
            </w:pPr>
            <w:r w:rsidRPr="00237DC2">
              <w:t>9.3</w:t>
            </w:r>
          </w:p>
        </w:tc>
        <w:tc>
          <w:tcPr>
            <w:tcW w:w="1277" w:type="pct"/>
            <w:noWrap/>
          </w:tcPr>
          <w:p w14:paraId="7E41F93E" w14:textId="77777777" w:rsidR="003C7B13" w:rsidRPr="0074646B" w:rsidRDefault="003C7B13" w:rsidP="00433F9C">
            <w:pPr>
              <w:pStyle w:val="TableText0"/>
              <w:jc w:val="both"/>
            </w:pPr>
            <w:r w:rsidRPr="00237DC2">
              <w:t>87%</w:t>
            </w:r>
          </w:p>
        </w:tc>
      </w:tr>
      <w:tr w:rsidR="003C7B13" w:rsidRPr="0074646B" w14:paraId="794EEDF7" w14:textId="77777777" w:rsidTr="003C7B13">
        <w:trPr>
          <w:trHeight w:val="255"/>
        </w:trPr>
        <w:tc>
          <w:tcPr>
            <w:tcW w:w="1738" w:type="pct"/>
          </w:tcPr>
          <w:p w14:paraId="48CDC578" w14:textId="77777777" w:rsidR="003C7B13" w:rsidRPr="0074646B" w:rsidRDefault="003C7B13" w:rsidP="00433F9C">
            <w:pPr>
              <w:pStyle w:val="TableText0"/>
              <w:jc w:val="both"/>
            </w:pPr>
            <w:r w:rsidRPr="00237DC2">
              <w:t>Trans. fat, g</w:t>
            </w:r>
          </w:p>
        </w:tc>
        <w:tc>
          <w:tcPr>
            <w:tcW w:w="922" w:type="pct"/>
          </w:tcPr>
          <w:p w14:paraId="191D6995" w14:textId="77777777" w:rsidR="003C7B13" w:rsidRPr="0074646B" w:rsidRDefault="003C7B13" w:rsidP="00433F9C">
            <w:pPr>
              <w:pStyle w:val="TableText0"/>
              <w:jc w:val="both"/>
            </w:pPr>
            <w:r w:rsidRPr="00237DC2">
              <w:t>0</w:t>
            </w:r>
          </w:p>
        </w:tc>
        <w:tc>
          <w:tcPr>
            <w:tcW w:w="1063" w:type="pct"/>
          </w:tcPr>
          <w:p w14:paraId="18683C91" w14:textId="77777777" w:rsidR="003C7B13" w:rsidRPr="0074646B" w:rsidRDefault="003C7B13" w:rsidP="00433F9C">
            <w:pPr>
              <w:pStyle w:val="TableText0"/>
              <w:jc w:val="both"/>
            </w:pPr>
            <w:r w:rsidRPr="00237DC2">
              <w:t>0</w:t>
            </w:r>
          </w:p>
        </w:tc>
        <w:tc>
          <w:tcPr>
            <w:tcW w:w="1277" w:type="pct"/>
            <w:noWrap/>
          </w:tcPr>
          <w:p w14:paraId="71E84C6E" w14:textId="77777777" w:rsidR="003C7B13" w:rsidRPr="0074646B" w:rsidRDefault="003C7B13" w:rsidP="00433F9C">
            <w:pPr>
              <w:pStyle w:val="TableText0"/>
              <w:jc w:val="both"/>
            </w:pPr>
            <w:r>
              <w:t>-</w:t>
            </w:r>
          </w:p>
        </w:tc>
      </w:tr>
      <w:tr w:rsidR="003C7B13" w:rsidRPr="0074646B" w14:paraId="7072E034" w14:textId="77777777" w:rsidTr="003C7B13">
        <w:trPr>
          <w:trHeight w:val="255"/>
        </w:trPr>
        <w:tc>
          <w:tcPr>
            <w:tcW w:w="1738" w:type="pct"/>
          </w:tcPr>
          <w:p w14:paraId="640C07A7" w14:textId="77777777" w:rsidR="003C7B13" w:rsidRPr="0074646B" w:rsidRDefault="003C7B13" w:rsidP="00433F9C">
            <w:pPr>
              <w:pStyle w:val="TableText0"/>
              <w:jc w:val="both"/>
            </w:pPr>
            <w:r w:rsidRPr="00237DC2">
              <w:t xml:space="preserve">Mono. fat, g </w:t>
            </w:r>
          </w:p>
        </w:tc>
        <w:tc>
          <w:tcPr>
            <w:tcW w:w="922" w:type="pct"/>
          </w:tcPr>
          <w:p w14:paraId="3C8E734D" w14:textId="77777777" w:rsidR="003C7B13" w:rsidRPr="0074646B" w:rsidRDefault="003C7B13" w:rsidP="00433F9C">
            <w:pPr>
              <w:pStyle w:val="TableText0"/>
              <w:jc w:val="both"/>
            </w:pPr>
            <w:r w:rsidRPr="00237DC2">
              <w:t>12</w:t>
            </w:r>
          </w:p>
        </w:tc>
        <w:tc>
          <w:tcPr>
            <w:tcW w:w="1063" w:type="pct"/>
          </w:tcPr>
          <w:p w14:paraId="3FEA1E73" w14:textId="77777777" w:rsidR="003C7B13" w:rsidRPr="0074646B" w:rsidRDefault="003C7B13" w:rsidP="00433F9C">
            <w:pPr>
              <w:pStyle w:val="TableText0"/>
              <w:jc w:val="both"/>
            </w:pPr>
            <w:r w:rsidRPr="00237DC2">
              <w:t>10.7</w:t>
            </w:r>
          </w:p>
        </w:tc>
        <w:tc>
          <w:tcPr>
            <w:tcW w:w="1277" w:type="pct"/>
            <w:noWrap/>
          </w:tcPr>
          <w:p w14:paraId="139EF493" w14:textId="77777777" w:rsidR="003C7B13" w:rsidRPr="0074646B" w:rsidRDefault="003C7B13" w:rsidP="00433F9C">
            <w:pPr>
              <w:pStyle w:val="TableText0"/>
              <w:jc w:val="both"/>
            </w:pPr>
            <w:r w:rsidRPr="00237DC2">
              <w:t>112%</w:t>
            </w:r>
          </w:p>
        </w:tc>
      </w:tr>
      <w:tr w:rsidR="003C7B13" w:rsidRPr="0074646B" w14:paraId="5ED89CF7" w14:textId="77777777" w:rsidTr="003C7B13">
        <w:trPr>
          <w:trHeight w:val="255"/>
        </w:trPr>
        <w:tc>
          <w:tcPr>
            <w:tcW w:w="1738" w:type="pct"/>
          </w:tcPr>
          <w:p w14:paraId="021022A1" w14:textId="77777777" w:rsidR="003C7B13" w:rsidRPr="0074646B" w:rsidRDefault="003C7B13" w:rsidP="00433F9C">
            <w:pPr>
              <w:pStyle w:val="TableText0"/>
              <w:jc w:val="both"/>
            </w:pPr>
            <w:r w:rsidRPr="00237DC2">
              <w:t xml:space="preserve">Poly. fat, g </w:t>
            </w:r>
          </w:p>
        </w:tc>
        <w:tc>
          <w:tcPr>
            <w:tcW w:w="922" w:type="pct"/>
          </w:tcPr>
          <w:p w14:paraId="400D3828" w14:textId="77777777" w:rsidR="003C7B13" w:rsidRPr="0074646B" w:rsidRDefault="003C7B13" w:rsidP="00433F9C">
            <w:pPr>
              <w:pStyle w:val="TableText0"/>
              <w:jc w:val="both"/>
            </w:pPr>
            <w:r w:rsidRPr="00237DC2">
              <w:t>4.7</w:t>
            </w:r>
          </w:p>
        </w:tc>
        <w:tc>
          <w:tcPr>
            <w:tcW w:w="1063" w:type="pct"/>
          </w:tcPr>
          <w:p w14:paraId="56301CD1" w14:textId="77777777" w:rsidR="003C7B13" w:rsidRPr="0074646B" w:rsidRDefault="003C7B13" w:rsidP="00433F9C">
            <w:pPr>
              <w:pStyle w:val="TableText0"/>
              <w:jc w:val="both"/>
            </w:pPr>
            <w:r w:rsidRPr="00237DC2">
              <w:t>4.2</w:t>
            </w:r>
          </w:p>
        </w:tc>
        <w:tc>
          <w:tcPr>
            <w:tcW w:w="1277" w:type="pct"/>
            <w:noWrap/>
          </w:tcPr>
          <w:p w14:paraId="0ECE56F2" w14:textId="77777777" w:rsidR="003C7B13" w:rsidRPr="0074646B" w:rsidRDefault="003C7B13" w:rsidP="00433F9C">
            <w:pPr>
              <w:pStyle w:val="TableText0"/>
              <w:jc w:val="both"/>
            </w:pPr>
            <w:r w:rsidRPr="00237DC2">
              <w:t>112%</w:t>
            </w:r>
          </w:p>
        </w:tc>
      </w:tr>
    </w:tbl>
    <w:p w14:paraId="28E7A129" w14:textId="77777777" w:rsidR="00C11752" w:rsidRDefault="003C7B13" w:rsidP="00433F9C">
      <w:pPr>
        <w:pStyle w:val="tablenotes"/>
        <w:keepNext/>
        <w:rPr>
          <w:rFonts w:ascii="Arial Narrow" w:hAnsi="Arial Narrow"/>
          <w:sz w:val="18"/>
          <w:szCs w:val="18"/>
        </w:rPr>
      </w:pPr>
      <w:r>
        <w:rPr>
          <w:rFonts w:ascii="Arial Narrow" w:hAnsi="Arial Narrow"/>
          <w:sz w:val="18"/>
          <w:szCs w:val="18"/>
        </w:rPr>
        <w:t>Source: submission main body pp5-7</w:t>
      </w:r>
    </w:p>
    <w:p w14:paraId="2E518CBE" w14:textId="77777777" w:rsidR="00463257" w:rsidRPr="0010245F" w:rsidRDefault="003C7B13" w:rsidP="00F163BE">
      <w:pPr>
        <w:pStyle w:val="tablenotes"/>
        <w:spacing w:after="120"/>
        <w:rPr>
          <w:rFonts w:ascii="Arial Narrow" w:hAnsi="Arial Narrow"/>
          <w:sz w:val="18"/>
          <w:szCs w:val="18"/>
        </w:rPr>
      </w:pPr>
      <w:r w:rsidRPr="003C7B13">
        <w:rPr>
          <w:rFonts w:ascii="Arial Narrow" w:hAnsi="Arial Narrow"/>
          <w:sz w:val="18"/>
          <w:szCs w:val="18"/>
        </w:rPr>
        <w:t xml:space="preserve">AI: average intake; DFE: dietary folate equivalent; DHA: Docosahexaenoic Acid; NRV: nutrient reference values; Phe: phenylalanine; RDI: </w:t>
      </w:r>
      <w:r w:rsidRPr="003C7B13">
        <w:rPr>
          <w:rFonts w:ascii="Arial Narrow" w:hAnsi="Arial Narrow"/>
          <w:sz w:val="18"/>
          <w:szCs w:val="18"/>
        </w:rPr>
        <w:lastRenderedPageBreak/>
        <w:t>recommended daily intake</w:t>
      </w:r>
    </w:p>
    <w:p w14:paraId="0CFE357B" w14:textId="4045A11E" w:rsidR="00334C4C" w:rsidRPr="00334C4C" w:rsidRDefault="00334C4C" w:rsidP="00F163BE">
      <w:pPr>
        <w:pStyle w:val="3Bodytext"/>
        <w:jc w:val="both"/>
        <w:rPr>
          <w:i/>
          <w:iCs/>
          <w:lang w:eastAsia="en-US"/>
        </w:rPr>
      </w:pPr>
      <w:r>
        <w:rPr>
          <w:lang w:eastAsia="en-US"/>
        </w:rPr>
        <w:t>A comparison of the new and previous formulation of KetoVie 4:1 is provided at Table</w:t>
      </w:r>
      <w:r w:rsidR="00FF4D9E">
        <w:rPr>
          <w:lang w:eastAsia="en-US"/>
        </w:rPr>
        <w:t> </w:t>
      </w:r>
      <w:r>
        <w:rPr>
          <w:lang w:eastAsia="en-US"/>
        </w:rPr>
        <w:t>2.</w:t>
      </w:r>
    </w:p>
    <w:p w14:paraId="12AAD07E" w14:textId="0DF3782B" w:rsidR="00463257" w:rsidRPr="006743A0" w:rsidRDefault="00463257" w:rsidP="00F163BE">
      <w:pPr>
        <w:pStyle w:val="3Bodytext"/>
        <w:jc w:val="both"/>
        <w:rPr>
          <w:i/>
          <w:iCs/>
          <w:lang w:eastAsia="en-US"/>
        </w:rPr>
      </w:pPr>
      <w:r>
        <w:rPr>
          <w:lang w:eastAsia="en-US"/>
        </w:rPr>
        <w:t>For KetoVie 4:1, t</w:t>
      </w:r>
      <w:r w:rsidRPr="00164D79">
        <w:rPr>
          <w:lang w:eastAsia="en-US"/>
        </w:rPr>
        <w:t xml:space="preserve">he submission stated that the </w:t>
      </w:r>
      <w:r>
        <w:rPr>
          <w:lang w:eastAsia="en-US"/>
        </w:rPr>
        <w:t>following changes have been made:</w:t>
      </w:r>
    </w:p>
    <w:p w14:paraId="0C1ACCE1" w14:textId="44CDEC7C" w:rsidR="00463257" w:rsidRPr="00463257" w:rsidRDefault="00463257" w:rsidP="005834B6">
      <w:pPr>
        <w:pStyle w:val="3Bodytext"/>
        <w:numPr>
          <w:ilvl w:val="0"/>
          <w:numId w:val="7"/>
        </w:numPr>
        <w:jc w:val="both"/>
      </w:pPr>
      <w:r w:rsidRPr="00463257">
        <w:t>The primary fat source in KetoVie</w:t>
      </w:r>
      <w:r w:rsidR="00346DD6">
        <w:t xml:space="preserve"> 4:1</w:t>
      </w:r>
      <w:r w:rsidRPr="00463257">
        <w:t xml:space="preserve"> flavours has been changed from cocoa butter to high oleic sunflower oil as a means of reducing saturated fat content and improving the levels of mono and polyunsaturated fats. </w:t>
      </w:r>
    </w:p>
    <w:p w14:paraId="7B328C02" w14:textId="5DD1B206" w:rsidR="00463257" w:rsidRPr="00463257" w:rsidRDefault="00463257" w:rsidP="005834B6">
      <w:pPr>
        <w:pStyle w:val="3Bodytext"/>
        <w:numPr>
          <w:ilvl w:val="0"/>
          <w:numId w:val="7"/>
        </w:numPr>
        <w:jc w:val="both"/>
      </w:pPr>
      <w:r w:rsidRPr="00463257">
        <w:t xml:space="preserve">The amount of Vitamin A has been lowered in the KetoVie 4:1 flavours reformulation to match the levels in KetoVie 4:1 </w:t>
      </w:r>
      <w:r w:rsidR="00346DD6">
        <w:t>u</w:t>
      </w:r>
      <w:r w:rsidRPr="00463257">
        <w:t xml:space="preserve">nflavoured as clinician feedback reported some patients on higher calorie volumes approached upper limits of Vitamin A. </w:t>
      </w:r>
    </w:p>
    <w:p w14:paraId="5D321260" w14:textId="454FA8D0" w:rsidR="00463257" w:rsidRPr="00463257" w:rsidRDefault="00463257" w:rsidP="005834B6">
      <w:pPr>
        <w:pStyle w:val="3Bodytext"/>
        <w:numPr>
          <w:ilvl w:val="0"/>
          <w:numId w:val="7"/>
        </w:numPr>
        <w:jc w:val="both"/>
      </w:pPr>
      <w:r w:rsidRPr="00463257">
        <w:t xml:space="preserve">The amounts of vitamin E and calcium have been increased and the amount of folate lowered in the KetoVie 4:1 flavours reformulation to better meet the dietary requirements and to match the levels in KetoVie 4:1 </w:t>
      </w:r>
      <w:r w:rsidR="00346DD6">
        <w:t>u</w:t>
      </w:r>
      <w:r w:rsidRPr="00463257">
        <w:t xml:space="preserve">nflavoured. </w:t>
      </w:r>
    </w:p>
    <w:p w14:paraId="64F7CB35" w14:textId="5F1CA600" w:rsidR="00463257" w:rsidRPr="00463257" w:rsidRDefault="00463257" w:rsidP="005834B6">
      <w:pPr>
        <w:pStyle w:val="3Bodytext"/>
        <w:numPr>
          <w:ilvl w:val="0"/>
          <w:numId w:val="7"/>
        </w:numPr>
        <w:jc w:val="both"/>
      </w:pPr>
      <w:r w:rsidRPr="00463257">
        <w:t xml:space="preserve">The change in zinc content </w:t>
      </w:r>
      <w:r w:rsidR="00346DD6">
        <w:t>unifies</w:t>
      </w:r>
      <w:r w:rsidRPr="00463257">
        <w:t xml:space="preserve"> the micronutrient blend used across the KetoVie line of formulas for the purpose of easier administration. </w:t>
      </w:r>
    </w:p>
    <w:p w14:paraId="1DD5BC60" w14:textId="77777777" w:rsidR="007244C8" w:rsidRDefault="00463257" w:rsidP="005834B6">
      <w:pPr>
        <w:pStyle w:val="3Bodytext"/>
        <w:numPr>
          <w:ilvl w:val="0"/>
          <w:numId w:val="7"/>
        </w:numPr>
        <w:jc w:val="both"/>
      </w:pPr>
      <w:r w:rsidRPr="00463257">
        <w:t>The amount of potassium has been increased closer to recommended daily intake (RDI).</w:t>
      </w:r>
      <w:bookmarkStart w:id="5" w:name="_Ref118020211"/>
    </w:p>
    <w:p w14:paraId="29A94267" w14:textId="442B1F6C" w:rsidR="007244C8" w:rsidRPr="007244C8" w:rsidRDefault="007244C8" w:rsidP="00F163BE">
      <w:pPr>
        <w:pStyle w:val="3Bodytext"/>
        <w:numPr>
          <w:ilvl w:val="0"/>
          <w:numId w:val="0"/>
        </w:numPr>
        <w:spacing w:after="0"/>
        <w:ind w:left="720" w:hanging="720"/>
        <w:jc w:val="both"/>
        <w:rPr>
          <w:rFonts w:ascii="Arial Narrow" w:hAnsi="Arial Narrow"/>
          <w:b/>
          <w:bCs/>
          <w:sz w:val="20"/>
          <w:szCs w:val="20"/>
        </w:rPr>
      </w:pPr>
      <w:r w:rsidRPr="007244C8">
        <w:rPr>
          <w:rFonts w:ascii="Arial Narrow" w:hAnsi="Arial Narrow"/>
          <w:b/>
          <w:bCs/>
          <w:sz w:val="20"/>
          <w:szCs w:val="20"/>
        </w:rPr>
        <w:t xml:space="preserve">Table </w:t>
      </w:r>
      <w:r w:rsidRPr="007244C8">
        <w:rPr>
          <w:rFonts w:ascii="Arial Narrow" w:hAnsi="Arial Narrow"/>
          <w:b/>
          <w:bCs/>
          <w:sz w:val="20"/>
          <w:szCs w:val="20"/>
        </w:rPr>
        <w:fldChar w:fldCharType="begin"/>
      </w:r>
      <w:r w:rsidRPr="007244C8">
        <w:rPr>
          <w:rFonts w:ascii="Arial Narrow" w:hAnsi="Arial Narrow"/>
          <w:b/>
          <w:bCs/>
          <w:sz w:val="20"/>
          <w:szCs w:val="20"/>
        </w:rPr>
        <w:instrText xml:space="preserve"> SEQ Table \* ARABIC </w:instrText>
      </w:r>
      <w:r w:rsidRPr="007244C8">
        <w:rPr>
          <w:rFonts w:ascii="Arial Narrow" w:hAnsi="Arial Narrow"/>
          <w:b/>
          <w:bCs/>
          <w:sz w:val="20"/>
          <w:szCs w:val="20"/>
        </w:rPr>
        <w:fldChar w:fldCharType="separate"/>
      </w:r>
      <w:r w:rsidR="00F9205C">
        <w:rPr>
          <w:rFonts w:ascii="Arial Narrow" w:hAnsi="Arial Narrow"/>
          <w:b/>
          <w:bCs/>
          <w:noProof/>
          <w:sz w:val="20"/>
          <w:szCs w:val="20"/>
        </w:rPr>
        <w:t>1</w:t>
      </w:r>
      <w:r w:rsidRPr="007244C8">
        <w:rPr>
          <w:rFonts w:ascii="Arial Narrow" w:hAnsi="Arial Narrow"/>
          <w:b/>
          <w:bCs/>
          <w:noProof/>
          <w:sz w:val="20"/>
          <w:szCs w:val="20"/>
        </w:rPr>
        <w:fldChar w:fldCharType="end"/>
      </w:r>
      <w:bookmarkEnd w:id="5"/>
      <w:r w:rsidRPr="007244C8">
        <w:rPr>
          <w:rFonts w:ascii="Arial Narrow" w:hAnsi="Arial Narrow"/>
          <w:b/>
          <w:bCs/>
          <w:sz w:val="20"/>
          <w:szCs w:val="20"/>
        </w:rPr>
        <w:t xml:space="preserve">: </w:t>
      </w:r>
      <w:proofErr w:type="spellStart"/>
      <w:r w:rsidRPr="007244C8">
        <w:rPr>
          <w:rFonts w:ascii="Arial Narrow" w:hAnsi="Arial Narrow"/>
          <w:b/>
          <w:bCs/>
          <w:sz w:val="20"/>
          <w:szCs w:val="20"/>
        </w:rPr>
        <w:t>KetoVie</w:t>
      </w:r>
      <w:proofErr w:type="spellEnd"/>
      <w:r w:rsidRPr="007244C8">
        <w:rPr>
          <w:rFonts w:ascii="Arial Narrow" w:hAnsi="Arial Narrow"/>
          <w:b/>
          <w:bCs/>
          <w:sz w:val="20"/>
          <w:szCs w:val="20"/>
        </w:rPr>
        <w:t xml:space="preserve"> 4:1 Vanilla reformulation</w:t>
      </w:r>
    </w:p>
    <w:tbl>
      <w:tblPr>
        <w:tblStyle w:val="TableGrid"/>
        <w:tblW w:w="5000" w:type="pct"/>
        <w:tblLook w:val="04A0" w:firstRow="1" w:lastRow="0" w:firstColumn="1" w:lastColumn="0" w:noHBand="0" w:noVBand="1"/>
      </w:tblPr>
      <w:tblGrid>
        <w:gridCol w:w="3134"/>
        <w:gridCol w:w="1657"/>
        <w:gridCol w:w="1917"/>
        <w:gridCol w:w="2308"/>
      </w:tblGrid>
      <w:tr w:rsidR="007244C8" w:rsidRPr="007A7F40" w14:paraId="46807B7C" w14:textId="77777777" w:rsidTr="007244C8">
        <w:trPr>
          <w:trHeight w:val="313"/>
          <w:tblHeader/>
        </w:trPr>
        <w:tc>
          <w:tcPr>
            <w:tcW w:w="1738" w:type="pct"/>
            <w:vMerge w:val="restart"/>
            <w:shd w:val="clear" w:color="auto" w:fill="BFBFBF" w:themeFill="background1" w:themeFillShade="BF"/>
            <w:noWrap/>
            <w:hideMark/>
          </w:tcPr>
          <w:p w14:paraId="5D65431B" w14:textId="77777777" w:rsidR="007244C8" w:rsidRPr="007A7F40" w:rsidRDefault="007244C8" w:rsidP="00F163BE">
            <w:pPr>
              <w:pStyle w:val="TableHeading"/>
              <w:keepNext w:val="0"/>
            </w:pPr>
            <w:r w:rsidRPr="007A7F40">
              <w:t>Nutrient</w:t>
            </w:r>
          </w:p>
        </w:tc>
        <w:tc>
          <w:tcPr>
            <w:tcW w:w="3262" w:type="pct"/>
            <w:gridSpan w:val="3"/>
            <w:shd w:val="clear" w:color="auto" w:fill="BFBFBF" w:themeFill="background1" w:themeFillShade="BF"/>
            <w:hideMark/>
          </w:tcPr>
          <w:p w14:paraId="10CC4CE9" w14:textId="77777777" w:rsidR="007244C8" w:rsidRPr="007A7F40" w:rsidRDefault="007244C8" w:rsidP="00F163BE">
            <w:pPr>
              <w:pStyle w:val="TableHeading"/>
              <w:keepNext w:val="0"/>
            </w:pPr>
            <w:r w:rsidRPr="007A7F40">
              <w:t>Product nutritional content</w:t>
            </w:r>
            <w:r>
              <w:t xml:space="preserve"> (per 250 mL carton)</w:t>
            </w:r>
          </w:p>
        </w:tc>
      </w:tr>
      <w:tr w:rsidR="007244C8" w:rsidRPr="007A7F40" w14:paraId="281DC2F4" w14:textId="77777777" w:rsidTr="007244C8">
        <w:trPr>
          <w:trHeight w:val="558"/>
          <w:tblHeader/>
        </w:trPr>
        <w:tc>
          <w:tcPr>
            <w:tcW w:w="1738" w:type="pct"/>
            <w:vMerge/>
            <w:shd w:val="clear" w:color="auto" w:fill="BFBFBF" w:themeFill="background1" w:themeFillShade="BF"/>
            <w:hideMark/>
          </w:tcPr>
          <w:p w14:paraId="4A0E16D8" w14:textId="77777777" w:rsidR="007244C8" w:rsidRPr="007A7F40" w:rsidRDefault="007244C8" w:rsidP="00F163BE">
            <w:pPr>
              <w:pStyle w:val="TableHeading"/>
              <w:keepNext w:val="0"/>
            </w:pPr>
          </w:p>
        </w:tc>
        <w:tc>
          <w:tcPr>
            <w:tcW w:w="919" w:type="pct"/>
            <w:shd w:val="clear" w:color="auto" w:fill="BFBFBF" w:themeFill="background1" w:themeFillShade="BF"/>
            <w:hideMark/>
          </w:tcPr>
          <w:p w14:paraId="198F2B4C" w14:textId="78433B4A" w:rsidR="007244C8" w:rsidRPr="007A7F40" w:rsidRDefault="007244C8" w:rsidP="00F163BE">
            <w:pPr>
              <w:pStyle w:val="TableHeading"/>
              <w:keepNext w:val="0"/>
            </w:pPr>
            <w:r>
              <w:t>KetoVie 4:1</w:t>
            </w:r>
            <w:r w:rsidRPr="00092B3C">
              <w:t xml:space="preserve"> </w:t>
            </w:r>
            <w:r>
              <w:t>vanilla new</w:t>
            </w:r>
            <w:r w:rsidRPr="00092B3C">
              <w:t xml:space="preserve"> formulation</w:t>
            </w:r>
          </w:p>
        </w:tc>
        <w:tc>
          <w:tcPr>
            <w:tcW w:w="1063" w:type="pct"/>
            <w:shd w:val="clear" w:color="auto" w:fill="BFBFBF" w:themeFill="background1" w:themeFillShade="BF"/>
            <w:hideMark/>
          </w:tcPr>
          <w:p w14:paraId="247CB962" w14:textId="77777777" w:rsidR="007244C8" w:rsidRPr="007A7F40" w:rsidRDefault="007244C8" w:rsidP="00F163BE">
            <w:pPr>
              <w:pStyle w:val="TableHeading"/>
              <w:keepNext w:val="0"/>
            </w:pPr>
            <w:r>
              <w:t>KetoVie 4:1</w:t>
            </w:r>
            <w:r w:rsidRPr="00092B3C">
              <w:t xml:space="preserve"> </w:t>
            </w:r>
            <w:r>
              <w:t xml:space="preserve">vanilla </w:t>
            </w:r>
            <w:r w:rsidRPr="00092B3C">
              <w:t>current formulation</w:t>
            </w:r>
          </w:p>
        </w:tc>
        <w:tc>
          <w:tcPr>
            <w:tcW w:w="1280" w:type="pct"/>
            <w:shd w:val="clear" w:color="auto" w:fill="BFBFBF" w:themeFill="background1" w:themeFillShade="BF"/>
            <w:hideMark/>
          </w:tcPr>
          <w:p w14:paraId="5FE0B5F9" w14:textId="77777777" w:rsidR="007244C8" w:rsidRPr="006E1620" w:rsidRDefault="007244C8" w:rsidP="00F163BE">
            <w:pPr>
              <w:rPr>
                <w:rFonts w:ascii="Arial Narrow" w:hAnsi="Arial Narrow" w:cs="Arial Narrow"/>
                <w:b/>
                <w:bCs/>
                <w:sz w:val="20"/>
                <w:lang w:eastAsia="en-US"/>
              </w:rPr>
            </w:pPr>
            <w:r w:rsidRPr="006E1620">
              <w:rPr>
                <w:rFonts w:ascii="Arial Narrow" w:hAnsi="Arial Narrow" w:cs="Arial Narrow"/>
                <w:b/>
                <w:bCs/>
                <w:sz w:val="20"/>
                <w:lang w:eastAsia="en-US"/>
              </w:rPr>
              <w:t>New formula/current formula nutritional content</w:t>
            </w:r>
          </w:p>
        </w:tc>
      </w:tr>
      <w:tr w:rsidR="007244C8" w:rsidRPr="0074646B" w14:paraId="7E597255" w14:textId="77777777" w:rsidTr="007244C8">
        <w:trPr>
          <w:trHeight w:val="255"/>
        </w:trPr>
        <w:tc>
          <w:tcPr>
            <w:tcW w:w="1738" w:type="pct"/>
            <w:noWrap/>
          </w:tcPr>
          <w:p w14:paraId="18CCD4E6" w14:textId="77777777" w:rsidR="007244C8" w:rsidRPr="00C5337F" w:rsidRDefault="007244C8" w:rsidP="00F163BE">
            <w:pPr>
              <w:pStyle w:val="TableText0"/>
              <w:keepNext w:val="0"/>
              <w:jc w:val="both"/>
            </w:pPr>
            <w:r w:rsidRPr="00C5337F">
              <w:t>Energy (kilojoule)</w:t>
            </w:r>
          </w:p>
        </w:tc>
        <w:tc>
          <w:tcPr>
            <w:tcW w:w="919" w:type="pct"/>
            <w:noWrap/>
          </w:tcPr>
          <w:p w14:paraId="05102F42" w14:textId="77777777" w:rsidR="007244C8" w:rsidRPr="00C5337F" w:rsidRDefault="007244C8" w:rsidP="00F163BE">
            <w:pPr>
              <w:pStyle w:val="TableText0"/>
              <w:keepNext w:val="0"/>
              <w:jc w:val="both"/>
            </w:pPr>
            <w:r w:rsidRPr="00C5337F">
              <w:t>1548</w:t>
            </w:r>
          </w:p>
        </w:tc>
        <w:tc>
          <w:tcPr>
            <w:tcW w:w="1063" w:type="pct"/>
            <w:noWrap/>
          </w:tcPr>
          <w:p w14:paraId="58F1B730" w14:textId="77777777" w:rsidR="007244C8" w:rsidRPr="00C5337F" w:rsidRDefault="007244C8" w:rsidP="00F163BE">
            <w:pPr>
              <w:pStyle w:val="TableText0"/>
              <w:keepNext w:val="0"/>
              <w:jc w:val="both"/>
            </w:pPr>
            <w:r w:rsidRPr="00C5337F">
              <w:t>1506</w:t>
            </w:r>
          </w:p>
        </w:tc>
        <w:tc>
          <w:tcPr>
            <w:tcW w:w="1280" w:type="pct"/>
            <w:noWrap/>
          </w:tcPr>
          <w:p w14:paraId="4C0D9FD4" w14:textId="77777777" w:rsidR="007244C8" w:rsidRPr="00C5337F" w:rsidRDefault="007244C8" w:rsidP="00F163BE">
            <w:pPr>
              <w:pStyle w:val="TableText0"/>
              <w:keepNext w:val="0"/>
              <w:jc w:val="both"/>
            </w:pPr>
            <w:r w:rsidRPr="00C5337F">
              <w:t>103%</w:t>
            </w:r>
          </w:p>
        </w:tc>
      </w:tr>
      <w:tr w:rsidR="007244C8" w:rsidRPr="0074646B" w14:paraId="6DE8EF60" w14:textId="77777777" w:rsidTr="007244C8">
        <w:trPr>
          <w:trHeight w:val="255"/>
        </w:trPr>
        <w:tc>
          <w:tcPr>
            <w:tcW w:w="1738" w:type="pct"/>
            <w:noWrap/>
          </w:tcPr>
          <w:p w14:paraId="48842821" w14:textId="77777777" w:rsidR="007244C8" w:rsidRPr="00C5337F" w:rsidRDefault="007244C8" w:rsidP="00F163BE">
            <w:pPr>
              <w:pStyle w:val="TableText0"/>
              <w:keepNext w:val="0"/>
              <w:jc w:val="both"/>
            </w:pPr>
            <w:r w:rsidRPr="0095094D">
              <w:t>Protein (g)</w:t>
            </w:r>
          </w:p>
        </w:tc>
        <w:tc>
          <w:tcPr>
            <w:tcW w:w="919" w:type="pct"/>
            <w:noWrap/>
          </w:tcPr>
          <w:p w14:paraId="11046091" w14:textId="77777777" w:rsidR="007244C8" w:rsidRPr="00C5337F" w:rsidRDefault="007244C8" w:rsidP="00F163BE">
            <w:pPr>
              <w:pStyle w:val="TableText0"/>
              <w:keepNext w:val="0"/>
              <w:jc w:val="both"/>
            </w:pPr>
            <w:r w:rsidRPr="0095094D">
              <w:t>8.5</w:t>
            </w:r>
          </w:p>
        </w:tc>
        <w:tc>
          <w:tcPr>
            <w:tcW w:w="1063" w:type="pct"/>
            <w:noWrap/>
          </w:tcPr>
          <w:p w14:paraId="6FF967B3" w14:textId="77777777" w:rsidR="007244C8" w:rsidRPr="00C5337F" w:rsidRDefault="007244C8" w:rsidP="00F163BE">
            <w:pPr>
              <w:pStyle w:val="TableText0"/>
              <w:keepNext w:val="0"/>
              <w:jc w:val="both"/>
            </w:pPr>
            <w:r w:rsidRPr="0095094D">
              <w:t>8.5</w:t>
            </w:r>
          </w:p>
        </w:tc>
        <w:tc>
          <w:tcPr>
            <w:tcW w:w="1280" w:type="pct"/>
            <w:noWrap/>
          </w:tcPr>
          <w:p w14:paraId="4E0C33BD" w14:textId="77777777" w:rsidR="007244C8" w:rsidRPr="00C5337F" w:rsidRDefault="007244C8" w:rsidP="00F163BE">
            <w:pPr>
              <w:pStyle w:val="TableText0"/>
              <w:keepNext w:val="0"/>
              <w:jc w:val="both"/>
            </w:pPr>
            <w:r w:rsidRPr="0095094D">
              <w:t>100%</w:t>
            </w:r>
          </w:p>
        </w:tc>
      </w:tr>
      <w:tr w:rsidR="007244C8" w:rsidRPr="0074646B" w14:paraId="1EA58847" w14:textId="77777777" w:rsidTr="007244C8">
        <w:trPr>
          <w:trHeight w:val="255"/>
        </w:trPr>
        <w:tc>
          <w:tcPr>
            <w:tcW w:w="1738" w:type="pct"/>
            <w:noWrap/>
          </w:tcPr>
          <w:p w14:paraId="1C341842" w14:textId="77777777" w:rsidR="007244C8" w:rsidRPr="00C5337F" w:rsidRDefault="007244C8" w:rsidP="00F163BE">
            <w:pPr>
              <w:pStyle w:val="TableText0"/>
              <w:keepNext w:val="0"/>
              <w:jc w:val="both"/>
            </w:pPr>
            <w:r w:rsidRPr="0095094D">
              <w:t>Carbohydrate (g)</w:t>
            </w:r>
          </w:p>
        </w:tc>
        <w:tc>
          <w:tcPr>
            <w:tcW w:w="919" w:type="pct"/>
            <w:noWrap/>
          </w:tcPr>
          <w:p w14:paraId="1593627D" w14:textId="77777777" w:rsidR="007244C8" w:rsidRPr="00C5337F" w:rsidRDefault="007244C8" w:rsidP="00F163BE">
            <w:pPr>
              <w:pStyle w:val="TableText0"/>
              <w:keepNext w:val="0"/>
              <w:jc w:val="both"/>
            </w:pPr>
            <w:r w:rsidRPr="0095094D">
              <w:t>0.4</w:t>
            </w:r>
          </w:p>
        </w:tc>
        <w:tc>
          <w:tcPr>
            <w:tcW w:w="1063" w:type="pct"/>
            <w:noWrap/>
          </w:tcPr>
          <w:p w14:paraId="523605F7" w14:textId="77777777" w:rsidR="007244C8" w:rsidRPr="00C5337F" w:rsidRDefault="007244C8" w:rsidP="00F163BE">
            <w:pPr>
              <w:pStyle w:val="TableText0"/>
              <w:keepNext w:val="0"/>
              <w:jc w:val="both"/>
            </w:pPr>
            <w:r w:rsidRPr="0095094D">
              <w:t>0.4</w:t>
            </w:r>
          </w:p>
        </w:tc>
        <w:tc>
          <w:tcPr>
            <w:tcW w:w="1280" w:type="pct"/>
            <w:noWrap/>
          </w:tcPr>
          <w:p w14:paraId="7D8FA32D" w14:textId="77777777" w:rsidR="007244C8" w:rsidRPr="00C5337F" w:rsidRDefault="007244C8" w:rsidP="00F163BE">
            <w:pPr>
              <w:pStyle w:val="TableText0"/>
              <w:keepNext w:val="0"/>
              <w:jc w:val="both"/>
            </w:pPr>
            <w:r w:rsidRPr="0095094D">
              <w:t>100%</w:t>
            </w:r>
          </w:p>
        </w:tc>
      </w:tr>
      <w:tr w:rsidR="007244C8" w:rsidRPr="0074646B" w14:paraId="7E75CD48" w14:textId="77777777" w:rsidTr="007244C8">
        <w:trPr>
          <w:trHeight w:val="255"/>
        </w:trPr>
        <w:tc>
          <w:tcPr>
            <w:tcW w:w="1738" w:type="pct"/>
            <w:noWrap/>
          </w:tcPr>
          <w:p w14:paraId="4F69D55F" w14:textId="77777777" w:rsidR="007244C8" w:rsidRPr="00C5337F" w:rsidRDefault="007244C8" w:rsidP="00F163BE">
            <w:pPr>
              <w:pStyle w:val="TableText0"/>
              <w:keepNext w:val="0"/>
              <w:jc w:val="both"/>
            </w:pPr>
            <w:r w:rsidRPr="0095094D">
              <w:t>Fibre (g)</w:t>
            </w:r>
          </w:p>
        </w:tc>
        <w:tc>
          <w:tcPr>
            <w:tcW w:w="919" w:type="pct"/>
            <w:noWrap/>
          </w:tcPr>
          <w:p w14:paraId="2A2B8597" w14:textId="77777777" w:rsidR="007244C8" w:rsidRPr="00C5337F" w:rsidRDefault="007244C8" w:rsidP="00F163BE">
            <w:pPr>
              <w:pStyle w:val="TableText0"/>
              <w:keepNext w:val="0"/>
              <w:jc w:val="both"/>
            </w:pPr>
            <w:r w:rsidRPr="0095094D">
              <w:t>4.4</w:t>
            </w:r>
          </w:p>
        </w:tc>
        <w:tc>
          <w:tcPr>
            <w:tcW w:w="1063" w:type="pct"/>
            <w:noWrap/>
          </w:tcPr>
          <w:p w14:paraId="62B0B0CB" w14:textId="77777777" w:rsidR="007244C8" w:rsidRPr="00C5337F" w:rsidRDefault="007244C8" w:rsidP="00F163BE">
            <w:pPr>
              <w:pStyle w:val="TableText0"/>
              <w:keepNext w:val="0"/>
              <w:jc w:val="both"/>
            </w:pPr>
            <w:r w:rsidRPr="0095094D">
              <w:t>4.4</w:t>
            </w:r>
          </w:p>
        </w:tc>
        <w:tc>
          <w:tcPr>
            <w:tcW w:w="1280" w:type="pct"/>
            <w:noWrap/>
          </w:tcPr>
          <w:p w14:paraId="2F7B4BC4" w14:textId="77777777" w:rsidR="007244C8" w:rsidRPr="00C5337F" w:rsidRDefault="007244C8" w:rsidP="00F163BE">
            <w:pPr>
              <w:pStyle w:val="TableText0"/>
              <w:keepNext w:val="0"/>
              <w:jc w:val="both"/>
            </w:pPr>
            <w:r w:rsidRPr="0095094D">
              <w:t>100%</w:t>
            </w:r>
          </w:p>
        </w:tc>
      </w:tr>
      <w:tr w:rsidR="007244C8" w:rsidRPr="0074646B" w14:paraId="364DBBEB" w14:textId="77777777" w:rsidTr="007244C8">
        <w:trPr>
          <w:trHeight w:val="255"/>
        </w:trPr>
        <w:tc>
          <w:tcPr>
            <w:tcW w:w="1738" w:type="pct"/>
            <w:noWrap/>
          </w:tcPr>
          <w:p w14:paraId="0851338D" w14:textId="77777777" w:rsidR="007244C8" w:rsidRPr="00C5337F" w:rsidRDefault="007244C8" w:rsidP="00F163BE">
            <w:pPr>
              <w:pStyle w:val="TableText0"/>
              <w:keepNext w:val="0"/>
              <w:jc w:val="both"/>
            </w:pPr>
            <w:r w:rsidRPr="0095094D">
              <w:t>Fat (g)</w:t>
            </w:r>
          </w:p>
        </w:tc>
        <w:tc>
          <w:tcPr>
            <w:tcW w:w="919" w:type="pct"/>
            <w:noWrap/>
          </w:tcPr>
          <w:p w14:paraId="2E336D62" w14:textId="77777777" w:rsidR="007244C8" w:rsidRPr="00C5337F" w:rsidRDefault="007244C8" w:rsidP="00F163BE">
            <w:pPr>
              <w:pStyle w:val="TableText0"/>
              <w:keepNext w:val="0"/>
              <w:jc w:val="both"/>
            </w:pPr>
            <w:r w:rsidRPr="0095094D">
              <w:t>36</w:t>
            </w:r>
          </w:p>
        </w:tc>
        <w:tc>
          <w:tcPr>
            <w:tcW w:w="1063" w:type="pct"/>
            <w:noWrap/>
          </w:tcPr>
          <w:p w14:paraId="05F8152F" w14:textId="77777777" w:rsidR="007244C8" w:rsidRPr="00C5337F" w:rsidRDefault="007244C8" w:rsidP="00F163BE">
            <w:pPr>
              <w:pStyle w:val="TableText0"/>
              <w:keepNext w:val="0"/>
              <w:jc w:val="both"/>
            </w:pPr>
            <w:r w:rsidRPr="0095094D">
              <w:t>35.4</w:t>
            </w:r>
          </w:p>
        </w:tc>
        <w:tc>
          <w:tcPr>
            <w:tcW w:w="1280" w:type="pct"/>
            <w:noWrap/>
          </w:tcPr>
          <w:p w14:paraId="1951519E" w14:textId="77777777" w:rsidR="007244C8" w:rsidRPr="00C5337F" w:rsidRDefault="007244C8" w:rsidP="00F163BE">
            <w:pPr>
              <w:pStyle w:val="TableText0"/>
              <w:keepNext w:val="0"/>
              <w:jc w:val="both"/>
            </w:pPr>
            <w:r w:rsidRPr="0095094D">
              <w:t>102%</w:t>
            </w:r>
          </w:p>
        </w:tc>
      </w:tr>
      <w:tr w:rsidR="007244C8" w:rsidRPr="0074646B" w14:paraId="1A5CDDB5" w14:textId="77777777" w:rsidTr="007244C8">
        <w:trPr>
          <w:trHeight w:val="255"/>
        </w:trPr>
        <w:tc>
          <w:tcPr>
            <w:tcW w:w="1738" w:type="pct"/>
            <w:noWrap/>
          </w:tcPr>
          <w:p w14:paraId="5F2EFBA3" w14:textId="77777777" w:rsidR="007244C8" w:rsidRPr="00C5337F" w:rsidRDefault="007244C8" w:rsidP="00F163BE">
            <w:pPr>
              <w:pStyle w:val="TableText0"/>
              <w:keepNext w:val="0"/>
              <w:jc w:val="both"/>
            </w:pPr>
            <w:r w:rsidRPr="00C5337F">
              <w:t>Linoleic acid (g)</w:t>
            </w:r>
          </w:p>
        </w:tc>
        <w:tc>
          <w:tcPr>
            <w:tcW w:w="919" w:type="pct"/>
            <w:noWrap/>
          </w:tcPr>
          <w:p w14:paraId="2878912E" w14:textId="77777777" w:rsidR="007244C8" w:rsidRPr="00C5337F" w:rsidRDefault="007244C8" w:rsidP="00F163BE">
            <w:pPr>
              <w:pStyle w:val="TableText0"/>
              <w:keepNext w:val="0"/>
              <w:jc w:val="both"/>
            </w:pPr>
            <w:r w:rsidRPr="00C5337F">
              <w:t>3.953</w:t>
            </w:r>
          </w:p>
        </w:tc>
        <w:tc>
          <w:tcPr>
            <w:tcW w:w="1063" w:type="pct"/>
            <w:noWrap/>
          </w:tcPr>
          <w:p w14:paraId="346659F1" w14:textId="77777777" w:rsidR="007244C8" w:rsidRPr="00C5337F" w:rsidRDefault="007244C8" w:rsidP="00F163BE">
            <w:pPr>
              <w:pStyle w:val="TableText0"/>
              <w:keepNext w:val="0"/>
              <w:jc w:val="both"/>
            </w:pPr>
            <w:r w:rsidRPr="00C5337F">
              <w:t>2.25</w:t>
            </w:r>
          </w:p>
        </w:tc>
        <w:tc>
          <w:tcPr>
            <w:tcW w:w="1280" w:type="pct"/>
            <w:noWrap/>
          </w:tcPr>
          <w:p w14:paraId="55955049" w14:textId="77777777" w:rsidR="007244C8" w:rsidRPr="00C5337F" w:rsidRDefault="007244C8" w:rsidP="00F163BE">
            <w:pPr>
              <w:pStyle w:val="TableText0"/>
              <w:keepNext w:val="0"/>
              <w:jc w:val="both"/>
            </w:pPr>
            <w:r w:rsidRPr="00C5337F">
              <w:t>176%</w:t>
            </w:r>
          </w:p>
        </w:tc>
      </w:tr>
      <w:tr w:rsidR="007244C8" w:rsidRPr="0074646B" w14:paraId="5A532D01" w14:textId="77777777" w:rsidTr="007244C8">
        <w:trPr>
          <w:trHeight w:val="255"/>
        </w:trPr>
        <w:tc>
          <w:tcPr>
            <w:tcW w:w="1738" w:type="pct"/>
            <w:noWrap/>
          </w:tcPr>
          <w:p w14:paraId="77B22418" w14:textId="77777777" w:rsidR="007244C8" w:rsidRPr="00C5337F" w:rsidRDefault="007244C8" w:rsidP="00F163BE">
            <w:pPr>
              <w:pStyle w:val="TableText0"/>
              <w:keepNext w:val="0"/>
              <w:jc w:val="both"/>
            </w:pPr>
            <w:r w:rsidRPr="00C5337F">
              <w:t>alpha-linoleic acid (g)</w:t>
            </w:r>
          </w:p>
        </w:tc>
        <w:tc>
          <w:tcPr>
            <w:tcW w:w="919" w:type="pct"/>
            <w:noWrap/>
          </w:tcPr>
          <w:p w14:paraId="081FA788" w14:textId="77777777" w:rsidR="007244C8" w:rsidRPr="00C5337F" w:rsidRDefault="007244C8" w:rsidP="00F163BE">
            <w:pPr>
              <w:pStyle w:val="TableText0"/>
              <w:keepNext w:val="0"/>
              <w:jc w:val="both"/>
            </w:pPr>
            <w:r w:rsidRPr="00C5337F">
              <w:t>1.158</w:t>
            </w:r>
          </w:p>
        </w:tc>
        <w:tc>
          <w:tcPr>
            <w:tcW w:w="1063" w:type="pct"/>
            <w:noWrap/>
          </w:tcPr>
          <w:p w14:paraId="416AB4CB" w14:textId="77777777" w:rsidR="007244C8" w:rsidRPr="00C5337F" w:rsidRDefault="007244C8" w:rsidP="00F163BE">
            <w:pPr>
              <w:pStyle w:val="TableText0"/>
              <w:keepNext w:val="0"/>
              <w:jc w:val="both"/>
            </w:pPr>
            <w:r w:rsidRPr="00C5337F">
              <w:t>0.93</w:t>
            </w:r>
          </w:p>
        </w:tc>
        <w:tc>
          <w:tcPr>
            <w:tcW w:w="1280" w:type="pct"/>
            <w:noWrap/>
          </w:tcPr>
          <w:p w14:paraId="35A6A5EA" w14:textId="77777777" w:rsidR="007244C8" w:rsidRPr="00C5337F" w:rsidRDefault="007244C8" w:rsidP="00F163BE">
            <w:pPr>
              <w:pStyle w:val="TableText0"/>
              <w:keepNext w:val="0"/>
              <w:jc w:val="both"/>
            </w:pPr>
            <w:r w:rsidRPr="00C5337F">
              <w:t>125%</w:t>
            </w:r>
          </w:p>
        </w:tc>
      </w:tr>
      <w:tr w:rsidR="007244C8" w:rsidRPr="0074646B" w14:paraId="404FFFAB" w14:textId="77777777" w:rsidTr="007244C8">
        <w:trPr>
          <w:trHeight w:val="255"/>
        </w:trPr>
        <w:tc>
          <w:tcPr>
            <w:tcW w:w="1738" w:type="pct"/>
            <w:noWrap/>
          </w:tcPr>
          <w:p w14:paraId="43F26198" w14:textId="77777777" w:rsidR="007244C8" w:rsidRPr="00C5337F" w:rsidRDefault="007244C8" w:rsidP="00F163BE">
            <w:pPr>
              <w:pStyle w:val="TableText0"/>
              <w:keepNext w:val="0"/>
              <w:jc w:val="both"/>
            </w:pPr>
            <w:r w:rsidRPr="00C5337F">
              <w:t>DHA (mg)</w:t>
            </w:r>
          </w:p>
        </w:tc>
        <w:tc>
          <w:tcPr>
            <w:tcW w:w="919" w:type="pct"/>
            <w:noWrap/>
          </w:tcPr>
          <w:p w14:paraId="4496E314" w14:textId="77777777" w:rsidR="007244C8" w:rsidRPr="00C5337F" w:rsidRDefault="007244C8" w:rsidP="00F163BE">
            <w:pPr>
              <w:pStyle w:val="TableText0"/>
              <w:keepNext w:val="0"/>
              <w:jc w:val="both"/>
            </w:pPr>
            <w:r w:rsidRPr="00C5337F">
              <w:t>77</w:t>
            </w:r>
          </w:p>
        </w:tc>
        <w:tc>
          <w:tcPr>
            <w:tcW w:w="1063" w:type="pct"/>
            <w:noWrap/>
          </w:tcPr>
          <w:p w14:paraId="6B924E74" w14:textId="77777777" w:rsidR="007244C8" w:rsidRPr="00C5337F" w:rsidRDefault="007244C8" w:rsidP="00F163BE">
            <w:pPr>
              <w:pStyle w:val="TableText0"/>
              <w:keepNext w:val="0"/>
              <w:jc w:val="both"/>
            </w:pPr>
            <w:r w:rsidRPr="00C5337F">
              <w:t>76</w:t>
            </w:r>
          </w:p>
        </w:tc>
        <w:tc>
          <w:tcPr>
            <w:tcW w:w="1280" w:type="pct"/>
            <w:noWrap/>
          </w:tcPr>
          <w:p w14:paraId="66D8B053" w14:textId="77777777" w:rsidR="007244C8" w:rsidRPr="00C5337F" w:rsidRDefault="007244C8" w:rsidP="00F163BE">
            <w:pPr>
              <w:pStyle w:val="TableText0"/>
              <w:keepNext w:val="0"/>
              <w:jc w:val="both"/>
            </w:pPr>
            <w:r w:rsidRPr="00C5337F">
              <w:t>101%</w:t>
            </w:r>
          </w:p>
        </w:tc>
      </w:tr>
      <w:tr w:rsidR="007244C8" w:rsidRPr="0074646B" w14:paraId="75EB514A" w14:textId="77777777" w:rsidTr="007244C8">
        <w:trPr>
          <w:trHeight w:val="255"/>
        </w:trPr>
        <w:tc>
          <w:tcPr>
            <w:tcW w:w="1738" w:type="pct"/>
            <w:noWrap/>
          </w:tcPr>
          <w:p w14:paraId="58100F9F" w14:textId="77777777" w:rsidR="007244C8" w:rsidRPr="00C5337F" w:rsidRDefault="007244C8" w:rsidP="00F163BE">
            <w:pPr>
              <w:pStyle w:val="TableText0"/>
              <w:keepNext w:val="0"/>
              <w:jc w:val="both"/>
            </w:pPr>
            <w:r w:rsidRPr="00C5337F">
              <w:t>Vitamin A (mcg retinol equivalents)</w:t>
            </w:r>
          </w:p>
        </w:tc>
        <w:tc>
          <w:tcPr>
            <w:tcW w:w="919" w:type="pct"/>
            <w:noWrap/>
          </w:tcPr>
          <w:p w14:paraId="7B34320E" w14:textId="77777777" w:rsidR="007244C8" w:rsidRPr="00713D7E" w:rsidRDefault="007244C8" w:rsidP="00F163BE">
            <w:pPr>
              <w:pStyle w:val="TableText0"/>
              <w:keepNext w:val="0"/>
              <w:jc w:val="both"/>
            </w:pPr>
            <w:r w:rsidRPr="00713D7E">
              <w:t>180</w:t>
            </w:r>
          </w:p>
        </w:tc>
        <w:tc>
          <w:tcPr>
            <w:tcW w:w="1063" w:type="pct"/>
            <w:noWrap/>
          </w:tcPr>
          <w:p w14:paraId="1C71477D" w14:textId="77777777" w:rsidR="007244C8" w:rsidRPr="00713D7E" w:rsidRDefault="007244C8" w:rsidP="00F163BE">
            <w:pPr>
              <w:pStyle w:val="TableText0"/>
              <w:keepNext w:val="0"/>
              <w:jc w:val="both"/>
            </w:pPr>
            <w:r w:rsidRPr="00713D7E">
              <w:t>225</w:t>
            </w:r>
          </w:p>
        </w:tc>
        <w:tc>
          <w:tcPr>
            <w:tcW w:w="1280" w:type="pct"/>
            <w:noWrap/>
          </w:tcPr>
          <w:p w14:paraId="40D03863" w14:textId="77777777" w:rsidR="007244C8" w:rsidRPr="00713D7E" w:rsidRDefault="007244C8" w:rsidP="00F163BE">
            <w:pPr>
              <w:pStyle w:val="TableText0"/>
              <w:keepNext w:val="0"/>
              <w:jc w:val="both"/>
            </w:pPr>
            <w:r w:rsidRPr="00713D7E">
              <w:t>80%</w:t>
            </w:r>
          </w:p>
        </w:tc>
      </w:tr>
      <w:tr w:rsidR="007244C8" w:rsidRPr="0074646B" w14:paraId="177FC03B" w14:textId="77777777" w:rsidTr="007244C8">
        <w:trPr>
          <w:trHeight w:val="255"/>
        </w:trPr>
        <w:tc>
          <w:tcPr>
            <w:tcW w:w="1738" w:type="pct"/>
            <w:noWrap/>
          </w:tcPr>
          <w:p w14:paraId="5F9A70FA" w14:textId="77777777" w:rsidR="007244C8" w:rsidRPr="00C5337F" w:rsidRDefault="007244C8" w:rsidP="00F163BE">
            <w:pPr>
              <w:pStyle w:val="TableText0"/>
              <w:keepNext w:val="0"/>
              <w:jc w:val="both"/>
            </w:pPr>
            <w:r w:rsidRPr="00C5337F">
              <w:t>Vitamin D (mcg of cholecalciferol)</w:t>
            </w:r>
          </w:p>
        </w:tc>
        <w:tc>
          <w:tcPr>
            <w:tcW w:w="919" w:type="pct"/>
            <w:noWrap/>
          </w:tcPr>
          <w:p w14:paraId="42ED12A4" w14:textId="77777777" w:rsidR="007244C8" w:rsidRPr="00713D7E" w:rsidRDefault="007244C8" w:rsidP="00F163BE">
            <w:pPr>
              <w:pStyle w:val="TableText0"/>
              <w:keepNext w:val="0"/>
              <w:jc w:val="both"/>
            </w:pPr>
            <w:r w:rsidRPr="00713D7E">
              <w:t>6.3</w:t>
            </w:r>
          </w:p>
        </w:tc>
        <w:tc>
          <w:tcPr>
            <w:tcW w:w="1063" w:type="pct"/>
            <w:noWrap/>
          </w:tcPr>
          <w:p w14:paraId="1BF10608" w14:textId="77777777" w:rsidR="007244C8" w:rsidRPr="00713D7E" w:rsidRDefault="007244C8" w:rsidP="00F163BE">
            <w:pPr>
              <w:pStyle w:val="TableText0"/>
              <w:keepNext w:val="0"/>
              <w:jc w:val="both"/>
            </w:pPr>
            <w:r w:rsidRPr="00713D7E">
              <w:t>6.3</w:t>
            </w:r>
          </w:p>
        </w:tc>
        <w:tc>
          <w:tcPr>
            <w:tcW w:w="1280" w:type="pct"/>
            <w:noWrap/>
          </w:tcPr>
          <w:p w14:paraId="08811C54" w14:textId="77777777" w:rsidR="007244C8" w:rsidRPr="00713D7E" w:rsidRDefault="007244C8" w:rsidP="00F163BE">
            <w:pPr>
              <w:pStyle w:val="TableText0"/>
              <w:keepNext w:val="0"/>
              <w:jc w:val="both"/>
            </w:pPr>
            <w:r w:rsidRPr="00713D7E">
              <w:t>100%</w:t>
            </w:r>
          </w:p>
        </w:tc>
      </w:tr>
      <w:tr w:rsidR="007244C8" w:rsidRPr="0074646B" w14:paraId="3AF46CA1" w14:textId="77777777" w:rsidTr="007244C8">
        <w:trPr>
          <w:trHeight w:val="255"/>
        </w:trPr>
        <w:tc>
          <w:tcPr>
            <w:tcW w:w="1738" w:type="pct"/>
            <w:noWrap/>
          </w:tcPr>
          <w:p w14:paraId="1AFE6703" w14:textId="77777777" w:rsidR="007244C8" w:rsidRPr="00C5337F" w:rsidRDefault="007244C8" w:rsidP="00F163BE">
            <w:pPr>
              <w:pStyle w:val="TableText0"/>
              <w:keepNext w:val="0"/>
              <w:jc w:val="both"/>
            </w:pPr>
            <w:r w:rsidRPr="00C5337F">
              <w:t>Vitamin E (mg a-tocopherol equivalents)</w:t>
            </w:r>
          </w:p>
        </w:tc>
        <w:tc>
          <w:tcPr>
            <w:tcW w:w="919" w:type="pct"/>
            <w:noWrap/>
          </w:tcPr>
          <w:p w14:paraId="2CC28DD2" w14:textId="77777777" w:rsidR="007244C8" w:rsidRPr="00713D7E" w:rsidRDefault="007244C8" w:rsidP="00F163BE">
            <w:pPr>
              <w:pStyle w:val="TableText0"/>
              <w:keepNext w:val="0"/>
              <w:jc w:val="both"/>
            </w:pPr>
            <w:r w:rsidRPr="00713D7E">
              <w:t>3.8</w:t>
            </w:r>
          </w:p>
        </w:tc>
        <w:tc>
          <w:tcPr>
            <w:tcW w:w="1063" w:type="pct"/>
            <w:noWrap/>
          </w:tcPr>
          <w:p w14:paraId="3EC77FD0" w14:textId="77777777" w:rsidR="007244C8" w:rsidRPr="00713D7E" w:rsidRDefault="007244C8" w:rsidP="00F163BE">
            <w:pPr>
              <w:pStyle w:val="TableText0"/>
              <w:keepNext w:val="0"/>
              <w:jc w:val="both"/>
            </w:pPr>
            <w:r w:rsidRPr="00713D7E">
              <w:t>3.1</w:t>
            </w:r>
          </w:p>
        </w:tc>
        <w:tc>
          <w:tcPr>
            <w:tcW w:w="1280" w:type="pct"/>
            <w:noWrap/>
          </w:tcPr>
          <w:p w14:paraId="067F3631" w14:textId="77777777" w:rsidR="007244C8" w:rsidRPr="00713D7E" w:rsidRDefault="007244C8" w:rsidP="00F163BE">
            <w:pPr>
              <w:pStyle w:val="TableText0"/>
              <w:keepNext w:val="0"/>
              <w:jc w:val="both"/>
            </w:pPr>
            <w:r w:rsidRPr="00713D7E">
              <w:t>123%</w:t>
            </w:r>
          </w:p>
        </w:tc>
      </w:tr>
      <w:tr w:rsidR="007244C8" w:rsidRPr="0074646B" w14:paraId="55AE4000" w14:textId="77777777" w:rsidTr="007244C8">
        <w:trPr>
          <w:trHeight w:val="255"/>
        </w:trPr>
        <w:tc>
          <w:tcPr>
            <w:tcW w:w="1738" w:type="pct"/>
          </w:tcPr>
          <w:p w14:paraId="4DF822EC" w14:textId="77777777" w:rsidR="007244C8" w:rsidRPr="00C5337F" w:rsidRDefault="007244C8" w:rsidP="00F163BE">
            <w:pPr>
              <w:pStyle w:val="TableText0"/>
              <w:keepNext w:val="0"/>
              <w:jc w:val="both"/>
            </w:pPr>
            <w:r w:rsidRPr="00C5337F">
              <w:t>Vitamin K (mcg)</w:t>
            </w:r>
          </w:p>
        </w:tc>
        <w:tc>
          <w:tcPr>
            <w:tcW w:w="919" w:type="pct"/>
          </w:tcPr>
          <w:p w14:paraId="436087AF" w14:textId="77777777" w:rsidR="007244C8" w:rsidRPr="00713D7E" w:rsidRDefault="007244C8" w:rsidP="00F163BE">
            <w:pPr>
              <w:pStyle w:val="TableText0"/>
              <w:keepNext w:val="0"/>
              <w:jc w:val="both"/>
            </w:pPr>
            <w:r w:rsidRPr="00713D7E">
              <w:t>31</w:t>
            </w:r>
          </w:p>
        </w:tc>
        <w:tc>
          <w:tcPr>
            <w:tcW w:w="1063" w:type="pct"/>
          </w:tcPr>
          <w:p w14:paraId="69421725" w14:textId="77777777" w:rsidR="007244C8" w:rsidRPr="00713D7E" w:rsidRDefault="007244C8" w:rsidP="00F163BE">
            <w:pPr>
              <w:pStyle w:val="TableText0"/>
              <w:keepNext w:val="0"/>
              <w:jc w:val="both"/>
            </w:pPr>
            <w:r w:rsidRPr="00713D7E">
              <w:t>30</w:t>
            </w:r>
          </w:p>
        </w:tc>
        <w:tc>
          <w:tcPr>
            <w:tcW w:w="1280" w:type="pct"/>
            <w:noWrap/>
          </w:tcPr>
          <w:p w14:paraId="277EC6BA" w14:textId="77777777" w:rsidR="007244C8" w:rsidRPr="00713D7E" w:rsidRDefault="007244C8" w:rsidP="00F163BE">
            <w:pPr>
              <w:pStyle w:val="TableText0"/>
              <w:keepNext w:val="0"/>
              <w:jc w:val="both"/>
            </w:pPr>
            <w:r w:rsidRPr="00713D7E">
              <w:t>103%</w:t>
            </w:r>
          </w:p>
        </w:tc>
      </w:tr>
      <w:tr w:rsidR="007244C8" w:rsidRPr="0074646B" w14:paraId="773BA451" w14:textId="77777777" w:rsidTr="007244C8">
        <w:trPr>
          <w:trHeight w:val="255"/>
        </w:trPr>
        <w:tc>
          <w:tcPr>
            <w:tcW w:w="1738" w:type="pct"/>
          </w:tcPr>
          <w:p w14:paraId="18DA2E72" w14:textId="77777777" w:rsidR="007244C8" w:rsidRPr="00C5337F" w:rsidRDefault="007244C8" w:rsidP="00F163BE">
            <w:pPr>
              <w:pStyle w:val="TableText0"/>
              <w:keepNext w:val="0"/>
              <w:jc w:val="both"/>
            </w:pPr>
            <w:r w:rsidRPr="00C5337F">
              <w:t>Vitamin K1 (mcg)</w:t>
            </w:r>
          </w:p>
        </w:tc>
        <w:tc>
          <w:tcPr>
            <w:tcW w:w="919" w:type="pct"/>
          </w:tcPr>
          <w:p w14:paraId="05349B37" w14:textId="77777777" w:rsidR="007244C8" w:rsidRPr="00713D7E" w:rsidRDefault="007244C8" w:rsidP="00F163BE">
            <w:pPr>
              <w:pStyle w:val="TableText0"/>
              <w:keepNext w:val="0"/>
              <w:jc w:val="both"/>
            </w:pPr>
            <w:r w:rsidRPr="00713D7E">
              <w:t>16</w:t>
            </w:r>
          </w:p>
        </w:tc>
        <w:tc>
          <w:tcPr>
            <w:tcW w:w="1063" w:type="pct"/>
          </w:tcPr>
          <w:p w14:paraId="4E33519D" w14:textId="77777777" w:rsidR="007244C8" w:rsidRPr="00713D7E" w:rsidRDefault="007244C8" w:rsidP="00F163BE">
            <w:pPr>
              <w:pStyle w:val="TableText0"/>
              <w:keepNext w:val="0"/>
              <w:jc w:val="both"/>
            </w:pPr>
            <w:r w:rsidRPr="00713D7E">
              <w:t>15</w:t>
            </w:r>
          </w:p>
        </w:tc>
        <w:tc>
          <w:tcPr>
            <w:tcW w:w="1280" w:type="pct"/>
            <w:noWrap/>
          </w:tcPr>
          <w:p w14:paraId="21CEDC90" w14:textId="77777777" w:rsidR="007244C8" w:rsidRPr="00713D7E" w:rsidRDefault="007244C8" w:rsidP="00F163BE">
            <w:pPr>
              <w:pStyle w:val="TableText0"/>
              <w:keepNext w:val="0"/>
              <w:jc w:val="both"/>
            </w:pPr>
            <w:r w:rsidRPr="00713D7E">
              <w:t>107%</w:t>
            </w:r>
          </w:p>
        </w:tc>
      </w:tr>
      <w:tr w:rsidR="007244C8" w:rsidRPr="0074646B" w14:paraId="08CF2EAD" w14:textId="77777777" w:rsidTr="007244C8">
        <w:trPr>
          <w:trHeight w:val="255"/>
        </w:trPr>
        <w:tc>
          <w:tcPr>
            <w:tcW w:w="1738" w:type="pct"/>
          </w:tcPr>
          <w:p w14:paraId="461BA8B8" w14:textId="77777777" w:rsidR="007244C8" w:rsidRPr="00C5337F" w:rsidRDefault="007244C8" w:rsidP="00F163BE">
            <w:pPr>
              <w:pStyle w:val="TableText0"/>
              <w:keepNext w:val="0"/>
              <w:jc w:val="both"/>
            </w:pPr>
            <w:r w:rsidRPr="00C5337F">
              <w:t>Vitamin K2 (MK-7) (mcg)</w:t>
            </w:r>
          </w:p>
        </w:tc>
        <w:tc>
          <w:tcPr>
            <w:tcW w:w="919" w:type="pct"/>
          </w:tcPr>
          <w:p w14:paraId="2E2466E6" w14:textId="77777777" w:rsidR="007244C8" w:rsidRPr="00713D7E" w:rsidRDefault="007244C8" w:rsidP="00F163BE">
            <w:pPr>
              <w:pStyle w:val="TableText0"/>
              <w:keepNext w:val="0"/>
              <w:jc w:val="both"/>
            </w:pPr>
            <w:r w:rsidRPr="00713D7E">
              <w:t>15</w:t>
            </w:r>
          </w:p>
        </w:tc>
        <w:tc>
          <w:tcPr>
            <w:tcW w:w="1063" w:type="pct"/>
          </w:tcPr>
          <w:p w14:paraId="458C470B" w14:textId="77777777" w:rsidR="007244C8" w:rsidRPr="00713D7E" w:rsidRDefault="007244C8" w:rsidP="00F163BE">
            <w:pPr>
              <w:pStyle w:val="TableText0"/>
              <w:keepNext w:val="0"/>
              <w:jc w:val="both"/>
            </w:pPr>
            <w:r w:rsidRPr="00713D7E">
              <w:t>15</w:t>
            </w:r>
          </w:p>
        </w:tc>
        <w:tc>
          <w:tcPr>
            <w:tcW w:w="1280" w:type="pct"/>
            <w:noWrap/>
          </w:tcPr>
          <w:p w14:paraId="318E4165" w14:textId="77777777" w:rsidR="007244C8" w:rsidRPr="00713D7E" w:rsidRDefault="007244C8" w:rsidP="00F163BE">
            <w:pPr>
              <w:pStyle w:val="TableText0"/>
              <w:keepNext w:val="0"/>
              <w:jc w:val="both"/>
            </w:pPr>
            <w:r w:rsidRPr="00713D7E">
              <w:t>100%</w:t>
            </w:r>
          </w:p>
        </w:tc>
      </w:tr>
      <w:tr w:rsidR="007244C8" w:rsidRPr="0074646B" w14:paraId="18594AA3" w14:textId="77777777" w:rsidTr="007244C8">
        <w:trPr>
          <w:trHeight w:val="255"/>
        </w:trPr>
        <w:tc>
          <w:tcPr>
            <w:tcW w:w="1738" w:type="pct"/>
          </w:tcPr>
          <w:p w14:paraId="0F3E683C" w14:textId="77777777" w:rsidR="007244C8" w:rsidRPr="00C5337F" w:rsidRDefault="007244C8" w:rsidP="00F163BE">
            <w:pPr>
              <w:pStyle w:val="TableText0"/>
              <w:keepNext w:val="0"/>
              <w:jc w:val="both"/>
            </w:pPr>
            <w:r w:rsidRPr="00C5337F">
              <w:t>Thiamin / B1 (mg)</w:t>
            </w:r>
          </w:p>
        </w:tc>
        <w:tc>
          <w:tcPr>
            <w:tcW w:w="919" w:type="pct"/>
            <w:noWrap/>
          </w:tcPr>
          <w:p w14:paraId="683180EA" w14:textId="77777777" w:rsidR="007244C8" w:rsidRPr="00C5337F" w:rsidRDefault="007244C8" w:rsidP="00F163BE">
            <w:pPr>
              <w:pStyle w:val="TableText0"/>
              <w:keepNext w:val="0"/>
              <w:jc w:val="both"/>
            </w:pPr>
            <w:r w:rsidRPr="00C5337F">
              <w:t>0.5</w:t>
            </w:r>
          </w:p>
        </w:tc>
        <w:tc>
          <w:tcPr>
            <w:tcW w:w="1063" w:type="pct"/>
          </w:tcPr>
          <w:p w14:paraId="4E2B76E9" w14:textId="77777777" w:rsidR="007244C8" w:rsidRPr="00C5337F" w:rsidRDefault="007244C8" w:rsidP="00F163BE">
            <w:pPr>
              <w:pStyle w:val="TableText0"/>
              <w:keepNext w:val="0"/>
              <w:jc w:val="both"/>
            </w:pPr>
            <w:r w:rsidRPr="00C5337F">
              <w:t>0.5</w:t>
            </w:r>
          </w:p>
        </w:tc>
        <w:tc>
          <w:tcPr>
            <w:tcW w:w="1280" w:type="pct"/>
            <w:noWrap/>
          </w:tcPr>
          <w:p w14:paraId="747DA3AE" w14:textId="77777777" w:rsidR="007244C8" w:rsidRPr="00C5337F" w:rsidRDefault="007244C8" w:rsidP="00F163BE">
            <w:pPr>
              <w:pStyle w:val="TableText0"/>
              <w:keepNext w:val="0"/>
              <w:jc w:val="both"/>
            </w:pPr>
            <w:r w:rsidRPr="00C5337F">
              <w:t>100%</w:t>
            </w:r>
          </w:p>
        </w:tc>
      </w:tr>
      <w:tr w:rsidR="007244C8" w:rsidRPr="0074646B" w14:paraId="2F3D515B" w14:textId="77777777" w:rsidTr="007244C8">
        <w:trPr>
          <w:trHeight w:val="255"/>
        </w:trPr>
        <w:tc>
          <w:tcPr>
            <w:tcW w:w="1738" w:type="pct"/>
          </w:tcPr>
          <w:p w14:paraId="34910B02" w14:textId="77777777" w:rsidR="007244C8" w:rsidRPr="00C5337F" w:rsidRDefault="007244C8" w:rsidP="00F163BE">
            <w:pPr>
              <w:pStyle w:val="TableText0"/>
              <w:keepNext w:val="0"/>
              <w:jc w:val="both"/>
            </w:pPr>
            <w:r w:rsidRPr="00C5337F">
              <w:t>Riboflavin / B2 (mg)</w:t>
            </w:r>
          </w:p>
        </w:tc>
        <w:tc>
          <w:tcPr>
            <w:tcW w:w="919" w:type="pct"/>
          </w:tcPr>
          <w:p w14:paraId="3B60239E" w14:textId="77777777" w:rsidR="007244C8" w:rsidRPr="00DF41B8" w:rsidRDefault="007244C8" w:rsidP="00F163BE">
            <w:pPr>
              <w:pStyle w:val="TableText0"/>
              <w:keepNext w:val="0"/>
              <w:jc w:val="both"/>
            </w:pPr>
            <w:r w:rsidRPr="00DF41B8">
              <w:t>0.5</w:t>
            </w:r>
          </w:p>
        </w:tc>
        <w:tc>
          <w:tcPr>
            <w:tcW w:w="1063" w:type="pct"/>
          </w:tcPr>
          <w:p w14:paraId="724340B5" w14:textId="77777777" w:rsidR="007244C8" w:rsidRPr="00DF41B8" w:rsidRDefault="007244C8" w:rsidP="00F163BE">
            <w:pPr>
              <w:pStyle w:val="TableText0"/>
              <w:keepNext w:val="0"/>
              <w:jc w:val="both"/>
            </w:pPr>
            <w:r w:rsidRPr="00DF41B8">
              <w:t>0.5</w:t>
            </w:r>
          </w:p>
        </w:tc>
        <w:tc>
          <w:tcPr>
            <w:tcW w:w="1280" w:type="pct"/>
            <w:noWrap/>
          </w:tcPr>
          <w:p w14:paraId="19165791" w14:textId="77777777" w:rsidR="007244C8" w:rsidRPr="00DF41B8" w:rsidRDefault="007244C8" w:rsidP="00F163BE">
            <w:pPr>
              <w:pStyle w:val="TableText0"/>
              <w:keepNext w:val="0"/>
              <w:jc w:val="both"/>
            </w:pPr>
            <w:r w:rsidRPr="00DF41B8">
              <w:t>100%</w:t>
            </w:r>
          </w:p>
        </w:tc>
      </w:tr>
      <w:tr w:rsidR="007244C8" w:rsidRPr="0074646B" w14:paraId="3FABF913" w14:textId="77777777" w:rsidTr="007244C8">
        <w:trPr>
          <w:trHeight w:val="255"/>
        </w:trPr>
        <w:tc>
          <w:tcPr>
            <w:tcW w:w="1738" w:type="pct"/>
          </w:tcPr>
          <w:p w14:paraId="5E66D691" w14:textId="77777777" w:rsidR="007244C8" w:rsidRPr="00C5337F" w:rsidRDefault="007244C8" w:rsidP="00F163BE">
            <w:pPr>
              <w:pStyle w:val="TableText0"/>
              <w:keepNext w:val="0"/>
              <w:jc w:val="both"/>
            </w:pPr>
            <w:r w:rsidRPr="00C5337F">
              <w:t>Vitamin B6 (mg)</w:t>
            </w:r>
          </w:p>
        </w:tc>
        <w:tc>
          <w:tcPr>
            <w:tcW w:w="919" w:type="pct"/>
          </w:tcPr>
          <w:p w14:paraId="2A424F98" w14:textId="77777777" w:rsidR="007244C8" w:rsidRPr="00DF41B8" w:rsidRDefault="007244C8" w:rsidP="00F163BE">
            <w:pPr>
              <w:pStyle w:val="TableText0"/>
              <w:keepNext w:val="0"/>
              <w:jc w:val="both"/>
            </w:pPr>
            <w:r w:rsidRPr="00DF41B8">
              <w:t>0.5</w:t>
            </w:r>
          </w:p>
        </w:tc>
        <w:tc>
          <w:tcPr>
            <w:tcW w:w="1063" w:type="pct"/>
          </w:tcPr>
          <w:p w14:paraId="4CF448AB" w14:textId="77777777" w:rsidR="007244C8" w:rsidRPr="00DF41B8" w:rsidRDefault="007244C8" w:rsidP="00F163BE">
            <w:pPr>
              <w:pStyle w:val="TableText0"/>
              <w:keepNext w:val="0"/>
              <w:jc w:val="both"/>
            </w:pPr>
            <w:r w:rsidRPr="00DF41B8">
              <w:t>0.5</w:t>
            </w:r>
          </w:p>
        </w:tc>
        <w:tc>
          <w:tcPr>
            <w:tcW w:w="1280" w:type="pct"/>
            <w:noWrap/>
          </w:tcPr>
          <w:p w14:paraId="5294A8C7" w14:textId="77777777" w:rsidR="007244C8" w:rsidRPr="00DF41B8" w:rsidRDefault="007244C8" w:rsidP="00F163BE">
            <w:pPr>
              <w:pStyle w:val="TableText0"/>
              <w:keepNext w:val="0"/>
              <w:jc w:val="both"/>
            </w:pPr>
            <w:r w:rsidRPr="00DF41B8">
              <w:t>100%</w:t>
            </w:r>
          </w:p>
        </w:tc>
      </w:tr>
      <w:tr w:rsidR="007244C8" w:rsidRPr="0074646B" w14:paraId="75FE49A0" w14:textId="77777777" w:rsidTr="007244C8">
        <w:trPr>
          <w:trHeight w:val="255"/>
        </w:trPr>
        <w:tc>
          <w:tcPr>
            <w:tcW w:w="1738" w:type="pct"/>
            <w:noWrap/>
          </w:tcPr>
          <w:p w14:paraId="437F17DB" w14:textId="77777777" w:rsidR="007244C8" w:rsidRPr="00C5337F" w:rsidRDefault="007244C8" w:rsidP="00F163BE">
            <w:pPr>
              <w:pStyle w:val="TableText0"/>
              <w:keepNext w:val="0"/>
              <w:jc w:val="both"/>
            </w:pPr>
            <w:r w:rsidRPr="00C5337F">
              <w:t>Vitamin B12 (mcg)</w:t>
            </w:r>
          </w:p>
        </w:tc>
        <w:tc>
          <w:tcPr>
            <w:tcW w:w="919" w:type="pct"/>
          </w:tcPr>
          <w:p w14:paraId="7DC3111C" w14:textId="77777777" w:rsidR="007244C8" w:rsidRPr="00DF41B8" w:rsidRDefault="007244C8" w:rsidP="00F163BE">
            <w:pPr>
              <w:pStyle w:val="TableText0"/>
              <w:keepNext w:val="0"/>
              <w:jc w:val="both"/>
            </w:pPr>
            <w:r w:rsidRPr="00DF41B8">
              <w:t>0.6</w:t>
            </w:r>
          </w:p>
        </w:tc>
        <w:tc>
          <w:tcPr>
            <w:tcW w:w="1063" w:type="pct"/>
          </w:tcPr>
          <w:p w14:paraId="3F74563C" w14:textId="77777777" w:rsidR="007244C8" w:rsidRPr="00DF41B8" w:rsidRDefault="007244C8" w:rsidP="00F163BE">
            <w:pPr>
              <w:pStyle w:val="TableText0"/>
              <w:keepNext w:val="0"/>
              <w:jc w:val="both"/>
            </w:pPr>
            <w:r w:rsidRPr="00DF41B8">
              <w:t>0.6</w:t>
            </w:r>
          </w:p>
        </w:tc>
        <w:tc>
          <w:tcPr>
            <w:tcW w:w="1280" w:type="pct"/>
            <w:noWrap/>
          </w:tcPr>
          <w:p w14:paraId="6D1D0766" w14:textId="77777777" w:rsidR="007244C8" w:rsidRPr="00DF41B8" w:rsidRDefault="007244C8" w:rsidP="00F163BE">
            <w:pPr>
              <w:pStyle w:val="TableText0"/>
              <w:keepNext w:val="0"/>
              <w:jc w:val="both"/>
            </w:pPr>
            <w:r w:rsidRPr="00DF41B8">
              <w:t>100%</w:t>
            </w:r>
          </w:p>
        </w:tc>
      </w:tr>
      <w:tr w:rsidR="007244C8" w:rsidRPr="0074646B" w14:paraId="52910916" w14:textId="77777777" w:rsidTr="007244C8">
        <w:trPr>
          <w:trHeight w:val="255"/>
        </w:trPr>
        <w:tc>
          <w:tcPr>
            <w:tcW w:w="1738" w:type="pct"/>
            <w:noWrap/>
          </w:tcPr>
          <w:p w14:paraId="375B7942" w14:textId="77777777" w:rsidR="007244C8" w:rsidRPr="00C5337F" w:rsidRDefault="007244C8" w:rsidP="00F163BE">
            <w:pPr>
              <w:pStyle w:val="TableText0"/>
              <w:keepNext w:val="0"/>
              <w:jc w:val="both"/>
            </w:pPr>
            <w:r w:rsidRPr="00C5337F">
              <w:t>Niacin (mg niacin equivalents)</w:t>
            </w:r>
          </w:p>
        </w:tc>
        <w:tc>
          <w:tcPr>
            <w:tcW w:w="919" w:type="pct"/>
          </w:tcPr>
          <w:p w14:paraId="4B47B5D0" w14:textId="77777777" w:rsidR="007244C8" w:rsidRPr="00DF41B8" w:rsidRDefault="007244C8" w:rsidP="00F163BE">
            <w:pPr>
              <w:pStyle w:val="TableText0"/>
              <w:keepNext w:val="0"/>
              <w:jc w:val="both"/>
            </w:pPr>
            <w:r w:rsidRPr="00DF41B8">
              <w:t>6.3</w:t>
            </w:r>
          </w:p>
        </w:tc>
        <w:tc>
          <w:tcPr>
            <w:tcW w:w="1063" w:type="pct"/>
          </w:tcPr>
          <w:p w14:paraId="1916C86D" w14:textId="77777777" w:rsidR="007244C8" w:rsidRPr="00DF41B8" w:rsidRDefault="007244C8" w:rsidP="00F163BE">
            <w:pPr>
              <w:pStyle w:val="TableText0"/>
              <w:keepNext w:val="0"/>
              <w:jc w:val="both"/>
            </w:pPr>
            <w:r w:rsidRPr="00DF41B8">
              <w:t>4</w:t>
            </w:r>
          </w:p>
        </w:tc>
        <w:tc>
          <w:tcPr>
            <w:tcW w:w="1280" w:type="pct"/>
            <w:noWrap/>
          </w:tcPr>
          <w:p w14:paraId="1A13CB9A" w14:textId="77777777" w:rsidR="007244C8" w:rsidRPr="00DF41B8" w:rsidRDefault="007244C8" w:rsidP="00F163BE">
            <w:pPr>
              <w:pStyle w:val="TableText0"/>
              <w:keepNext w:val="0"/>
              <w:jc w:val="both"/>
            </w:pPr>
            <w:r w:rsidRPr="00DF41B8">
              <w:t>158%</w:t>
            </w:r>
          </w:p>
        </w:tc>
      </w:tr>
      <w:tr w:rsidR="007244C8" w:rsidRPr="0074646B" w14:paraId="7EE5EDCD" w14:textId="77777777" w:rsidTr="007244C8">
        <w:trPr>
          <w:trHeight w:val="255"/>
        </w:trPr>
        <w:tc>
          <w:tcPr>
            <w:tcW w:w="1738" w:type="pct"/>
            <w:noWrap/>
          </w:tcPr>
          <w:p w14:paraId="211670C1" w14:textId="77777777" w:rsidR="007244C8" w:rsidRPr="00C5337F" w:rsidRDefault="007244C8" w:rsidP="00F163BE">
            <w:pPr>
              <w:pStyle w:val="TableText0"/>
              <w:keepNext w:val="0"/>
              <w:jc w:val="both"/>
            </w:pPr>
            <w:r w:rsidRPr="00C5337F">
              <w:t>Folic acid (mcg)</w:t>
            </w:r>
          </w:p>
        </w:tc>
        <w:tc>
          <w:tcPr>
            <w:tcW w:w="919" w:type="pct"/>
          </w:tcPr>
          <w:p w14:paraId="74F054D5" w14:textId="77777777" w:rsidR="007244C8" w:rsidRPr="00C5337F" w:rsidRDefault="007244C8" w:rsidP="00F163BE">
            <w:pPr>
              <w:pStyle w:val="TableText0"/>
              <w:keepNext w:val="0"/>
              <w:jc w:val="both"/>
            </w:pPr>
            <w:r w:rsidRPr="00C5337F">
              <w:t>53</w:t>
            </w:r>
          </w:p>
        </w:tc>
        <w:tc>
          <w:tcPr>
            <w:tcW w:w="1063" w:type="pct"/>
          </w:tcPr>
          <w:p w14:paraId="42F35C7A" w14:textId="77777777" w:rsidR="007244C8" w:rsidRPr="00C5337F" w:rsidRDefault="007244C8" w:rsidP="00F163BE">
            <w:pPr>
              <w:pStyle w:val="TableText0"/>
              <w:keepNext w:val="0"/>
              <w:jc w:val="both"/>
            </w:pPr>
            <w:r w:rsidRPr="00C5337F">
              <w:t>150</w:t>
            </w:r>
          </w:p>
        </w:tc>
        <w:tc>
          <w:tcPr>
            <w:tcW w:w="1280" w:type="pct"/>
            <w:noWrap/>
          </w:tcPr>
          <w:p w14:paraId="0D2F79C8" w14:textId="77777777" w:rsidR="007244C8" w:rsidRPr="00C5337F" w:rsidRDefault="007244C8" w:rsidP="00F163BE">
            <w:pPr>
              <w:pStyle w:val="TableText0"/>
              <w:keepNext w:val="0"/>
              <w:jc w:val="both"/>
            </w:pPr>
            <w:r w:rsidRPr="00C5337F">
              <w:t>35%</w:t>
            </w:r>
          </w:p>
        </w:tc>
      </w:tr>
      <w:tr w:rsidR="007244C8" w:rsidRPr="0074646B" w14:paraId="2879B57A" w14:textId="77777777" w:rsidTr="007244C8">
        <w:trPr>
          <w:trHeight w:val="255"/>
        </w:trPr>
        <w:tc>
          <w:tcPr>
            <w:tcW w:w="1738" w:type="pct"/>
          </w:tcPr>
          <w:p w14:paraId="55E0D353" w14:textId="77777777" w:rsidR="007244C8" w:rsidRPr="00C5337F" w:rsidRDefault="007244C8" w:rsidP="00F163BE">
            <w:pPr>
              <w:pStyle w:val="TableText0"/>
              <w:keepNext w:val="0"/>
              <w:jc w:val="both"/>
            </w:pPr>
            <w:r w:rsidRPr="00C5337F">
              <w:lastRenderedPageBreak/>
              <w:t>Folate, DFE (mcg)</w:t>
            </w:r>
          </w:p>
        </w:tc>
        <w:tc>
          <w:tcPr>
            <w:tcW w:w="919" w:type="pct"/>
          </w:tcPr>
          <w:p w14:paraId="2D17E8C0" w14:textId="77777777" w:rsidR="007244C8" w:rsidRPr="00C5337F" w:rsidRDefault="007244C8" w:rsidP="00F163BE">
            <w:pPr>
              <w:pStyle w:val="TableText0"/>
              <w:keepNext w:val="0"/>
              <w:jc w:val="both"/>
            </w:pPr>
            <w:r w:rsidRPr="00C5337F">
              <w:t>89</w:t>
            </w:r>
          </w:p>
        </w:tc>
        <w:tc>
          <w:tcPr>
            <w:tcW w:w="1063" w:type="pct"/>
          </w:tcPr>
          <w:p w14:paraId="0948E02D" w14:textId="77777777" w:rsidR="007244C8" w:rsidRPr="00C5337F" w:rsidRDefault="007244C8" w:rsidP="00F163BE">
            <w:pPr>
              <w:pStyle w:val="TableText0"/>
              <w:keepNext w:val="0"/>
              <w:jc w:val="both"/>
            </w:pPr>
            <w:r w:rsidRPr="00C5337F">
              <w:t>255</w:t>
            </w:r>
          </w:p>
        </w:tc>
        <w:tc>
          <w:tcPr>
            <w:tcW w:w="1280" w:type="pct"/>
            <w:noWrap/>
          </w:tcPr>
          <w:p w14:paraId="4BCCCA55" w14:textId="77777777" w:rsidR="007244C8" w:rsidRPr="00C5337F" w:rsidRDefault="007244C8" w:rsidP="00F163BE">
            <w:pPr>
              <w:pStyle w:val="TableText0"/>
              <w:keepNext w:val="0"/>
              <w:jc w:val="both"/>
            </w:pPr>
            <w:r w:rsidRPr="00C5337F">
              <w:t>35%</w:t>
            </w:r>
          </w:p>
        </w:tc>
      </w:tr>
      <w:tr w:rsidR="007244C8" w:rsidRPr="0074646B" w14:paraId="65F5FE57" w14:textId="77777777" w:rsidTr="007244C8">
        <w:trPr>
          <w:trHeight w:val="255"/>
        </w:trPr>
        <w:tc>
          <w:tcPr>
            <w:tcW w:w="1738" w:type="pct"/>
          </w:tcPr>
          <w:p w14:paraId="6033D871" w14:textId="77777777" w:rsidR="007244C8" w:rsidRPr="00C5337F" w:rsidRDefault="007244C8" w:rsidP="00F163BE">
            <w:pPr>
              <w:pStyle w:val="TableText0"/>
              <w:keepNext w:val="0"/>
              <w:jc w:val="both"/>
            </w:pPr>
            <w:r w:rsidRPr="00C5337F">
              <w:t>Pantothenic acid / B5 (mg)</w:t>
            </w:r>
          </w:p>
        </w:tc>
        <w:tc>
          <w:tcPr>
            <w:tcW w:w="919" w:type="pct"/>
            <w:noWrap/>
          </w:tcPr>
          <w:p w14:paraId="4003600F" w14:textId="77777777" w:rsidR="007244C8" w:rsidRPr="00C5337F" w:rsidRDefault="007244C8" w:rsidP="00F163BE">
            <w:pPr>
              <w:pStyle w:val="TableText0"/>
              <w:keepNext w:val="0"/>
              <w:jc w:val="both"/>
            </w:pPr>
            <w:r w:rsidRPr="00C5337F">
              <w:t>1.8</w:t>
            </w:r>
          </w:p>
        </w:tc>
        <w:tc>
          <w:tcPr>
            <w:tcW w:w="1063" w:type="pct"/>
          </w:tcPr>
          <w:p w14:paraId="5C8906B3" w14:textId="77777777" w:rsidR="007244C8" w:rsidRPr="00C5337F" w:rsidRDefault="007244C8" w:rsidP="00F163BE">
            <w:pPr>
              <w:pStyle w:val="TableText0"/>
              <w:keepNext w:val="0"/>
              <w:jc w:val="both"/>
            </w:pPr>
            <w:r w:rsidRPr="00C5337F">
              <w:t>1.8</w:t>
            </w:r>
          </w:p>
        </w:tc>
        <w:tc>
          <w:tcPr>
            <w:tcW w:w="1280" w:type="pct"/>
            <w:noWrap/>
          </w:tcPr>
          <w:p w14:paraId="0FD2E669" w14:textId="77777777" w:rsidR="007244C8" w:rsidRPr="00C5337F" w:rsidRDefault="007244C8" w:rsidP="00F163BE">
            <w:pPr>
              <w:pStyle w:val="TableText0"/>
              <w:keepNext w:val="0"/>
              <w:jc w:val="both"/>
            </w:pPr>
            <w:r w:rsidRPr="00C5337F">
              <w:t>100%</w:t>
            </w:r>
          </w:p>
        </w:tc>
      </w:tr>
      <w:tr w:rsidR="007244C8" w:rsidRPr="0074646B" w14:paraId="6B61F6E8" w14:textId="77777777" w:rsidTr="007244C8">
        <w:trPr>
          <w:trHeight w:val="255"/>
        </w:trPr>
        <w:tc>
          <w:tcPr>
            <w:tcW w:w="1738" w:type="pct"/>
          </w:tcPr>
          <w:p w14:paraId="292B312A" w14:textId="77777777" w:rsidR="007244C8" w:rsidRPr="00C5337F" w:rsidRDefault="007244C8" w:rsidP="00F163BE">
            <w:pPr>
              <w:pStyle w:val="TableText0"/>
              <w:keepNext w:val="0"/>
              <w:jc w:val="both"/>
            </w:pPr>
            <w:r w:rsidRPr="00C5337F">
              <w:t>Biotin (mcg)</w:t>
            </w:r>
          </w:p>
        </w:tc>
        <w:tc>
          <w:tcPr>
            <w:tcW w:w="919" w:type="pct"/>
            <w:noWrap/>
          </w:tcPr>
          <w:p w14:paraId="7909DEC3" w14:textId="77777777" w:rsidR="007244C8" w:rsidRPr="00C5337F" w:rsidRDefault="007244C8" w:rsidP="00F163BE">
            <w:pPr>
              <w:pStyle w:val="TableText0"/>
              <w:keepNext w:val="0"/>
              <w:jc w:val="both"/>
            </w:pPr>
            <w:r w:rsidRPr="00C5337F">
              <w:t>7.5</w:t>
            </w:r>
          </w:p>
        </w:tc>
        <w:tc>
          <w:tcPr>
            <w:tcW w:w="1063" w:type="pct"/>
          </w:tcPr>
          <w:p w14:paraId="0AB3DC20" w14:textId="77777777" w:rsidR="007244C8" w:rsidRPr="00C5337F" w:rsidRDefault="007244C8" w:rsidP="00F163BE">
            <w:pPr>
              <w:pStyle w:val="TableText0"/>
              <w:keepNext w:val="0"/>
              <w:jc w:val="both"/>
            </w:pPr>
            <w:r w:rsidRPr="00C5337F">
              <w:t>7.5</w:t>
            </w:r>
          </w:p>
        </w:tc>
        <w:tc>
          <w:tcPr>
            <w:tcW w:w="1280" w:type="pct"/>
            <w:noWrap/>
          </w:tcPr>
          <w:p w14:paraId="31105FB6" w14:textId="77777777" w:rsidR="007244C8" w:rsidRPr="00C5337F" w:rsidRDefault="007244C8" w:rsidP="00F163BE">
            <w:pPr>
              <w:pStyle w:val="TableText0"/>
              <w:keepNext w:val="0"/>
              <w:jc w:val="both"/>
            </w:pPr>
            <w:r w:rsidRPr="00C5337F">
              <w:t>100%</w:t>
            </w:r>
          </w:p>
        </w:tc>
      </w:tr>
      <w:tr w:rsidR="007244C8" w:rsidRPr="0074646B" w14:paraId="0E9D9E82" w14:textId="77777777" w:rsidTr="007244C8">
        <w:trPr>
          <w:trHeight w:val="255"/>
        </w:trPr>
        <w:tc>
          <w:tcPr>
            <w:tcW w:w="1738" w:type="pct"/>
          </w:tcPr>
          <w:p w14:paraId="284A044A" w14:textId="77777777" w:rsidR="007244C8" w:rsidRPr="00C5337F" w:rsidRDefault="007244C8" w:rsidP="00F163BE">
            <w:pPr>
              <w:pStyle w:val="TableText0"/>
              <w:keepNext w:val="0"/>
              <w:jc w:val="both"/>
            </w:pPr>
            <w:r w:rsidRPr="00C5337F">
              <w:t>Vitamin C (mg)</w:t>
            </w:r>
          </w:p>
        </w:tc>
        <w:tc>
          <w:tcPr>
            <w:tcW w:w="919" w:type="pct"/>
          </w:tcPr>
          <w:p w14:paraId="3A9354D6" w14:textId="77777777" w:rsidR="007244C8" w:rsidRPr="00C5337F" w:rsidRDefault="007244C8" w:rsidP="00F163BE">
            <w:pPr>
              <w:pStyle w:val="TableText0"/>
              <w:keepNext w:val="0"/>
              <w:jc w:val="both"/>
            </w:pPr>
            <w:r w:rsidRPr="00C5337F">
              <w:t>25</w:t>
            </w:r>
          </w:p>
        </w:tc>
        <w:tc>
          <w:tcPr>
            <w:tcW w:w="1063" w:type="pct"/>
          </w:tcPr>
          <w:p w14:paraId="412A7A4C" w14:textId="77777777" w:rsidR="007244C8" w:rsidRPr="00C5337F" w:rsidRDefault="007244C8" w:rsidP="00F163BE">
            <w:pPr>
              <w:pStyle w:val="TableText0"/>
              <w:keepNext w:val="0"/>
              <w:jc w:val="both"/>
            </w:pPr>
            <w:r w:rsidRPr="00C5337F">
              <w:t>25</w:t>
            </w:r>
          </w:p>
        </w:tc>
        <w:tc>
          <w:tcPr>
            <w:tcW w:w="1280" w:type="pct"/>
            <w:noWrap/>
          </w:tcPr>
          <w:p w14:paraId="15A2864F" w14:textId="77777777" w:rsidR="007244C8" w:rsidRPr="00C5337F" w:rsidRDefault="007244C8" w:rsidP="00F163BE">
            <w:pPr>
              <w:pStyle w:val="TableText0"/>
              <w:keepNext w:val="0"/>
              <w:jc w:val="both"/>
            </w:pPr>
            <w:r w:rsidRPr="00C5337F">
              <w:t>100%</w:t>
            </w:r>
          </w:p>
        </w:tc>
      </w:tr>
      <w:tr w:rsidR="007244C8" w:rsidRPr="0074646B" w14:paraId="62086048" w14:textId="77777777" w:rsidTr="007244C8">
        <w:trPr>
          <w:trHeight w:val="255"/>
        </w:trPr>
        <w:tc>
          <w:tcPr>
            <w:tcW w:w="1738" w:type="pct"/>
          </w:tcPr>
          <w:p w14:paraId="4FD6A81C" w14:textId="77777777" w:rsidR="007244C8" w:rsidRPr="00C5337F" w:rsidRDefault="007244C8" w:rsidP="00F163BE">
            <w:pPr>
              <w:pStyle w:val="TableText0"/>
              <w:keepNext w:val="0"/>
              <w:jc w:val="both"/>
            </w:pPr>
            <w:r w:rsidRPr="00C5337F">
              <w:t>Choline (mg)</w:t>
            </w:r>
          </w:p>
        </w:tc>
        <w:tc>
          <w:tcPr>
            <w:tcW w:w="919" w:type="pct"/>
          </w:tcPr>
          <w:p w14:paraId="78FC0D90" w14:textId="77777777" w:rsidR="007244C8" w:rsidRPr="00C5337F" w:rsidRDefault="007244C8" w:rsidP="00F163BE">
            <w:pPr>
              <w:pStyle w:val="TableText0"/>
              <w:keepNext w:val="0"/>
              <w:jc w:val="both"/>
            </w:pPr>
            <w:r w:rsidRPr="00C5337F">
              <w:t>150</w:t>
            </w:r>
          </w:p>
        </w:tc>
        <w:tc>
          <w:tcPr>
            <w:tcW w:w="1063" w:type="pct"/>
          </w:tcPr>
          <w:p w14:paraId="78A153E1" w14:textId="77777777" w:rsidR="007244C8" w:rsidRPr="00C5337F" w:rsidRDefault="007244C8" w:rsidP="00F163BE">
            <w:pPr>
              <w:pStyle w:val="TableText0"/>
              <w:keepNext w:val="0"/>
              <w:jc w:val="both"/>
            </w:pPr>
            <w:r w:rsidRPr="00C5337F">
              <w:t>150</w:t>
            </w:r>
          </w:p>
        </w:tc>
        <w:tc>
          <w:tcPr>
            <w:tcW w:w="1280" w:type="pct"/>
            <w:noWrap/>
          </w:tcPr>
          <w:p w14:paraId="601BE7A1" w14:textId="77777777" w:rsidR="007244C8" w:rsidRPr="00C5337F" w:rsidRDefault="007244C8" w:rsidP="00F163BE">
            <w:pPr>
              <w:pStyle w:val="TableText0"/>
              <w:keepNext w:val="0"/>
              <w:jc w:val="both"/>
            </w:pPr>
            <w:r w:rsidRPr="00C5337F">
              <w:t>100%</w:t>
            </w:r>
          </w:p>
        </w:tc>
      </w:tr>
      <w:tr w:rsidR="007244C8" w:rsidRPr="0074646B" w14:paraId="699E1F76" w14:textId="77777777" w:rsidTr="007244C8">
        <w:trPr>
          <w:trHeight w:val="255"/>
        </w:trPr>
        <w:tc>
          <w:tcPr>
            <w:tcW w:w="1738" w:type="pct"/>
          </w:tcPr>
          <w:p w14:paraId="76629FB7" w14:textId="77777777" w:rsidR="007244C8" w:rsidRPr="00C5337F" w:rsidRDefault="007244C8" w:rsidP="00F163BE">
            <w:pPr>
              <w:pStyle w:val="TableText0"/>
              <w:keepNext w:val="0"/>
              <w:jc w:val="both"/>
            </w:pPr>
            <w:r w:rsidRPr="00C5337F">
              <w:t>Inositol (mg)</w:t>
            </w:r>
          </w:p>
        </w:tc>
        <w:tc>
          <w:tcPr>
            <w:tcW w:w="919" w:type="pct"/>
            <w:noWrap/>
          </w:tcPr>
          <w:p w14:paraId="40962F75" w14:textId="77777777" w:rsidR="007244C8" w:rsidRPr="00C5337F" w:rsidRDefault="007244C8" w:rsidP="00F163BE">
            <w:pPr>
              <w:pStyle w:val="TableText0"/>
              <w:keepNext w:val="0"/>
              <w:jc w:val="both"/>
            </w:pPr>
            <w:r w:rsidRPr="00C5337F">
              <w:t>30</w:t>
            </w:r>
          </w:p>
        </w:tc>
        <w:tc>
          <w:tcPr>
            <w:tcW w:w="1063" w:type="pct"/>
          </w:tcPr>
          <w:p w14:paraId="5CA77EA2" w14:textId="77777777" w:rsidR="007244C8" w:rsidRPr="00C5337F" w:rsidRDefault="007244C8" w:rsidP="00F163BE">
            <w:pPr>
              <w:pStyle w:val="TableText0"/>
              <w:keepNext w:val="0"/>
              <w:jc w:val="both"/>
            </w:pPr>
            <w:r w:rsidRPr="00C5337F">
              <w:t>0</w:t>
            </w:r>
          </w:p>
        </w:tc>
        <w:tc>
          <w:tcPr>
            <w:tcW w:w="1280" w:type="pct"/>
            <w:noWrap/>
          </w:tcPr>
          <w:p w14:paraId="20B1F29B" w14:textId="77777777" w:rsidR="007244C8" w:rsidRPr="00C5337F" w:rsidRDefault="007244C8" w:rsidP="00F163BE">
            <w:pPr>
              <w:pStyle w:val="TableText0"/>
              <w:keepNext w:val="0"/>
              <w:jc w:val="both"/>
            </w:pPr>
            <w:r>
              <w:t>-</w:t>
            </w:r>
          </w:p>
        </w:tc>
      </w:tr>
      <w:tr w:rsidR="007244C8" w:rsidRPr="0074646B" w14:paraId="636C4BBE" w14:textId="77777777" w:rsidTr="007244C8">
        <w:trPr>
          <w:trHeight w:val="255"/>
        </w:trPr>
        <w:tc>
          <w:tcPr>
            <w:tcW w:w="1738" w:type="pct"/>
          </w:tcPr>
          <w:p w14:paraId="7229D54B" w14:textId="77777777" w:rsidR="007244C8" w:rsidRPr="00C5337F" w:rsidRDefault="007244C8" w:rsidP="00F163BE">
            <w:pPr>
              <w:pStyle w:val="TableText0"/>
              <w:keepNext w:val="0"/>
              <w:jc w:val="both"/>
            </w:pPr>
            <w:r w:rsidRPr="00C5337F">
              <w:t>Calcium (mg)</w:t>
            </w:r>
          </w:p>
        </w:tc>
        <w:tc>
          <w:tcPr>
            <w:tcW w:w="919" w:type="pct"/>
          </w:tcPr>
          <w:p w14:paraId="49E89FDF" w14:textId="77777777" w:rsidR="007244C8" w:rsidRPr="00C5337F" w:rsidRDefault="007244C8" w:rsidP="00F163BE">
            <w:pPr>
              <w:pStyle w:val="TableText0"/>
              <w:keepNext w:val="0"/>
              <w:jc w:val="both"/>
            </w:pPr>
            <w:r w:rsidRPr="00C5337F">
              <w:t>300</w:t>
            </w:r>
          </w:p>
        </w:tc>
        <w:tc>
          <w:tcPr>
            <w:tcW w:w="1063" w:type="pct"/>
          </w:tcPr>
          <w:p w14:paraId="7C4A1123" w14:textId="77777777" w:rsidR="007244C8" w:rsidRPr="00C5337F" w:rsidRDefault="007244C8" w:rsidP="00F163BE">
            <w:pPr>
              <w:pStyle w:val="TableText0"/>
              <w:keepNext w:val="0"/>
              <w:jc w:val="both"/>
            </w:pPr>
            <w:r w:rsidRPr="00C5337F">
              <w:t>260</w:t>
            </w:r>
          </w:p>
        </w:tc>
        <w:tc>
          <w:tcPr>
            <w:tcW w:w="1280" w:type="pct"/>
            <w:noWrap/>
          </w:tcPr>
          <w:p w14:paraId="408077D5" w14:textId="77777777" w:rsidR="007244C8" w:rsidRPr="00C5337F" w:rsidRDefault="007244C8" w:rsidP="00F163BE">
            <w:pPr>
              <w:pStyle w:val="TableText0"/>
              <w:keepNext w:val="0"/>
              <w:jc w:val="both"/>
            </w:pPr>
            <w:r w:rsidRPr="00C5337F">
              <w:t>115%</w:t>
            </w:r>
          </w:p>
        </w:tc>
      </w:tr>
      <w:tr w:rsidR="007244C8" w:rsidRPr="0074646B" w14:paraId="0B67BEAA" w14:textId="77777777" w:rsidTr="007244C8">
        <w:trPr>
          <w:trHeight w:val="255"/>
        </w:trPr>
        <w:tc>
          <w:tcPr>
            <w:tcW w:w="1738" w:type="pct"/>
          </w:tcPr>
          <w:p w14:paraId="4CA29336" w14:textId="77777777" w:rsidR="007244C8" w:rsidRPr="00C5337F" w:rsidRDefault="007244C8" w:rsidP="00F163BE">
            <w:pPr>
              <w:pStyle w:val="TableText0"/>
              <w:keepNext w:val="0"/>
              <w:jc w:val="both"/>
            </w:pPr>
            <w:r w:rsidRPr="00C5337F">
              <w:t>Phosphorous (mg)</w:t>
            </w:r>
          </w:p>
        </w:tc>
        <w:tc>
          <w:tcPr>
            <w:tcW w:w="919" w:type="pct"/>
          </w:tcPr>
          <w:p w14:paraId="13F65AA2" w14:textId="77777777" w:rsidR="007244C8" w:rsidRPr="00C5337F" w:rsidRDefault="007244C8" w:rsidP="00F163BE">
            <w:pPr>
              <w:pStyle w:val="TableText0"/>
              <w:keepNext w:val="0"/>
              <w:jc w:val="both"/>
            </w:pPr>
            <w:r w:rsidRPr="00C5337F">
              <w:t>244</w:t>
            </w:r>
          </w:p>
        </w:tc>
        <w:tc>
          <w:tcPr>
            <w:tcW w:w="1063" w:type="pct"/>
          </w:tcPr>
          <w:p w14:paraId="6CFFAE6C" w14:textId="77777777" w:rsidR="007244C8" w:rsidRPr="00C5337F" w:rsidRDefault="007244C8" w:rsidP="00F163BE">
            <w:pPr>
              <w:pStyle w:val="TableText0"/>
              <w:keepNext w:val="0"/>
              <w:jc w:val="both"/>
            </w:pPr>
            <w:r w:rsidRPr="00C5337F">
              <w:t>250</w:t>
            </w:r>
          </w:p>
        </w:tc>
        <w:tc>
          <w:tcPr>
            <w:tcW w:w="1280" w:type="pct"/>
            <w:noWrap/>
          </w:tcPr>
          <w:p w14:paraId="27D36091" w14:textId="77777777" w:rsidR="007244C8" w:rsidRPr="00C5337F" w:rsidRDefault="007244C8" w:rsidP="00F163BE">
            <w:pPr>
              <w:pStyle w:val="TableText0"/>
              <w:keepNext w:val="0"/>
              <w:jc w:val="both"/>
            </w:pPr>
            <w:r w:rsidRPr="00C5337F">
              <w:t>98%</w:t>
            </w:r>
          </w:p>
        </w:tc>
      </w:tr>
      <w:tr w:rsidR="007244C8" w:rsidRPr="0074646B" w14:paraId="1120008E" w14:textId="77777777" w:rsidTr="007244C8">
        <w:trPr>
          <w:trHeight w:val="255"/>
        </w:trPr>
        <w:tc>
          <w:tcPr>
            <w:tcW w:w="1738" w:type="pct"/>
          </w:tcPr>
          <w:p w14:paraId="260A2D8A" w14:textId="77777777" w:rsidR="007244C8" w:rsidRPr="00C5337F" w:rsidRDefault="007244C8" w:rsidP="00F163BE">
            <w:pPr>
              <w:pStyle w:val="TableText0"/>
              <w:keepNext w:val="0"/>
              <w:jc w:val="both"/>
            </w:pPr>
            <w:r w:rsidRPr="00C5337F">
              <w:t>Magnesium (mg)</w:t>
            </w:r>
          </w:p>
        </w:tc>
        <w:tc>
          <w:tcPr>
            <w:tcW w:w="919" w:type="pct"/>
          </w:tcPr>
          <w:p w14:paraId="6F81E04B" w14:textId="77777777" w:rsidR="007244C8" w:rsidRPr="00C5337F" w:rsidRDefault="007244C8" w:rsidP="00F163BE">
            <w:pPr>
              <w:pStyle w:val="TableText0"/>
              <w:keepNext w:val="0"/>
              <w:jc w:val="both"/>
            </w:pPr>
            <w:r w:rsidRPr="00C5337F">
              <w:t>65</w:t>
            </w:r>
          </w:p>
        </w:tc>
        <w:tc>
          <w:tcPr>
            <w:tcW w:w="1063" w:type="pct"/>
          </w:tcPr>
          <w:p w14:paraId="6486A34A" w14:textId="77777777" w:rsidR="007244C8" w:rsidRPr="00C5337F" w:rsidRDefault="007244C8" w:rsidP="00F163BE">
            <w:pPr>
              <w:pStyle w:val="TableText0"/>
              <w:keepNext w:val="0"/>
              <w:jc w:val="both"/>
            </w:pPr>
            <w:r w:rsidRPr="00C5337F">
              <w:t>60</w:t>
            </w:r>
          </w:p>
        </w:tc>
        <w:tc>
          <w:tcPr>
            <w:tcW w:w="1280" w:type="pct"/>
            <w:noWrap/>
          </w:tcPr>
          <w:p w14:paraId="1C334C70" w14:textId="77777777" w:rsidR="007244C8" w:rsidRPr="00C5337F" w:rsidRDefault="007244C8" w:rsidP="00F163BE">
            <w:pPr>
              <w:pStyle w:val="TableText0"/>
              <w:keepNext w:val="0"/>
              <w:jc w:val="both"/>
            </w:pPr>
            <w:r w:rsidRPr="00C5337F">
              <w:t>108%</w:t>
            </w:r>
          </w:p>
        </w:tc>
      </w:tr>
      <w:tr w:rsidR="007244C8" w:rsidRPr="0074646B" w14:paraId="7441F39D" w14:textId="77777777" w:rsidTr="007244C8">
        <w:trPr>
          <w:trHeight w:val="255"/>
        </w:trPr>
        <w:tc>
          <w:tcPr>
            <w:tcW w:w="1738" w:type="pct"/>
          </w:tcPr>
          <w:p w14:paraId="13C20DA6" w14:textId="77777777" w:rsidR="007244C8" w:rsidRPr="00C5337F" w:rsidRDefault="007244C8" w:rsidP="00F163BE">
            <w:pPr>
              <w:pStyle w:val="TableText0"/>
              <w:keepNext w:val="0"/>
              <w:jc w:val="both"/>
            </w:pPr>
            <w:r w:rsidRPr="00C5337F">
              <w:t>Iron (mg)</w:t>
            </w:r>
          </w:p>
        </w:tc>
        <w:tc>
          <w:tcPr>
            <w:tcW w:w="919" w:type="pct"/>
          </w:tcPr>
          <w:p w14:paraId="1692466A" w14:textId="77777777" w:rsidR="007244C8" w:rsidRPr="00C5337F" w:rsidRDefault="007244C8" w:rsidP="00F163BE">
            <w:pPr>
              <w:pStyle w:val="TableText0"/>
              <w:keepNext w:val="0"/>
              <w:jc w:val="both"/>
            </w:pPr>
            <w:r w:rsidRPr="00C5337F">
              <w:t>4.5</w:t>
            </w:r>
          </w:p>
        </w:tc>
        <w:tc>
          <w:tcPr>
            <w:tcW w:w="1063" w:type="pct"/>
          </w:tcPr>
          <w:p w14:paraId="04A41153" w14:textId="77777777" w:rsidR="007244C8" w:rsidRPr="00C5337F" w:rsidRDefault="007244C8" w:rsidP="00F163BE">
            <w:pPr>
              <w:pStyle w:val="TableText0"/>
              <w:keepNext w:val="0"/>
              <w:jc w:val="both"/>
            </w:pPr>
            <w:r w:rsidRPr="00C5337F">
              <w:t>4.5</w:t>
            </w:r>
          </w:p>
        </w:tc>
        <w:tc>
          <w:tcPr>
            <w:tcW w:w="1280" w:type="pct"/>
            <w:noWrap/>
          </w:tcPr>
          <w:p w14:paraId="25395533" w14:textId="77777777" w:rsidR="007244C8" w:rsidRPr="00C5337F" w:rsidRDefault="007244C8" w:rsidP="00F163BE">
            <w:pPr>
              <w:pStyle w:val="TableText0"/>
              <w:keepNext w:val="0"/>
              <w:jc w:val="both"/>
            </w:pPr>
            <w:r w:rsidRPr="00C5337F">
              <w:t>100%</w:t>
            </w:r>
          </w:p>
        </w:tc>
      </w:tr>
      <w:tr w:rsidR="007244C8" w:rsidRPr="0074646B" w14:paraId="0EDAEAB8" w14:textId="77777777" w:rsidTr="007244C8">
        <w:trPr>
          <w:trHeight w:val="255"/>
        </w:trPr>
        <w:tc>
          <w:tcPr>
            <w:tcW w:w="1738" w:type="pct"/>
          </w:tcPr>
          <w:p w14:paraId="212BB31E" w14:textId="77777777" w:rsidR="007244C8" w:rsidRPr="00C5337F" w:rsidRDefault="007244C8" w:rsidP="00F163BE">
            <w:pPr>
              <w:pStyle w:val="TableText0"/>
              <w:keepNext w:val="0"/>
              <w:jc w:val="both"/>
            </w:pPr>
            <w:r w:rsidRPr="00C5337F">
              <w:t>Zinc (mg)</w:t>
            </w:r>
          </w:p>
        </w:tc>
        <w:tc>
          <w:tcPr>
            <w:tcW w:w="919" w:type="pct"/>
          </w:tcPr>
          <w:p w14:paraId="24833ABA" w14:textId="77777777" w:rsidR="007244C8" w:rsidRPr="00C5337F" w:rsidRDefault="007244C8" w:rsidP="00F163BE">
            <w:pPr>
              <w:pStyle w:val="TableText0"/>
              <w:keepNext w:val="0"/>
              <w:jc w:val="both"/>
            </w:pPr>
            <w:r w:rsidRPr="00C5337F">
              <w:t>2.4</w:t>
            </w:r>
          </w:p>
        </w:tc>
        <w:tc>
          <w:tcPr>
            <w:tcW w:w="1063" w:type="pct"/>
          </w:tcPr>
          <w:p w14:paraId="5970A738" w14:textId="77777777" w:rsidR="007244C8" w:rsidRPr="00C5337F" w:rsidRDefault="007244C8" w:rsidP="00F163BE">
            <w:pPr>
              <w:pStyle w:val="TableText0"/>
              <w:keepNext w:val="0"/>
              <w:jc w:val="both"/>
            </w:pPr>
            <w:r w:rsidRPr="00C5337F">
              <w:t>3</w:t>
            </w:r>
          </w:p>
        </w:tc>
        <w:tc>
          <w:tcPr>
            <w:tcW w:w="1280" w:type="pct"/>
            <w:noWrap/>
          </w:tcPr>
          <w:p w14:paraId="51CBEB48" w14:textId="77777777" w:rsidR="007244C8" w:rsidRPr="00C5337F" w:rsidRDefault="007244C8" w:rsidP="00F163BE">
            <w:pPr>
              <w:pStyle w:val="TableText0"/>
              <w:keepNext w:val="0"/>
              <w:jc w:val="both"/>
            </w:pPr>
            <w:r w:rsidRPr="00C5337F">
              <w:t>80%</w:t>
            </w:r>
          </w:p>
        </w:tc>
      </w:tr>
      <w:tr w:rsidR="007244C8" w:rsidRPr="0074646B" w14:paraId="5BD48586" w14:textId="77777777" w:rsidTr="007244C8">
        <w:trPr>
          <w:trHeight w:val="255"/>
        </w:trPr>
        <w:tc>
          <w:tcPr>
            <w:tcW w:w="1738" w:type="pct"/>
          </w:tcPr>
          <w:p w14:paraId="7F6B4731" w14:textId="77777777" w:rsidR="007244C8" w:rsidRPr="00C5337F" w:rsidRDefault="007244C8" w:rsidP="00F163BE">
            <w:pPr>
              <w:pStyle w:val="TableText0"/>
              <w:keepNext w:val="0"/>
              <w:jc w:val="both"/>
            </w:pPr>
            <w:r w:rsidRPr="00C5337F">
              <w:t>Manganese (mg)</w:t>
            </w:r>
          </w:p>
        </w:tc>
        <w:tc>
          <w:tcPr>
            <w:tcW w:w="919" w:type="pct"/>
          </w:tcPr>
          <w:p w14:paraId="51972566" w14:textId="77777777" w:rsidR="007244C8" w:rsidRPr="00C5337F" w:rsidRDefault="007244C8" w:rsidP="00F163BE">
            <w:pPr>
              <w:pStyle w:val="TableText0"/>
              <w:keepNext w:val="0"/>
              <w:jc w:val="both"/>
            </w:pPr>
            <w:r w:rsidRPr="00830AA7">
              <w:t>0.64</w:t>
            </w:r>
          </w:p>
        </w:tc>
        <w:tc>
          <w:tcPr>
            <w:tcW w:w="1063" w:type="pct"/>
          </w:tcPr>
          <w:p w14:paraId="2E82AAF9" w14:textId="77777777" w:rsidR="007244C8" w:rsidRPr="00C5337F" w:rsidRDefault="007244C8" w:rsidP="00F163BE">
            <w:pPr>
              <w:pStyle w:val="TableText0"/>
              <w:keepNext w:val="0"/>
              <w:jc w:val="both"/>
            </w:pPr>
            <w:r w:rsidRPr="00830AA7">
              <w:t>0.8</w:t>
            </w:r>
          </w:p>
        </w:tc>
        <w:tc>
          <w:tcPr>
            <w:tcW w:w="1280" w:type="pct"/>
            <w:noWrap/>
          </w:tcPr>
          <w:p w14:paraId="65E5E207" w14:textId="77777777" w:rsidR="007244C8" w:rsidRPr="00C5337F" w:rsidRDefault="007244C8" w:rsidP="00F163BE">
            <w:pPr>
              <w:pStyle w:val="TableText0"/>
              <w:keepNext w:val="0"/>
              <w:jc w:val="both"/>
            </w:pPr>
            <w:r w:rsidRPr="00830AA7">
              <w:t>80%</w:t>
            </w:r>
          </w:p>
        </w:tc>
      </w:tr>
      <w:tr w:rsidR="007244C8" w:rsidRPr="0074646B" w14:paraId="122A825B" w14:textId="77777777" w:rsidTr="007244C8">
        <w:trPr>
          <w:trHeight w:val="255"/>
        </w:trPr>
        <w:tc>
          <w:tcPr>
            <w:tcW w:w="1738" w:type="pct"/>
          </w:tcPr>
          <w:p w14:paraId="03134D4F" w14:textId="77777777" w:rsidR="007244C8" w:rsidRPr="00C5337F" w:rsidRDefault="007244C8" w:rsidP="00F163BE">
            <w:pPr>
              <w:pStyle w:val="TableText0"/>
              <w:keepNext w:val="0"/>
              <w:jc w:val="both"/>
            </w:pPr>
            <w:r w:rsidRPr="00C5337F">
              <w:t>Copper (mg)</w:t>
            </w:r>
          </w:p>
        </w:tc>
        <w:tc>
          <w:tcPr>
            <w:tcW w:w="919" w:type="pct"/>
            <w:noWrap/>
          </w:tcPr>
          <w:p w14:paraId="16898B32" w14:textId="77777777" w:rsidR="007244C8" w:rsidRPr="00713D7E" w:rsidRDefault="007244C8" w:rsidP="00F163BE">
            <w:pPr>
              <w:pStyle w:val="TableText0"/>
              <w:keepNext w:val="0"/>
              <w:jc w:val="both"/>
            </w:pPr>
            <w:r w:rsidRPr="00713D7E">
              <w:t>0.251</w:t>
            </w:r>
          </w:p>
        </w:tc>
        <w:tc>
          <w:tcPr>
            <w:tcW w:w="1063" w:type="pct"/>
          </w:tcPr>
          <w:p w14:paraId="35ADB92F" w14:textId="77777777" w:rsidR="007244C8" w:rsidRPr="00713D7E" w:rsidRDefault="007244C8" w:rsidP="00F163BE">
            <w:pPr>
              <w:pStyle w:val="TableText0"/>
              <w:keepNext w:val="0"/>
              <w:jc w:val="both"/>
            </w:pPr>
            <w:r w:rsidRPr="00713D7E">
              <w:t>0.2</w:t>
            </w:r>
          </w:p>
        </w:tc>
        <w:tc>
          <w:tcPr>
            <w:tcW w:w="1280" w:type="pct"/>
            <w:noWrap/>
          </w:tcPr>
          <w:p w14:paraId="64A61D82" w14:textId="77777777" w:rsidR="007244C8" w:rsidRPr="00713D7E" w:rsidRDefault="007244C8" w:rsidP="00F163BE">
            <w:pPr>
              <w:pStyle w:val="TableText0"/>
              <w:keepNext w:val="0"/>
              <w:jc w:val="both"/>
            </w:pPr>
            <w:r w:rsidRPr="00713D7E">
              <w:t>126%</w:t>
            </w:r>
          </w:p>
        </w:tc>
      </w:tr>
      <w:tr w:rsidR="007244C8" w:rsidRPr="0074646B" w14:paraId="4BDCD312" w14:textId="77777777" w:rsidTr="007244C8">
        <w:trPr>
          <w:trHeight w:val="255"/>
        </w:trPr>
        <w:tc>
          <w:tcPr>
            <w:tcW w:w="1738" w:type="pct"/>
          </w:tcPr>
          <w:p w14:paraId="03D796E8" w14:textId="77777777" w:rsidR="007244C8" w:rsidRPr="00C5337F" w:rsidRDefault="007244C8" w:rsidP="00F163BE">
            <w:pPr>
              <w:pStyle w:val="TableText0"/>
              <w:keepNext w:val="0"/>
              <w:jc w:val="both"/>
            </w:pPr>
            <w:r w:rsidRPr="00C5337F">
              <w:t>Iodine (mcg)</w:t>
            </w:r>
          </w:p>
        </w:tc>
        <w:tc>
          <w:tcPr>
            <w:tcW w:w="919" w:type="pct"/>
          </w:tcPr>
          <w:p w14:paraId="00C4FE74" w14:textId="77777777" w:rsidR="007244C8" w:rsidRPr="00713D7E" w:rsidRDefault="007244C8" w:rsidP="00F163BE">
            <w:pPr>
              <w:pStyle w:val="TableText0"/>
              <w:keepNext w:val="0"/>
              <w:jc w:val="both"/>
            </w:pPr>
            <w:r w:rsidRPr="00713D7E">
              <w:t>46</w:t>
            </w:r>
          </w:p>
        </w:tc>
        <w:tc>
          <w:tcPr>
            <w:tcW w:w="1063" w:type="pct"/>
          </w:tcPr>
          <w:p w14:paraId="20625626" w14:textId="77777777" w:rsidR="007244C8" w:rsidRPr="00713D7E" w:rsidRDefault="007244C8" w:rsidP="00F163BE">
            <w:pPr>
              <w:pStyle w:val="TableText0"/>
              <w:keepNext w:val="0"/>
              <w:jc w:val="both"/>
            </w:pPr>
            <w:r w:rsidRPr="00713D7E">
              <w:t>45</w:t>
            </w:r>
          </w:p>
        </w:tc>
        <w:tc>
          <w:tcPr>
            <w:tcW w:w="1280" w:type="pct"/>
            <w:noWrap/>
          </w:tcPr>
          <w:p w14:paraId="778FB782" w14:textId="77777777" w:rsidR="007244C8" w:rsidRPr="00713D7E" w:rsidRDefault="007244C8" w:rsidP="00F163BE">
            <w:pPr>
              <w:pStyle w:val="TableText0"/>
              <w:keepNext w:val="0"/>
              <w:jc w:val="both"/>
            </w:pPr>
            <w:r w:rsidRPr="00713D7E">
              <w:t>102%</w:t>
            </w:r>
          </w:p>
        </w:tc>
      </w:tr>
      <w:tr w:rsidR="007244C8" w:rsidRPr="0074646B" w14:paraId="01E4722D" w14:textId="77777777" w:rsidTr="007244C8">
        <w:trPr>
          <w:trHeight w:val="255"/>
        </w:trPr>
        <w:tc>
          <w:tcPr>
            <w:tcW w:w="1738" w:type="pct"/>
          </w:tcPr>
          <w:p w14:paraId="719A30E7" w14:textId="77777777" w:rsidR="007244C8" w:rsidRPr="00C5337F" w:rsidRDefault="007244C8" w:rsidP="00F163BE">
            <w:pPr>
              <w:pStyle w:val="TableText0"/>
              <w:keepNext w:val="0"/>
              <w:jc w:val="both"/>
            </w:pPr>
            <w:r w:rsidRPr="00C5337F">
              <w:t>Molybdenum (mcg)</w:t>
            </w:r>
          </w:p>
        </w:tc>
        <w:tc>
          <w:tcPr>
            <w:tcW w:w="919" w:type="pct"/>
          </w:tcPr>
          <w:p w14:paraId="4353062E" w14:textId="77777777" w:rsidR="007244C8" w:rsidRPr="00713D7E" w:rsidRDefault="007244C8" w:rsidP="00F163BE">
            <w:pPr>
              <w:pStyle w:val="TableText0"/>
              <w:keepNext w:val="0"/>
              <w:jc w:val="both"/>
            </w:pPr>
            <w:r w:rsidRPr="00713D7E">
              <w:t>17</w:t>
            </w:r>
          </w:p>
        </w:tc>
        <w:tc>
          <w:tcPr>
            <w:tcW w:w="1063" w:type="pct"/>
          </w:tcPr>
          <w:p w14:paraId="6320DAB7" w14:textId="77777777" w:rsidR="007244C8" w:rsidRPr="00713D7E" w:rsidRDefault="007244C8" w:rsidP="00F163BE">
            <w:pPr>
              <w:pStyle w:val="TableText0"/>
              <w:keepNext w:val="0"/>
              <w:jc w:val="both"/>
            </w:pPr>
            <w:r w:rsidRPr="00713D7E">
              <w:t>16</w:t>
            </w:r>
          </w:p>
        </w:tc>
        <w:tc>
          <w:tcPr>
            <w:tcW w:w="1280" w:type="pct"/>
            <w:noWrap/>
          </w:tcPr>
          <w:p w14:paraId="7E738DAC" w14:textId="77777777" w:rsidR="007244C8" w:rsidRPr="00713D7E" w:rsidRDefault="007244C8" w:rsidP="00F163BE">
            <w:pPr>
              <w:pStyle w:val="TableText0"/>
              <w:keepNext w:val="0"/>
              <w:jc w:val="both"/>
            </w:pPr>
            <w:r w:rsidRPr="00713D7E">
              <w:t>106%</w:t>
            </w:r>
          </w:p>
        </w:tc>
      </w:tr>
      <w:tr w:rsidR="007244C8" w:rsidRPr="0074646B" w14:paraId="33BB2286" w14:textId="77777777" w:rsidTr="007244C8">
        <w:trPr>
          <w:trHeight w:val="255"/>
        </w:trPr>
        <w:tc>
          <w:tcPr>
            <w:tcW w:w="1738" w:type="pct"/>
          </w:tcPr>
          <w:p w14:paraId="33FCCEDD" w14:textId="77777777" w:rsidR="007244C8" w:rsidRPr="00C5337F" w:rsidRDefault="007244C8" w:rsidP="00F163BE">
            <w:pPr>
              <w:pStyle w:val="TableText0"/>
              <w:keepNext w:val="0"/>
              <w:jc w:val="both"/>
            </w:pPr>
            <w:r w:rsidRPr="00C5337F">
              <w:t>Chromium (mcg)</w:t>
            </w:r>
          </w:p>
        </w:tc>
        <w:tc>
          <w:tcPr>
            <w:tcW w:w="919" w:type="pct"/>
          </w:tcPr>
          <w:p w14:paraId="0498B5B4" w14:textId="77777777" w:rsidR="007244C8" w:rsidRPr="00713D7E" w:rsidRDefault="007244C8" w:rsidP="00F163BE">
            <w:pPr>
              <w:pStyle w:val="TableText0"/>
              <w:keepNext w:val="0"/>
              <w:jc w:val="both"/>
            </w:pPr>
            <w:r w:rsidRPr="00713D7E">
              <w:t>13</w:t>
            </w:r>
          </w:p>
        </w:tc>
        <w:tc>
          <w:tcPr>
            <w:tcW w:w="1063" w:type="pct"/>
          </w:tcPr>
          <w:p w14:paraId="717F7475" w14:textId="77777777" w:rsidR="007244C8" w:rsidRPr="00713D7E" w:rsidRDefault="007244C8" w:rsidP="00F163BE">
            <w:pPr>
              <w:pStyle w:val="TableText0"/>
              <w:keepNext w:val="0"/>
              <w:jc w:val="both"/>
            </w:pPr>
            <w:r w:rsidRPr="00713D7E">
              <w:t>13</w:t>
            </w:r>
          </w:p>
        </w:tc>
        <w:tc>
          <w:tcPr>
            <w:tcW w:w="1280" w:type="pct"/>
            <w:noWrap/>
          </w:tcPr>
          <w:p w14:paraId="41A3A3F1" w14:textId="77777777" w:rsidR="007244C8" w:rsidRPr="00713D7E" w:rsidRDefault="007244C8" w:rsidP="00F163BE">
            <w:pPr>
              <w:pStyle w:val="TableText0"/>
              <w:keepNext w:val="0"/>
              <w:jc w:val="both"/>
            </w:pPr>
            <w:r w:rsidRPr="00713D7E">
              <w:t>100%</w:t>
            </w:r>
          </w:p>
        </w:tc>
      </w:tr>
      <w:tr w:rsidR="007244C8" w:rsidRPr="0074646B" w14:paraId="2790D7A6" w14:textId="77777777" w:rsidTr="007244C8">
        <w:trPr>
          <w:trHeight w:val="255"/>
        </w:trPr>
        <w:tc>
          <w:tcPr>
            <w:tcW w:w="1738" w:type="pct"/>
          </w:tcPr>
          <w:p w14:paraId="2D282F32" w14:textId="77777777" w:rsidR="007244C8" w:rsidRPr="00C5337F" w:rsidRDefault="007244C8" w:rsidP="00F163BE">
            <w:pPr>
              <w:pStyle w:val="TableText0"/>
              <w:keepNext w:val="0"/>
              <w:jc w:val="both"/>
            </w:pPr>
            <w:r w:rsidRPr="00C5337F">
              <w:t>Selenium (mcg)</w:t>
            </w:r>
          </w:p>
        </w:tc>
        <w:tc>
          <w:tcPr>
            <w:tcW w:w="919" w:type="pct"/>
          </w:tcPr>
          <w:p w14:paraId="79A753B2" w14:textId="77777777" w:rsidR="007244C8" w:rsidRPr="00713D7E" w:rsidRDefault="007244C8" w:rsidP="00F163BE">
            <w:pPr>
              <w:pStyle w:val="TableText0"/>
              <w:keepNext w:val="0"/>
              <w:jc w:val="both"/>
            </w:pPr>
            <w:r w:rsidRPr="00713D7E">
              <w:t>23</w:t>
            </w:r>
          </w:p>
        </w:tc>
        <w:tc>
          <w:tcPr>
            <w:tcW w:w="1063" w:type="pct"/>
          </w:tcPr>
          <w:p w14:paraId="2342DF42" w14:textId="77777777" w:rsidR="007244C8" w:rsidRPr="00713D7E" w:rsidRDefault="007244C8" w:rsidP="00F163BE">
            <w:pPr>
              <w:pStyle w:val="TableText0"/>
              <w:keepNext w:val="0"/>
              <w:jc w:val="both"/>
            </w:pPr>
            <w:r w:rsidRPr="00713D7E">
              <w:t>22</w:t>
            </w:r>
          </w:p>
        </w:tc>
        <w:tc>
          <w:tcPr>
            <w:tcW w:w="1280" w:type="pct"/>
            <w:noWrap/>
          </w:tcPr>
          <w:p w14:paraId="577BA9BD" w14:textId="77777777" w:rsidR="007244C8" w:rsidRPr="00713D7E" w:rsidRDefault="007244C8" w:rsidP="00F163BE">
            <w:pPr>
              <w:pStyle w:val="TableText0"/>
              <w:keepNext w:val="0"/>
              <w:jc w:val="both"/>
            </w:pPr>
            <w:r w:rsidRPr="00713D7E">
              <w:t>105%</w:t>
            </w:r>
          </w:p>
        </w:tc>
      </w:tr>
      <w:tr w:rsidR="007244C8" w:rsidRPr="0074646B" w14:paraId="5706A03A" w14:textId="77777777" w:rsidTr="007244C8">
        <w:trPr>
          <w:trHeight w:val="255"/>
        </w:trPr>
        <w:tc>
          <w:tcPr>
            <w:tcW w:w="1738" w:type="pct"/>
          </w:tcPr>
          <w:p w14:paraId="7AADC93A" w14:textId="77777777" w:rsidR="007244C8" w:rsidRPr="00C5337F" w:rsidRDefault="007244C8" w:rsidP="00F163BE">
            <w:pPr>
              <w:pStyle w:val="TableText0"/>
              <w:keepNext w:val="0"/>
              <w:jc w:val="both"/>
            </w:pPr>
            <w:r w:rsidRPr="00C5337F">
              <w:t>Sodium (mg)</w:t>
            </w:r>
          </w:p>
        </w:tc>
        <w:tc>
          <w:tcPr>
            <w:tcW w:w="919" w:type="pct"/>
          </w:tcPr>
          <w:p w14:paraId="780DB2AC" w14:textId="77777777" w:rsidR="007244C8" w:rsidRPr="00713D7E" w:rsidRDefault="007244C8" w:rsidP="00F163BE">
            <w:pPr>
              <w:pStyle w:val="TableText0"/>
              <w:keepNext w:val="0"/>
              <w:jc w:val="both"/>
            </w:pPr>
            <w:r w:rsidRPr="00713D7E">
              <w:t>273</w:t>
            </w:r>
          </w:p>
        </w:tc>
        <w:tc>
          <w:tcPr>
            <w:tcW w:w="1063" w:type="pct"/>
          </w:tcPr>
          <w:p w14:paraId="408C7362" w14:textId="77777777" w:rsidR="007244C8" w:rsidRPr="00713D7E" w:rsidRDefault="007244C8" w:rsidP="00F163BE">
            <w:pPr>
              <w:pStyle w:val="TableText0"/>
              <w:keepNext w:val="0"/>
              <w:jc w:val="both"/>
            </w:pPr>
            <w:r w:rsidRPr="00713D7E">
              <w:t>270</w:t>
            </w:r>
          </w:p>
        </w:tc>
        <w:tc>
          <w:tcPr>
            <w:tcW w:w="1280" w:type="pct"/>
            <w:noWrap/>
          </w:tcPr>
          <w:p w14:paraId="67335D07" w14:textId="77777777" w:rsidR="007244C8" w:rsidRPr="00713D7E" w:rsidRDefault="007244C8" w:rsidP="00F163BE">
            <w:pPr>
              <w:pStyle w:val="TableText0"/>
              <w:keepNext w:val="0"/>
              <w:jc w:val="both"/>
            </w:pPr>
            <w:r w:rsidRPr="00713D7E">
              <w:t>101%</w:t>
            </w:r>
          </w:p>
        </w:tc>
      </w:tr>
      <w:tr w:rsidR="007244C8" w:rsidRPr="0074646B" w14:paraId="44726166" w14:textId="77777777" w:rsidTr="007244C8">
        <w:trPr>
          <w:trHeight w:val="255"/>
        </w:trPr>
        <w:tc>
          <w:tcPr>
            <w:tcW w:w="1738" w:type="pct"/>
          </w:tcPr>
          <w:p w14:paraId="343DB7DF" w14:textId="77777777" w:rsidR="007244C8" w:rsidRPr="00C5337F" w:rsidRDefault="007244C8" w:rsidP="00F163BE">
            <w:pPr>
              <w:pStyle w:val="TableText0"/>
              <w:keepNext w:val="0"/>
              <w:jc w:val="both"/>
            </w:pPr>
            <w:r w:rsidRPr="00C5337F">
              <w:t>Potassium (mg)</w:t>
            </w:r>
          </w:p>
        </w:tc>
        <w:tc>
          <w:tcPr>
            <w:tcW w:w="919" w:type="pct"/>
          </w:tcPr>
          <w:p w14:paraId="3EC3C7F2" w14:textId="77777777" w:rsidR="007244C8" w:rsidRPr="00713D7E" w:rsidRDefault="007244C8" w:rsidP="00F163BE">
            <w:pPr>
              <w:pStyle w:val="TableText0"/>
              <w:keepNext w:val="0"/>
              <w:jc w:val="both"/>
            </w:pPr>
            <w:r w:rsidRPr="00713D7E">
              <w:t>306</w:t>
            </w:r>
          </w:p>
        </w:tc>
        <w:tc>
          <w:tcPr>
            <w:tcW w:w="1063" w:type="pct"/>
          </w:tcPr>
          <w:p w14:paraId="77DA51E6" w14:textId="77777777" w:rsidR="007244C8" w:rsidRPr="00713D7E" w:rsidRDefault="007244C8" w:rsidP="00F163BE">
            <w:pPr>
              <w:pStyle w:val="TableText0"/>
              <w:keepNext w:val="0"/>
              <w:jc w:val="both"/>
            </w:pPr>
            <w:r w:rsidRPr="00713D7E">
              <w:t>270</w:t>
            </w:r>
          </w:p>
        </w:tc>
        <w:tc>
          <w:tcPr>
            <w:tcW w:w="1280" w:type="pct"/>
            <w:noWrap/>
          </w:tcPr>
          <w:p w14:paraId="0D84CD3C" w14:textId="77777777" w:rsidR="007244C8" w:rsidRPr="00713D7E" w:rsidRDefault="007244C8" w:rsidP="00F163BE">
            <w:pPr>
              <w:pStyle w:val="TableText0"/>
              <w:keepNext w:val="0"/>
              <w:jc w:val="both"/>
            </w:pPr>
            <w:r w:rsidRPr="00713D7E">
              <w:t>113%</w:t>
            </w:r>
          </w:p>
        </w:tc>
      </w:tr>
      <w:tr w:rsidR="007244C8" w:rsidRPr="0074646B" w14:paraId="04D082FD" w14:textId="77777777" w:rsidTr="007244C8">
        <w:trPr>
          <w:trHeight w:val="255"/>
        </w:trPr>
        <w:tc>
          <w:tcPr>
            <w:tcW w:w="1738" w:type="pct"/>
          </w:tcPr>
          <w:p w14:paraId="730F4D9C" w14:textId="77777777" w:rsidR="007244C8" w:rsidRPr="00C5337F" w:rsidRDefault="007244C8" w:rsidP="00F163BE">
            <w:pPr>
              <w:pStyle w:val="TableText0"/>
              <w:keepNext w:val="0"/>
              <w:jc w:val="both"/>
            </w:pPr>
            <w:r w:rsidRPr="00C5337F">
              <w:t>Chloride (mg)</w:t>
            </w:r>
          </w:p>
        </w:tc>
        <w:tc>
          <w:tcPr>
            <w:tcW w:w="919" w:type="pct"/>
          </w:tcPr>
          <w:p w14:paraId="2D21456C" w14:textId="77777777" w:rsidR="007244C8" w:rsidRPr="00713D7E" w:rsidRDefault="007244C8" w:rsidP="00F163BE">
            <w:pPr>
              <w:pStyle w:val="TableText0"/>
              <w:keepNext w:val="0"/>
              <w:jc w:val="both"/>
            </w:pPr>
            <w:r w:rsidRPr="00713D7E">
              <w:t>381</w:t>
            </w:r>
          </w:p>
        </w:tc>
        <w:tc>
          <w:tcPr>
            <w:tcW w:w="1063" w:type="pct"/>
          </w:tcPr>
          <w:p w14:paraId="7070FB80" w14:textId="77777777" w:rsidR="007244C8" w:rsidRPr="00713D7E" w:rsidRDefault="007244C8" w:rsidP="00F163BE">
            <w:pPr>
              <w:pStyle w:val="TableText0"/>
              <w:keepNext w:val="0"/>
              <w:jc w:val="both"/>
            </w:pPr>
            <w:r w:rsidRPr="00713D7E">
              <w:t>200</w:t>
            </w:r>
          </w:p>
        </w:tc>
        <w:tc>
          <w:tcPr>
            <w:tcW w:w="1280" w:type="pct"/>
            <w:noWrap/>
          </w:tcPr>
          <w:p w14:paraId="396D5157" w14:textId="77777777" w:rsidR="007244C8" w:rsidRPr="00713D7E" w:rsidRDefault="007244C8" w:rsidP="00F163BE">
            <w:pPr>
              <w:pStyle w:val="TableText0"/>
              <w:keepNext w:val="0"/>
              <w:jc w:val="both"/>
            </w:pPr>
            <w:r w:rsidRPr="00713D7E">
              <w:t>191%</w:t>
            </w:r>
          </w:p>
        </w:tc>
      </w:tr>
      <w:tr w:rsidR="007244C8" w:rsidRPr="0074646B" w14:paraId="14B5CFE9" w14:textId="77777777" w:rsidTr="007244C8">
        <w:trPr>
          <w:trHeight w:val="255"/>
        </w:trPr>
        <w:tc>
          <w:tcPr>
            <w:tcW w:w="1738" w:type="pct"/>
          </w:tcPr>
          <w:p w14:paraId="4E3DD271" w14:textId="77777777" w:rsidR="007244C8" w:rsidRPr="00C5337F" w:rsidRDefault="007244C8" w:rsidP="00F163BE">
            <w:pPr>
              <w:pStyle w:val="TableText0"/>
              <w:keepNext w:val="0"/>
              <w:jc w:val="both"/>
            </w:pPr>
            <w:r w:rsidRPr="00C5337F">
              <w:t>L-Carnitine (mg)</w:t>
            </w:r>
          </w:p>
        </w:tc>
        <w:tc>
          <w:tcPr>
            <w:tcW w:w="919" w:type="pct"/>
          </w:tcPr>
          <w:p w14:paraId="34BF0B2C" w14:textId="77777777" w:rsidR="007244C8" w:rsidRPr="00713D7E" w:rsidRDefault="007244C8" w:rsidP="00F163BE">
            <w:pPr>
              <w:pStyle w:val="TableText0"/>
              <w:keepNext w:val="0"/>
              <w:jc w:val="both"/>
            </w:pPr>
            <w:r w:rsidRPr="00713D7E">
              <w:t>50</w:t>
            </w:r>
          </w:p>
        </w:tc>
        <w:tc>
          <w:tcPr>
            <w:tcW w:w="1063" w:type="pct"/>
          </w:tcPr>
          <w:p w14:paraId="201C73D3" w14:textId="77777777" w:rsidR="007244C8" w:rsidRPr="00713D7E" w:rsidRDefault="007244C8" w:rsidP="00F163BE">
            <w:pPr>
              <w:pStyle w:val="TableText0"/>
              <w:keepNext w:val="0"/>
              <w:jc w:val="both"/>
            </w:pPr>
            <w:r w:rsidRPr="00713D7E">
              <w:t>50</w:t>
            </w:r>
          </w:p>
        </w:tc>
        <w:tc>
          <w:tcPr>
            <w:tcW w:w="1280" w:type="pct"/>
            <w:noWrap/>
          </w:tcPr>
          <w:p w14:paraId="7E941B26" w14:textId="77777777" w:rsidR="007244C8" w:rsidRPr="00713D7E" w:rsidRDefault="007244C8" w:rsidP="00F163BE">
            <w:pPr>
              <w:pStyle w:val="TableText0"/>
              <w:keepNext w:val="0"/>
              <w:jc w:val="both"/>
            </w:pPr>
            <w:r w:rsidRPr="00713D7E">
              <w:t>100%</w:t>
            </w:r>
          </w:p>
        </w:tc>
      </w:tr>
      <w:tr w:rsidR="007244C8" w:rsidRPr="00A026F9" w14:paraId="23493AA8" w14:textId="77777777" w:rsidTr="007244C8">
        <w:trPr>
          <w:trHeight w:val="255"/>
        </w:trPr>
        <w:tc>
          <w:tcPr>
            <w:tcW w:w="5000" w:type="pct"/>
            <w:gridSpan w:val="4"/>
          </w:tcPr>
          <w:p w14:paraId="38AA6828" w14:textId="576D2698" w:rsidR="007244C8" w:rsidRPr="00A026F9" w:rsidRDefault="007244C8" w:rsidP="00F163BE">
            <w:pPr>
              <w:pStyle w:val="TableText0"/>
              <w:keepNext w:val="0"/>
              <w:jc w:val="both"/>
            </w:pPr>
            <w:r w:rsidRPr="002C59EB">
              <w:rPr>
                <w:b/>
              </w:rPr>
              <w:t>Fat content</w:t>
            </w:r>
          </w:p>
        </w:tc>
      </w:tr>
      <w:tr w:rsidR="007244C8" w:rsidRPr="0074646B" w14:paraId="6B51E87E" w14:textId="77777777" w:rsidTr="007244C8">
        <w:trPr>
          <w:trHeight w:val="255"/>
        </w:trPr>
        <w:tc>
          <w:tcPr>
            <w:tcW w:w="1738" w:type="pct"/>
          </w:tcPr>
          <w:p w14:paraId="4B5C1007" w14:textId="77777777" w:rsidR="007244C8" w:rsidRPr="00713D7E" w:rsidRDefault="007244C8" w:rsidP="00F163BE">
            <w:pPr>
              <w:pStyle w:val="TableText0"/>
              <w:keepNext w:val="0"/>
              <w:jc w:val="both"/>
            </w:pPr>
            <w:r w:rsidRPr="00713D7E">
              <w:t xml:space="preserve">Saturated fat, g </w:t>
            </w:r>
          </w:p>
        </w:tc>
        <w:tc>
          <w:tcPr>
            <w:tcW w:w="919" w:type="pct"/>
          </w:tcPr>
          <w:p w14:paraId="25DFC3F2" w14:textId="77777777" w:rsidR="007244C8" w:rsidRPr="00713D7E" w:rsidRDefault="007244C8" w:rsidP="00F163BE">
            <w:pPr>
              <w:pStyle w:val="TableText0"/>
              <w:keepNext w:val="0"/>
              <w:jc w:val="both"/>
            </w:pPr>
            <w:r w:rsidRPr="00713D7E">
              <w:t>14</w:t>
            </w:r>
          </w:p>
        </w:tc>
        <w:tc>
          <w:tcPr>
            <w:tcW w:w="1063" w:type="pct"/>
          </w:tcPr>
          <w:p w14:paraId="146CE7DE" w14:textId="77777777" w:rsidR="007244C8" w:rsidRPr="00713D7E" w:rsidRDefault="007244C8" w:rsidP="00F163BE">
            <w:pPr>
              <w:pStyle w:val="TableText0"/>
              <w:keepNext w:val="0"/>
              <w:jc w:val="both"/>
            </w:pPr>
            <w:r w:rsidRPr="00713D7E">
              <w:t>21</w:t>
            </w:r>
          </w:p>
        </w:tc>
        <w:tc>
          <w:tcPr>
            <w:tcW w:w="1280" w:type="pct"/>
            <w:noWrap/>
          </w:tcPr>
          <w:p w14:paraId="3107F808" w14:textId="77777777" w:rsidR="007244C8" w:rsidRPr="00713D7E" w:rsidRDefault="007244C8" w:rsidP="00F163BE">
            <w:pPr>
              <w:pStyle w:val="TableText0"/>
              <w:keepNext w:val="0"/>
              <w:jc w:val="both"/>
            </w:pPr>
            <w:r w:rsidRPr="00713D7E">
              <w:t>67%</w:t>
            </w:r>
          </w:p>
        </w:tc>
      </w:tr>
      <w:tr w:rsidR="007244C8" w:rsidRPr="0074646B" w14:paraId="5760708A" w14:textId="77777777" w:rsidTr="007244C8">
        <w:trPr>
          <w:trHeight w:val="255"/>
        </w:trPr>
        <w:tc>
          <w:tcPr>
            <w:tcW w:w="1738" w:type="pct"/>
          </w:tcPr>
          <w:p w14:paraId="405113CC" w14:textId="77777777" w:rsidR="007244C8" w:rsidRPr="00713D7E" w:rsidRDefault="007244C8" w:rsidP="00F163BE">
            <w:pPr>
              <w:pStyle w:val="TableText0"/>
              <w:keepNext w:val="0"/>
              <w:jc w:val="both"/>
            </w:pPr>
            <w:r w:rsidRPr="00713D7E">
              <w:t>Trans. fat, g</w:t>
            </w:r>
          </w:p>
        </w:tc>
        <w:tc>
          <w:tcPr>
            <w:tcW w:w="919" w:type="pct"/>
          </w:tcPr>
          <w:p w14:paraId="017153DA" w14:textId="77777777" w:rsidR="007244C8" w:rsidRPr="00713D7E" w:rsidRDefault="007244C8" w:rsidP="00F163BE">
            <w:pPr>
              <w:pStyle w:val="TableText0"/>
              <w:keepNext w:val="0"/>
              <w:jc w:val="both"/>
            </w:pPr>
            <w:r w:rsidRPr="00713D7E">
              <w:t>0</w:t>
            </w:r>
          </w:p>
        </w:tc>
        <w:tc>
          <w:tcPr>
            <w:tcW w:w="1063" w:type="pct"/>
          </w:tcPr>
          <w:p w14:paraId="73AA8465" w14:textId="77777777" w:rsidR="007244C8" w:rsidRPr="00713D7E" w:rsidRDefault="007244C8" w:rsidP="00F163BE">
            <w:pPr>
              <w:pStyle w:val="TableText0"/>
              <w:keepNext w:val="0"/>
              <w:jc w:val="both"/>
            </w:pPr>
            <w:r w:rsidRPr="00713D7E">
              <w:t>0</w:t>
            </w:r>
          </w:p>
        </w:tc>
        <w:tc>
          <w:tcPr>
            <w:tcW w:w="1280" w:type="pct"/>
            <w:noWrap/>
          </w:tcPr>
          <w:p w14:paraId="6FA60B5A" w14:textId="77777777" w:rsidR="007244C8" w:rsidRPr="00713D7E" w:rsidRDefault="007244C8" w:rsidP="00F163BE">
            <w:pPr>
              <w:pStyle w:val="TableText0"/>
              <w:keepNext w:val="0"/>
              <w:jc w:val="both"/>
            </w:pPr>
            <w:r>
              <w:t>-</w:t>
            </w:r>
          </w:p>
        </w:tc>
      </w:tr>
      <w:tr w:rsidR="007244C8" w:rsidRPr="0074646B" w14:paraId="3F1D98D0" w14:textId="77777777" w:rsidTr="007244C8">
        <w:trPr>
          <w:trHeight w:val="255"/>
        </w:trPr>
        <w:tc>
          <w:tcPr>
            <w:tcW w:w="1738" w:type="pct"/>
          </w:tcPr>
          <w:p w14:paraId="29CA53C6" w14:textId="77777777" w:rsidR="007244C8" w:rsidRPr="00713D7E" w:rsidRDefault="007244C8" w:rsidP="00F163BE">
            <w:pPr>
              <w:pStyle w:val="TableText0"/>
              <w:keepNext w:val="0"/>
              <w:jc w:val="both"/>
            </w:pPr>
            <w:r w:rsidRPr="00713D7E">
              <w:t xml:space="preserve">Mono. fat, g </w:t>
            </w:r>
          </w:p>
        </w:tc>
        <w:tc>
          <w:tcPr>
            <w:tcW w:w="919" w:type="pct"/>
          </w:tcPr>
          <w:p w14:paraId="51FC8D26" w14:textId="77777777" w:rsidR="007244C8" w:rsidRPr="00713D7E" w:rsidRDefault="007244C8" w:rsidP="00F163BE">
            <w:pPr>
              <w:pStyle w:val="TableText0"/>
              <w:keepNext w:val="0"/>
              <w:jc w:val="both"/>
            </w:pPr>
            <w:r w:rsidRPr="00713D7E">
              <w:t>17</w:t>
            </w:r>
          </w:p>
        </w:tc>
        <w:tc>
          <w:tcPr>
            <w:tcW w:w="1063" w:type="pct"/>
          </w:tcPr>
          <w:p w14:paraId="60BFC9D0" w14:textId="77777777" w:rsidR="007244C8" w:rsidRPr="00713D7E" w:rsidRDefault="007244C8" w:rsidP="00F163BE">
            <w:pPr>
              <w:pStyle w:val="TableText0"/>
              <w:keepNext w:val="0"/>
              <w:jc w:val="both"/>
            </w:pPr>
            <w:r w:rsidRPr="00713D7E">
              <w:t>10.9</w:t>
            </w:r>
          </w:p>
        </w:tc>
        <w:tc>
          <w:tcPr>
            <w:tcW w:w="1280" w:type="pct"/>
            <w:noWrap/>
          </w:tcPr>
          <w:p w14:paraId="38AE16B1" w14:textId="77777777" w:rsidR="007244C8" w:rsidRPr="00713D7E" w:rsidRDefault="007244C8" w:rsidP="00F163BE">
            <w:pPr>
              <w:pStyle w:val="TableText0"/>
              <w:keepNext w:val="0"/>
              <w:jc w:val="both"/>
            </w:pPr>
            <w:r w:rsidRPr="00713D7E">
              <w:t>156%</w:t>
            </w:r>
          </w:p>
        </w:tc>
      </w:tr>
      <w:tr w:rsidR="007244C8" w:rsidRPr="0074646B" w14:paraId="21E4BE53" w14:textId="77777777" w:rsidTr="007244C8">
        <w:trPr>
          <w:trHeight w:val="255"/>
        </w:trPr>
        <w:tc>
          <w:tcPr>
            <w:tcW w:w="1738" w:type="pct"/>
          </w:tcPr>
          <w:p w14:paraId="6D7C48DD" w14:textId="77777777" w:rsidR="007244C8" w:rsidRPr="00713D7E" w:rsidRDefault="007244C8" w:rsidP="00F163BE">
            <w:pPr>
              <w:pStyle w:val="TableText0"/>
              <w:keepNext w:val="0"/>
              <w:jc w:val="both"/>
            </w:pPr>
            <w:r w:rsidRPr="00713D7E">
              <w:t xml:space="preserve">Poly. fat, g </w:t>
            </w:r>
          </w:p>
        </w:tc>
        <w:tc>
          <w:tcPr>
            <w:tcW w:w="919" w:type="pct"/>
          </w:tcPr>
          <w:p w14:paraId="5404364D" w14:textId="77777777" w:rsidR="007244C8" w:rsidRPr="00713D7E" w:rsidRDefault="007244C8" w:rsidP="00F163BE">
            <w:pPr>
              <w:pStyle w:val="TableText0"/>
              <w:keepNext w:val="0"/>
              <w:jc w:val="both"/>
            </w:pPr>
            <w:r w:rsidRPr="00713D7E">
              <w:t>4.2</w:t>
            </w:r>
          </w:p>
        </w:tc>
        <w:tc>
          <w:tcPr>
            <w:tcW w:w="1063" w:type="pct"/>
          </w:tcPr>
          <w:p w14:paraId="40A41717" w14:textId="77777777" w:rsidR="007244C8" w:rsidRPr="00713D7E" w:rsidRDefault="007244C8" w:rsidP="00F163BE">
            <w:pPr>
              <w:pStyle w:val="TableText0"/>
              <w:keepNext w:val="0"/>
              <w:jc w:val="both"/>
            </w:pPr>
            <w:r w:rsidRPr="00713D7E">
              <w:t>3.5</w:t>
            </w:r>
          </w:p>
        </w:tc>
        <w:tc>
          <w:tcPr>
            <w:tcW w:w="1280" w:type="pct"/>
            <w:noWrap/>
          </w:tcPr>
          <w:p w14:paraId="7216B581" w14:textId="77777777" w:rsidR="007244C8" w:rsidRPr="00713D7E" w:rsidRDefault="007244C8" w:rsidP="00F163BE">
            <w:pPr>
              <w:pStyle w:val="TableText0"/>
              <w:keepNext w:val="0"/>
              <w:jc w:val="both"/>
            </w:pPr>
            <w:r w:rsidRPr="00713D7E">
              <w:t>120%</w:t>
            </w:r>
          </w:p>
        </w:tc>
      </w:tr>
    </w:tbl>
    <w:p w14:paraId="0D1BE719" w14:textId="26A712DB" w:rsidR="007244C8" w:rsidRPr="00463257" w:rsidRDefault="007244C8" w:rsidP="00F163BE">
      <w:pPr>
        <w:pStyle w:val="3Bodytext"/>
        <w:numPr>
          <w:ilvl w:val="0"/>
          <w:numId w:val="0"/>
        </w:numPr>
        <w:spacing w:after="0"/>
        <w:jc w:val="both"/>
        <w:rPr>
          <w:rFonts w:ascii="Arial Narrow" w:hAnsi="Arial Narrow"/>
          <w:b/>
          <w:bCs/>
          <w:sz w:val="20"/>
          <w:szCs w:val="20"/>
        </w:rPr>
      </w:pPr>
      <w:r>
        <w:rPr>
          <w:rFonts w:ascii="Arial Narrow" w:hAnsi="Arial Narrow"/>
          <w:sz w:val="18"/>
          <w:szCs w:val="18"/>
        </w:rPr>
        <w:t xml:space="preserve">Source: submission main body pp8-10. </w:t>
      </w:r>
      <w:r w:rsidRPr="00463257">
        <w:rPr>
          <w:rFonts w:ascii="Arial Narrow" w:hAnsi="Arial Narrow"/>
          <w:sz w:val="18"/>
          <w:szCs w:val="18"/>
        </w:rPr>
        <w:t>Note: KetoVie 4:1 comes in both chocolate and vanilla and they have slightly different nutrient values. Details of KetoVie 4:1 vanilla only are provided in Table 2 for brevity, due to the only very small nutrient differences between flavours.</w:t>
      </w:r>
    </w:p>
    <w:p w14:paraId="5F664640" w14:textId="77777777" w:rsidR="007244C8" w:rsidRPr="007244C8" w:rsidRDefault="007244C8" w:rsidP="00F163BE">
      <w:pPr>
        <w:pStyle w:val="tablenotes"/>
        <w:spacing w:after="120"/>
        <w:rPr>
          <w:rFonts w:ascii="Arial Narrow" w:hAnsi="Arial Narrow"/>
          <w:sz w:val="18"/>
          <w:szCs w:val="18"/>
        </w:rPr>
      </w:pPr>
      <w:r w:rsidRPr="007244C8">
        <w:rPr>
          <w:rFonts w:ascii="Arial Narrow" w:hAnsi="Arial Narrow"/>
          <w:sz w:val="18"/>
          <w:szCs w:val="18"/>
        </w:rPr>
        <w:t>AI: average intake; DFE: dietary folate equivalent; DHA: Docosahexaenoic Acid; MCT: medium chain triglyceride; NRV: nutrient reference values; Phe: phenylalanine; RDI: recommended daily intake</w:t>
      </w:r>
    </w:p>
    <w:p w14:paraId="5C97DAE0" w14:textId="4ECCCAEB" w:rsidR="00334C4C" w:rsidRPr="00334C4C" w:rsidRDefault="00334C4C" w:rsidP="00F163BE">
      <w:pPr>
        <w:pStyle w:val="3Bodytext"/>
        <w:jc w:val="both"/>
        <w:rPr>
          <w:i/>
          <w:iCs/>
          <w:lang w:eastAsia="en-US"/>
        </w:rPr>
      </w:pPr>
      <w:r>
        <w:rPr>
          <w:lang w:eastAsia="en-US"/>
        </w:rPr>
        <w:t>A comparison of the new and previous formulation of KetoVie 4:1 Peptide is provided at Table 3.</w:t>
      </w:r>
    </w:p>
    <w:p w14:paraId="3C38BF0C" w14:textId="5055C4D0" w:rsidR="00463257" w:rsidRDefault="00463257" w:rsidP="00F163BE">
      <w:pPr>
        <w:pStyle w:val="3Bodytext"/>
        <w:jc w:val="both"/>
        <w:rPr>
          <w:lang w:eastAsia="en-US"/>
        </w:rPr>
      </w:pPr>
      <w:r>
        <w:rPr>
          <w:lang w:eastAsia="en-US"/>
        </w:rPr>
        <w:t xml:space="preserve">For </w:t>
      </w:r>
      <w:r>
        <w:t>KetoVie</w:t>
      </w:r>
      <w:r>
        <w:rPr>
          <w:lang w:eastAsia="en-US"/>
        </w:rPr>
        <w:t xml:space="preserve"> 4:1 Peptide, t</w:t>
      </w:r>
      <w:r w:rsidRPr="00164D79">
        <w:rPr>
          <w:lang w:eastAsia="en-US"/>
        </w:rPr>
        <w:t xml:space="preserve">he submission stated that the </w:t>
      </w:r>
      <w:r>
        <w:rPr>
          <w:lang w:eastAsia="en-US"/>
        </w:rPr>
        <w:t>following changes have been made:</w:t>
      </w:r>
    </w:p>
    <w:p w14:paraId="51DBD455" w14:textId="1DEA1AA3" w:rsidR="007244C8" w:rsidRDefault="00463257" w:rsidP="00BD47B8">
      <w:pPr>
        <w:pStyle w:val="3Bodytext"/>
        <w:numPr>
          <w:ilvl w:val="0"/>
          <w:numId w:val="8"/>
        </w:numPr>
        <w:ind w:left="1134"/>
        <w:jc w:val="both"/>
      </w:pPr>
      <w:r w:rsidRPr="00463257">
        <w:t xml:space="preserve">The primary fat source has been changed from high oleic canola oil to high oleic sunflower oil for unification of fat sources across the KetoVie line of formulas. </w:t>
      </w:r>
    </w:p>
    <w:p w14:paraId="6AEE8829" w14:textId="6B65820B" w:rsidR="007244C8" w:rsidRDefault="00463257" w:rsidP="00BD47B8">
      <w:pPr>
        <w:pStyle w:val="3Bodytext"/>
        <w:numPr>
          <w:ilvl w:val="0"/>
          <w:numId w:val="8"/>
        </w:numPr>
        <w:ind w:left="1134"/>
        <w:jc w:val="both"/>
      </w:pPr>
      <w:r w:rsidRPr="00463257">
        <w:t xml:space="preserve">DHA levels were reduced </w:t>
      </w:r>
      <w:r w:rsidR="009561F7">
        <w:t>l</w:t>
      </w:r>
      <w:r w:rsidRPr="00463257">
        <w:t xml:space="preserve">evels reduced to unify levels across all KetoVie 4:1 product line. </w:t>
      </w:r>
    </w:p>
    <w:p w14:paraId="3A5F3AE3" w14:textId="115964FE" w:rsidR="007244C8" w:rsidRDefault="00463257" w:rsidP="00BD47B8">
      <w:pPr>
        <w:pStyle w:val="3Bodytext"/>
        <w:numPr>
          <w:ilvl w:val="0"/>
          <w:numId w:val="8"/>
        </w:numPr>
        <w:ind w:left="1134"/>
        <w:jc w:val="both"/>
      </w:pPr>
      <w:r w:rsidRPr="00463257">
        <w:t xml:space="preserve">The amount of Vitamin A has been lowered in the KetoVie 4:1 </w:t>
      </w:r>
      <w:r w:rsidR="00346DD6">
        <w:t>f</w:t>
      </w:r>
      <w:r w:rsidRPr="00463257">
        <w:t>lavo</w:t>
      </w:r>
      <w:r w:rsidR="00346DD6">
        <w:t>u</w:t>
      </w:r>
      <w:r w:rsidRPr="00463257">
        <w:t xml:space="preserve">rs reformulation as clinician feedback reported some patients on higher calorie volumes approached upper limits of Vitamin A. </w:t>
      </w:r>
    </w:p>
    <w:p w14:paraId="75DAF385" w14:textId="77777777" w:rsidR="007244C8" w:rsidRDefault="00463257" w:rsidP="00BD47B8">
      <w:pPr>
        <w:pStyle w:val="3Bodytext"/>
        <w:numPr>
          <w:ilvl w:val="0"/>
          <w:numId w:val="8"/>
        </w:numPr>
        <w:ind w:left="1134"/>
        <w:jc w:val="both"/>
      </w:pPr>
      <w:r w:rsidRPr="00463257">
        <w:lastRenderedPageBreak/>
        <w:t xml:space="preserve">Micronutrient blends such as zinc content have been unified across the KetoVie line of formulas for easier administration. </w:t>
      </w:r>
    </w:p>
    <w:p w14:paraId="17C1E05E" w14:textId="77777777" w:rsidR="007244C8" w:rsidRDefault="00463257" w:rsidP="00BD47B8">
      <w:pPr>
        <w:pStyle w:val="3Bodytext"/>
        <w:numPr>
          <w:ilvl w:val="0"/>
          <w:numId w:val="8"/>
        </w:numPr>
        <w:ind w:left="1134"/>
        <w:jc w:val="both"/>
      </w:pPr>
      <w:r w:rsidRPr="00463257">
        <w:t xml:space="preserve">Vitamin E levels have been increased and Vitamin C and Phosphorus levels reduced to unify levels across all KetoVie 4:1 product line. </w:t>
      </w:r>
    </w:p>
    <w:p w14:paraId="3CB58C51" w14:textId="77777777" w:rsidR="007244C8" w:rsidRDefault="00463257" w:rsidP="00BD47B8">
      <w:pPr>
        <w:pStyle w:val="3Bodytext"/>
        <w:numPr>
          <w:ilvl w:val="0"/>
          <w:numId w:val="8"/>
        </w:numPr>
        <w:ind w:left="1134"/>
        <w:jc w:val="both"/>
      </w:pPr>
      <w:r w:rsidRPr="00463257">
        <w:t xml:space="preserve">Niacin amount has been increased to reach RDI for all categories. </w:t>
      </w:r>
    </w:p>
    <w:p w14:paraId="6B614353" w14:textId="1FCF03BC" w:rsidR="007244C8" w:rsidRDefault="00463257" w:rsidP="00BD47B8">
      <w:pPr>
        <w:pStyle w:val="3Bodytext"/>
        <w:numPr>
          <w:ilvl w:val="0"/>
          <w:numId w:val="8"/>
        </w:numPr>
        <w:ind w:left="1134"/>
        <w:jc w:val="both"/>
      </w:pPr>
      <w:r w:rsidRPr="00463257">
        <w:t>The amount for folate was lowered in the KetoVie 4:1</w:t>
      </w:r>
      <w:r w:rsidR="007C5C14">
        <w:t xml:space="preserve"> </w:t>
      </w:r>
      <w:r w:rsidRPr="00463257">
        <w:t xml:space="preserve">reformulation to better meet the dietary requirements. </w:t>
      </w:r>
    </w:p>
    <w:p w14:paraId="7DFCBFA1" w14:textId="360038E8" w:rsidR="00463257" w:rsidRDefault="00463257" w:rsidP="00BD47B8">
      <w:pPr>
        <w:pStyle w:val="3Bodytext"/>
        <w:numPr>
          <w:ilvl w:val="0"/>
          <w:numId w:val="8"/>
        </w:numPr>
        <w:ind w:left="1134"/>
        <w:jc w:val="both"/>
      </w:pPr>
      <w:r w:rsidRPr="00463257">
        <w:t xml:space="preserve">The amount of calcium in KetoVie 4:1 Peptide was reduced to meet dietary requirement while not overburdening those patients who may be sensitive to calcium based on clinician feedback. As hypercalcemia has been reported in some patients following a ketogenic diet, this change will allow for unification of calcium levels across the KetoVie line of formulas. </w:t>
      </w:r>
    </w:p>
    <w:p w14:paraId="5784D39F" w14:textId="28AF8E50" w:rsidR="007244C8" w:rsidRPr="007244C8" w:rsidRDefault="007244C8" w:rsidP="00F163BE">
      <w:pPr>
        <w:pStyle w:val="Caption"/>
        <w:spacing w:after="0"/>
        <w:rPr>
          <w:rFonts w:ascii="Arial Narrow" w:hAnsi="Arial Narrow"/>
          <w:b/>
          <w:bCs/>
          <w:i w:val="0"/>
          <w:iCs w:val="0"/>
          <w:sz w:val="20"/>
          <w:szCs w:val="20"/>
          <w:highlight w:val="yellow"/>
        </w:rPr>
      </w:pPr>
      <w:r w:rsidRPr="007244C8">
        <w:rPr>
          <w:rFonts w:ascii="Arial Narrow" w:hAnsi="Arial Narrow"/>
          <w:b/>
          <w:bCs/>
          <w:i w:val="0"/>
          <w:iCs w:val="0"/>
          <w:sz w:val="20"/>
          <w:szCs w:val="20"/>
        </w:rPr>
        <w:t xml:space="preserve">Table </w:t>
      </w:r>
      <w:r w:rsidRPr="007244C8">
        <w:rPr>
          <w:rFonts w:ascii="Arial Narrow" w:hAnsi="Arial Narrow"/>
          <w:b/>
          <w:bCs/>
          <w:i w:val="0"/>
          <w:iCs w:val="0"/>
          <w:sz w:val="20"/>
          <w:szCs w:val="20"/>
        </w:rPr>
        <w:fldChar w:fldCharType="begin"/>
      </w:r>
      <w:r w:rsidRPr="007244C8">
        <w:rPr>
          <w:rFonts w:ascii="Arial Narrow" w:hAnsi="Arial Narrow"/>
          <w:b/>
          <w:bCs/>
          <w:i w:val="0"/>
          <w:iCs w:val="0"/>
          <w:sz w:val="20"/>
          <w:szCs w:val="20"/>
        </w:rPr>
        <w:instrText xml:space="preserve"> SEQ Table \* ARABIC </w:instrText>
      </w:r>
      <w:r w:rsidRPr="007244C8">
        <w:rPr>
          <w:rFonts w:ascii="Arial Narrow" w:hAnsi="Arial Narrow"/>
          <w:b/>
          <w:bCs/>
          <w:i w:val="0"/>
          <w:iCs w:val="0"/>
          <w:sz w:val="20"/>
          <w:szCs w:val="20"/>
        </w:rPr>
        <w:fldChar w:fldCharType="separate"/>
      </w:r>
      <w:r w:rsidR="00F9205C">
        <w:rPr>
          <w:rFonts w:ascii="Arial Narrow" w:hAnsi="Arial Narrow"/>
          <w:b/>
          <w:bCs/>
          <w:i w:val="0"/>
          <w:iCs w:val="0"/>
          <w:noProof/>
          <w:sz w:val="20"/>
          <w:szCs w:val="20"/>
        </w:rPr>
        <w:t>2</w:t>
      </w:r>
      <w:r w:rsidRPr="007244C8">
        <w:rPr>
          <w:rFonts w:ascii="Arial Narrow" w:hAnsi="Arial Narrow"/>
          <w:b/>
          <w:bCs/>
          <w:i w:val="0"/>
          <w:iCs w:val="0"/>
          <w:noProof/>
          <w:sz w:val="20"/>
          <w:szCs w:val="20"/>
        </w:rPr>
        <w:fldChar w:fldCharType="end"/>
      </w:r>
      <w:r w:rsidRPr="007244C8">
        <w:rPr>
          <w:rFonts w:ascii="Arial Narrow" w:hAnsi="Arial Narrow"/>
          <w:b/>
          <w:bCs/>
          <w:i w:val="0"/>
          <w:iCs w:val="0"/>
          <w:sz w:val="20"/>
          <w:szCs w:val="20"/>
        </w:rPr>
        <w:t xml:space="preserve">: </w:t>
      </w:r>
      <w:proofErr w:type="spellStart"/>
      <w:r w:rsidRPr="007244C8">
        <w:rPr>
          <w:rFonts w:ascii="Arial Narrow" w:hAnsi="Arial Narrow"/>
          <w:b/>
          <w:bCs/>
          <w:i w:val="0"/>
          <w:iCs w:val="0"/>
          <w:sz w:val="20"/>
          <w:szCs w:val="20"/>
        </w:rPr>
        <w:t>KetoVie</w:t>
      </w:r>
      <w:proofErr w:type="spellEnd"/>
      <w:r w:rsidRPr="007244C8">
        <w:rPr>
          <w:rFonts w:ascii="Arial Narrow" w:hAnsi="Arial Narrow"/>
          <w:b/>
          <w:bCs/>
          <w:i w:val="0"/>
          <w:iCs w:val="0"/>
          <w:sz w:val="20"/>
          <w:szCs w:val="20"/>
        </w:rPr>
        <w:t xml:space="preserve"> 4:1 Peptide reformulation</w:t>
      </w:r>
    </w:p>
    <w:tbl>
      <w:tblPr>
        <w:tblStyle w:val="TableGrid"/>
        <w:tblW w:w="5000" w:type="pct"/>
        <w:tblLook w:val="04A0" w:firstRow="1" w:lastRow="0" w:firstColumn="1" w:lastColumn="0" w:noHBand="0" w:noVBand="1"/>
      </w:tblPr>
      <w:tblGrid>
        <w:gridCol w:w="3134"/>
        <w:gridCol w:w="1823"/>
        <w:gridCol w:w="1751"/>
        <w:gridCol w:w="2308"/>
      </w:tblGrid>
      <w:tr w:rsidR="007244C8" w:rsidRPr="007A7F40" w14:paraId="242E02DA" w14:textId="77777777" w:rsidTr="007244C8">
        <w:trPr>
          <w:trHeight w:val="285"/>
          <w:tblHeader/>
        </w:trPr>
        <w:tc>
          <w:tcPr>
            <w:tcW w:w="1738" w:type="pct"/>
            <w:vMerge w:val="restart"/>
            <w:shd w:val="clear" w:color="auto" w:fill="BFBFBF" w:themeFill="background1" w:themeFillShade="BF"/>
            <w:noWrap/>
            <w:hideMark/>
          </w:tcPr>
          <w:p w14:paraId="1DB76084" w14:textId="77777777" w:rsidR="007244C8" w:rsidRPr="007A7F40" w:rsidRDefault="007244C8" w:rsidP="00F163BE">
            <w:pPr>
              <w:pStyle w:val="TableHeading"/>
              <w:keepNext w:val="0"/>
            </w:pPr>
            <w:r w:rsidRPr="007A7F40">
              <w:t>Nutrient</w:t>
            </w:r>
          </w:p>
        </w:tc>
        <w:tc>
          <w:tcPr>
            <w:tcW w:w="3262" w:type="pct"/>
            <w:gridSpan w:val="3"/>
            <w:shd w:val="clear" w:color="auto" w:fill="BFBFBF" w:themeFill="background1" w:themeFillShade="BF"/>
            <w:hideMark/>
          </w:tcPr>
          <w:p w14:paraId="1EFE750F" w14:textId="77777777" w:rsidR="007244C8" w:rsidRPr="007A7F40" w:rsidRDefault="007244C8" w:rsidP="00F163BE">
            <w:pPr>
              <w:pStyle w:val="TableHeading"/>
              <w:keepNext w:val="0"/>
            </w:pPr>
            <w:r w:rsidRPr="007A7F40">
              <w:t>Product nutritional content</w:t>
            </w:r>
            <w:r>
              <w:t xml:space="preserve"> (per 250 mL carton)</w:t>
            </w:r>
          </w:p>
        </w:tc>
      </w:tr>
      <w:tr w:rsidR="007244C8" w:rsidRPr="007A7F40" w14:paraId="3080139D" w14:textId="77777777" w:rsidTr="007244C8">
        <w:trPr>
          <w:trHeight w:val="517"/>
          <w:tblHeader/>
        </w:trPr>
        <w:tc>
          <w:tcPr>
            <w:tcW w:w="1738" w:type="pct"/>
            <w:vMerge/>
            <w:shd w:val="clear" w:color="auto" w:fill="BFBFBF" w:themeFill="background1" w:themeFillShade="BF"/>
            <w:hideMark/>
          </w:tcPr>
          <w:p w14:paraId="14301A19" w14:textId="77777777" w:rsidR="007244C8" w:rsidRPr="007A7F40" w:rsidRDefault="007244C8" w:rsidP="00F163BE">
            <w:pPr>
              <w:pStyle w:val="TableHeading"/>
              <w:keepNext w:val="0"/>
            </w:pPr>
          </w:p>
        </w:tc>
        <w:tc>
          <w:tcPr>
            <w:tcW w:w="1011" w:type="pct"/>
            <w:shd w:val="clear" w:color="auto" w:fill="BFBFBF" w:themeFill="background1" w:themeFillShade="BF"/>
            <w:hideMark/>
          </w:tcPr>
          <w:p w14:paraId="1465EDB4" w14:textId="2BE6AB22" w:rsidR="007244C8" w:rsidRPr="007A7F40" w:rsidRDefault="007244C8" w:rsidP="00F163BE">
            <w:pPr>
              <w:pStyle w:val="TableHeading"/>
              <w:keepNext w:val="0"/>
            </w:pPr>
            <w:r>
              <w:t>KetoVie 4:1</w:t>
            </w:r>
            <w:r w:rsidRPr="00092B3C">
              <w:t xml:space="preserve"> </w:t>
            </w:r>
            <w:r>
              <w:t xml:space="preserve">Peptide new </w:t>
            </w:r>
            <w:r w:rsidRPr="00092B3C">
              <w:t>formulation</w:t>
            </w:r>
          </w:p>
        </w:tc>
        <w:tc>
          <w:tcPr>
            <w:tcW w:w="971" w:type="pct"/>
            <w:shd w:val="clear" w:color="auto" w:fill="BFBFBF" w:themeFill="background1" w:themeFillShade="BF"/>
            <w:hideMark/>
          </w:tcPr>
          <w:p w14:paraId="255CC3D8" w14:textId="77777777" w:rsidR="007244C8" w:rsidRPr="007A7F40" w:rsidRDefault="007244C8" w:rsidP="00F163BE">
            <w:pPr>
              <w:pStyle w:val="TableHeading"/>
              <w:keepNext w:val="0"/>
            </w:pPr>
            <w:r>
              <w:t>KetoVie 4:1</w:t>
            </w:r>
            <w:r w:rsidRPr="00092B3C">
              <w:t xml:space="preserve"> </w:t>
            </w:r>
            <w:r>
              <w:t xml:space="preserve">Peptide </w:t>
            </w:r>
            <w:r w:rsidRPr="00092B3C">
              <w:t>current formulation</w:t>
            </w:r>
          </w:p>
        </w:tc>
        <w:tc>
          <w:tcPr>
            <w:tcW w:w="1280" w:type="pct"/>
            <w:shd w:val="clear" w:color="auto" w:fill="BFBFBF" w:themeFill="background1" w:themeFillShade="BF"/>
            <w:hideMark/>
          </w:tcPr>
          <w:p w14:paraId="72D20ACF" w14:textId="77777777" w:rsidR="007244C8" w:rsidRPr="006E1620" w:rsidRDefault="007244C8" w:rsidP="00F163BE">
            <w:pPr>
              <w:rPr>
                <w:rFonts w:ascii="Arial Narrow" w:hAnsi="Arial Narrow" w:cs="Arial Narrow"/>
                <w:b/>
                <w:bCs/>
                <w:sz w:val="20"/>
                <w:lang w:eastAsia="en-US"/>
              </w:rPr>
            </w:pPr>
            <w:r w:rsidRPr="006E1620">
              <w:rPr>
                <w:rFonts w:ascii="Arial Narrow" w:hAnsi="Arial Narrow" w:cs="Arial Narrow"/>
                <w:b/>
                <w:bCs/>
                <w:sz w:val="20"/>
                <w:lang w:eastAsia="en-US"/>
              </w:rPr>
              <w:t>New formula/current formula nutritional content</w:t>
            </w:r>
          </w:p>
        </w:tc>
      </w:tr>
      <w:tr w:rsidR="007244C8" w:rsidRPr="0074646B" w14:paraId="4D51F474" w14:textId="77777777" w:rsidTr="007244C8">
        <w:trPr>
          <w:trHeight w:val="255"/>
        </w:trPr>
        <w:tc>
          <w:tcPr>
            <w:tcW w:w="1738" w:type="pct"/>
            <w:noWrap/>
          </w:tcPr>
          <w:p w14:paraId="3C7D33CB" w14:textId="77777777" w:rsidR="007244C8" w:rsidRPr="0028668B" w:rsidRDefault="007244C8" w:rsidP="00F163BE">
            <w:pPr>
              <w:pStyle w:val="TableText0"/>
              <w:keepNext w:val="0"/>
              <w:jc w:val="both"/>
            </w:pPr>
            <w:r w:rsidRPr="0028668B">
              <w:t>Energy (kilojoule)</w:t>
            </w:r>
          </w:p>
        </w:tc>
        <w:tc>
          <w:tcPr>
            <w:tcW w:w="1011" w:type="pct"/>
            <w:noWrap/>
          </w:tcPr>
          <w:p w14:paraId="2A38D0B5" w14:textId="77777777" w:rsidR="007244C8" w:rsidRPr="0028668B" w:rsidRDefault="007244C8" w:rsidP="00F163BE">
            <w:pPr>
              <w:pStyle w:val="TableText0"/>
              <w:keepNext w:val="0"/>
              <w:jc w:val="both"/>
            </w:pPr>
            <w:r w:rsidRPr="002C082B">
              <w:t>1580</w:t>
            </w:r>
          </w:p>
        </w:tc>
        <w:tc>
          <w:tcPr>
            <w:tcW w:w="971" w:type="pct"/>
            <w:noWrap/>
          </w:tcPr>
          <w:p w14:paraId="60AB810D" w14:textId="77777777" w:rsidR="007244C8" w:rsidRPr="0028668B" w:rsidRDefault="007244C8" w:rsidP="00F163BE">
            <w:pPr>
              <w:pStyle w:val="TableText0"/>
              <w:keepNext w:val="0"/>
              <w:jc w:val="both"/>
            </w:pPr>
            <w:r w:rsidRPr="002C082B">
              <w:t>1561</w:t>
            </w:r>
          </w:p>
        </w:tc>
        <w:tc>
          <w:tcPr>
            <w:tcW w:w="1280" w:type="pct"/>
            <w:noWrap/>
          </w:tcPr>
          <w:p w14:paraId="2E82ACA3" w14:textId="77777777" w:rsidR="007244C8" w:rsidRPr="0028668B" w:rsidRDefault="007244C8" w:rsidP="00F163BE">
            <w:pPr>
              <w:pStyle w:val="TableText0"/>
              <w:keepNext w:val="0"/>
              <w:jc w:val="both"/>
            </w:pPr>
            <w:r w:rsidRPr="002C082B">
              <w:t>101%</w:t>
            </w:r>
          </w:p>
        </w:tc>
      </w:tr>
      <w:tr w:rsidR="007244C8" w:rsidRPr="0074646B" w14:paraId="3739B5C6" w14:textId="77777777" w:rsidTr="007244C8">
        <w:trPr>
          <w:trHeight w:val="255"/>
        </w:trPr>
        <w:tc>
          <w:tcPr>
            <w:tcW w:w="1738" w:type="pct"/>
            <w:noWrap/>
          </w:tcPr>
          <w:p w14:paraId="5C1BE3BA" w14:textId="77777777" w:rsidR="007244C8" w:rsidRPr="00A026F9" w:rsidRDefault="007244C8" w:rsidP="00F163BE">
            <w:pPr>
              <w:pStyle w:val="TableText0"/>
              <w:keepNext w:val="0"/>
              <w:jc w:val="both"/>
            </w:pPr>
            <w:r w:rsidRPr="00A026F9">
              <w:t>Protein (g)</w:t>
            </w:r>
          </w:p>
        </w:tc>
        <w:tc>
          <w:tcPr>
            <w:tcW w:w="1011" w:type="pct"/>
            <w:noWrap/>
          </w:tcPr>
          <w:p w14:paraId="34FC2B64" w14:textId="77777777" w:rsidR="007244C8" w:rsidRPr="001C46EB" w:rsidRDefault="007244C8" w:rsidP="00F163BE">
            <w:pPr>
              <w:pStyle w:val="TableText0"/>
              <w:keepNext w:val="0"/>
              <w:jc w:val="both"/>
            </w:pPr>
            <w:r w:rsidRPr="001C46EB">
              <w:t>8.1</w:t>
            </w:r>
          </w:p>
        </w:tc>
        <w:tc>
          <w:tcPr>
            <w:tcW w:w="971" w:type="pct"/>
            <w:noWrap/>
          </w:tcPr>
          <w:p w14:paraId="4919667B" w14:textId="77777777" w:rsidR="007244C8" w:rsidRPr="001C46EB" w:rsidRDefault="007244C8" w:rsidP="00F163BE">
            <w:pPr>
              <w:pStyle w:val="TableText0"/>
              <w:keepNext w:val="0"/>
              <w:jc w:val="both"/>
            </w:pPr>
            <w:r w:rsidRPr="001C46EB">
              <w:t>8.1</w:t>
            </w:r>
          </w:p>
        </w:tc>
        <w:tc>
          <w:tcPr>
            <w:tcW w:w="1280" w:type="pct"/>
            <w:noWrap/>
          </w:tcPr>
          <w:p w14:paraId="6E7D5DA3" w14:textId="77777777" w:rsidR="007244C8" w:rsidRPr="001C46EB" w:rsidRDefault="007244C8" w:rsidP="00F163BE">
            <w:pPr>
              <w:pStyle w:val="TableText0"/>
              <w:keepNext w:val="0"/>
              <w:jc w:val="both"/>
            </w:pPr>
            <w:r w:rsidRPr="001C46EB">
              <w:t>8.1</w:t>
            </w:r>
          </w:p>
        </w:tc>
      </w:tr>
      <w:tr w:rsidR="007244C8" w:rsidRPr="0074646B" w14:paraId="000345A6" w14:textId="77777777" w:rsidTr="007244C8">
        <w:trPr>
          <w:trHeight w:val="255"/>
        </w:trPr>
        <w:tc>
          <w:tcPr>
            <w:tcW w:w="1738" w:type="pct"/>
            <w:noWrap/>
          </w:tcPr>
          <w:p w14:paraId="3BFF3F5A" w14:textId="77777777" w:rsidR="007244C8" w:rsidRPr="00A026F9" w:rsidRDefault="007244C8" w:rsidP="00F163BE">
            <w:pPr>
              <w:pStyle w:val="TableText0"/>
              <w:keepNext w:val="0"/>
              <w:jc w:val="both"/>
            </w:pPr>
            <w:r w:rsidRPr="00A026F9">
              <w:t>Carbohydrate (g)</w:t>
            </w:r>
          </w:p>
        </w:tc>
        <w:tc>
          <w:tcPr>
            <w:tcW w:w="1011" w:type="pct"/>
            <w:noWrap/>
          </w:tcPr>
          <w:p w14:paraId="4A2E320B" w14:textId="77777777" w:rsidR="007244C8" w:rsidRPr="001C46EB" w:rsidRDefault="007244C8" w:rsidP="00F163BE">
            <w:pPr>
              <w:pStyle w:val="TableText0"/>
              <w:keepNext w:val="0"/>
              <w:jc w:val="both"/>
            </w:pPr>
            <w:r w:rsidRPr="001C46EB">
              <w:t>0.8</w:t>
            </w:r>
          </w:p>
        </w:tc>
        <w:tc>
          <w:tcPr>
            <w:tcW w:w="971" w:type="pct"/>
            <w:noWrap/>
          </w:tcPr>
          <w:p w14:paraId="69429B5F" w14:textId="77777777" w:rsidR="007244C8" w:rsidRPr="001C46EB" w:rsidRDefault="007244C8" w:rsidP="00F163BE">
            <w:pPr>
              <w:pStyle w:val="TableText0"/>
              <w:keepNext w:val="0"/>
              <w:jc w:val="both"/>
            </w:pPr>
            <w:r w:rsidRPr="001C46EB">
              <w:t>0.9</w:t>
            </w:r>
          </w:p>
        </w:tc>
        <w:tc>
          <w:tcPr>
            <w:tcW w:w="1280" w:type="pct"/>
            <w:noWrap/>
          </w:tcPr>
          <w:p w14:paraId="3B4F8160" w14:textId="77777777" w:rsidR="007244C8" w:rsidRPr="001C46EB" w:rsidRDefault="007244C8" w:rsidP="00F163BE">
            <w:pPr>
              <w:pStyle w:val="TableText0"/>
              <w:keepNext w:val="0"/>
              <w:jc w:val="both"/>
            </w:pPr>
            <w:r w:rsidRPr="001C46EB">
              <w:t>0.8</w:t>
            </w:r>
          </w:p>
        </w:tc>
      </w:tr>
      <w:tr w:rsidR="007244C8" w:rsidRPr="0074646B" w14:paraId="12886FAE" w14:textId="77777777" w:rsidTr="007244C8">
        <w:trPr>
          <w:trHeight w:val="255"/>
        </w:trPr>
        <w:tc>
          <w:tcPr>
            <w:tcW w:w="1738" w:type="pct"/>
            <w:noWrap/>
          </w:tcPr>
          <w:p w14:paraId="1893B245" w14:textId="77777777" w:rsidR="007244C8" w:rsidRPr="00A026F9" w:rsidRDefault="007244C8" w:rsidP="00F163BE">
            <w:pPr>
              <w:pStyle w:val="TableText0"/>
              <w:keepNext w:val="0"/>
              <w:jc w:val="both"/>
            </w:pPr>
            <w:r w:rsidRPr="00A026F9">
              <w:t>Salt (g)</w:t>
            </w:r>
          </w:p>
        </w:tc>
        <w:tc>
          <w:tcPr>
            <w:tcW w:w="1011" w:type="pct"/>
            <w:noWrap/>
          </w:tcPr>
          <w:p w14:paraId="752AC70C" w14:textId="77777777" w:rsidR="007244C8" w:rsidRPr="001C46EB" w:rsidRDefault="007244C8" w:rsidP="00F163BE">
            <w:pPr>
              <w:pStyle w:val="TableText0"/>
              <w:keepNext w:val="0"/>
              <w:jc w:val="both"/>
            </w:pPr>
            <w:r w:rsidRPr="001C46EB">
              <w:t>0.86</w:t>
            </w:r>
          </w:p>
        </w:tc>
        <w:tc>
          <w:tcPr>
            <w:tcW w:w="971" w:type="pct"/>
            <w:noWrap/>
          </w:tcPr>
          <w:p w14:paraId="0523180D" w14:textId="77777777" w:rsidR="007244C8" w:rsidRPr="001C46EB" w:rsidRDefault="007244C8" w:rsidP="00F163BE">
            <w:pPr>
              <w:pStyle w:val="TableText0"/>
              <w:keepNext w:val="0"/>
              <w:jc w:val="both"/>
            </w:pPr>
            <w:r w:rsidRPr="001C46EB">
              <w:t>1</w:t>
            </w:r>
          </w:p>
        </w:tc>
        <w:tc>
          <w:tcPr>
            <w:tcW w:w="1280" w:type="pct"/>
            <w:noWrap/>
          </w:tcPr>
          <w:p w14:paraId="2E5E702F" w14:textId="77777777" w:rsidR="007244C8" w:rsidRPr="001C46EB" w:rsidRDefault="007244C8" w:rsidP="00F163BE">
            <w:pPr>
              <w:pStyle w:val="TableText0"/>
              <w:keepNext w:val="0"/>
              <w:jc w:val="both"/>
            </w:pPr>
            <w:r w:rsidRPr="001C46EB">
              <w:t>0.86</w:t>
            </w:r>
          </w:p>
        </w:tc>
      </w:tr>
      <w:tr w:rsidR="007244C8" w:rsidRPr="0074646B" w14:paraId="4317BCE2" w14:textId="77777777" w:rsidTr="007244C8">
        <w:trPr>
          <w:trHeight w:val="255"/>
        </w:trPr>
        <w:tc>
          <w:tcPr>
            <w:tcW w:w="1738" w:type="pct"/>
            <w:noWrap/>
          </w:tcPr>
          <w:p w14:paraId="17311B57" w14:textId="77777777" w:rsidR="007244C8" w:rsidRPr="00A026F9" w:rsidRDefault="007244C8" w:rsidP="00F163BE">
            <w:pPr>
              <w:pStyle w:val="TableText0"/>
              <w:keepNext w:val="0"/>
              <w:jc w:val="both"/>
            </w:pPr>
            <w:r w:rsidRPr="00A026F9">
              <w:t>Fibre (g)</w:t>
            </w:r>
          </w:p>
        </w:tc>
        <w:tc>
          <w:tcPr>
            <w:tcW w:w="1011" w:type="pct"/>
            <w:noWrap/>
          </w:tcPr>
          <w:p w14:paraId="51F283C3" w14:textId="77777777" w:rsidR="007244C8" w:rsidRPr="001C46EB" w:rsidRDefault="007244C8" w:rsidP="00F163BE">
            <w:pPr>
              <w:pStyle w:val="TableText0"/>
              <w:keepNext w:val="0"/>
              <w:jc w:val="both"/>
            </w:pPr>
            <w:r w:rsidRPr="001C46EB">
              <w:t>2.7</w:t>
            </w:r>
          </w:p>
        </w:tc>
        <w:tc>
          <w:tcPr>
            <w:tcW w:w="971" w:type="pct"/>
            <w:noWrap/>
          </w:tcPr>
          <w:p w14:paraId="5FB5C1A8" w14:textId="77777777" w:rsidR="007244C8" w:rsidRPr="001C46EB" w:rsidRDefault="007244C8" w:rsidP="00F163BE">
            <w:pPr>
              <w:pStyle w:val="TableText0"/>
              <w:keepNext w:val="0"/>
              <w:jc w:val="both"/>
            </w:pPr>
            <w:r w:rsidRPr="001C46EB">
              <w:t>2.6</w:t>
            </w:r>
          </w:p>
        </w:tc>
        <w:tc>
          <w:tcPr>
            <w:tcW w:w="1280" w:type="pct"/>
            <w:noWrap/>
          </w:tcPr>
          <w:p w14:paraId="5AD3207F" w14:textId="77777777" w:rsidR="007244C8" w:rsidRPr="001C46EB" w:rsidRDefault="007244C8" w:rsidP="00F163BE">
            <w:pPr>
              <w:pStyle w:val="TableText0"/>
              <w:keepNext w:val="0"/>
              <w:jc w:val="both"/>
            </w:pPr>
            <w:r w:rsidRPr="001C46EB">
              <w:t>2.7</w:t>
            </w:r>
          </w:p>
        </w:tc>
      </w:tr>
      <w:tr w:rsidR="007244C8" w:rsidRPr="0074646B" w14:paraId="4C60600A" w14:textId="77777777" w:rsidTr="007244C8">
        <w:trPr>
          <w:trHeight w:val="255"/>
        </w:trPr>
        <w:tc>
          <w:tcPr>
            <w:tcW w:w="1738" w:type="pct"/>
            <w:noWrap/>
          </w:tcPr>
          <w:p w14:paraId="00B60DD6" w14:textId="77777777" w:rsidR="007244C8" w:rsidRPr="00A026F9" w:rsidRDefault="007244C8" w:rsidP="00F163BE">
            <w:pPr>
              <w:pStyle w:val="TableText0"/>
              <w:keepNext w:val="0"/>
              <w:jc w:val="both"/>
            </w:pPr>
            <w:r w:rsidRPr="00A026F9">
              <w:t>Fat (g)</w:t>
            </w:r>
          </w:p>
        </w:tc>
        <w:tc>
          <w:tcPr>
            <w:tcW w:w="1011" w:type="pct"/>
            <w:noWrap/>
          </w:tcPr>
          <w:p w14:paraId="633D7526" w14:textId="77777777" w:rsidR="007244C8" w:rsidRPr="001C46EB" w:rsidRDefault="007244C8" w:rsidP="00F163BE">
            <w:pPr>
              <w:pStyle w:val="TableText0"/>
              <w:keepNext w:val="0"/>
              <w:jc w:val="both"/>
            </w:pPr>
            <w:r w:rsidRPr="001C46EB">
              <w:t>37</w:t>
            </w:r>
          </w:p>
        </w:tc>
        <w:tc>
          <w:tcPr>
            <w:tcW w:w="971" w:type="pct"/>
            <w:noWrap/>
          </w:tcPr>
          <w:p w14:paraId="47C42BAA" w14:textId="77777777" w:rsidR="007244C8" w:rsidRPr="001C46EB" w:rsidRDefault="007244C8" w:rsidP="00F163BE">
            <w:pPr>
              <w:pStyle w:val="TableText0"/>
              <w:keepNext w:val="0"/>
              <w:jc w:val="both"/>
            </w:pPr>
            <w:r w:rsidRPr="001C46EB">
              <w:t>37</w:t>
            </w:r>
          </w:p>
        </w:tc>
        <w:tc>
          <w:tcPr>
            <w:tcW w:w="1280" w:type="pct"/>
            <w:noWrap/>
          </w:tcPr>
          <w:p w14:paraId="4BCBFD89" w14:textId="77777777" w:rsidR="007244C8" w:rsidRPr="001C46EB" w:rsidRDefault="007244C8" w:rsidP="00F163BE">
            <w:pPr>
              <w:pStyle w:val="TableText0"/>
              <w:keepNext w:val="0"/>
              <w:jc w:val="both"/>
            </w:pPr>
            <w:r w:rsidRPr="001C46EB">
              <w:t>37</w:t>
            </w:r>
          </w:p>
        </w:tc>
      </w:tr>
      <w:tr w:rsidR="007244C8" w:rsidRPr="0074646B" w14:paraId="3991C01D" w14:textId="77777777" w:rsidTr="007244C8">
        <w:trPr>
          <w:trHeight w:val="255"/>
        </w:trPr>
        <w:tc>
          <w:tcPr>
            <w:tcW w:w="1738" w:type="pct"/>
            <w:noWrap/>
          </w:tcPr>
          <w:p w14:paraId="28513E45" w14:textId="77777777" w:rsidR="007244C8" w:rsidRPr="00A026F9" w:rsidRDefault="007244C8" w:rsidP="00F163BE">
            <w:pPr>
              <w:pStyle w:val="TableText0"/>
              <w:keepNext w:val="0"/>
              <w:jc w:val="both"/>
            </w:pPr>
            <w:r w:rsidRPr="00A026F9">
              <w:t>Linoleic acid (g)</w:t>
            </w:r>
          </w:p>
        </w:tc>
        <w:tc>
          <w:tcPr>
            <w:tcW w:w="1011" w:type="pct"/>
            <w:noWrap/>
          </w:tcPr>
          <w:p w14:paraId="4FCEA05A" w14:textId="77777777" w:rsidR="007244C8" w:rsidRPr="001C46EB" w:rsidRDefault="007244C8" w:rsidP="00F163BE">
            <w:pPr>
              <w:pStyle w:val="TableText0"/>
              <w:keepNext w:val="0"/>
              <w:jc w:val="both"/>
            </w:pPr>
            <w:r w:rsidRPr="001C46EB">
              <w:t>5.624</w:t>
            </w:r>
          </w:p>
        </w:tc>
        <w:tc>
          <w:tcPr>
            <w:tcW w:w="971" w:type="pct"/>
            <w:noWrap/>
          </w:tcPr>
          <w:p w14:paraId="44EA7AE1" w14:textId="77777777" w:rsidR="007244C8" w:rsidRPr="001C46EB" w:rsidRDefault="007244C8" w:rsidP="00F163BE">
            <w:pPr>
              <w:pStyle w:val="TableText0"/>
              <w:keepNext w:val="0"/>
              <w:jc w:val="both"/>
            </w:pPr>
            <w:r w:rsidRPr="001C46EB">
              <w:t>5.85</w:t>
            </w:r>
          </w:p>
        </w:tc>
        <w:tc>
          <w:tcPr>
            <w:tcW w:w="1280" w:type="pct"/>
            <w:noWrap/>
          </w:tcPr>
          <w:p w14:paraId="7278EFF0" w14:textId="77777777" w:rsidR="007244C8" w:rsidRPr="001C46EB" w:rsidRDefault="007244C8" w:rsidP="00F163BE">
            <w:pPr>
              <w:pStyle w:val="TableText0"/>
              <w:keepNext w:val="0"/>
              <w:jc w:val="both"/>
            </w:pPr>
            <w:r w:rsidRPr="001C46EB">
              <w:t>5.624</w:t>
            </w:r>
          </w:p>
        </w:tc>
      </w:tr>
      <w:tr w:rsidR="007244C8" w:rsidRPr="0074646B" w14:paraId="257FA14D" w14:textId="77777777" w:rsidTr="007244C8">
        <w:trPr>
          <w:trHeight w:val="255"/>
        </w:trPr>
        <w:tc>
          <w:tcPr>
            <w:tcW w:w="1738" w:type="pct"/>
            <w:noWrap/>
          </w:tcPr>
          <w:p w14:paraId="2783DED2" w14:textId="77777777" w:rsidR="007244C8" w:rsidRPr="00A026F9" w:rsidRDefault="007244C8" w:rsidP="00F163BE">
            <w:pPr>
              <w:pStyle w:val="TableText0"/>
              <w:keepNext w:val="0"/>
              <w:jc w:val="both"/>
            </w:pPr>
            <w:r w:rsidRPr="00A026F9">
              <w:t>alpha-linoleic acid (g)</w:t>
            </w:r>
          </w:p>
        </w:tc>
        <w:tc>
          <w:tcPr>
            <w:tcW w:w="1011" w:type="pct"/>
            <w:noWrap/>
          </w:tcPr>
          <w:p w14:paraId="0907E04E" w14:textId="77777777" w:rsidR="007244C8" w:rsidRPr="001C46EB" w:rsidRDefault="007244C8" w:rsidP="00F163BE">
            <w:pPr>
              <w:pStyle w:val="TableText0"/>
              <w:keepNext w:val="0"/>
              <w:jc w:val="both"/>
            </w:pPr>
            <w:r w:rsidRPr="001C46EB">
              <w:t>1.378</w:t>
            </w:r>
          </w:p>
        </w:tc>
        <w:tc>
          <w:tcPr>
            <w:tcW w:w="971" w:type="pct"/>
            <w:noWrap/>
          </w:tcPr>
          <w:p w14:paraId="0E34C4CA" w14:textId="77777777" w:rsidR="007244C8" w:rsidRPr="001C46EB" w:rsidRDefault="007244C8" w:rsidP="00F163BE">
            <w:pPr>
              <w:pStyle w:val="TableText0"/>
              <w:keepNext w:val="0"/>
              <w:jc w:val="both"/>
            </w:pPr>
            <w:r w:rsidRPr="001C46EB">
              <w:t>0.78</w:t>
            </w:r>
          </w:p>
        </w:tc>
        <w:tc>
          <w:tcPr>
            <w:tcW w:w="1280" w:type="pct"/>
            <w:noWrap/>
          </w:tcPr>
          <w:p w14:paraId="196E328E" w14:textId="77777777" w:rsidR="007244C8" w:rsidRPr="001C46EB" w:rsidRDefault="007244C8" w:rsidP="00F163BE">
            <w:pPr>
              <w:pStyle w:val="TableText0"/>
              <w:keepNext w:val="0"/>
              <w:jc w:val="both"/>
            </w:pPr>
            <w:r w:rsidRPr="001C46EB">
              <w:t>1.378</w:t>
            </w:r>
          </w:p>
        </w:tc>
      </w:tr>
      <w:tr w:rsidR="007244C8" w:rsidRPr="0074646B" w14:paraId="5A3ED36B" w14:textId="77777777" w:rsidTr="007244C8">
        <w:trPr>
          <w:trHeight w:val="255"/>
        </w:trPr>
        <w:tc>
          <w:tcPr>
            <w:tcW w:w="1738" w:type="pct"/>
            <w:noWrap/>
          </w:tcPr>
          <w:p w14:paraId="2C5BCB4F" w14:textId="77777777" w:rsidR="007244C8" w:rsidRPr="00A026F9" w:rsidRDefault="007244C8" w:rsidP="00F163BE">
            <w:pPr>
              <w:pStyle w:val="TableText0"/>
              <w:keepNext w:val="0"/>
              <w:jc w:val="both"/>
            </w:pPr>
            <w:r w:rsidRPr="00A026F9">
              <w:t>DHA (mg)</w:t>
            </w:r>
          </w:p>
        </w:tc>
        <w:tc>
          <w:tcPr>
            <w:tcW w:w="1011" w:type="pct"/>
            <w:noWrap/>
          </w:tcPr>
          <w:p w14:paraId="5893625A" w14:textId="77777777" w:rsidR="007244C8" w:rsidRPr="001C46EB" w:rsidRDefault="007244C8" w:rsidP="00F163BE">
            <w:pPr>
              <w:pStyle w:val="TableText0"/>
              <w:keepNext w:val="0"/>
              <w:jc w:val="both"/>
            </w:pPr>
            <w:r w:rsidRPr="001C46EB">
              <w:t>77</w:t>
            </w:r>
          </w:p>
        </w:tc>
        <w:tc>
          <w:tcPr>
            <w:tcW w:w="971" w:type="pct"/>
            <w:noWrap/>
          </w:tcPr>
          <w:p w14:paraId="2930E991" w14:textId="77777777" w:rsidR="007244C8" w:rsidRPr="001C46EB" w:rsidRDefault="007244C8" w:rsidP="00F163BE">
            <w:pPr>
              <w:pStyle w:val="TableText0"/>
              <w:keepNext w:val="0"/>
              <w:jc w:val="both"/>
            </w:pPr>
            <w:r w:rsidRPr="001C46EB">
              <w:t>140</w:t>
            </w:r>
          </w:p>
        </w:tc>
        <w:tc>
          <w:tcPr>
            <w:tcW w:w="1280" w:type="pct"/>
            <w:noWrap/>
          </w:tcPr>
          <w:p w14:paraId="547D3578" w14:textId="77777777" w:rsidR="007244C8" w:rsidRPr="001C46EB" w:rsidRDefault="007244C8" w:rsidP="00F163BE">
            <w:pPr>
              <w:pStyle w:val="TableText0"/>
              <w:keepNext w:val="0"/>
              <w:jc w:val="both"/>
            </w:pPr>
            <w:r w:rsidRPr="001C46EB">
              <w:t>77</w:t>
            </w:r>
          </w:p>
        </w:tc>
      </w:tr>
      <w:tr w:rsidR="007244C8" w:rsidRPr="0074646B" w14:paraId="109ED75C" w14:textId="77777777" w:rsidTr="007244C8">
        <w:trPr>
          <w:trHeight w:val="255"/>
        </w:trPr>
        <w:tc>
          <w:tcPr>
            <w:tcW w:w="1738" w:type="pct"/>
            <w:noWrap/>
          </w:tcPr>
          <w:p w14:paraId="3741903B" w14:textId="77777777" w:rsidR="007244C8" w:rsidRPr="00A026F9" w:rsidRDefault="007244C8" w:rsidP="00F163BE">
            <w:pPr>
              <w:pStyle w:val="TableText0"/>
              <w:keepNext w:val="0"/>
              <w:jc w:val="both"/>
            </w:pPr>
            <w:r w:rsidRPr="00833355">
              <w:t>Vitamin A (mcg retinol equivalents)</w:t>
            </w:r>
          </w:p>
        </w:tc>
        <w:tc>
          <w:tcPr>
            <w:tcW w:w="1011" w:type="pct"/>
            <w:noWrap/>
          </w:tcPr>
          <w:p w14:paraId="6946F189" w14:textId="77777777" w:rsidR="007244C8" w:rsidRPr="00A026F9" w:rsidRDefault="007244C8" w:rsidP="00F163BE">
            <w:pPr>
              <w:pStyle w:val="TableText0"/>
              <w:keepNext w:val="0"/>
              <w:jc w:val="both"/>
            </w:pPr>
            <w:r w:rsidRPr="00833355">
              <w:t>180</w:t>
            </w:r>
          </w:p>
        </w:tc>
        <w:tc>
          <w:tcPr>
            <w:tcW w:w="971" w:type="pct"/>
            <w:noWrap/>
          </w:tcPr>
          <w:p w14:paraId="61AD0742" w14:textId="77777777" w:rsidR="007244C8" w:rsidRPr="00A026F9" w:rsidRDefault="007244C8" w:rsidP="00F163BE">
            <w:pPr>
              <w:pStyle w:val="TableText0"/>
              <w:keepNext w:val="0"/>
              <w:jc w:val="both"/>
            </w:pPr>
            <w:r w:rsidRPr="00833355">
              <w:t>225</w:t>
            </w:r>
          </w:p>
        </w:tc>
        <w:tc>
          <w:tcPr>
            <w:tcW w:w="1280" w:type="pct"/>
            <w:noWrap/>
          </w:tcPr>
          <w:p w14:paraId="45FC5DCC" w14:textId="77777777" w:rsidR="007244C8" w:rsidRPr="00A026F9" w:rsidRDefault="007244C8" w:rsidP="00F163BE">
            <w:pPr>
              <w:pStyle w:val="TableText0"/>
              <w:keepNext w:val="0"/>
              <w:jc w:val="both"/>
            </w:pPr>
            <w:r w:rsidRPr="00833355">
              <w:t>80%</w:t>
            </w:r>
          </w:p>
        </w:tc>
      </w:tr>
      <w:tr w:rsidR="007244C8" w:rsidRPr="0074646B" w14:paraId="5CCF823D" w14:textId="77777777" w:rsidTr="007244C8">
        <w:trPr>
          <w:trHeight w:val="255"/>
        </w:trPr>
        <w:tc>
          <w:tcPr>
            <w:tcW w:w="1738" w:type="pct"/>
            <w:noWrap/>
          </w:tcPr>
          <w:p w14:paraId="38B8A888" w14:textId="77777777" w:rsidR="007244C8" w:rsidRPr="00A026F9" w:rsidRDefault="007244C8" w:rsidP="00F163BE">
            <w:pPr>
              <w:pStyle w:val="TableText0"/>
              <w:keepNext w:val="0"/>
              <w:jc w:val="both"/>
            </w:pPr>
            <w:r w:rsidRPr="00833355">
              <w:t>Vitamin D (mcg of cholecalciferol)</w:t>
            </w:r>
          </w:p>
        </w:tc>
        <w:tc>
          <w:tcPr>
            <w:tcW w:w="1011" w:type="pct"/>
            <w:noWrap/>
          </w:tcPr>
          <w:p w14:paraId="1F264785" w14:textId="77777777" w:rsidR="007244C8" w:rsidRPr="00A026F9" w:rsidRDefault="007244C8" w:rsidP="00F163BE">
            <w:pPr>
              <w:pStyle w:val="TableText0"/>
              <w:keepNext w:val="0"/>
              <w:jc w:val="both"/>
            </w:pPr>
            <w:r w:rsidRPr="00833355">
              <w:t>6.3</w:t>
            </w:r>
          </w:p>
        </w:tc>
        <w:tc>
          <w:tcPr>
            <w:tcW w:w="971" w:type="pct"/>
            <w:noWrap/>
          </w:tcPr>
          <w:p w14:paraId="1A927231" w14:textId="77777777" w:rsidR="007244C8" w:rsidRPr="00A026F9" w:rsidRDefault="007244C8" w:rsidP="00F163BE">
            <w:pPr>
              <w:pStyle w:val="TableText0"/>
              <w:keepNext w:val="0"/>
              <w:jc w:val="both"/>
            </w:pPr>
            <w:r w:rsidRPr="00833355">
              <w:t>6.2</w:t>
            </w:r>
          </w:p>
        </w:tc>
        <w:tc>
          <w:tcPr>
            <w:tcW w:w="1280" w:type="pct"/>
            <w:noWrap/>
          </w:tcPr>
          <w:p w14:paraId="7F33701A" w14:textId="77777777" w:rsidR="007244C8" w:rsidRPr="00A026F9" w:rsidRDefault="007244C8" w:rsidP="00F163BE">
            <w:pPr>
              <w:pStyle w:val="TableText0"/>
              <w:keepNext w:val="0"/>
              <w:jc w:val="both"/>
            </w:pPr>
            <w:r w:rsidRPr="00833355">
              <w:t>102%</w:t>
            </w:r>
          </w:p>
        </w:tc>
      </w:tr>
      <w:tr w:rsidR="007244C8" w:rsidRPr="0074646B" w14:paraId="697B8116" w14:textId="77777777" w:rsidTr="007244C8">
        <w:trPr>
          <w:trHeight w:val="255"/>
        </w:trPr>
        <w:tc>
          <w:tcPr>
            <w:tcW w:w="1738" w:type="pct"/>
            <w:noWrap/>
          </w:tcPr>
          <w:p w14:paraId="1FC43FF2" w14:textId="77777777" w:rsidR="007244C8" w:rsidRPr="00A026F9" w:rsidRDefault="007244C8" w:rsidP="00F163BE">
            <w:pPr>
              <w:pStyle w:val="TableText0"/>
              <w:keepNext w:val="0"/>
              <w:jc w:val="both"/>
              <w:rPr>
                <w:b/>
                <w:bCs w:val="0"/>
              </w:rPr>
            </w:pPr>
            <w:r w:rsidRPr="00833355">
              <w:t>Vitamin E (mg a-tocopherol equivalents)</w:t>
            </w:r>
          </w:p>
        </w:tc>
        <w:tc>
          <w:tcPr>
            <w:tcW w:w="1011" w:type="pct"/>
            <w:noWrap/>
          </w:tcPr>
          <w:p w14:paraId="46D5DBF7" w14:textId="77777777" w:rsidR="007244C8" w:rsidRPr="00A026F9" w:rsidRDefault="007244C8" w:rsidP="00F163BE">
            <w:pPr>
              <w:pStyle w:val="TableText0"/>
              <w:keepNext w:val="0"/>
              <w:jc w:val="both"/>
              <w:rPr>
                <w:b/>
                <w:bCs w:val="0"/>
              </w:rPr>
            </w:pPr>
            <w:r w:rsidRPr="00833355">
              <w:t>3.8</w:t>
            </w:r>
          </w:p>
        </w:tc>
        <w:tc>
          <w:tcPr>
            <w:tcW w:w="971" w:type="pct"/>
            <w:noWrap/>
          </w:tcPr>
          <w:p w14:paraId="15645D49" w14:textId="77777777" w:rsidR="007244C8" w:rsidRPr="00A026F9" w:rsidRDefault="007244C8" w:rsidP="00F163BE">
            <w:pPr>
              <w:pStyle w:val="TableText0"/>
              <w:keepNext w:val="0"/>
              <w:jc w:val="both"/>
              <w:rPr>
                <w:b/>
                <w:bCs w:val="0"/>
              </w:rPr>
            </w:pPr>
            <w:r w:rsidRPr="00833355">
              <w:t>1.9</w:t>
            </w:r>
          </w:p>
        </w:tc>
        <w:tc>
          <w:tcPr>
            <w:tcW w:w="1280" w:type="pct"/>
            <w:noWrap/>
          </w:tcPr>
          <w:p w14:paraId="465B8918" w14:textId="77777777" w:rsidR="007244C8" w:rsidRPr="00A026F9" w:rsidRDefault="007244C8" w:rsidP="00F163BE">
            <w:pPr>
              <w:pStyle w:val="TableText0"/>
              <w:keepNext w:val="0"/>
              <w:jc w:val="both"/>
              <w:rPr>
                <w:b/>
                <w:bCs w:val="0"/>
              </w:rPr>
            </w:pPr>
            <w:r w:rsidRPr="00833355">
              <w:t>200%</w:t>
            </w:r>
          </w:p>
        </w:tc>
      </w:tr>
      <w:tr w:rsidR="007244C8" w:rsidRPr="0074646B" w14:paraId="473D170E" w14:textId="77777777" w:rsidTr="007244C8">
        <w:trPr>
          <w:trHeight w:val="255"/>
        </w:trPr>
        <w:tc>
          <w:tcPr>
            <w:tcW w:w="1738" w:type="pct"/>
          </w:tcPr>
          <w:p w14:paraId="4214109E" w14:textId="77777777" w:rsidR="007244C8" w:rsidRPr="00A026F9" w:rsidRDefault="007244C8" w:rsidP="00F163BE">
            <w:pPr>
              <w:pStyle w:val="TableText0"/>
              <w:keepNext w:val="0"/>
              <w:jc w:val="both"/>
            </w:pPr>
            <w:r w:rsidRPr="00833355">
              <w:t>Vitamin K (mcg)</w:t>
            </w:r>
          </w:p>
        </w:tc>
        <w:tc>
          <w:tcPr>
            <w:tcW w:w="1011" w:type="pct"/>
          </w:tcPr>
          <w:p w14:paraId="16CE5F42" w14:textId="77777777" w:rsidR="007244C8" w:rsidRPr="00A026F9" w:rsidRDefault="007244C8" w:rsidP="00F163BE">
            <w:pPr>
              <w:pStyle w:val="TableText0"/>
              <w:keepNext w:val="0"/>
              <w:jc w:val="both"/>
            </w:pPr>
            <w:r w:rsidRPr="00833355">
              <w:t>31</w:t>
            </w:r>
          </w:p>
        </w:tc>
        <w:tc>
          <w:tcPr>
            <w:tcW w:w="971" w:type="pct"/>
          </w:tcPr>
          <w:p w14:paraId="062922FF" w14:textId="77777777" w:rsidR="007244C8" w:rsidRPr="00A026F9" w:rsidRDefault="007244C8" w:rsidP="00F163BE">
            <w:pPr>
              <w:pStyle w:val="TableText0"/>
              <w:keepNext w:val="0"/>
              <w:jc w:val="both"/>
            </w:pPr>
            <w:r w:rsidRPr="00833355">
              <w:t>30</w:t>
            </w:r>
          </w:p>
        </w:tc>
        <w:tc>
          <w:tcPr>
            <w:tcW w:w="1280" w:type="pct"/>
            <w:noWrap/>
          </w:tcPr>
          <w:p w14:paraId="73305711" w14:textId="77777777" w:rsidR="007244C8" w:rsidRPr="00A026F9" w:rsidRDefault="007244C8" w:rsidP="00F163BE">
            <w:pPr>
              <w:pStyle w:val="TableText0"/>
              <w:keepNext w:val="0"/>
              <w:jc w:val="both"/>
            </w:pPr>
            <w:r w:rsidRPr="00833355">
              <w:t>103%</w:t>
            </w:r>
          </w:p>
        </w:tc>
      </w:tr>
      <w:tr w:rsidR="007244C8" w:rsidRPr="0074646B" w14:paraId="58D6EDAB" w14:textId="77777777" w:rsidTr="007244C8">
        <w:trPr>
          <w:trHeight w:val="255"/>
        </w:trPr>
        <w:tc>
          <w:tcPr>
            <w:tcW w:w="1738" w:type="pct"/>
          </w:tcPr>
          <w:p w14:paraId="0DAA5B57" w14:textId="77777777" w:rsidR="007244C8" w:rsidRPr="00A026F9" w:rsidRDefault="007244C8" w:rsidP="00F163BE">
            <w:pPr>
              <w:pStyle w:val="TableText0"/>
              <w:keepNext w:val="0"/>
              <w:jc w:val="both"/>
            </w:pPr>
            <w:r w:rsidRPr="00833355">
              <w:t>Vitamin K1 (mcg)</w:t>
            </w:r>
          </w:p>
        </w:tc>
        <w:tc>
          <w:tcPr>
            <w:tcW w:w="1011" w:type="pct"/>
          </w:tcPr>
          <w:p w14:paraId="5B7ED79E" w14:textId="77777777" w:rsidR="007244C8" w:rsidRPr="00A026F9" w:rsidRDefault="007244C8" w:rsidP="00F163BE">
            <w:pPr>
              <w:pStyle w:val="TableText0"/>
              <w:keepNext w:val="0"/>
              <w:jc w:val="both"/>
            </w:pPr>
            <w:r w:rsidRPr="00833355">
              <w:t>16</w:t>
            </w:r>
          </w:p>
        </w:tc>
        <w:tc>
          <w:tcPr>
            <w:tcW w:w="971" w:type="pct"/>
          </w:tcPr>
          <w:p w14:paraId="2C22BF63" w14:textId="77777777" w:rsidR="007244C8" w:rsidRPr="00A026F9" w:rsidRDefault="007244C8" w:rsidP="00F163BE">
            <w:pPr>
              <w:pStyle w:val="TableText0"/>
              <w:keepNext w:val="0"/>
              <w:jc w:val="both"/>
            </w:pPr>
            <w:r w:rsidRPr="00833355">
              <w:t>15</w:t>
            </w:r>
          </w:p>
        </w:tc>
        <w:tc>
          <w:tcPr>
            <w:tcW w:w="1280" w:type="pct"/>
            <w:noWrap/>
          </w:tcPr>
          <w:p w14:paraId="4C14FD86" w14:textId="77777777" w:rsidR="007244C8" w:rsidRPr="00A026F9" w:rsidRDefault="007244C8" w:rsidP="00F163BE">
            <w:pPr>
              <w:pStyle w:val="TableText0"/>
              <w:keepNext w:val="0"/>
              <w:jc w:val="both"/>
            </w:pPr>
            <w:r w:rsidRPr="00833355">
              <w:t>107%</w:t>
            </w:r>
          </w:p>
        </w:tc>
      </w:tr>
      <w:tr w:rsidR="007244C8" w:rsidRPr="0074646B" w14:paraId="60454D2D" w14:textId="77777777" w:rsidTr="007244C8">
        <w:trPr>
          <w:trHeight w:val="255"/>
        </w:trPr>
        <w:tc>
          <w:tcPr>
            <w:tcW w:w="1738" w:type="pct"/>
          </w:tcPr>
          <w:p w14:paraId="4868900A" w14:textId="77777777" w:rsidR="007244C8" w:rsidRPr="00A026F9" w:rsidRDefault="007244C8" w:rsidP="00F163BE">
            <w:pPr>
              <w:pStyle w:val="TableText0"/>
              <w:keepNext w:val="0"/>
              <w:jc w:val="both"/>
            </w:pPr>
            <w:r w:rsidRPr="00833355">
              <w:t>Vitamin K2 (MK-7) (mcg)</w:t>
            </w:r>
          </w:p>
        </w:tc>
        <w:tc>
          <w:tcPr>
            <w:tcW w:w="1011" w:type="pct"/>
          </w:tcPr>
          <w:p w14:paraId="6E6A9E15" w14:textId="77777777" w:rsidR="007244C8" w:rsidRPr="00A026F9" w:rsidRDefault="007244C8" w:rsidP="00F163BE">
            <w:pPr>
              <w:pStyle w:val="TableText0"/>
              <w:keepNext w:val="0"/>
              <w:jc w:val="both"/>
            </w:pPr>
            <w:r w:rsidRPr="00833355">
              <w:t>15</w:t>
            </w:r>
          </w:p>
        </w:tc>
        <w:tc>
          <w:tcPr>
            <w:tcW w:w="971" w:type="pct"/>
          </w:tcPr>
          <w:p w14:paraId="0B3F6C4A" w14:textId="77777777" w:rsidR="007244C8" w:rsidRPr="00A026F9" w:rsidRDefault="007244C8" w:rsidP="00F163BE">
            <w:pPr>
              <w:pStyle w:val="TableText0"/>
              <w:keepNext w:val="0"/>
              <w:jc w:val="both"/>
            </w:pPr>
            <w:r w:rsidRPr="00833355">
              <w:t>15</w:t>
            </w:r>
          </w:p>
        </w:tc>
        <w:tc>
          <w:tcPr>
            <w:tcW w:w="1280" w:type="pct"/>
            <w:noWrap/>
          </w:tcPr>
          <w:p w14:paraId="1B2A12A6" w14:textId="77777777" w:rsidR="007244C8" w:rsidRPr="00A026F9" w:rsidRDefault="007244C8" w:rsidP="00F163BE">
            <w:pPr>
              <w:pStyle w:val="TableText0"/>
              <w:keepNext w:val="0"/>
              <w:jc w:val="both"/>
            </w:pPr>
            <w:r w:rsidRPr="00833355">
              <w:t>100%</w:t>
            </w:r>
          </w:p>
        </w:tc>
      </w:tr>
      <w:tr w:rsidR="007244C8" w:rsidRPr="0074646B" w14:paraId="6E587B12" w14:textId="77777777" w:rsidTr="007244C8">
        <w:trPr>
          <w:trHeight w:val="255"/>
        </w:trPr>
        <w:tc>
          <w:tcPr>
            <w:tcW w:w="1738" w:type="pct"/>
          </w:tcPr>
          <w:p w14:paraId="5DAE9CA6" w14:textId="77777777" w:rsidR="007244C8" w:rsidRPr="00A026F9" w:rsidRDefault="007244C8" w:rsidP="00F163BE">
            <w:pPr>
              <w:pStyle w:val="TableText0"/>
              <w:keepNext w:val="0"/>
              <w:jc w:val="both"/>
            </w:pPr>
            <w:r w:rsidRPr="00833355">
              <w:t>Thiamin / B1 (mg)</w:t>
            </w:r>
          </w:p>
        </w:tc>
        <w:tc>
          <w:tcPr>
            <w:tcW w:w="1011" w:type="pct"/>
            <w:noWrap/>
          </w:tcPr>
          <w:p w14:paraId="0EBC7C53" w14:textId="77777777" w:rsidR="007244C8" w:rsidRPr="00A026F9" w:rsidRDefault="007244C8" w:rsidP="00F163BE">
            <w:pPr>
              <w:pStyle w:val="TableText0"/>
              <w:keepNext w:val="0"/>
              <w:jc w:val="both"/>
            </w:pPr>
            <w:r w:rsidRPr="00833355">
              <w:t>0.5</w:t>
            </w:r>
          </w:p>
        </w:tc>
        <w:tc>
          <w:tcPr>
            <w:tcW w:w="971" w:type="pct"/>
          </w:tcPr>
          <w:p w14:paraId="6FFA44D5" w14:textId="77777777" w:rsidR="007244C8" w:rsidRPr="00A026F9" w:rsidRDefault="007244C8" w:rsidP="00F163BE">
            <w:pPr>
              <w:pStyle w:val="TableText0"/>
              <w:keepNext w:val="0"/>
              <w:jc w:val="both"/>
            </w:pPr>
            <w:r w:rsidRPr="00833355">
              <w:t>0.4</w:t>
            </w:r>
          </w:p>
        </w:tc>
        <w:tc>
          <w:tcPr>
            <w:tcW w:w="1280" w:type="pct"/>
            <w:noWrap/>
          </w:tcPr>
          <w:p w14:paraId="6F2F808F" w14:textId="77777777" w:rsidR="007244C8" w:rsidRPr="00A026F9" w:rsidRDefault="007244C8" w:rsidP="00F163BE">
            <w:pPr>
              <w:pStyle w:val="TableText0"/>
              <w:keepNext w:val="0"/>
              <w:jc w:val="both"/>
            </w:pPr>
            <w:r w:rsidRPr="00833355">
              <w:t>125%</w:t>
            </w:r>
          </w:p>
        </w:tc>
      </w:tr>
      <w:tr w:rsidR="007244C8" w:rsidRPr="0074646B" w14:paraId="4BE679B0" w14:textId="77777777" w:rsidTr="007244C8">
        <w:trPr>
          <w:trHeight w:val="255"/>
        </w:trPr>
        <w:tc>
          <w:tcPr>
            <w:tcW w:w="1738" w:type="pct"/>
          </w:tcPr>
          <w:p w14:paraId="53765753" w14:textId="77777777" w:rsidR="007244C8" w:rsidRPr="00A026F9" w:rsidRDefault="007244C8" w:rsidP="00F163BE">
            <w:pPr>
              <w:pStyle w:val="TableText0"/>
              <w:keepNext w:val="0"/>
              <w:jc w:val="both"/>
            </w:pPr>
            <w:r w:rsidRPr="00833355">
              <w:t>Riboflavin / B2 (mg)</w:t>
            </w:r>
          </w:p>
        </w:tc>
        <w:tc>
          <w:tcPr>
            <w:tcW w:w="1011" w:type="pct"/>
          </w:tcPr>
          <w:p w14:paraId="7E00F9AB" w14:textId="77777777" w:rsidR="007244C8" w:rsidRPr="00A026F9" w:rsidRDefault="007244C8" w:rsidP="00F163BE">
            <w:pPr>
              <w:pStyle w:val="TableText0"/>
              <w:keepNext w:val="0"/>
              <w:jc w:val="both"/>
            </w:pPr>
            <w:r w:rsidRPr="00833355">
              <w:t>0.5</w:t>
            </w:r>
          </w:p>
        </w:tc>
        <w:tc>
          <w:tcPr>
            <w:tcW w:w="971" w:type="pct"/>
          </w:tcPr>
          <w:p w14:paraId="06771241" w14:textId="77777777" w:rsidR="007244C8" w:rsidRPr="00A026F9" w:rsidRDefault="007244C8" w:rsidP="00F163BE">
            <w:pPr>
              <w:pStyle w:val="TableText0"/>
              <w:keepNext w:val="0"/>
              <w:jc w:val="both"/>
            </w:pPr>
            <w:r w:rsidRPr="00833355">
              <w:t>0.5</w:t>
            </w:r>
          </w:p>
        </w:tc>
        <w:tc>
          <w:tcPr>
            <w:tcW w:w="1280" w:type="pct"/>
            <w:noWrap/>
          </w:tcPr>
          <w:p w14:paraId="21040847" w14:textId="77777777" w:rsidR="007244C8" w:rsidRPr="00A026F9" w:rsidRDefault="007244C8" w:rsidP="00F163BE">
            <w:pPr>
              <w:pStyle w:val="TableText0"/>
              <w:keepNext w:val="0"/>
              <w:jc w:val="both"/>
            </w:pPr>
            <w:r w:rsidRPr="00833355">
              <w:t>100%</w:t>
            </w:r>
          </w:p>
        </w:tc>
      </w:tr>
      <w:tr w:rsidR="007244C8" w:rsidRPr="0074646B" w14:paraId="6144124E" w14:textId="77777777" w:rsidTr="007244C8">
        <w:trPr>
          <w:trHeight w:val="255"/>
        </w:trPr>
        <w:tc>
          <w:tcPr>
            <w:tcW w:w="1738" w:type="pct"/>
          </w:tcPr>
          <w:p w14:paraId="63D73EBC" w14:textId="77777777" w:rsidR="007244C8" w:rsidRPr="00A026F9" w:rsidRDefault="007244C8" w:rsidP="00F163BE">
            <w:pPr>
              <w:pStyle w:val="TableText0"/>
              <w:keepNext w:val="0"/>
              <w:jc w:val="both"/>
            </w:pPr>
            <w:r w:rsidRPr="00833355">
              <w:t>Vitamin B6 (mg)</w:t>
            </w:r>
          </w:p>
        </w:tc>
        <w:tc>
          <w:tcPr>
            <w:tcW w:w="1011" w:type="pct"/>
          </w:tcPr>
          <w:p w14:paraId="538E9E6B" w14:textId="77777777" w:rsidR="007244C8" w:rsidRPr="00A026F9" w:rsidRDefault="007244C8" w:rsidP="00F163BE">
            <w:pPr>
              <w:pStyle w:val="TableText0"/>
              <w:keepNext w:val="0"/>
              <w:jc w:val="both"/>
            </w:pPr>
            <w:r w:rsidRPr="00833355">
              <w:t>0.5</w:t>
            </w:r>
          </w:p>
        </w:tc>
        <w:tc>
          <w:tcPr>
            <w:tcW w:w="971" w:type="pct"/>
          </w:tcPr>
          <w:p w14:paraId="21604CD5" w14:textId="77777777" w:rsidR="007244C8" w:rsidRPr="00A026F9" w:rsidRDefault="007244C8" w:rsidP="00F163BE">
            <w:pPr>
              <w:pStyle w:val="TableText0"/>
              <w:keepNext w:val="0"/>
              <w:jc w:val="both"/>
            </w:pPr>
            <w:r w:rsidRPr="00833355">
              <w:t>0.5</w:t>
            </w:r>
          </w:p>
        </w:tc>
        <w:tc>
          <w:tcPr>
            <w:tcW w:w="1280" w:type="pct"/>
            <w:noWrap/>
          </w:tcPr>
          <w:p w14:paraId="067058AE" w14:textId="77777777" w:rsidR="007244C8" w:rsidRPr="00A026F9" w:rsidRDefault="007244C8" w:rsidP="00F163BE">
            <w:pPr>
              <w:pStyle w:val="TableText0"/>
              <w:keepNext w:val="0"/>
              <w:jc w:val="both"/>
            </w:pPr>
            <w:r w:rsidRPr="00833355">
              <w:t>100%</w:t>
            </w:r>
          </w:p>
        </w:tc>
      </w:tr>
      <w:tr w:rsidR="007244C8" w:rsidRPr="0074646B" w14:paraId="07D8D3D8" w14:textId="77777777" w:rsidTr="007244C8">
        <w:trPr>
          <w:trHeight w:val="255"/>
        </w:trPr>
        <w:tc>
          <w:tcPr>
            <w:tcW w:w="1738" w:type="pct"/>
            <w:noWrap/>
          </w:tcPr>
          <w:p w14:paraId="0B7F2A95" w14:textId="77777777" w:rsidR="007244C8" w:rsidRPr="00A026F9" w:rsidRDefault="007244C8" w:rsidP="00F163BE">
            <w:pPr>
              <w:pStyle w:val="TableText0"/>
              <w:keepNext w:val="0"/>
              <w:jc w:val="both"/>
            </w:pPr>
            <w:r w:rsidRPr="00833355">
              <w:t>Vitamin B12 (mcg)</w:t>
            </w:r>
          </w:p>
        </w:tc>
        <w:tc>
          <w:tcPr>
            <w:tcW w:w="1011" w:type="pct"/>
          </w:tcPr>
          <w:p w14:paraId="28914D5A" w14:textId="77777777" w:rsidR="007244C8" w:rsidRPr="00A026F9" w:rsidRDefault="007244C8" w:rsidP="00F163BE">
            <w:pPr>
              <w:pStyle w:val="TableText0"/>
              <w:keepNext w:val="0"/>
              <w:jc w:val="both"/>
            </w:pPr>
            <w:r w:rsidRPr="00833355">
              <w:t>0.6</w:t>
            </w:r>
          </w:p>
        </w:tc>
        <w:tc>
          <w:tcPr>
            <w:tcW w:w="971" w:type="pct"/>
          </w:tcPr>
          <w:p w14:paraId="69514A83" w14:textId="77777777" w:rsidR="007244C8" w:rsidRPr="00A026F9" w:rsidRDefault="007244C8" w:rsidP="00F163BE">
            <w:pPr>
              <w:pStyle w:val="TableText0"/>
              <w:keepNext w:val="0"/>
              <w:jc w:val="both"/>
            </w:pPr>
            <w:r w:rsidRPr="00833355">
              <w:t>0.5</w:t>
            </w:r>
          </w:p>
        </w:tc>
        <w:tc>
          <w:tcPr>
            <w:tcW w:w="1280" w:type="pct"/>
            <w:noWrap/>
          </w:tcPr>
          <w:p w14:paraId="6EA4751B" w14:textId="77777777" w:rsidR="007244C8" w:rsidRPr="00A026F9" w:rsidRDefault="007244C8" w:rsidP="00F163BE">
            <w:pPr>
              <w:pStyle w:val="TableText0"/>
              <w:keepNext w:val="0"/>
              <w:jc w:val="both"/>
            </w:pPr>
            <w:r w:rsidRPr="00833355">
              <w:t>120%</w:t>
            </w:r>
          </w:p>
        </w:tc>
      </w:tr>
      <w:tr w:rsidR="007244C8" w:rsidRPr="0074646B" w14:paraId="08517F08" w14:textId="77777777" w:rsidTr="007244C8">
        <w:trPr>
          <w:trHeight w:val="255"/>
        </w:trPr>
        <w:tc>
          <w:tcPr>
            <w:tcW w:w="1738" w:type="pct"/>
            <w:noWrap/>
          </w:tcPr>
          <w:p w14:paraId="2443BE91" w14:textId="77777777" w:rsidR="007244C8" w:rsidRPr="00A026F9" w:rsidRDefault="007244C8" w:rsidP="00F163BE">
            <w:pPr>
              <w:pStyle w:val="TableText0"/>
              <w:keepNext w:val="0"/>
              <w:jc w:val="both"/>
            </w:pPr>
            <w:r w:rsidRPr="00833355">
              <w:t>Niacin (mg niacin equivalents)</w:t>
            </w:r>
          </w:p>
        </w:tc>
        <w:tc>
          <w:tcPr>
            <w:tcW w:w="1011" w:type="pct"/>
          </w:tcPr>
          <w:p w14:paraId="55F283E3" w14:textId="77777777" w:rsidR="007244C8" w:rsidRPr="00A026F9" w:rsidRDefault="007244C8" w:rsidP="00F163BE">
            <w:pPr>
              <w:pStyle w:val="TableText0"/>
              <w:keepNext w:val="0"/>
              <w:jc w:val="both"/>
            </w:pPr>
            <w:r w:rsidRPr="00833355">
              <w:t>4.2</w:t>
            </w:r>
          </w:p>
        </w:tc>
        <w:tc>
          <w:tcPr>
            <w:tcW w:w="971" w:type="pct"/>
          </w:tcPr>
          <w:p w14:paraId="53BA72AE" w14:textId="77777777" w:rsidR="007244C8" w:rsidRPr="00A026F9" w:rsidRDefault="007244C8" w:rsidP="00F163BE">
            <w:pPr>
              <w:pStyle w:val="TableText0"/>
              <w:keepNext w:val="0"/>
              <w:jc w:val="both"/>
            </w:pPr>
            <w:r w:rsidRPr="00833355">
              <w:t>5.2</w:t>
            </w:r>
          </w:p>
        </w:tc>
        <w:tc>
          <w:tcPr>
            <w:tcW w:w="1280" w:type="pct"/>
            <w:noWrap/>
          </w:tcPr>
          <w:p w14:paraId="32CE6789" w14:textId="77777777" w:rsidR="007244C8" w:rsidRPr="00A026F9" w:rsidRDefault="007244C8" w:rsidP="00F163BE">
            <w:pPr>
              <w:pStyle w:val="TableText0"/>
              <w:keepNext w:val="0"/>
              <w:jc w:val="both"/>
            </w:pPr>
            <w:r w:rsidRPr="00833355">
              <w:t>81%</w:t>
            </w:r>
          </w:p>
        </w:tc>
      </w:tr>
      <w:tr w:rsidR="007244C8" w:rsidRPr="0074646B" w14:paraId="1E29CAE8" w14:textId="77777777" w:rsidTr="007244C8">
        <w:trPr>
          <w:trHeight w:val="255"/>
        </w:trPr>
        <w:tc>
          <w:tcPr>
            <w:tcW w:w="1738" w:type="pct"/>
            <w:noWrap/>
          </w:tcPr>
          <w:p w14:paraId="39830377" w14:textId="77777777" w:rsidR="007244C8" w:rsidRPr="00A026F9" w:rsidRDefault="007244C8" w:rsidP="00F163BE">
            <w:pPr>
              <w:pStyle w:val="TableText0"/>
              <w:keepNext w:val="0"/>
              <w:jc w:val="both"/>
            </w:pPr>
            <w:r w:rsidRPr="00A026F9">
              <w:t>Folic acid (mcg)</w:t>
            </w:r>
          </w:p>
        </w:tc>
        <w:tc>
          <w:tcPr>
            <w:tcW w:w="1011" w:type="pct"/>
          </w:tcPr>
          <w:p w14:paraId="7228B07D" w14:textId="77777777" w:rsidR="007244C8" w:rsidRPr="00A026F9" w:rsidRDefault="007244C8" w:rsidP="00F163BE">
            <w:pPr>
              <w:pStyle w:val="TableText0"/>
              <w:keepNext w:val="0"/>
              <w:jc w:val="both"/>
            </w:pPr>
            <w:r w:rsidRPr="00A026F9">
              <w:t>52</w:t>
            </w:r>
          </w:p>
        </w:tc>
        <w:tc>
          <w:tcPr>
            <w:tcW w:w="971" w:type="pct"/>
          </w:tcPr>
          <w:p w14:paraId="1E079776" w14:textId="77777777" w:rsidR="007244C8" w:rsidRPr="00A026F9" w:rsidRDefault="007244C8" w:rsidP="00F163BE">
            <w:pPr>
              <w:pStyle w:val="TableText0"/>
              <w:keepNext w:val="0"/>
              <w:jc w:val="both"/>
            </w:pPr>
            <w:r w:rsidRPr="00A026F9">
              <w:t>150</w:t>
            </w:r>
          </w:p>
        </w:tc>
        <w:tc>
          <w:tcPr>
            <w:tcW w:w="1280" w:type="pct"/>
            <w:noWrap/>
          </w:tcPr>
          <w:p w14:paraId="244A3AA6" w14:textId="77777777" w:rsidR="007244C8" w:rsidRPr="00A026F9" w:rsidRDefault="007244C8" w:rsidP="00F163BE">
            <w:pPr>
              <w:pStyle w:val="TableText0"/>
              <w:keepNext w:val="0"/>
              <w:jc w:val="both"/>
            </w:pPr>
            <w:r w:rsidRPr="00A026F9">
              <w:t>35%</w:t>
            </w:r>
          </w:p>
        </w:tc>
      </w:tr>
      <w:tr w:rsidR="007244C8" w:rsidRPr="0074646B" w14:paraId="7305480B" w14:textId="77777777" w:rsidTr="007244C8">
        <w:trPr>
          <w:trHeight w:val="255"/>
        </w:trPr>
        <w:tc>
          <w:tcPr>
            <w:tcW w:w="1738" w:type="pct"/>
          </w:tcPr>
          <w:p w14:paraId="4459E705" w14:textId="77777777" w:rsidR="007244C8" w:rsidRPr="00A026F9" w:rsidRDefault="007244C8" w:rsidP="00F163BE">
            <w:pPr>
              <w:pStyle w:val="TableText0"/>
              <w:keepNext w:val="0"/>
              <w:jc w:val="both"/>
            </w:pPr>
            <w:r w:rsidRPr="00A026F9">
              <w:t>Folate, DFE (mcg)</w:t>
            </w:r>
          </w:p>
        </w:tc>
        <w:tc>
          <w:tcPr>
            <w:tcW w:w="1011" w:type="pct"/>
          </w:tcPr>
          <w:p w14:paraId="48008242" w14:textId="77777777" w:rsidR="007244C8" w:rsidRPr="00A026F9" w:rsidRDefault="007244C8" w:rsidP="00F163BE">
            <w:pPr>
              <w:pStyle w:val="TableText0"/>
              <w:keepNext w:val="0"/>
              <w:jc w:val="both"/>
            </w:pPr>
            <w:r w:rsidRPr="00A026F9">
              <w:t>89</w:t>
            </w:r>
          </w:p>
        </w:tc>
        <w:tc>
          <w:tcPr>
            <w:tcW w:w="971" w:type="pct"/>
          </w:tcPr>
          <w:p w14:paraId="5691F6D7" w14:textId="77777777" w:rsidR="007244C8" w:rsidRPr="00A026F9" w:rsidRDefault="007244C8" w:rsidP="00F163BE">
            <w:pPr>
              <w:pStyle w:val="TableText0"/>
              <w:keepNext w:val="0"/>
              <w:jc w:val="both"/>
            </w:pPr>
            <w:r w:rsidRPr="00A026F9">
              <w:t>90</w:t>
            </w:r>
          </w:p>
        </w:tc>
        <w:tc>
          <w:tcPr>
            <w:tcW w:w="1280" w:type="pct"/>
            <w:noWrap/>
          </w:tcPr>
          <w:p w14:paraId="38B78048" w14:textId="77777777" w:rsidR="007244C8" w:rsidRPr="00A026F9" w:rsidRDefault="007244C8" w:rsidP="00F163BE">
            <w:pPr>
              <w:pStyle w:val="TableText0"/>
              <w:keepNext w:val="0"/>
              <w:jc w:val="both"/>
            </w:pPr>
            <w:r w:rsidRPr="00A026F9">
              <w:t>99%</w:t>
            </w:r>
          </w:p>
        </w:tc>
      </w:tr>
      <w:tr w:rsidR="007244C8" w:rsidRPr="0074646B" w14:paraId="272125D3" w14:textId="77777777" w:rsidTr="007244C8">
        <w:trPr>
          <w:trHeight w:val="255"/>
        </w:trPr>
        <w:tc>
          <w:tcPr>
            <w:tcW w:w="1738" w:type="pct"/>
          </w:tcPr>
          <w:p w14:paraId="2CA9C79B" w14:textId="77777777" w:rsidR="007244C8" w:rsidRPr="00A026F9" w:rsidRDefault="007244C8" w:rsidP="00F163BE">
            <w:pPr>
              <w:pStyle w:val="TableText0"/>
              <w:keepNext w:val="0"/>
              <w:jc w:val="both"/>
            </w:pPr>
            <w:r w:rsidRPr="000A0AE2">
              <w:t>Pantothenic acid / B5 (mg)</w:t>
            </w:r>
          </w:p>
        </w:tc>
        <w:tc>
          <w:tcPr>
            <w:tcW w:w="1011" w:type="pct"/>
            <w:noWrap/>
          </w:tcPr>
          <w:p w14:paraId="085B57A9" w14:textId="77777777" w:rsidR="007244C8" w:rsidRPr="00A026F9" w:rsidRDefault="007244C8" w:rsidP="00F163BE">
            <w:pPr>
              <w:pStyle w:val="TableText0"/>
              <w:keepNext w:val="0"/>
              <w:jc w:val="both"/>
            </w:pPr>
            <w:r w:rsidRPr="000A0AE2">
              <w:t>1.8</w:t>
            </w:r>
          </w:p>
        </w:tc>
        <w:tc>
          <w:tcPr>
            <w:tcW w:w="971" w:type="pct"/>
          </w:tcPr>
          <w:p w14:paraId="333E9369" w14:textId="77777777" w:rsidR="007244C8" w:rsidRPr="00A026F9" w:rsidRDefault="007244C8" w:rsidP="00F163BE">
            <w:pPr>
              <w:pStyle w:val="TableText0"/>
              <w:keepNext w:val="0"/>
              <w:jc w:val="both"/>
            </w:pPr>
            <w:r w:rsidRPr="000A0AE2">
              <w:t>1.8</w:t>
            </w:r>
          </w:p>
        </w:tc>
        <w:tc>
          <w:tcPr>
            <w:tcW w:w="1280" w:type="pct"/>
            <w:noWrap/>
          </w:tcPr>
          <w:p w14:paraId="02A9F2A6" w14:textId="77777777" w:rsidR="007244C8" w:rsidRPr="00A026F9" w:rsidRDefault="007244C8" w:rsidP="00F163BE">
            <w:pPr>
              <w:pStyle w:val="TableText0"/>
              <w:keepNext w:val="0"/>
              <w:jc w:val="both"/>
            </w:pPr>
            <w:r w:rsidRPr="000A0AE2">
              <w:t>100%</w:t>
            </w:r>
          </w:p>
        </w:tc>
      </w:tr>
      <w:tr w:rsidR="007244C8" w:rsidRPr="0074646B" w14:paraId="3091DB16" w14:textId="77777777" w:rsidTr="007244C8">
        <w:trPr>
          <w:trHeight w:val="255"/>
        </w:trPr>
        <w:tc>
          <w:tcPr>
            <w:tcW w:w="1738" w:type="pct"/>
          </w:tcPr>
          <w:p w14:paraId="3DB4E78B" w14:textId="77777777" w:rsidR="007244C8" w:rsidRPr="00A026F9" w:rsidRDefault="007244C8" w:rsidP="00F163BE">
            <w:pPr>
              <w:pStyle w:val="TableText0"/>
              <w:keepNext w:val="0"/>
              <w:jc w:val="both"/>
            </w:pPr>
            <w:r w:rsidRPr="000A0AE2">
              <w:t>Biotin (mcg)</w:t>
            </w:r>
          </w:p>
        </w:tc>
        <w:tc>
          <w:tcPr>
            <w:tcW w:w="1011" w:type="pct"/>
            <w:noWrap/>
          </w:tcPr>
          <w:p w14:paraId="60239BCE" w14:textId="77777777" w:rsidR="007244C8" w:rsidRPr="00A026F9" w:rsidRDefault="007244C8" w:rsidP="00F163BE">
            <w:pPr>
              <w:pStyle w:val="TableText0"/>
              <w:keepNext w:val="0"/>
              <w:jc w:val="both"/>
            </w:pPr>
            <w:r w:rsidRPr="000A0AE2">
              <w:t>7.5</w:t>
            </w:r>
          </w:p>
        </w:tc>
        <w:tc>
          <w:tcPr>
            <w:tcW w:w="971" w:type="pct"/>
          </w:tcPr>
          <w:p w14:paraId="511D25A5" w14:textId="77777777" w:rsidR="007244C8" w:rsidRPr="00A026F9" w:rsidRDefault="007244C8" w:rsidP="00F163BE">
            <w:pPr>
              <w:pStyle w:val="TableText0"/>
              <w:keepNext w:val="0"/>
              <w:jc w:val="both"/>
            </w:pPr>
            <w:r w:rsidRPr="000A0AE2">
              <w:t>7.5</w:t>
            </w:r>
          </w:p>
        </w:tc>
        <w:tc>
          <w:tcPr>
            <w:tcW w:w="1280" w:type="pct"/>
            <w:noWrap/>
          </w:tcPr>
          <w:p w14:paraId="663A15CA" w14:textId="77777777" w:rsidR="007244C8" w:rsidRPr="00A026F9" w:rsidRDefault="007244C8" w:rsidP="00F163BE">
            <w:pPr>
              <w:pStyle w:val="TableText0"/>
              <w:keepNext w:val="0"/>
              <w:jc w:val="both"/>
            </w:pPr>
            <w:r w:rsidRPr="000A0AE2">
              <w:t>100%</w:t>
            </w:r>
          </w:p>
        </w:tc>
      </w:tr>
      <w:tr w:rsidR="007244C8" w:rsidRPr="0074646B" w14:paraId="28784A50" w14:textId="77777777" w:rsidTr="007244C8">
        <w:trPr>
          <w:trHeight w:val="255"/>
        </w:trPr>
        <w:tc>
          <w:tcPr>
            <w:tcW w:w="1738" w:type="pct"/>
          </w:tcPr>
          <w:p w14:paraId="668EB188" w14:textId="77777777" w:rsidR="007244C8" w:rsidRPr="00A026F9" w:rsidRDefault="007244C8" w:rsidP="00F163BE">
            <w:pPr>
              <w:pStyle w:val="TableText0"/>
              <w:keepNext w:val="0"/>
              <w:jc w:val="both"/>
            </w:pPr>
            <w:r w:rsidRPr="000A0AE2">
              <w:t>Vitamin C (mg)</w:t>
            </w:r>
          </w:p>
        </w:tc>
        <w:tc>
          <w:tcPr>
            <w:tcW w:w="1011" w:type="pct"/>
          </w:tcPr>
          <w:p w14:paraId="0B3DA6BF" w14:textId="77777777" w:rsidR="007244C8" w:rsidRPr="00A026F9" w:rsidRDefault="007244C8" w:rsidP="00F163BE">
            <w:pPr>
              <w:pStyle w:val="TableText0"/>
              <w:keepNext w:val="0"/>
              <w:jc w:val="both"/>
            </w:pPr>
            <w:r w:rsidRPr="000A0AE2">
              <w:t>25</w:t>
            </w:r>
          </w:p>
        </w:tc>
        <w:tc>
          <w:tcPr>
            <w:tcW w:w="971" w:type="pct"/>
          </w:tcPr>
          <w:p w14:paraId="573295EC" w14:textId="77777777" w:rsidR="007244C8" w:rsidRPr="00A026F9" w:rsidRDefault="007244C8" w:rsidP="00F163BE">
            <w:pPr>
              <w:pStyle w:val="TableText0"/>
              <w:keepNext w:val="0"/>
              <w:jc w:val="both"/>
            </w:pPr>
            <w:r w:rsidRPr="000A0AE2">
              <w:t>44</w:t>
            </w:r>
          </w:p>
        </w:tc>
        <w:tc>
          <w:tcPr>
            <w:tcW w:w="1280" w:type="pct"/>
            <w:noWrap/>
          </w:tcPr>
          <w:p w14:paraId="4AAE62D7" w14:textId="77777777" w:rsidR="007244C8" w:rsidRPr="00A026F9" w:rsidRDefault="007244C8" w:rsidP="00F163BE">
            <w:pPr>
              <w:pStyle w:val="TableText0"/>
              <w:keepNext w:val="0"/>
              <w:jc w:val="both"/>
            </w:pPr>
            <w:r w:rsidRPr="000A0AE2">
              <w:t>57%</w:t>
            </w:r>
          </w:p>
        </w:tc>
      </w:tr>
      <w:tr w:rsidR="007244C8" w:rsidRPr="0074646B" w14:paraId="1084E512" w14:textId="77777777" w:rsidTr="007244C8">
        <w:trPr>
          <w:trHeight w:val="255"/>
        </w:trPr>
        <w:tc>
          <w:tcPr>
            <w:tcW w:w="1738" w:type="pct"/>
          </w:tcPr>
          <w:p w14:paraId="29C7BA40" w14:textId="77777777" w:rsidR="007244C8" w:rsidRPr="00A026F9" w:rsidRDefault="007244C8" w:rsidP="00F163BE">
            <w:pPr>
              <w:pStyle w:val="TableText0"/>
              <w:keepNext w:val="0"/>
              <w:jc w:val="both"/>
            </w:pPr>
            <w:r w:rsidRPr="000A0AE2">
              <w:t>Choline (mg)</w:t>
            </w:r>
          </w:p>
        </w:tc>
        <w:tc>
          <w:tcPr>
            <w:tcW w:w="1011" w:type="pct"/>
          </w:tcPr>
          <w:p w14:paraId="6E410542" w14:textId="77777777" w:rsidR="007244C8" w:rsidRPr="00A026F9" w:rsidRDefault="007244C8" w:rsidP="00F163BE">
            <w:pPr>
              <w:pStyle w:val="TableText0"/>
              <w:keepNext w:val="0"/>
              <w:jc w:val="both"/>
            </w:pPr>
            <w:r w:rsidRPr="000A0AE2">
              <w:t>150</w:t>
            </w:r>
          </w:p>
        </w:tc>
        <w:tc>
          <w:tcPr>
            <w:tcW w:w="971" w:type="pct"/>
          </w:tcPr>
          <w:p w14:paraId="4F73B747" w14:textId="77777777" w:rsidR="007244C8" w:rsidRPr="00A026F9" w:rsidRDefault="007244C8" w:rsidP="00F163BE">
            <w:pPr>
              <w:pStyle w:val="TableText0"/>
              <w:keepNext w:val="0"/>
              <w:jc w:val="both"/>
            </w:pPr>
            <w:r w:rsidRPr="000A0AE2">
              <w:t>150</w:t>
            </w:r>
          </w:p>
        </w:tc>
        <w:tc>
          <w:tcPr>
            <w:tcW w:w="1280" w:type="pct"/>
            <w:noWrap/>
          </w:tcPr>
          <w:p w14:paraId="254AF3D7" w14:textId="77777777" w:rsidR="007244C8" w:rsidRPr="00A026F9" w:rsidRDefault="007244C8" w:rsidP="00F163BE">
            <w:pPr>
              <w:pStyle w:val="TableText0"/>
              <w:keepNext w:val="0"/>
              <w:jc w:val="both"/>
            </w:pPr>
            <w:r w:rsidRPr="000A0AE2">
              <w:t>100%</w:t>
            </w:r>
          </w:p>
        </w:tc>
      </w:tr>
      <w:tr w:rsidR="007244C8" w:rsidRPr="0074646B" w14:paraId="1B153F1F" w14:textId="77777777" w:rsidTr="007244C8">
        <w:trPr>
          <w:trHeight w:val="255"/>
        </w:trPr>
        <w:tc>
          <w:tcPr>
            <w:tcW w:w="1738" w:type="pct"/>
          </w:tcPr>
          <w:p w14:paraId="555499C9" w14:textId="77777777" w:rsidR="007244C8" w:rsidRPr="00A026F9" w:rsidRDefault="007244C8" w:rsidP="00F163BE">
            <w:pPr>
              <w:pStyle w:val="TableText0"/>
              <w:keepNext w:val="0"/>
              <w:jc w:val="both"/>
            </w:pPr>
            <w:r w:rsidRPr="000A0AE2">
              <w:t>Inositol (mg)</w:t>
            </w:r>
          </w:p>
        </w:tc>
        <w:tc>
          <w:tcPr>
            <w:tcW w:w="1011" w:type="pct"/>
            <w:noWrap/>
          </w:tcPr>
          <w:p w14:paraId="299CA157" w14:textId="77777777" w:rsidR="007244C8" w:rsidRPr="00A026F9" w:rsidRDefault="007244C8" w:rsidP="00F163BE">
            <w:pPr>
              <w:pStyle w:val="TableText0"/>
              <w:keepNext w:val="0"/>
              <w:jc w:val="both"/>
            </w:pPr>
            <w:r w:rsidRPr="000A0AE2">
              <w:t>32</w:t>
            </w:r>
          </w:p>
        </w:tc>
        <w:tc>
          <w:tcPr>
            <w:tcW w:w="971" w:type="pct"/>
          </w:tcPr>
          <w:p w14:paraId="78E660F7" w14:textId="77777777" w:rsidR="007244C8" w:rsidRPr="00A026F9" w:rsidRDefault="007244C8" w:rsidP="00F163BE">
            <w:pPr>
              <w:pStyle w:val="TableText0"/>
              <w:keepNext w:val="0"/>
              <w:jc w:val="both"/>
            </w:pPr>
            <w:r w:rsidRPr="000A0AE2">
              <w:t>32</w:t>
            </w:r>
          </w:p>
        </w:tc>
        <w:tc>
          <w:tcPr>
            <w:tcW w:w="1280" w:type="pct"/>
            <w:noWrap/>
          </w:tcPr>
          <w:p w14:paraId="3922E62E" w14:textId="77777777" w:rsidR="007244C8" w:rsidRPr="00A026F9" w:rsidRDefault="007244C8" w:rsidP="00F163BE">
            <w:pPr>
              <w:pStyle w:val="TableText0"/>
              <w:keepNext w:val="0"/>
              <w:jc w:val="both"/>
            </w:pPr>
            <w:r w:rsidRPr="000A0AE2">
              <w:t>100%</w:t>
            </w:r>
          </w:p>
        </w:tc>
      </w:tr>
      <w:tr w:rsidR="007244C8" w:rsidRPr="0074646B" w14:paraId="109DD8DF" w14:textId="77777777" w:rsidTr="007244C8">
        <w:trPr>
          <w:trHeight w:val="255"/>
        </w:trPr>
        <w:tc>
          <w:tcPr>
            <w:tcW w:w="1738" w:type="pct"/>
          </w:tcPr>
          <w:p w14:paraId="1923373F" w14:textId="77777777" w:rsidR="007244C8" w:rsidRPr="00A026F9" w:rsidRDefault="007244C8" w:rsidP="00F163BE">
            <w:pPr>
              <w:pStyle w:val="TableText0"/>
              <w:keepNext w:val="0"/>
              <w:jc w:val="both"/>
            </w:pPr>
            <w:r w:rsidRPr="000A0AE2">
              <w:t>Calcium (mg)</w:t>
            </w:r>
          </w:p>
        </w:tc>
        <w:tc>
          <w:tcPr>
            <w:tcW w:w="1011" w:type="pct"/>
          </w:tcPr>
          <w:p w14:paraId="770B1B17" w14:textId="77777777" w:rsidR="007244C8" w:rsidRPr="00A026F9" w:rsidRDefault="007244C8" w:rsidP="00F163BE">
            <w:pPr>
              <w:pStyle w:val="TableText0"/>
              <w:keepNext w:val="0"/>
              <w:jc w:val="both"/>
            </w:pPr>
            <w:r w:rsidRPr="000A0AE2">
              <w:t>320</w:t>
            </w:r>
          </w:p>
        </w:tc>
        <w:tc>
          <w:tcPr>
            <w:tcW w:w="971" w:type="pct"/>
          </w:tcPr>
          <w:p w14:paraId="001B2BD5" w14:textId="77777777" w:rsidR="007244C8" w:rsidRPr="00A026F9" w:rsidRDefault="007244C8" w:rsidP="00F163BE">
            <w:pPr>
              <w:pStyle w:val="TableText0"/>
              <w:keepNext w:val="0"/>
              <w:jc w:val="both"/>
            </w:pPr>
            <w:r w:rsidRPr="000A0AE2">
              <w:t>454</w:t>
            </w:r>
          </w:p>
        </w:tc>
        <w:tc>
          <w:tcPr>
            <w:tcW w:w="1280" w:type="pct"/>
            <w:noWrap/>
          </w:tcPr>
          <w:p w14:paraId="2D6D4234" w14:textId="77777777" w:rsidR="007244C8" w:rsidRPr="00A026F9" w:rsidRDefault="007244C8" w:rsidP="00F163BE">
            <w:pPr>
              <w:pStyle w:val="TableText0"/>
              <w:keepNext w:val="0"/>
              <w:jc w:val="both"/>
            </w:pPr>
            <w:r w:rsidRPr="000A0AE2">
              <w:t>70%</w:t>
            </w:r>
          </w:p>
        </w:tc>
      </w:tr>
      <w:tr w:rsidR="007244C8" w:rsidRPr="0074646B" w14:paraId="06AEA117" w14:textId="77777777" w:rsidTr="007244C8">
        <w:trPr>
          <w:trHeight w:val="255"/>
        </w:trPr>
        <w:tc>
          <w:tcPr>
            <w:tcW w:w="1738" w:type="pct"/>
          </w:tcPr>
          <w:p w14:paraId="12959BCF" w14:textId="77777777" w:rsidR="007244C8" w:rsidRPr="00A026F9" w:rsidRDefault="007244C8" w:rsidP="00F163BE">
            <w:pPr>
              <w:pStyle w:val="TableText0"/>
              <w:keepNext w:val="0"/>
              <w:jc w:val="both"/>
            </w:pPr>
            <w:r w:rsidRPr="000A0AE2">
              <w:lastRenderedPageBreak/>
              <w:t>Phosphorous (mg)</w:t>
            </w:r>
          </w:p>
        </w:tc>
        <w:tc>
          <w:tcPr>
            <w:tcW w:w="1011" w:type="pct"/>
          </w:tcPr>
          <w:p w14:paraId="108721E7" w14:textId="77777777" w:rsidR="007244C8" w:rsidRPr="00A026F9" w:rsidRDefault="007244C8" w:rsidP="00F163BE">
            <w:pPr>
              <w:pStyle w:val="TableText0"/>
              <w:keepNext w:val="0"/>
              <w:jc w:val="both"/>
            </w:pPr>
            <w:r w:rsidRPr="000A0AE2">
              <w:t>272</w:t>
            </w:r>
          </w:p>
        </w:tc>
        <w:tc>
          <w:tcPr>
            <w:tcW w:w="971" w:type="pct"/>
          </w:tcPr>
          <w:p w14:paraId="2B2C5C42" w14:textId="77777777" w:rsidR="007244C8" w:rsidRPr="00A026F9" w:rsidRDefault="007244C8" w:rsidP="00F163BE">
            <w:pPr>
              <w:pStyle w:val="TableText0"/>
              <w:keepNext w:val="0"/>
              <w:jc w:val="both"/>
            </w:pPr>
            <w:r w:rsidRPr="000A0AE2">
              <w:t>323</w:t>
            </w:r>
          </w:p>
        </w:tc>
        <w:tc>
          <w:tcPr>
            <w:tcW w:w="1280" w:type="pct"/>
            <w:noWrap/>
          </w:tcPr>
          <w:p w14:paraId="5FDC1270" w14:textId="77777777" w:rsidR="007244C8" w:rsidRPr="00A026F9" w:rsidRDefault="007244C8" w:rsidP="00F163BE">
            <w:pPr>
              <w:pStyle w:val="TableText0"/>
              <w:keepNext w:val="0"/>
              <w:jc w:val="both"/>
            </w:pPr>
            <w:r w:rsidRPr="000A0AE2">
              <w:t>84%</w:t>
            </w:r>
          </w:p>
        </w:tc>
      </w:tr>
      <w:tr w:rsidR="007244C8" w:rsidRPr="0074646B" w14:paraId="2586A826" w14:textId="77777777" w:rsidTr="007244C8">
        <w:trPr>
          <w:trHeight w:val="255"/>
        </w:trPr>
        <w:tc>
          <w:tcPr>
            <w:tcW w:w="1738" w:type="pct"/>
          </w:tcPr>
          <w:p w14:paraId="7466956B" w14:textId="77777777" w:rsidR="007244C8" w:rsidRPr="00A026F9" w:rsidRDefault="007244C8" w:rsidP="00F163BE">
            <w:pPr>
              <w:pStyle w:val="TableText0"/>
              <w:keepNext w:val="0"/>
              <w:jc w:val="both"/>
            </w:pPr>
            <w:r w:rsidRPr="000A0AE2">
              <w:t>Magnesium (mg)</w:t>
            </w:r>
          </w:p>
        </w:tc>
        <w:tc>
          <w:tcPr>
            <w:tcW w:w="1011" w:type="pct"/>
          </w:tcPr>
          <w:p w14:paraId="1E7F0E34" w14:textId="77777777" w:rsidR="007244C8" w:rsidRPr="00A026F9" w:rsidRDefault="007244C8" w:rsidP="00F163BE">
            <w:pPr>
              <w:pStyle w:val="TableText0"/>
              <w:keepNext w:val="0"/>
              <w:jc w:val="both"/>
            </w:pPr>
            <w:r w:rsidRPr="000A0AE2">
              <w:t>57</w:t>
            </w:r>
          </w:p>
        </w:tc>
        <w:tc>
          <w:tcPr>
            <w:tcW w:w="971" w:type="pct"/>
          </w:tcPr>
          <w:p w14:paraId="0B509CC3" w14:textId="77777777" w:rsidR="007244C8" w:rsidRPr="00A026F9" w:rsidRDefault="007244C8" w:rsidP="00F163BE">
            <w:pPr>
              <w:pStyle w:val="TableText0"/>
              <w:keepNext w:val="0"/>
              <w:jc w:val="both"/>
            </w:pPr>
            <w:r w:rsidRPr="000A0AE2">
              <w:t>57</w:t>
            </w:r>
          </w:p>
        </w:tc>
        <w:tc>
          <w:tcPr>
            <w:tcW w:w="1280" w:type="pct"/>
            <w:noWrap/>
          </w:tcPr>
          <w:p w14:paraId="2E9A9D56" w14:textId="77777777" w:rsidR="007244C8" w:rsidRPr="00A026F9" w:rsidRDefault="007244C8" w:rsidP="00F163BE">
            <w:pPr>
              <w:pStyle w:val="TableText0"/>
              <w:keepNext w:val="0"/>
              <w:jc w:val="both"/>
            </w:pPr>
            <w:r w:rsidRPr="000A0AE2">
              <w:t>100%</w:t>
            </w:r>
          </w:p>
        </w:tc>
      </w:tr>
      <w:tr w:rsidR="007244C8" w:rsidRPr="0074646B" w14:paraId="51420BD2" w14:textId="77777777" w:rsidTr="007244C8">
        <w:trPr>
          <w:trHeight w:val="255"/>
        </w:trPr>
        <w:tc>
          <w:tcPr>
            <w:tcW w:w="1738" w:type="pct"/>
          </w:tcPr>
          <w:p w14:paraId="39ED7AC5" w14:textId="77777777" w:rsidR="007244C8" w:rsidRPr="00A026F9" w:rsidRDefault="007244C8" w:rsidP="00F163BE">
            <w:pPr>
              <w:pStyle w:val="TableText0"/>
              <w:keepNext w:val="0"/>
              <w:jc w:val="both"/>
            </w:pPr>
            <w:r w:rsidRPr="000A0AE2">
              <w:t>Iron (mg)</w:t>
            </w:r>
          </w:p>
        </w:tc>
        <w:tc>
          <w:tcPr>
            <w:tcW w:w="1011" w:type="pct"/>
          </w:tcPr>
          <w:p w14:paraId="668B9D8C" w14:textId="77777777" w:rsidR="007244C8" w:rsidRPr="00A026F9" w:rsidRDefault="007244C8" w:rsidP="00F163BE">
            <w:pPr>
              <w:pStyle w:val="TableText0"/>
              <w:keepNext w:val="0"/>
              <w:jc w:val="both"/>
            </w:pPr>
            <w:r w:rsidRPr="000A0AE2">
              <w:t>4.5</w:t>
            </w:r>
          </w:p>
        </w:tc>
        <w:tc>
          <w:tcPr>
            <w:tcW w:w="971" w:type="pct"/>
          </w:tcPr>
          <w:p w14:paraId="1527F6BA" w14:textId="77777777" w:rsidR="007244C8" w:rsidRPr="00A026F9" w:rsidRDefault="007244C8" w:rsidP="00F163BE">
            <w:pPr>
              <w:pStyle w:val="TableText0"/>
              <w:keepNext w:val="0"/>
              <w:jc w:val="both"/>
            </w:pPr>
            <w:r w:rsidRPr="000A0AE2">
              <w:t>4.4</w:t>
            </w:r>
          </w:p>
        </w:tc>
        <w:tc>
          <w:tcPr>
            <w:tcW w:w="1280" w:type="pct"/>
            <w:noWrap/>
          </w:tcPr>
          <w:p w14:paraId="39310281" w14:textId="77777777" w:rsidR="007244C8" w:rsidRPr="00A026F9" w:rsidRDefault="007244C8" w:rsidP="00F163BE">
            <w:pPr>
              <w:pStyle w:val="TableText0"/>
              <w:keepNext w:val="0"/>
              <w:jc w:val="both"/>
            </w:pPr>
            <w:r w:rsidRPr="000A0AE2">
              <w:t>102%</w:t>
            </w:r>
          </w:p>
        </w:tc>
      </w:tr>
      <w:tr w:rsidR="007244C8" w:rsidRPr="0074646B" w14:paraId="1EEDA3DE" w14:textId="77777777" w:rsidTr="007244C8">
        <w:trPr>
          <w:trHeight w:val="255"/>
        </w:trPr>
        <w:tc>
          <w:tcPr>
            <w:tcW w:w="1738" w:type="pct"/>
          </w:tcPr>
          <w:p w14:paraId="6DCC5014" w14:textId="77777777" w:rsidR="007244C8" w:rsidRPr="00A026F9" w:rsidRDefault="007244C8" w:rsidP="00F163BE">
            <w:pPr>
              <w:pStyle w:val="TableText0"/>
              <w:keepNext w:val="0"/>
              <w:jc w:val="both"/>
            </w:pPr>
            <w:r w:rsidRPr="000A0AE2">
              <w:t>Zinc (mg)</w:t>
            </w:r>
          </w:p>
        </w:tc>
        <w:tc>
          <w:tcPr>
            <w:tcW w:w="1011" w:type="pct"/>
          </w:tcPr>
          <w:p w14:paraId="5228F278" w14:textId="77777777" w:rsidR="007244C8" w:rsidRPr="00A026F9" w:rsidRDefault="007244C8" w:rsidP="00F163BE">
            <w:pPr>
              <w:pStyle w:val="TableText0"/>
              <w:keepNext w:val="0"/>
              <w:jc w:val="both"/>
            </w:pPr>
            <w:r w:rsidRPr="000A0AE2">
              <w:t>2.4</w:t>
            </w:r>
          </w:p>
        </w:tc>
        <w:tc>
          <w:tcPr>
            <w:tcW w:w="971" w:type="pct"/>
          </w:tcPr>
          <w:p w14:paraId="07EAD252" w14:textId="77777777" w:rsidR="007244C8" w:rsidRPr="00A026F9" w:rsidRDefault="007244C8" w:rsidP="00F163BE">
            <w:pPr>
              <w:pStyle w:val="TableText0"/>
              <w:keepNext w:val="0"/>
              <w:jc w:val="both"/>
            </w:pPr>
            <w:r w:rsidRPr="000A0AE2">
              <w:t>3.2</w:t>
            </w:r>
          </w:p>
        </w:tc>
        <w:tc>
          <w:tcPr>
            <w:tcW w:w="1280" w:type="pct"/>
            <w:noWrap/>
          </w:tcPr>
          <w:p w14:paraId="56933668" w14:textId="77777777" w:rsidR="007244C8" w:rsidRPr="00A026F9" w:rsidRDefault="007244C8" w:rsidP="00F163BE">
            <w:pPr>
              <w:pStyle w:val="TableText0"/>
              <w:keepNext w:val="0"/>
              <w:jc w:val="both"/>
            </w:pPr>
            <w:r w:rsidRPr="000A0AE2">
              <w:t>75%</w:t>
            </w:r>
          </w:p>
        </w:tc>
      </w:tr>
      <w:tr w:rsidR="007244C8" w:rsidRPr="0074646B" w14:paraId="3DC9FDAE" w14:textId="77777777" w:rsidTr="007244C8">
        <w:trPr>
          <w:trHeight w:val="255"/>
        </w:trPr>
        <w:tc>
          <w:tcPr>
            <w:tcW w:w="1738" w:type="pct"/>
          </w:tcPr>
          <w:p w14:paraId="1DB4424F" w14:textId="77777777" w:rsidR="007244C8" w:rsidRPr="00A026F9" w:rsidRDefault="007244C8" w:rsidP="00F163BE">
            <w:pPr>
              <w:pStyle w:val="TableText0"/>
              <w:keepNext w:val="0"/>
              <w:jc w:val="both"/>
            </w:pPr>
            <w:r w:rsidRPr="000A0AE2">
              <w:t>Manganese (mg)</w:t>
            </w:r>
          </w:p>
        </w:tc>
        <w:tc>
          <w:tcPr>
            <w:tcW w:w="1011" w:type="pct"/>
          </w:tcPr>
          <w:p w14:paraId="27608F31" w14:textId="77777777" w:rsidR="007244C8" w:rsidRPr="00A026F9" w:rsidRDefault="007244C8" w:rsidP="00F163BE">
            <w:pPr>
              <w:pStyle w:val="TableText0"/>
              <w:keepNext w:val="0"/>
              <w:jc w:val="both"/>
            </w:pPr>
            <w:r w:rsidRPr="000A0AE2">
              <w:t>0.6</w:t>
            </w:r>
          </w:p>
        </w:tc>
        <w:tc>
          <w:tcPr>
            <w:tcW w:w="971" w:type="pct"/>
          </w:tcPr>
          <w:p w14:paraId="3E621102" w14:textId="77777777" w:rsidR="007244C8" w:rsidRPr="00A026F9" w:rsidRDefault="007244C8" w:rsidP="00F163BE">
            <w:pPr>
              <w:pStyle w:val="TableText0"/>
              <w:keepNext w:val="0"/>
              <w:jc w:val="both"/>
            </w:pPr>
            <w:r w:rsidRPr="000A0AE2">
              <w:t>0.8</w:t>
            </w:r>
          </w:p>
        </w:tc>
        <w:tc>
          <w:tcPr>
            <w:tcW w:w="1280" w:type="pct"/>
            <w:noWrap/>
          </w:tcPr>
          <w:p w14:paraId="53335B22" w14:textId="77777777" w:rsidR="007244C8" w:rsidRPr="00A026F9" w:rsidRDefault="007244C8" w:rsidP="00F163BE">
            <w:pPr>
              <w:pStyle w:val="TableText0"/>
              <w:keepNext w:val="0"/>
              <w:jc w:val="both"/>
            </w:pPr>
            <w:r w:rsidRPr="000A0AE2">
              <w:t>75%</w:t>
            </w:r>
          </w:p>
        </w:tc>
      </w:tr>
      <w:tr w:rsidR="007244C8" w:rsidRPr="0074646B" w14:paraId="59B0DA02" w14:textId="77777777" w:rsidTr="007244C8">
        <w:trPr>
          <w:trHeight w:val="255"/>
        </w:trPr>
        <w:tc>
          <w:tcPr>
            <w:tcW w:w="1738" w:type="pct"/>
          </w:tcPr>
          <w:p w14:paraId="0915CA11" w14:textId="77777777" w:rsidR="007244C8" w:rsidRPr="00A026F9" w:rsidRDefault="007244C8" w:rsidP="00F163BE">
            <w:pPr>
              <w:pStyle w:val="TableText0"/>
              <w:keepNext w:val="0"/>
              <w:jc w:val="both"/>
            </w:pPr>
            <w:r w:rsidRPr="000A0AE2">
              <w:t>Copper (mg)</w:t>
            </w:r>
          </w:p>
        </w:tc>
        <w:tc>
          <w:tcPr>
            <w:tcW w:w="1011" w:type="pct"/>
            <w:noWrap/>
          </w:tcPr>
          <w:p w14:paraId="23F59717" w14:textId="77777777" w:rsidR="007244C8" w:rsidRPr="00A026F9" w:rsidRDefault="007244C8" w:rsidP="00F163BE">
            <w:pPr>
              <w:pStyle w:val="TableText0"/>
              <w:keepNext w:val="0"/>
              <w:jc w:val="both"/>
            </w:pPr>
            <w:r w:rsidRPr="000A0AE2">
              <w:t>0.3</w:t>
            </w:r>
          </w:p>
        </w:tc>
        <w:tc>
          <w:tcPr>
            <w:tcW w:w="971" w:type="pct"/>
          </w:tcPr>
          <w:p w14:paraId="1FB20794" w14:textId="77777777" w:rsidR="007244C8" w:rsidRPr="00A026F9" w:rsidRDefault="007244C8" w:rsidP="00F163BE">
            <w:pPr>
              <w:pStyle w:val="TableText0"/>
              <w:keepNext w:val="0"/>
              <w:jc w:val="both"/>
            </w:pPr>
            <w:r w:rsidRPr="000A0AE2">
              <w:t>0.2</w:t>
            </w:r>
          </w:p>
        </w:tc>
        <w:tc>
          <w:tcPr>
            <w:tcW w:w="1280" w:type="pct"/>
            <w:noWrap/>
          </w:tcPr>
          <w:p w14:paraId="0BD9716A" w14:textId="77777777" w:rsidR="007244C8" w:rsidRPr="00A026F9" w:rsidRDefault="007244C8" w:rsidP="00F163BE">
            <w:pPr>
              <w:pStyle w:val="TableText0"/>
              <w:keepNext w:val="0"/>
              <w:jc w:val="both"/>
            </w:pPr>
            <w:r w:rsidRPr="000A0AE2">
              <w:t>150%</w:t>
            </w:r>
          </w:p>
        </w:tc>
      </w:tr>
      <w:tr w:rsidR="007244C8" w:rsidRPr="0074646B" w14:paraId="09B41778" w14:textId="77777777" w:rsidTr="007244C8">
        <w:trPr>
          <w:trHeight w:val="255"/>
        </w:trPr>
        <w:tc>
          <w:tcPr>
            <w:tcW w:w="1738" w:type="pct"/>
          </w:tcPr>
          <w:p w14:paraId="70A866CD" w14:textId="77777777" w:rsidR="007244C8" w:rsidRPr="00A026F9" w:rsidRDefault="007244C8" w:rsidP="00F163BE">
            <w:pPr>
              <w:pStyle w:val="TableText0"/>
              <w:keepNext w:val="0"/>
              <w:jc w:val="both"/>
            </w:pPr>
            <w:r w:rsidRPr="000A0AE2">
              <w:t>Iodine (mcg)</w:t>
            </w:r>
          </w:p>
        </w:tc>
        <w:tc>
          <w:tcPr>
            <w:tcW w:w="1011" w:type="pct"/>
          </w:tcPr>
          <w:p w14:paraId="077CABC8" w14:textId="77777777" w:rsidR="007244C8" w:rsidRPr="00A026F9" w:rsidRDefault="007244C8" w:rsidP="00F163BE">
            <w:pPr>
              <w:pStyle w:val="TableText0"/>
              <w:keepNext w:val="0"/>
              <w:jc w:val="both"/>
            </w:pPr>
            <w:r w:rsidRPr="000A0AE2">
              <w:t>46</w:t>
            </w:r>
          </w:p>
        </w:tc>
        <w:tc>
          <w:tcPr>
            <w:tcW w:w="971" w:type="pct"/>
          </w:tcPr>
          <w:p w14:paraId="54D6BAF2" w14:textId="77777777" w:rsidR="007244C8" w:rsidRPr="00A026F9" w:rsidRDefault="007244C8" w:rsidP="00F163BE">
            <w:pPr>
              <w:pStyle w:val="TableText0"/>
              <w:keepNext w:val="0"/>
              <w:jc w:val="both"/>
            </w:pPr>
            <w:r w:rsidRPr="000A0AE2">
              <w:t>46</w:t>
            </w:r>
          </w:p>
        </w:tc>
        <w:tc>
          <w:tcPr>
            <w:tcW w:w="1280" w:type="pct"/>
            <w:noWrap/>
          </w:tcPr>
          <w:p w14:paraId="4CCEC4F5" w14:textId="77777777" w:rsidR="007244C8" w:rsidRPr="00A026F9" w:rsidRDefault="007244C8" w:rsidP="00F163BE">
            <w:pPr>
              <w:pStyle w:val="TableText0"/>
              <w:keepNext w:val="0"/>
              <w:jc w:val="both"/>
            </w:pPr>
            <w:r w:rsidRPr="000A0AE2">
              <w:t>100%</w:t>
            </w:r>
          </w:p>
        </w:tc>
      </w:tr>
      <w:tr w:rsidR="007244C8" w:rsidRPr="0074646B" w14:paraId="081D2D98" w14:textId="77777777" w:rsidTr="007244C8">
        <w:trPr>
          <w:trHeight w:val="255"/>
        </w:trPr>
        <w:tc>
          <w:tcPr>
            <w:tcW w:w="1738" w:type="pct"/>
          </w:tcPr>
          <w:p w14:paraId="5CF51BC0" w14:textId="77777777" w:rsidR="007244C8" w:rsidRPr="00A026F9" w:rsidRDefault="007244C8" w:rsidP="00F163BE">
            <w:pPr>
              <w:pStyle w:val="TableText0"/>
              <w:keepNext w:val="0"/>
              <w:jc w:val="both"/>
            </w:pPr>
            <w:r w:rsidRPr="000A0AE2">
              <w:t>Molybdenum (mcg)</w:t>
            </w:r>
          </w:p>
        </w:tc>
        <w:tc>
          <w:tcPr>
            <w:tcW w:w="1011" w:type="pct"/>
          </w:tcPr>
          <w:p w14:paraId="423687B1" w14:textId="77777777" w:rsidR="007244C8" w:rsidRPr="00A026F9" w:rsidRDefault="007244C8" w:rsidP="00F163BE">
            <w:pPr>
              <w:pStyle w:val="TableText0"/>
              <w:keepNext w:val="0"/>
              <w:jc w:val="both"/>
            </w:pPr>
            <w:r w:rsidRPr="000A0AE2">
              <w:t>17</w:t>
            </w:r>
          </w:p>
        </w:tc>
        <w:tc>
          <w:tcPr>
            <w:tcW w:w="971" w:type="pct"/>
          </w:tcPr>
          <w:p w14:paraId="41005D34" w14:textId="77777777" w:rsidR="007244C8" w:rsidRPr="00A026F9" w:rsidRDefault="007244C8" w:rsidP="00F163BE">
            <w:pPr>
              <w:pStyle w:val="TableText0"/>
              <w:keepNext w:val="0"/>
              <w:jc w:val="both"/>
            </w:pPr>
            <w:r w:rsidRPr="000A0AE2">
              <w:t>15</w:t>
            </w:r>
          </w:p>
        </w:tc>
        <w:tc>
          <w:tcPr>
            <w:tcW w:w="1280" w:type="pct"/>
            <w:noWrap/>
          </w:tcPr>
          <w:p w14:paraId="46046DCE" w14:textId="77777777" w:rsidR="007244C8" w:rsidRPr="00A026F9" w:rsidRDefault="007244C8" w:rsidP="00F163BE">
            <w:pPr>
              <w:pStyle w:val="TableText0"/>
              <w:keepNext w:val="0"/>
              <w:jc w:val="both"/>
            </w:pPr>
            <w:r w:rsidRPr="000A0AE2">
              <w:t>113%</w:t>
            </w:r>
          </w:p>
        </w:tc>
      </w:tr>
      <w:tr w:rsidR="007244C8" w:rsidRPr="0074646B" w14:paraId="16C974D5" w14:textId="77777777" w:rsidTr="007244C8">
        <w:trPr>
          <w:trHeight w:val="255"/>
        </w:trPr>
        <w:tc>
          <w:tcPr>
            <w:tcW w:w="1738" w:type="pct"/>
          </w:tcPr>
          <w:p w14:paraId="626AC874" w14:textId="77777777" w:rsidR="007244C8" w:rsidRPr="00A026F9" w:rsidRDefault="007244C8" w:rsidP="00F163BE">
            <w:pPr>
              <w:pStyle w:val="TableText0"/>
              <w:keepNext w:val="0"/>
              <w:jc w:val="both"/>
            </w:pPr>
            <w:r w:rsidRPr="000A0AE2">
              <w:t>Chromium (mcg)</w:t>
            </w:r>
          </w:p>
        </w:tc>
        <w:tc>
          <w:tcPr>
            <w:tcW w:w="1011" w:type="pct"/>
          </w:tcPr>
          <w:p w14:paraId="3598F8BC" w14:textId="77777777" w:rsidR="007244C8" w:rsidRPr="00A026F9" w:rsidRDefault="007244C8" w:rsidP="00F163BE">
            <w:pPr>
              <w:pStyle w:val="TableText0"/>
              <w:keepNext w:val="0"/>
              <w:jc w:val="both"/>
            </w:pPr>
            <w:r w:rsidRPr="000A0AE2">
              <w:t>13</w:t>
            </w:r>
          </w:p>
        </w:tc>
        <w:tc>
          <w:tcPr>
            <w:tcW w:w="971" w:type="pct"/>
          </w:tcPr>
          <w:p w14:paraId="488B2208" w14:textId="77777777" w:rsidR="007244C8" w:rsidRPr="00A026F9" w:rsidRDefault="007244C8" w:rsidP="00F163BE">
            <w:pPr>
              <w:pStyle w:val="TableText0"/>
              <w:keepNext w:val="0"/>
              <w:jc w:val="both"/>
            </w:pPr>
            <w:r w:rsidRPr="000A0AE2">
              <w:t>13</w:t>
            </w:r>
          </w:p>
        </w:tc>
        <w:tc>
          <w:tcPr>
            <w:tcW w:w="1280" w:type="pct"/>
            <w:noWrap/>
          </w:tcPr>
          <w:p w14:paraId="1CA56FAA" w14:textId="77777777" w:rsidR="007244C8" w:rsidRPr="00A026F9" w:rsidRDefault="007244C8" w:rsidP="00F163BE">
            <w:pPr>
              <w:pStyle w:val="TableText0"/>
              <w:keepNext w:val="0"/>
              <w:jc w:val="both"/>
            </w:pPr>
            <w:r w:rsidRPr="000A0AE2">
              <w:t>100%</w:t>
            </w:r>
          </w:p>
        </w:tc>
      </w:tr>
      <w:tr w:rsidR="007244C8" w:rsidRPr="0074646B" w14:paraId="2D575C7D" w14:textId="77777777" w:rsidTr="007244C8">
        <w:trPr>
          <w:trHeight w:val="255"/>
        </w:trPr>
        <w:tc>
          <w:tcPr>
            <w:tcW w:w="1738" w:type="pct"/>
          </w:tcPr>
          <w:p w14:paraId="4993BD76" w14:textId="77777777" w:rsidR="007244C8" w:rsidRPr="00A026F9" w:rsidRDefault="007244C8" w:rsidP="00F163BE">
            <w:pPr>
              <w:pStyle w:val="TableText0"/>
              <w:keepNext w:val="0"/>
              <w:jc w:val="both"/>
            </w:pPr>
            <w:r w:rsidRPr="000A0AE2">
              <w:t>Selenium (mcg)</w:t>
            </w:r>
          </w:p>
        </w:tc>
        <w:tc>
          <w:tcPr>
            <w:tcW w:w="1011" w:type="pct"/>
          </w:tcPr>
          <w:p w14:paraId="43D8268B" w14:textId="77777777" w:rsidR="007244C8" w:rsidRPr="00A026F9" w:rsidRDefault="007244C8" w:rsidP="00F163BE">
            <w:pPr>
              <w:pStyle w:val="TableText0"/>
              <w:keepNext w:val="0"/>
              <w:jc w:val="both"/>
            </w:pPr>
            <w:r w:rsidRPr="000A0AE2">
              <w:t>23</w:t>
            </w:r>
          </w:p>
        </w:tc>
        <w:tc>
          <w:tcPr>
            <w:tcW w:w="971" w:type="pct"/>
          </w:tcPr>
          <w:p w14:paraId="564B71B2" w14:textId="77777777" w:rsidR="007244C8" w:rsidRPr="00A026F9" w:rsidRDefault="007244C8" w:rsidP="00F163BE">
            <w:pPr>
              <w:pStyle w:val="TableText0"/>
              <w:keepNext w:val="0"/>
              <w:jc w:val="both"/>
            </w:pPr>
            <w:r w:rsidRPr="000A0AE2">
              <w:t>23</w:t>
            </w:r>
          </w:p>
        </w:tc>
        <w:tc>
          <w:tcPr>
            <w:tcW w:w="1280" w:type="pct"/>
            <w:noWrap/>
          </w:tcPr>
          <w:p w14:paraId="27559348" w14:textId="77777777" w:rsidR="007244C8" w:rsidRPr="00A026F9" w:rsidRDefault="007244C8" w:rsidP="00F163BE">
            <w:pPr>
              <w:pStyle w:val="TableText0"/>
              <w:keepNext w:val="0"/>
              <w:jc w:val="both"/>
            </w:pPr>
            <w:r w:rsidRPr="000A0AE2">
              <w:t>100%</w:t>
            </w:r>
          </w:p>
        </w:tc>
      </w:tr>
      <w:tr w:rsidR="007244C8" w:rsidRPr="0074646B" w14:paraId="7D13AF28" w14:textId="77777777" w:rsidTr="007244C8">
        <w:trPr>
          <w:trHeight w:val="255"/>
        </w:trPr>
        <w:tc>
          <w:tcPr>
            <w:tcW w:w="1738" w:type="pct"/>
          </w:tcPr>
          <w:p w14:paraId="0B83F484" w14:textId="77777777" w:rsidR="007244C8" w:rsidRPr="00A026F9" w:rsidRDefault="007244C8" w:rsidP="00F163BE">
            <w:pPr>
              <w:pStyle w:val="TableText0"/>
              <w:keepNext w:val="0"/>
              <w:jc w:val="both"/>
            </w:pPr>
            <w:r w:rsidRPr="000A0AE2">
              <w:t>Sodium (mg)</w:t>
            </w:r>
          </w:p>
        </w:tc>
        <w:tc>
          <w:tcPr>
            <w:tcW w:w="1011" w:type="pct"/>
          </w:tcPr>
          <w:p w14:paraId="60481BE8" w14:textId="77777777" w:rsidR="007244C8" w:rsidRPr="00A026F9" w:rsidRDefault="007244C8" w:rsidP="00F163BE">
            <w:pPr>
              <w:pStyle w:val="TableText0"/>
              <w:keepNext w:val="0"/>
              <w:jc w:val="both"/>
            </w:pPr>
            <w:r w:rsidRPr="000A0AE2">
              <w:t>344</w:t>
            </w:r>
          </w:p>
        </w:tc>
        <w:tc>
          <w:tcPr>
            <w:tcW w:w="971" w:type="pct"/>
          </w:tcPr>
          <w:p w14:paraId="496376B6" w14:textId="77777777" w:rsidR="007244C8" w:rsidRPr="00A026F9" w:rsidRDefault="007244C8" w:rsidP="00F163BE">
            <w:pPr>
              <w:pStyle w:val="TableText0"/>
              <w:keepNext w:val="0"/>
              <w:jc w:val="both"/>
            </w:pPr>
            <w:r w:rsidRPr="000A0AE2">
              <w:t>382</w:t>
            </w:r>
          </w:p>
        </w:tc>
        <w:tc>
          <w:tcPr>
            <w:tcW w:w="1280" w:type="pct"/>
            <w:noWrap/>
          </w:tcPr>
          <w:p w14:paraId="07CDFF62" w14:textId="77777777" w:rsidR="007244C8" w:rsidRPr="00A026F9" w:rsidRDefault="007244C8" w:rsidP="00F163BE">
            <w:pPr>
              <w:pStyle w:val="TableText0"/>
              <w:keepNext w:val="0"/>
              <w:jc w:val="both"/>
            </w:pPr>
            <w:r w:rsidRPr="000A0AE2">
              <w:t>90%</w:t>
            </w:r>
          </w:p>
        </w:tc>
      </w:tr>
      <w:tr w:rsidR="007244C8" w:rsidRPr="0074646B" w14:paraId="72DD693C" w14:textId="77777777" w:rsidTr="007244C8">
        <w:trPr>
          <w:trHeight w:val="255"/>
        </w:trPr>
        <w:tc>
          <w:tcPr>
            <w:tcW w:w="1738" w:type="pct"/>
          </w:tcPr>
          <w:p w14:paraId="77338D3C" w14:textId="77777777" w:rsidR="007244C8" w:rsidRPr="00A026F9" w:rsidRDefault="007244C8" w:rsidP="00F163BE">
            <w:pPr>
              <w:pStyle w:val="TableText0"/>
              <w:keepNext w:val="0"/>
              <w:jc w:val="both"/>
            </w:pPr>
            <w:r w:rsidRPr="000A0AE2">
              <w:t>Potassium (mg)</w:t>
            </w:r>
          </w:p>
        </w:tc>
        <w:tc>
          <w:tcPr>
            <w:tcW w:w="1011" w:type="pct"/>
          </w:tcPr>
          <w:p w14:paraId="0FBE32CE" w14:textId="77777777" w:rsidR="007244C8" w:rsidRPr="00A026F9" w:rsidRDefault="007244C8" w:rsidP="00F163BE">
            <w:pPr>
              <w:pStyle w:val="TableText0"/>
              <w:keepNext w:val="0"/>
              <w:jc w:val="both"/>
            </w:pPr>
            <w:r w:rsidRPr="000A0AE2">
              <w:t>345</w:t>
            </w:r>
          </w:p>
        </w:tc>
        <w:tc>
          <w:tcPr>
            <w:tcW w:w="971" w:type="pct"/>
          </w:tcPr>
          <w:p w14:paraId="0EAFD3FE" w14:textId="77777777" w:rsidR="007244C8" w:rsidRPr="00A026F9" w:rsidRDefault="007244C8" w:rsidP="00F163BE">
            <w:pPr>
              <w:pStyle w:val="TableText0"/>
              <w:keepNext w:val="0"/>
              <w:jc w:val="both"/>
            </w:pPr>
            <w:r w:rsidRPr="000A0AE2">
              <w:t>607</w:t>
            </w:r>
          </w:p>
        </w:tc>
        <w:tc>
          <w:tcPr>
            <w:tcW w:w="1280" w:type="pct"/>
            <w:noWrap/>
          </w:tcPr>
          <w:p w14:paraId="0A6471DF" w14:textId="77777777" w:rsidR="007244C8" w:rsidRPr="00A026F9" w:rsidRDefault="007244C8" w:rsidP="00F163BE">
            <w:pPr>
              <w:pStyle w:val="TableText0"/>
              <w:keepNext w:val="0"/>
              <w:jc w:val="both"/>
            </w:pPr>
            <w:r w:rsidRPr="000A0AE2">
              <w:t>57%</w:t>
            </w:r>
          </w:p>
        </w:tc>
      </w:tr>
      <w:tr w:rsidR="007244C8" w:rsidRPr="0074646B" w14:paraId="1F1E0557" w14:textId="77777777" w:rsidTr="007244C8">
        <w:trPr>
          <w:trHeight w:val="255"/>
        </w:trPr>
        <w:tc>
          <w:tcPr>
            <w:tcW w:w="1738" w:type="pct"/>
          </w:tcPr>
          <w:p w14:paraId="331B149D" w14:textId="77777777" w:rsidR="007244C8" w:rsidRPr="00A026F9" w:rsidRDefault="007244C8" w:rsidP="00F163BE">
            <w:pPr>
              <w:pStyle w:val="TableText0"/>
              <w:keepNext w:val="0"/>
              <w:jc w:val="both"/>
            </w:pPr>
            <w:r w:rsidRPr="000A0AE2">
              <w:t>Chloride (mg)</w:t>
            </w:r>
          </w:p>
        </w:tc>
        <w:tc>
          <w:tcPr>
            <w:tcW w:w="1011" w:type="pct"/>
          </w:tcPr>
          <w:p w14:paraId="30F2A194" w14:textId="77777777" w:rsidR="007244C8" w:rsidRPr="00A026F9" w:rsidRDefault="007244C8" w:rsidP="00F163BE">
            <w:pPr>
              <w:pStyle w:val="TableText0"/>
              <w:keepNext w:val="0"/>
              <w:jc w:val="both"/>
            </w:pPr>
            <w:r w:rsidRPr="000A0AE2">
              <w:t>392</w:t>
            </w:r>
          </w:p>
        </w:tc>
        <w:tc>
          <w:tcPr>
            <w:tcW w:w="971" w:type="pct"/>
          </w:tcPr>
          <w:p w14:paraId="672D7CBC" w14:textId="77777777" w:rsidR="007244C8" w:rsidRPr="00A026F9" w:rsidRDefault="007244C8" w:rsidP="00F163BE">
            <w:pPr>
              <w:pStyle w:val="TableText0"/>
              <w:keepNext w:val="0"/>
              <w:jc w:val="both"/>
            </w:pPr>
            <w:r w:rsidRPr="000A0AE2">
              <w:t>467</w:t>
            </w:r>
          </w:p>
        </w:tc>
        <w:tc>
          <w:tcPr>
            <w:tcW w:w="1280" w:type="pct"/>
            <w:noWrap/>
          </w:tcPr>
          <w:p w14:paraId="57172D8F" w14:textId="77777777" w:rsidR="007244C8" w:rsidRPr="00A026F9" w:rsidRDefault="007244C8" w:rsidP="00F163BE">
            <w:pPr>
              <w:pStyle w:val="TableText0"/>
              <w:keepNext w:val="0"/>
              <w:jc w:val="both"/>
            </w:pPr>
            <w:r w:rsidRPr="000A0AE2">
              <w:t>84%</w:t>
            </w:r>
          </w:p>
        </w:tc>
      </w:tr>
      <w:tr w:rsidR="007244C8" w:rsidRPr="0074646B" w14:paraId="0AD63E72" w14:textId="77777777" w:rsidTr="007244C8">
        <w:trPr>
          <w:trHeight w:val="255"/>
        </w:trPr>
        <w:tc>
          <w:tcPr>
            <w:tcW w:w="1738" w:type="pct"/>
          </w:tcPr>
          <w:p w14:paraId="5DBF987F" w14:textId="77777777" w:rsidR="007244C8" w:rsidRPr="00A026F9" w:rsidRDefault="007244C8" w:rsidP="00F163BE">
            <w:pPr>
              <w:pStyle w:val="TableText0"/>
              <w:keepNext w:val="0"/>
              <w:jc w:val="both"/>
            </w:pPr>
            <w:r w:rsidRPr="000A0AE2">
              <w:t>L-Carnitine (mg)</w:t>
            </w:r>
          </w:p>
        </w:tc>
        <w:tc>
          <w:tcPr>
            <w:tcW w:w="1011" w:type="pct"/>
          </w:tcPr>
          <w:p w14:paraId="1A4A1B54" w14:textId="77777777" w:rsidR="007244C8" w:rsidRPr="00A026F9" w:rsidRDefault="007244C8" w:rsidP="00F163BE">
            <w:pPr>
              <w:pStyle w:val="TableText0"/>
              <w:keepNext w:val="0"/>
              <w:jc w:val="both"/>
            </w:pPr>
            <w:r w:rsidRPr="000A0AE2">
              <w:t>50</w:t>
            </w:r>
          </w:p>
        </w:tc>
        <w:tc>
          <w:tcPr>
            <w:tcW w:w="971" w:type="pct"/>
          </w:tcPr>
          <w:p w14:paraId="28071B2B" w14:textId="77777777" w:rsidR="007244C8" w:rsidRPr="00A026F9" w:rsidRDefault="007244C8" w:rsidP="00F163BE">
            <w:pPr>
              <w:pStyle w:val="TableText0"/>
              <w:keepNext w:val="0"/>
              <w:jc w:val="both"/>
            </w:pPr>
            <w:r w:rsidRPr="000A0AE2">
              <w:t>50</w:t>
            </w:r>
          </w:p>
        </w:tc>
        <w:tc>
          <w:tcPr>
            <w:tcW w:w="1280" w:type="pct"/>
            <w:noWrap/>
          </w:tcPr>
          <w:p w14:paraId="33A9F632" w14:textId="77777777" w:rsidR="007244C8" w:rsidRPr="00A026F9" w:rsidRDefault="007244C8" w:rsidP="00F163BE">
            <w:pPr>
              <w:pStyle w:val="TableText0"/>
              <w:keepNext w:val="0"/>
              <w:jc w:val="both"/>
            </w:pPr>
            <w:r w:rsidRPr="000A0AE2">
              <w:t>100%</w:t>
            </w:r>
          </w:p>
        </w:tc>
      </w:tr>
      <w:tr w:rsidR="007244C8" w:rsidRPr="00A026F9" w14:paraId="5FBC827C" w14:textId="77777777" w:rsidTr="007244C8">
        <w:trPr>
          <w:trHeight w:val="255"/>
        </w:trPr>
        <w:tc>
          <w:tcPr>
            <w:tcW w:w="5000" w:type="pct"/>
            <w:gridSpan w:val="4"/>
          </w:tcPr>
          <w:p w14:paraId="01023304" w14:textId="3C8932D1" w:rsidR="007244C8" w:rsidRPr="007244C8" w:rsidRDefault="007244C8" w:rsidP="00F163BE">
            <w:pPr>
              <w:pStyle w:val="TableText0"/>
              <w:keepNext w:val="0"/>
              <w:jc w:val="both"/>
              <w:rPr>
                <w:b/>
                <w:bCs w:val="0"/>
              </w:rPr>
            </w:pPr>
            <w:r w:rsidRPr="00B472FA">
              <w:rPr>
                <w:b/>
              </w:rPr>
              <w:t>Fat content</w:t>
            </w:r>
          </w:p>
        </w:tc>
      </w:tr>
      <w:tr w:rsidR="007244C8" w:rsidRPr="0074646B" w14:paraId="24E1C91F" w14:textId="77777777" w:rsidTr="007244C8">
        <w:trPr>
          <w:trHeight w:val="255"/>
        </w:trPr>
        <w:tc>
          <w:tcPr>
            <w:tcW w:w="1738" w:type="pct"/>
            <w:vAlign w:val="bottom"/>
          </w:tcPr>
          <w:p w14:paraId="5DE6C5A8" w14:textId="77777777" w:rsidR="007244C8" w:rsidRPr="00A026F9" w:rsidRDefault="007244C8" w:rsidP="00F163BE">
            <w:pPr>
              <w:pStyle w:val="TableText0"/>
              <w:keepNext w:val="0"/>
              <w:jc w:val="both"/>
            </w:pPr>
            <w:r w:rsidRPr="00A026F9">
              <w:t xml:space="preserve">Saturated Fat, g </w:t>
            </w:r>
          </w:p>
        </w:tc>
        <w:tc>
          <w:tcPr>
            <w:tcW w:w="1011" w:type="pct"/>
          </w:tcPr>
          <w:p w14:paraId="7939AC79" w14:textId="77777777" w:rsidR="007244C8" w:rsidRPr="00A026F9" w:rsidRDefault="007244C8" w:rsidP="00F163BE">
            <w:pPr>
              <w:pStyle w:val="TableText0"/>
              <w:keepNext w:val="0"/>
              <w:jc w:val="both"/>
            </w:pPr>
            <w:r w:rsidRPr="00A31FCE">
              <w:t>12</w:t>
            </w:r>
          </w:p>
        </w:tc>
        <w:tc>
          <w:tcPr>
            <w:tcW w:w="971" w:type="pct"/>
          </w:tcPr>
          <w:p w14:paraId="349A941F" w14:textId="77777777" w:rsidR="007244C8" w:rsidRPr="00A026F9" w:rsidRDefault="007244C8" w:rsidP="00F163BE">
            <w:pPr>
              <w:pStyle w:val="TableText0"/>
              <w:keepNext w:val="0"/>
              <w:jc w:val="both"/>
            </w:pPr>
            <w:r w:rsidRPr="00A31FCE">
              <w:t>12.4</w:t>
            </w:r>
          </w:p>
        </w:tc>
        <w:tc>
          <w:tcPr>
            <w:tcW w:w="1280" w:type="pct"/>
            <w:noWrap/>
          </w:tcPr>
          <w:p w14:paraId="29312DF9" w14:textId="77777777" w:rsidR="007244C8" w:rsidRPr="00A026F9" w:rsidRDefault="007244C8" w:rsidP="00F163BE">
            <w:pPr>
              <w:pStyle w:val="TableText0"/>
              <w:keepNext w:val="0"/>
              <w:jc w:val="both"/>
            </w:pPr>
            <w:r w:rsidRPr="00A31FCE">
              <w:t>97%</w:t>
            </w:r>
          </w:p>
        </w:tc>
      </w:tr>
      <w:tr w:rsidR="007244C8" w:rsidRPr="0074646B" w14:paraId="0A58C4CB" w14:textId="77777777" w:rsidTr="007244C8">
        <w:trPr>
          <w:trHeight w:val="255"/>
        </w:trPr>
        <w:tc>
          <w:tcPr>
            <w:tcW w:w="1738" w:type="pct"/>
            <w:vAlign w:val="bottom"/>
          </w:tcPr>
          <w:p w14:paraId="04ED81EF" w14:textId="77777777" w:rsidR="007244C8" w:rsidRPr="00A026F9" w:rsidRDefault="007244C8" w:rsidP="00F163BE">
            <w:pPr>
              <w:pStyle w:val="TableText0"/>
              <w:keepNext w:val="0"/>
              <w:jc w:val="both"/>
            </w:pPr>
            <w:r w:rsidRPr="00A026F9">
              <w:t xml:space="preserve">Trans Fat, g </w:t>
            </w:r>
          </w:p>
        </w:tc>
        <w:tc>
          <w:tcPr>
            <w:tcW w:w="1011" w:type="pct"/>
          </w:tcPr>
          <w:p w14:paraId="269E4EDF" w14:textId="77777777" w:rsidR="007244C8" w:rsidRPr="00A026F9" w:rsidRDefault="007244C8" w:rsidP="00F163BE">
            <w:pPr>
              <w:pStyle w:val="TableText0"/>
              <w:keepNext w:val="0"/>
              <w:jc w:val="both"/>
            </w:pPr>
            <w:r w:rsidRPr="00A31FCE">
              <w:t>0.2</w:t>
            </w:r>
          </w:p>
        </w:tc>
        <w:tc>
          <w:tcPr>
            <w:tcW w:w="971" w:type="pct"/>
          </w:tcPr>
          <w:p w14:paraId="22447876" w14:textId="77777777" w:rsidR="007244C8" w:rsidRPr="00A026F9" w:rsidRDefault="007244C8" w:rsidP="00F163BE">
            <w:pPr>
              <w:pStyle w:val="TableText0"/>
              <w:keepNext w:val="0"/>
              <w:jc w:val="both"/>
            </w:pPr>
            <w:r w:rsidRPr="00A31FCE">
              <w:t>0</w:t>
            </w:r>
          </w:p>
        </w:tc>
        <w:tc>
          <w:tcPr>
            <w:tcW w:w="1280" w:type="pct"/>
            <w:noWrap/>
          </w:tcPr>
          <w:p w14:paraId="37CE0A3B" w14:textId="77777777" w:rsidR="007244C8" w:rsidRPr="00A026F9" w:rsidRDefault="007244C8" w:rsidP="00F163BE">
            <w:pPr>
              <w:pStyle w:val="TableText0"/>
              <w:keepNext w:val="0"/>
              <w:jc w:val="both"/>
            </w:pPr>
            <w:r>
              <w:t>-</w:t>
            </w:r>
          </w:p>
        </w:tc>
      </w:tr>
      <w:tr w:rsidR="007244C8" w:rsidRPr="0074646B" w14:paraId="77BC05D0" w14:textId="77777777" w:rsidTr="007244C8">
        <w:trPr>
          <w:trHeight w:val="255"/>
        </w:trPr>
        <w:tc>
          <w:tcPr>
            <w:tcW w:w="1738" w:type="pct"/>
            <w:vAlign w:val="bottom"/>
          </w:tcPr>
          <w:p w14:paraId="0A824A62" w14:textId="77777777" w:rsidR="007244C8" w:rsidRPr="00A026F9" w:rsidRDefault="007244C8" w:rsidP="00F163BE">
            <w:pPr>
              <w:pStyle w:val="TableText0"/>
              <w:keepNext w:val="0"/>
              <w:jc w:val="both"/>
            </w:pPr>
            <w:r w:rsidRPr="00A026F9">
              <w:t xml:space="preserve">Monounsaturated Fat, g </w:t>
            </w:r>
          </w:p>
        </w:tc>
        <w:tc>
          <w:tcPr>
            <w:tcW w:w="1011" w:type="pct"/>
          </w:tcPr>
          <w:p w14:paraId="436C52A4" w14:textId="77777777" w:rsidR="007244C8" w:rsidRPr="00A026F9" w:rsidRDefault="007244C8" w:rsidP="00F163BE">
            <w:pPr>
              <w:pStyle w:val="TableText0"/>
              <w:keepNext w:val="0"/>
              <w:jc w:val="both"/>
            </w:pPr>
            <w:r w:rsidRPr="00A31FCE">
              <w:t>20</w:t>
            </w:r>
          </w:p>
        </w:tc>
        <w:tc>
          <w:tcPr>
            <w:tcW w:w="971" w:type="pct"/>
          </w:tcPr>
          <w:p w14:paraId="2DAB2A88" w14:textId="77777777" w:rsidR="007244C8" w:rsidRPr="00A026F9" w:rsidRDefault="007244C8" w:rsidP="00F163BE">
            <w:pPr>
              <w:pStyle w:val="TableText0"/>
              <w:keepNext w:val="0"/>
              <w:jc w:val="both"/>
            </w:pPr>
            <w:r w:rsidRPr="00A31FCE">
              <w:t>17.7</w:t>
            </w:r>
          </w:p>
        </w:tc>
        <w:tc>
          <w:tcPr>
            <w:tcW w:w="1280" w:type="pct"/>
            <w:noWrap/>
          </w:tcPr>
          <w:p w14:paraId="1A8B6BCA" w14:textId="77777777" w:rsidR="007244C8" w:rsidRPr="00A026F9" w:rsidRDefault="007244C8" w:rsidP="00F163BE">
            <w:pPr>
              <w:pStyle w:val="TableText0"/>
              <w:keepNext w:val="0"/>
              <w:jc w:val="both"/>
            </w:pPr>
            <w:r w:rsidRPr="00A31FCE">
              <w:t>113%</w:t>
            </w:r>
          </w:p>
        </w:tc>
      </w:tr>
      <w:tr w:rsidR="007244C8" w:rsidRPr="0074646B" w14:paraId="15DD5DF5" w14:textId="77777777" w:rsidTr="007244C8">
        <w:trPr>
          <w:trHeight w:val="255"/>
        </w:trPr>
        <w:tc>
          <w:tcPr>
            <w:tcW w:w="1738" w:type="pct"/>
            <w:vAlign w:val="bottom"/>
          </w:tcPr>
          <w:p w14:paraId="0337E697" w14:textId="77777777" w:rsidR="007244C8" w:rsidRPr="00A026F9" w:rsidRDefault="007244C8" w:rsidP="00F163BE">
            <w:pPr>
              <w:pStyle w:val="TableText0"/>
              <w:keepNext w:val="0"/>
              <w:jc w:val="both"/>
            </w:pPr>
            <w:r w:rsidRPr="00A026F9">
              <w:t xml:space="preserve">Polyunsaturated Fat, g </w:t>
            </w:r>
          </w:p>
        </w:tc>
        <w:tc>
          <w:tcPr>
            <w:tcW w:w="1011" w:type="pct"/>
          </w:tcPr>
          <w:p w14:paraId="1295E33C" w14:textId="77777777" w:rsidR="007244C8" w:rsidRPr="00A026F9" w:rsidRDefault="007244C8" w:rsidP="00F163BE">
            <w:pPr>
              <w:pStyle w:val="TableText0"/>
              <w:keepNext w:val="0"/>
              <w:jc w:val="both"/>
            </w:pPr>
            <w:r w:rsidRPr="00A31FCE">
              <w:t>4.3</w:t>
            </w:r>
          </w:p>
        </w:tc>
        <w:tc>
          <w:tcPr>
            <w:tcW w:w="971" w:type="pct"/>
          </w:tcPr>
          <w:p w14:paraId="1B3B2701" w14:textId="77777777" w:rsidR="007244C8" w:rsidRPr="00A026F9" w:rsidRDefault="007244C8" w:rsidP="00F163BE">
            <w:pPr>
              <w:pStyle w:val="TableText0"/>
              <w:keepNext w:val="0"/>
              <w:jc w:val="both"/>
            </w:pPr>
            <w:r w:rsidRPr="00A31FCE">
              <w:t>6.6</w:t>
            </w:r>
          </w:p>
        </w:tc>
        <w:tc>
          <w:tcPr>
            <w:tcW w:w="1280" w:type="pct"/>
            <w:noWrap/>
          </w:tcPr>
          <w:p w14:paraId="4754104E" w14:textId="77777777" w:rsidR="007244C8" w:rsidRPr="00A026F9" w:rsidRDefault="007244C8" w:rsidP="00F163BE">
            <w:pPr>
              <w:pStyle w:val="TableText0"/>
              <w:keepNext w:val="0"/>
              <w:jc w:val="both"/>
            </w:pPr>
            <w:r w:rsidRPr="00A31FCE">
              <w:t>65%</w:t>
            </w:r>
          </w:p>
        </w:tc>
      </w:tr>
    </w:tbl>
    <w:p w14:paraId="686A3AF8" w14:textId="280B9140" w:rsidR="007244C8" w:rsidRPr="007244C8" w:rsidRDefault="007244C8" w:rsidP="00F163BE">
      <w:pPr>
        <w:pStyle w:val="tablenotes"/>
        <w:spacing w:after="120"/>
        <w:jc w:val="left"/>
        <w:rPr>
          <w:rFonts w:ascii="Arial Narrow" w:hAnsi="Arial Narrow"/>
          <w:sz w:val="18"/>
          <w:szCs w:val="18"/>
        </w:rPr>
      </w:pPr>
      <w:r w:rsidRPr="007244C8">
        <w:rPr>
          <w:rFonts w:ascii="Arial Narrow" w:hAnsi="Arial Narrow"/>
          <w:sz w:val="18"/>
          <w:szCs w:val="18"/>
        </w:rPr>
        <w:t>Source: submission main body pp11-12.</w:t>
      </w:r>
      <w:r w:rsidRPr="007244C8">
        <w:rPr>
          <w:rFonts w:ascii="Arial Narrow" w:hAnsi="Arial Narrow"/>
          <w:sz w:val="18"/>
          <w:szCs w:val="18"/>
        </w:rPr>
        <w:br/>
        <w:t>AI: average intake; DFE: dietary folate equivalent; DHA: Docosahexaenoic Acid; NRV: nutrient reference values; Phe: phenylalanine; RDI: recommended daily intake</w:t>
      </w:r>
    </w:p>
    <w:p w14:paraId="7DAF5936" w14:textId="07C3FECC" w:rsidR="007244C8" w:rsidRPr="007244C8" w:rsidRDefault="007244C8" w:rsidP="00F163BE">
      <w:pPr>
        <w:pStyle w:val="3Bodytext"/>
        <w:jc w:val="both"/>
      </w:pPr>
      <w:r w:rsidRPr="007244C8">
        <w:t xml:space="preserve">The </w:t>
      </w:r>
      <w:r w:rsidR="009561F7">
        <w:t xml:space="preserve">PBAC </w:t>
      </w:r>
      <w:r w:rsidR="00D92002">
        <w:t xml:space="preserve">advised that </w:t>
      </w:r>
      <w:r w:rsidRPr="007244C8">
        <w:t>the new formulations are expected to provide non-inferior clinical benefits for the management of a ketogenic diet in comparison to the current formulations.</w:t>
      </w:r>
    </w:p>
    <w:p w14:paraId="0F8ED46E" w14:textId="77777777" w:rsidR="00463257" w:rsidRPr="00937958" w:rsidRDefault="00463257" w:rsidP="00F163BE">
      <w:pPr>
        <w:pStyle w:val="4-SubsectionHeading"/>
        <w:keepNext w:val="0"/>
        <w:rPr>
          <w:lang w:eastAsia="en-US"/>
        </w:rPr>
      </w:pPr>
      <w:r>
        <w:rPr>
          <w:lang w:eastAsia="en-US"/>
        </w:rPr>
        <w:t>Estimated PBS utilisation and financial implications</w:t>
      </w:r>
    </w:p>
    <w:p w14:paraId="2D2516BD" w14:textId="77777777" w:rsidR="003C7B13" w:rsidRPr="00FA0B04" w:rsidRDefault="003C7B13" w:rsidP="005834B6">
      <w:pPr>
        <w:pStyle w:val="3-BodyText"/>
        <w:numPr>
          <w:ilvl w:val="1"/>
          <w:numId w:val="1"/>
        </w:numPr>
      </w:pPr>
      <w:r>
        <w:t xml:space="preserve">The submission did not present economic or financial evaluations. </w:t>
      </w:r>
      <w:r w:rsidRPr="007C1A53">
        <w:t xml:space="preserve">The </w:t>
      </w:r>
      <w:r>
        <w:t xml:space="preserve">submission requested no change to the current pricing arrangements. </w:t>
      </w:r>
    </w:p>
    <w:p w14:paraId="22BB5A6F" w14:textId="34ADFEBA" w:rsidR="00463257" w:rsidRPr="001C35D9" w:rsidRDefault="00463257" w:rsidP="00F163BE">
      <w:pPr>
        <w:pStyle w:val="3Bodytext"/>
        <w:jc w:val="both"/>
        <w:rPr>
          <w:rFonts w:cs="Arial"/>
          <w:b/>
          <w:i/>
          <w:iCs/>
          <w:snapToGrid w:val="0"/>
        </w:rPr>
      </w:pPr>
      <w:bookmarkStart w:id="6" w:name="_Hlk126315221"/>
      <w:r w:rsidRPr="00811202">
        <w:t xml:space="preserve">The submission </w:t>
      </w:r>
      <w:r w:rsidR="00346DD6">
        <w:t xml:space="preserve">considered the formulation changes </w:t>
      </w:r>
      <w:r w:rsidRPr="00811202">
        <w:t xml:space="preserve">will have </w:t>
      </w:r>
      <w:r w:rsidR="0010245F">
        <w:t xml:space="preserve">nil </w:t>
      </w:r>
      <w:r w:rsidRPr="00811202">
        <w:t xml:space="preserve">financial impact </w:t>
      </w:r>
      <w:r w:rsidR="0010245F">
        <w:t>to Government</w:t>
      </w:r>
      <w:r w:rsidR="009561F7">
        <w:t xml:space="preserve"> as no change in price is requested and it did not estimate any change in utilisation would occur</w:t>
      </w:r>
      <w:r w:rsidRPr="00811202">
        <w:t xml:space="preserve">. </w:t>
      </w:r>
    </w:p>
    <w:p w14:paraId="32E7DEA9" w14:textId="0593EA0A" w:rsidR="00F163BE" w:rsidRPr="00433F9C" w:rsidRDefault="0036398F" w:rsidP="00433F9C">
      <w:pPr>
        <w:pStyle w:val="3Bodytext"/>
        <w:numPr>
          <w:ilvl w:val="0"/>
          <w:numId w:val="0"/>
        </w:numPr>
        <w:ind w:left="720"/>
        <w:jc w:val="both"/>
        <w:rPr>
          <w:rFonts w:cs="Arial"/>
          <w:b/>
          <w:i/>
          <w:iCs/>
          <w:snapToGrid w:val="0"/>
        </w:rPr>
      </w:pPr>
      <w:bookmarkStart w:id="7" w:name="_Hlk128987768"/>
      <w:r w:rsidRPr="0036398F">
        <w:rPr>
          <w:i/>
          <w:iCs/>
        </w:rPr>
        <w:t xml:space="preserve">For more detail on PBAC’s view, see section </w:t>
      </w:r>
      <w:r>
        <w:rPr>
          <w:i/>
          <w:iCs/>
        </w:rPr>
        <w:t>6</w:t>
      </w:r>
      <w:r w:rsidRPr="0036398F">
        <w:rPr>
          <w:i/>
          <w:iCs/>
        </w:rPr>
        <w:t xml:space="preserve"> PBAC outcome.</w:t>
      </w:r>
      <w:bookmarkEnd w:id="6"/>
      <w:bookmarkEnd w:id="7"/>
    </w:p>
    <w:p w14:paraId="03782F15" w14:textId="1CF660AF" w:rsidR="00563892" w:rsidRDefault="00563892" w:rsidP="005834B6">
      <w:pPr>
        <w:pStyle w:val="Heading1"/>
        <w:keepLines/>
        <w:numPr>
          <w:ilvl w:val="0"/>
          <w:numId w:val="1"/>
        </w:numPr>
        <w:spacing w:before="240"/>
        <w:ind w:left="709" w:hanging="709"/>
        <w:jc w:val="both"/>
        <w:rPr>
          <w:sz w:val="32"/>
          <w:szCs w:val="32"/>
        </w:rPr>
      </w:pPr>
      <w:r>
        <w:rPr>
          <w:sz w:val="32"/>
          <w:szCs w:val="32"/>
        </w:rPr>
        <w:t>NPWP consideration</w:t>
      </w:r>
    </w:p>
    <w:p w14:paraId="5AE94FDE" w14:textId="663962AB" w:rsidR="00A651D1" w:rsidRPr="00A651D1" w:rsidRDefault="00A651D1" w:rsidP="00F163BE">
      <w:pPr>
        <w:pStyle w:val="3Bodytext"/>
        <w:jc w:val="both"/>
      </w:pPr>
      <w:r w:rsidRPr="00A651D1">
        <w:t xml:space="preserve">The </w:t>
      </w:r>
      <w:bookmarkStart w:id="8" w:name="_Hlk126315232"/>
      <w:r>
        <w:t>Nutritional Products Working Party (NPWP</w:t>
      </w:r>
      <w:bookmarkEnd w:id="8"/>
      <w:r>
        <w:t xml:space="preserve">) </w:t>
      </w:r>
      <w:r w:rsidRPr="00A651D1">
        <w:t>advised that the new formulations are expected to provide non-inferior clinical benefit for the management of a ketogenic diet.</w:t>
      </w:r>
    </w:p>
    <w:p w14:paraId="7DF8145B" w14:textId="1E6FC879" w:rsidR="00FF4D9E" w:rsidRDefault="00A651D1" w:rsidP="00F163BE">
      <w:pPr>
        <w:pStyle w:val="3Bodytext"/>
        <w:jc w:val="both"/>
      </w:pPr>
      <w:r w:rsidRPr="00A651D1">
        <w:t xml:space="preserve">The NPWP supported the new formulations of KetoVie 3:1, KetoVie 4:1 and KetoVie Peptide 4:1 continuing to be listed on the PBS under the existing conditions as the existing formulations. </w:t>
      </w:r>
    </w:p>
    <w:p w14:paraId="416A8992" w14:textId="3DA9E3DA" w:rsidR="0036398F" w:rsidRPr="0036398F" w:rsidRDefault="0036398F" w:rsidP="0036398F">
      <w:pPr>
        <w:pStyle w:val="3Bodytext"/>
        <w:numPr>
          <w:ilvl w:val="0"/>
          <w:numId w:val="0"/>
        </w:numPr>
        <w:ind w:left="720"/>
        <w:jc w:val="both"/>
        <w:rPr>
          <w:i/>
          <w:iCs/>
        </w:rPr>
      </w:pPr>
      <w:bookmarkStart w:id="9" w:name="_Hlk128997628"/>
      <w:r w:rsidRPr="0036398F">
        <w:rPr>
          <w:i/>
          <w:iCs/>
        </w:rPr>
        <w:lastRenderedPageBreak/>
        <w:t xml:space="preserve">For more detail on PBAC’s view, see section </w:t>
      </w:r>
      <w:r>
        <w:rPr>
          <w:i/>
          <w:iCs/>
        </w:rPr>
        <w:t>6</w:t>
      </w:r>
      <w:r w:rsidRPr="0036398F">
        <w:rPr>
          <w:i/>
          <w:iCs/>
        </w:rPr>
        <w:t xml:space="preserve"> PBAC outcome.</w:t>
      </w:r>
    </w:p>
    <w:p w14:paraId="2ABA7062" w14:textId="77777777" w:rsidR="005834B6" w:rsidRPr="005834B6" w:rsidRDefault="005834B6" w:rsidP="005834B6">
      <w:pPr>
        <w:pStyle w:val="Heading1"/>
        <w:keepLines/>
        <w:numPr>
          <w:ilvl w:val="0"/>
          <w:numId w:val="1"/>
        </w:numPr>
        <w:spacing w:before="240"/>
        <w:ind w:left="709" w:hanging="709"/>
        <w:jc w:val="both"/>
        <w:rPr>
          <w:sz w:val="32"/>
          <w:szCs w:val="32"/>
        </w:rPr>
      </w:pPr>
      <w:bookmarkStart w:id="10" w:name="_Hlk76381249"/>
      <w:bookmarkEnd w:id="9"/>
      <w:r w:rsidRPr="005834B6">
        <w:rPr>
          <w:sz w:val="32"/>
          <w:szCs w:val="32"/>
        </w:rPr>
        <w:t>PBAC Outcome</w:t>
      </w:r>
    </w:p>
    <w:p w14:paraId="497F2696" w14:textId="3F1167B8" w:rsidR="00D92002" w:rsidRPr="00D92002" w:rsidRDefault="00D92002" w:rsidP="005834B6">
      <w:pPr>
        <w:widowControl w:val="0"/>
        <w:numPr>
          <w:ilvl w:val="1"/>
          <w:numId w:val="1"/>
        </w:numPr>
        <w:spacing w:after="120"/>
        <w:rPr>
          <w:rFonts w:asciiTheme="minorHAnsi" w:hAnsiTheme="minorHAnsi" w:cs="Arial"/>
          <w:snapToGrid w:val="0"/>
          <w:lang w:val="en-GB"/>
        </w:rPr>
      </w:pPr>
      <w:bookmarkStart w:id="11" w:name="_Hlk128992429"/>
      <w:r>
        <w:t>The PBAC recommended</w:t>
      </w:r>
      <w:r w:rsidRPr="00C01872">
        <w:t xml:space="preserve"> that </w:t>
      </w:r>
      <w:r>
        <w:t xml:space="preserve">new formulations of </w:t>
      </w:r>
      <w:r w:rsidRPr="00C01872">
        <w:t xml:space="preserve">high fat formula with vitamins, minerals and trace elements and low in protein and carbohydrate (KetoVie® 3:1, KetoVie® 4:1, KetoVie® Peptide 4:1) continue to be listed on the </w:t>
      </w:r>
      <w:r w:rsidR="00225F6E">
        <w:t>PBS</w:t>
      </w:r>
      <w:r w:rsidRPr="00C01872">
        <w:t xml:space="preserve"> under the existing conditions</w:t>
      </w:r>
      <w:r>
        <w:t xml:space="preserve"> of the current formulations</w:t>
      </w:r>
      <w:r w:rsidRPr="00C01872">
        <w:t>.</w:t>
      </w:r>
      <w:r>
        <w:t xml:space="preserve"> </w:t>
      </w:r>
    </w:p>
    <w:p w14:paraId="5876A226" w14:textId="262A74C0" w:rsidR="00D92002" w:rsidRPr="00A651D1" w:rsidRDefault="005834B6" w:rsidP="00D92002">
      <w:pPr>
        <w:pStyle w:val="3Bodytext"/>
        <w:jc w:val="both"/>
      </w:pPr>
      <w:r w:rsidRPr="00CE42B4">
        <w:rPr>
          <w:rFonts w:cs="Arial"/>
          <w:snapToGrid w:val="0"/>
          <w:lang w:val="en-GB"/>
        </w:rPr>
        <w:t xml:space="preserve">The PBAC </w:t>
      </w:r>
      <w:r w:rsidR="00D92002">
        <w:rPr>
          <w:rFonts w:cs="Arial"/>
          <w:snapToGrid w:val="0"/>
          <w:lang w:val="en-GB"/>
        </w:rPr>
        <w:t xml:space="preserve">noted </w:t>
      </w:r>
      <w:r w:rsidR="00EF1E66">
        <w:rPr>
          <w:rFonts w:cs="Arial"/>
          <w:snapToGrid w:val="0"/>
          <w:lang w:val="en-GB"/>
        </w:rPr>
        <w:t xml:space="preserve">and supported </w:t>
      </w:r>
      <w:r w:rsidR="00D92002">
        <w:rPr>
          <w:rFonts w:cs="Arial"/>
          <w:snapToGrid w:val="0"/>
          <w:lang w:val="en-GB"/>
        </w:rPr>
        <w:t xml:space="preserve">the NPWP advice that </w:t>
      </w:r>
      <w:r w:rsidR="00D92002" w:rsidRPr="00A651D1">
        <w:t xml:space="preserve">the new formulations are expected to provide </w:t>
      </w:r>
      <w:r w:rsidR="001C35D9">
        <w:t xml:space="preserve">a </w:t>
      </w:r>
      <w:r w:rsidR="00D92002" w:rsidRPr="00A651D1">
        <w:t>non-inferior clinical benefit for the management of a ketogenic diet.</w:t>
      </w:r>
    </w:p>
    <w:p w14:paraId="702B11AD" w14:textId="43D8B9DD" w:rsidR="005834B6" w:rsidRDefault="00D92002" w:rsidP="005834B6">
      <w:pPr>
        <w:widowControl w:val="0"/>
        <w:numPr>
          <w:ilvl w:val="1"/>
          <w:numId w:val="1"/>
        </w:numPr>
        <w:spacing w:after="120"/>
        <w:rPr>
          <w:rFonts w:asciiTheme="minorHAnsi" w:hAnsiTheme="minorHAnsi" w:cs="Arial"/>
          <w:snapToGrid w:val="0"/>
          <w:lang w:val="en-GB"/>
        </w:rPr>
      </w:pPr>
      <w:r>
        <w:rPr>
          <w:rFonts w:asciiTheme="minorHAnsi" w:hAnsiTheme="minorHAnsi" w:cs="Arial"/>
          <w:snapToGrid w:val="0"/>
          <w:lang w:val="en-GB"/>
        </w:rPr>
        <w:t>The PBAC noted there w</w:t>
      </w:r>
      <w:r w:rsidR="001C35D9">
        <w:rPr>
          <w:rFonts w:asciiTheme="minorHAnsi" w:hAnsiTheme="minorHAnsi" w:cs="Arial"/>
          <w:snapToGrid w:val="0"/>
          <w:lang w:val="en-GB"/>
        </w:rPr>
        <w:t>ere</w:t>
      </w:r>
      <w:r>
        <w:rPr>
          <w:rFonts w:asciiTheme="minorHAnsi" w:hAnsiTheme="minorHAnsi" w:cs="Arial"/>
          <w:snapToGrid w:val="0"/>
          <w:lang w:val="en-GB"/>
        </w:rPr>
        <w:t xml:space="preserve"> no changes requested to the circumstances under which the existing listings are available.</w:t>
      </w:r>
    </w:p>
    <w:p w14:paraId="4333AFED" w14:textId="30429614" w:rsidR="006D6333" w:rsidRPr="0036398F" w:rsidRDefault="00D92002" w:rsidP="006D6333">
      <w:pPr>
        <w:pStyle w:val="3Bodytext"/>
        <w:jc w:val="both"/>
        <w:rPr>
          <w:rFonts w:cs="Arial"/>
          <w:b/>
          <w:i/>
          <w:iCs/>
          <w:snapToGrid w:val="0"/>
        </w:rPr>
      </w:pPr>
      <w:r>
        <w:rPr>
          <w:rFonts w:cs="Arial"/>
          <w:snapToGrid w:val="0"/>
          <w:lang w:val="en-GB"/>
        </w:rPr>
        <w:t xml:space="preserve">The PBAC considered the formulation changes </w:t>
      </w:r>
      <w:r w:rsidR="006D6333">
        <w:t>would not be expected to result in a financial impact to Government.</w:t>
      </w:r>
    </w:p>
    <w:p w14:paraId="04D6B1BC" w14:textId="3DF7097F" w:rsidR="005834B6" w:rsidRPr="005834B6" w:rsidRDefault="005834B6" w:rsidP="005834B6">
      <w:pPr>
        <w:widowControl w:val="0"/>
        <w:numPr>
          <w:ilvl w:val="1"/>
          <w:numId w:val="1"/>
        </w:numPr>
        <w:spacing w:after="120"/>
        <w:rPr>
          <w:rFonts w:asciiTheme="minorHAnsi" w:hAnsiTheme="minorHAnsi" w:cs="Arial"/>
          <w:bCs/>
          <w:snapToGrid w:val="0"/>
          <w:lang w:val="en-GB"/>
        </w:rPr>
      </w:pPr>
      <w:r w:rsidRPr="00525B39">
        <w:rPr>
          <w:rFonts w:asciiTheme="minorHAnsi" w:hAnsiTheme="minorHAnsi" w:cs="Arial"/>
          <w:bCs/>
          <w:snapToGrid w:val="0"/>
          <w:lang w:val="en-GB"/>
        </w:rPr>
        <w:t xml:space="preserve">The </w:t>
      </w:r>
      <w:r w:rsidRPr="005834B6">
        <w:rPr>
          <w:rFonts w:asciiTheme="minorHAnsi" w:hAnsiTheme="minorHAnsi" w:cs="Arial"/>
          <w:snapToGrid w:val="0"/>
          <w:lang w:val="en-GB"/>
        </w:rPr>
        <w:t>PBAC</w:t>
      </w:r>
      <w:r w:rsidRPr="00525B39">
        <w:rPr>
          <w:rFonts w:asciiTheme="minorHAnsi" w:hAnsiTheme="minorHAnsi" w:cs="Arial"/>
          <w:bCs/>
          <w:snapToGrid w:val="0"/>
          <w:lang w:val="en-GB"/>
        </w:rPr>
        <w:t xml:space="preserve"> noted that this submission is not eligible for an Independent Review</w:t>
      </w:r>
      <w:r>
        <w:rPr>
          <w:rFonts w:asciiTheme="minorHAnsi" w:hAnsiTheme="minorHAnsi" w:cs="Arial"/>
          <w:bCs/>
          <w:snapToGrid w:val="0"/>
          <w:lang w:val="en-GB"/>
        </w:rPr>
        <w:t xml:space="preserve"> as it received a positive recommendation</w:t>
      </w:r>
      <w:r w:rsidRPr="00525B39">
        <w:rPr>
          <w:rFonts w:asciiTheme="minorHAnsi" w:hAnsiTheme="minorHAnsi" w:cs="Arial"/>
          <w:bCs/>
          <w:snapToGrid w:val="0"/>
          <w:lang w:val="en-GB"/>
        </w:rPr>
        <w:t xml:space="preserve">. </w:t>
      </w:r>
    </w:p>
    <w:bookmarkEnd w:id="11"/>
    <w:p w14:paraId="3B6D3D1C" w14:textId="77777777" w:rsidR="005834B6" w:rsidRPr="00525B39" w:rsidRDefault="005834B6" w:rsidP="005834B6">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64B0E80" w14:textId="0C5C7114" w:rsidR="005834B6" w:rsidRPr="004C466D" w:rsidRDefault="005834B6" w:rsidP="004C466D">
      <w:pPr>
        <w:rPr>
          <w:rFonts w:asciiTheme="minorHAnsi" w:hAnsiTheme="minorHAnsi" w:cs="Arial"/>
          <w:bCs/>
          <w:snapToGrid w:val="0"/>
          <w:lang w:val="en-GB"/>
        </w:rPr>
      </w:pPr>
      <w:r w:rsidRPr="00525B39">
        <w:rPr>
          <w:rFonts w:asciiTheme="minorHAnsi" w:hAnsiTheme="minorHAnsi" w:cs="Arial"/>
          <w:bCs/>
          <w:snapToGrid w:val="0"/>
          <w:lang w:val="en-GB"/>
        </w:rPr>
        <w:t>Recommended</w:t>
      </w:r>
    </w:p>
    <w:bookmarkEnd w:id="10"/>
    <w:p w14:paraId="50C19C97" w14:textId="77777777" w:rsidR="005834B6" w:rsidRPr="005834B6" w:rsidRDefault="005834B6" w:rsidP="005834B6">
      <w:pPr>
        <w:pStyle w:val="Heading1"/>
        <w:keepLines/>
        <w:numPr>
          <w:ilvl w:val="0"/>
          <w:numId w:val="1"/>
        </w:numPr>
        <w:spacing w:before="240"/>
        <w:ind w:left="709" w:hanging="709"/>
        <w:jc w:val="both"/>
        <w:rPr>
          <w:sz w:val="32"/>
          <w:szCs w:val="32"/>
        </w:rPr>
      </w:pPr>
      <w:r w:rsidRPr="005834B6">
        <w:rPr>
          <w:sz w:val="32"/>
          <w:szCs w:val="32"/>
        </w:rPr>
        <w:t>Recommended listing</w:t>
      </w:r>
    </w:p>
    <w:p w14:paraId="628776C3" w14:textId="4714E3DF" w:rsidR="00D517D0" w:rsidRPr="00433F9C" w:rsidRDefault="005834B6" w:rsidP="00433F9C">
      <w:pPr>
        <w:widowControl w:val="0"/>
        <w:numPr>
          <w:ilvl w:val="1"/>
          <w:numId w:val="1"/>
        </w:numPr>
        <w:spacing w:after="120"/>
        <w:contextualSpacing/>
        <w:rPr>
          <w:rFonts w:asciiTheme="minorHAnsi" w:hAnsiTheme="minorHAnsi" w:cs="Arial"/>
          <w:bCs/>
          <w:snapToGrid w:val="0"/>
        </w:rPr>
      </w:pPr>
      <w:bookmarkStart w:id="12" w:name="_Hlk128995802"/>
      <w:r w:rsidRPr="00525B39">
        <w:rPr>
          <w:rFonts w:asciiTheme="minorHAnsi" w:hAnsiTheme="minorHAnsi" w:cs="Arial"/>
          <w:bCs/>
          <w:snapToGrid w:val="0"/>
        </w:rPr>
        <w:t>No change to the existing listing</w:t>
      </w:r>
      <w:bookmarkEnd w:id="12"/>
    </w:p>
    <w:p w14:paraId="5337605D" w14:textId="029A4B84" w:rsidR="00D517D0" w:rsidRPr="00D517D0" w:rsidRDefault="00D517D0" w:rsidP="00D517D0">
      <w:pPr>
        <w:pStyle w:val="Heading1"/>
        <w:keepLines/>
        <w:numPr>
          <w:ilvl w:val="0"/>
          <w:numId w:val="1"/>
        </w:numPr>
        <w:spacing w:before="240"/>
        <w:ind w:left="709" w:hanging="709"/>
        <w:jc w:val="both"/>
        <w:rPr>
          <w:sz w:val="32"/>
          <w:szCs w:val="32"/>
        </w:rPr>
      </w:pPr>
      <w:bookmarkStart w:id="13" w:name="_Hlk112834232"/>
      <w:r w:rsidRPr="00D517D0">
        <w:rPr>
          <w:sz w:val="32"/>
          <w:szCs w:val="32"/>
        </w:rPr>
        <w:t>Context for Decision</w:t>
      </w:r>
    </w:p>
    <w:p w14:paraId="0E78BFE2" w14:textId="77777777" w:rsidR="00D517D0" w:rsidRPr="007129F2" w:rsidRDefault="00D517D0" w:rsidP="00433F9C">
      <w:pPr>
        <w:spacing w:after="120"/>
        <w:ind w:left="709"/>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965EA63" w14:textId="2C5D1CE8" w:rsidR="00D517D0" w:rsidRPr="00D517D0" w:rsidRDefault="00D517D0" w:rsidP="00D517D0">
      <w:pPr>
        <w:pStyle w:val="Heading1"/>
        <w:keepLines/>
        <w:numPr>
          <w:ilvl w:val="0"/>
          <w:numId w:val="1"/>
        </w:numPr>
        <w:spacing w:before="240"/>
        <w:ind w:left="709" w:hanging="709"/>
        <w:jc w:val="both"/>
        <w:rPr>
          <w:sz w:val="32"/>
          <w:szCs w:val="32"/>
        </w:rPr>
      </w:pPr>
      <w:r w:rsidRPr="00D517D0">
        <w:rPr>
          <w:sz w:val="32"/>
          <w:szCs w:val="32"/>
        </w:rPr>
        <w:t>Sponsor’s Comment</w:t>
      </w:r>
    </w:p>
    <w:bookmarkEnd w:id="13"/>
    <w:p w14:paraId="2910162E" w14:textId="5BF7C719" w:rsidR="007244C8" w:rsidRPr="00433F9C" w:rsidRDefault="00D517D0" w:rsidP="00433F9C">
      <w:pPr>
        <w:spacing w:after="120"/>
        <w:ind w:left="426" w:firstLine="283"/>
        <w:rPr>
          <w:rFonts w:cs="Arial"/>
          <w:bCs/>
        </w:rPr>
      </w:pPr>
      <w:r w:rsidRPr="00C07617">
        <w:rPr>
          <w:rFonts w:cs="Arial"/>
          <w:bCs/>
        </w:rPr>
        <w:t>The sponsor had no comment.</w:t>
      </w:r>
    </w:p>
    <w:bookmarkEnd w:id="4"/>
    <w:sectPr w:rsidR="007244C8" w:rsidRPr="00433F9C" w:rsidSect="00BD47B8">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B553" w14:textId="77777777" w:rsidR="00062C03" w:rsidRDefault="00062C03">
      <w:r>
        <w:separator/>
      </w:r>
    </w:p>
    <w:p w14:paraId="3DEADA83" w14:textId="77777777" w:rsidR="00062C03" w:rsidRDefault="00062C03"/>
  </w:endnote>
  <w:endnote w:type="continuationSeparator" w:id="0">
    <w:p w14:paraId="700A150B" w14:textId="77777777" w:rsidR="00062C03" w:rsidRDefault="00062C03">
      <w:r>
        <w:continuationSeparator/>
      </w:r>
    </w:p>
    <w:p w14:paraId="4DD62F85" w14:textId="77777777" w:rsidR="00062C03" w:rsidRDefault="00062C03"/>
  </w:endnote>
  <w:endnote w:type="continuationNotice" w:id="1">
    <w:p w14:paraId="24C84557" w14:textId="77777777" w:rsidR="00062C03" w:rsidRDefault="00062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ACFFCFA" w:usb2="00000016" w:usb3="00000000" w:csb0="00100001" w:csb1="00000000"/>
  </w:font>
  <w:font w:name="Arial Bold">
    <w:panose1 w:val="020B07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A0C56" w14:textId="1D53C76F" w:rsidR="009C26AA" w:rsidRPr="00D429EC" w:rsidRDefault="00C11752" w:rsidP="00C11752">
    <w:pPr>
      <w:pStyle w:val="PBACFooter"/>
      <w:tabs>
        <w:tab w:val="clear" w:pos="4153"/>
        <w:tab w:val="clear" w:pos="8306"/>
        <w:tab w:val="left" w:pos="3249"/>
      </w:tabs>
      <w:jc w:val="both"/>
      <w:rPr>
        <w:rFonts w:asciiTheme="minorHAnsi" w:hAnsiTheme="minorHAnsi" w:cstheme="minorHAnsi"/>
        <w:sz w:val="24"/>
      </w:rPr>
    </w:pPr>
    <w:r>
      <w:rPr>
        <w:rFonts w:asciiTheme="minorHAnsi" w:hAnsiTheme="minorHAnsi" w:cstheme="minorHAnsi"/>
        <w:sz w:val="24"/>
      </w:rPr>
      <w:tab/>
    </w:r>
  </w:p>
  <w:p w14:paraId="355827FE" w14:textId="156030CF" w:rsidR="009C26AA" w:rsidRPr="005834B6" w:rsidRDefault="00401640" w:rsidP="00C56D78">
    <w:pPr>
      <w:pStyle w:val="MinorOVRHeader"/>
      <w:jc w:val="center"/>
      <w:rPr>
        <w:b/>
        <w:bCs/>
      </w:rPr>
    </w:pPr>
    <w:r w:rsidRPr="005834B6">
      <w:rPr>
        <w:b/>
        <w:bCs/>
      </w:rPr>
      <w:fldChar w:fldCharType="begin"/>
    </w:r>
    <w:r w:rsidRPr="005834B6">
      <w:rPr>
        <w:b/>
        <w:bCs/>
      </w:rPr>
      <w:instrText xml:space="preserve"> PAGE   \* MERGEFORMAT </w:instrText>
    </w:r>
    <w:r w:rsidRPr="005834B6">
      <w:rPr>
        <w:b/>
        <w:bCs/>
      </w:rPr>
      <w:fldChar w:fldCharType="separate"/>
    </w:r>
    <w:r w:rsidRPr="005834B6">
      <w:rPr>
        <w:b/>
        <w:bCs/>
      </w:rPr>
      <w:t>1</w:t>
    </w:r>
    <w:r w:rsidRPr="005834B6">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IntenseQuote1"/>
      <w:tblW w:w="5000" w:type="pct"/>
      <w:tblLook w:val="04A0" w:firstRow="1" w:lastRow="0" w:firstColumn="1" w:lastColumn="0" w:noHBand="0" w:noVBand="1"/>
    </w:tblPr>
    <w:tblGrid>
      <w:gridCol w:w="3850"/>
      <w:gridCol w:w="1325"/>
      <w:gridCol w:w="3851"/>
    </w:tblGrid>
    <w:tr w:rsidR="009C26AA" w14:paraId="1B1A9BFB" w14:textId="77777777" w:rsidTr="00BD47B8">
      <w:trPr>
        <w:cnfStyle w:val="100000000000" w:firstRow="1" w:lastRow="0" w:firstColumn="0" w:lastColumn="0" w:oddVBand="0" w:evenVBand="0" w:oddHBand="0" w:evenHBand="0" w:firstRowFirstColumn="0" w:firstRowLastColumn="0" w:lastRowFirstColumn="0" w:lastRowLastColumn="0"/>
        <w:trHeight w:val="151"/>
      </w:trPr>
      <w:tc>
        <w:tcPr>
          <w:cnfStyle w:val="001000000000" w:firstRow="0" w:lastRow="0" w:firstColumn="1" w:lastColumn="0" w:oddVBand="0" w:evenVBand="0" w:oddHBand="0" w:evenHBand="0" w:firstRowFirstColumn="0" w:firstRowLastColumn="0" w:lastRowFirstColumn="0" w:lastRowLastColumn="0"/>
          <w:tcW w:w="2153" w:type="pct"/>
        </w:tcPr>
        <w:p w14:paraId="1AEC0F9B" w14:textId="77777777" w:rsidR="009C26AA" w:rsidRPr="005A3173" w:rsidRDefault="009C26AA" w:rsidP="005A3173">
          <w:pPr>
            <w:pStyle w:val="Header"/>
            <w:spacing w:line="276" w:lineRule="auto"/>
            <w:rPr>
              <w:rFonts w:eastAsia="MS Gothic"/>
              <w:b w:val="0"/>
              <w:bCs w:val="0"/>
              <w:color w:val="4F81BD"/>
            </w:rPr>
          </w:pPr>
        </w:p>
      </w:tc>
      <w:tc>
        <w:tcPr>
          <w:tcW w:w="694" w:type="pct"/>
          <w:vMerge w:val="restart"/>
          <w:noWrap/>
          <w:hideMark/>
        </w:tcPr>
        <w:p w14:paraId="6D1F795C" w14:textId="77777777" w:rsidR="009C26AA" w:rsidRPr="005A3173" w:rsidRDefault="009C26AA" w:rsidP="005A3173">
          <w:pPr>
            <w:pStyle w:val="MediumGrid21"/>
            <w:spacing w:line="276" w:lineRule="auto"/>
            <w:cnfStyle w:val="100000000000" w:firstRow="1" w:lastRow="0" w:firstColumn="0" w:lastColumn="0" w:oddVBand="0" w:evenVBand="0" w:oddHBand="0" w:evenHBand="0" w:firstRowFirstColumn="0" w:firstRowLastColumn="0" w:lastRowFirstColumn="0" w:lastRowLastColumn="0"/>
            <w:rPr>
              <w:rFonts w:ascii="Calibri" w:hAnsi="Calibri"/>
            </w:rPr>
          </w:pPr>
          <w:r w:rsidRPr="005A3173">
            <w:rPr>
              <w:rFonts w:ascii="Cambria" w:hAnsi="Cambria"/>
            </w:rPr>
            <w:t>[Type text]</w:t>
          </w:r>
        </w:p>
      </w:tc>
      <w:tc>
        <w:tcPr>
          <w:tcW w:w="2153" w:type="pct"/>
        </w:tcPr>
        <w:p w14:paraId="6B7FA645" w14:textId="77777777" w:rsidR="009C26AA" w:rsidRPr="005A3173" w:rsidRDefault="009C26AA" w:rsidP="005A3173">
          <w:pPr>
            <w:pStyle w:val="Header"/>
            <w:spacing w:line="276" w:lineRule="auto"/>
            <w:cnfStyle w:val="100000000000" w:firstRow="1" w:lastRow="0" w:firstColumn="0" w:lastColumn="0" w:oddVBand="0" w:evenVBand="0" w:oddHBand="0" w:evenHBand="0" w:firstRowFirstColumn="0" w:firstRowLastColumn="0" w:lastRowFirstColumn="0" w:lastRowLastColumn="0"/>
            <w:rPr>
              <w:rFonts w:eastAsia="MS Gothic"/>
              <w:b w:val="0"/>
              <w:bCs w:val="0"/>
              <w:color w:val="4F81BD"/>
            </w:rPr>
          </w:pPr>
        </w:p>
      </w:tc>
    </w:tr>
    <w:tr w:rsidR="009C26AA" w14:paraId="0A17FD7B" w14:textId="77777777" w:rsidTr="00BD47B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153" w:type="pct"/>
        </w:tcPr>
        <w:p w14:paraId="66DEA9D9" w14:textId="77777777" w:rsidR="009C26AA" w:rsidRPr="005A3173" w:rsidRDefault="009C26AA" w:rsidP="005A3173">
          <w:pPr>
            <w:pStyle w:val="Header"/>
            <w:spacing w:line="276" w:lineRule="auto"/>
            <w:rPr>
              <w:rFonts w:eastAsia="MS Gothic"/>
              <w:b w:val="0"/>
              <w:bCs w:val="0"/>
              <w:color w:val="4F81BD"/>
            </w:rPr>
          </w:pPr>
        </w:p>
      </w:tc>
      <w:tc>
        <w:tcPr>
          <w:tcW w:w="0" w:type="auto"/>
          <w:vMerge/>
          <w:hideMark/>
        </w:tcPr>
        <w:p w14:paraId="0726D67B" w14:textId="77777777" w:rsidR="009C26AA" w:rsidRPr="005A3173" w:rsidRDefault="009C26AA" w:rsidP="005A3173">
          <w:pPr>
            <w:cnfStyle w:val="000000100000" w:firstRow="0" w:lastRow="0" w:firstColumn="0" w:lastColumn="0" w:oddVBand="0" w:evenVBand="0" w:oddHBand="1" w:evenHBand="0" w:firstRowFirstColumn="0" w:firstRowLastColumn="0" w:lastRowFirstColumn="0" w:lastRowLastColumn="0"/>
            <w:rPr>
              <w:sz w:val="22"/>
              <w:szCs w:val="22"/>
            </w:rPr>
          </w:pPr>
        </w:p>
      </w:tc>
      <w:tc>
        <w:tcPr>
          <w:tcW w:w="2153" w:type="pct"/>
        </w:tcPr>
        <w:p w14:paraId="77FEEEB1" w14:textId="77777777" w:rsidR="009C26AA" w:rsidRPr="005A3173" w:rsidRDefault="009C26AA" w:rsidP="005A3173">
          <w:pPr>
            <w:pStyle w:val="Header"/>
            <w:spacing w:line="276" w:lineRule="auto"/>
            <w:cnfStyle w:val="000000100000" w:firstRow="0" w:lastRow="0" w:firstColumn="0" w:lastColumn="0" w:oddVBand="0" w:evenVBand="0" w:oddHBand="1" w:evenHBand="0" w:firstRowFirstColumn="0" w:firstRowLastColumn="0" w:lastRowFirstColumn="0" w:lastRowLastColumn="0"/>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7A425" w14:textId="77777777" w:rsidR="00062C03" w:rsidRDefault="00062C03">
      <w:r>
        <w:separator/>
      </w:r>
    </w:p>
    <w:p w14:paraId="4970EB6B" w14:textId="77777777" w:rsidR="00062C03" w:rsidRDefault="00062C03"/>
  </w:footnote>
  <w:footnote w:type="continuationSeparator" w:id="0">
    <w:p w14:paraId="1B67E8A3" w14:textId="77777777" w:rsidR="00062C03" w:rsidRDefault="00062C03">
      <w:r>
        <w:continuationSeparator/>
      </w:r>
    </w:p>
    <w:p w14:paraId="7C54647E" w14:textId="77777777" w:rsidR="00062C03" w:rsidRDefault="00062C03"/>
  </w:footnote>
  <w:footnote w:type="continuationNotice" w:id="1">
    <w:p w14:paraId="370D431F" w14:textId="77777777" w:rsidR="00062C03" w:rsidRDefault="00062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324F1123" w:rsidR="00C56D78" w:rsidRPr="00C56D78" w:rsidRDefault="007660CA"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5834B6">
      <w:rPr>
        <w:rFonts w:asciiTheme="minorHAnsi" w:eastAsiaTheme="minorEastAsia" w:hAnsiTheme="minorHAnsi" w:cstheme="minorHAnsi"/>
        <w:i/>
        <w:color w:val="808080"/>
      </w:rPr>
      <w:t xml:space="preserve"> - </w:t>
    </w:r>
    <w:r w:rsidR="00060CC6">
      <w:rPr>
        <w:rFonts w:asciiTheme="minorHAnsi" w:eastAsiaTheme="minorEastAsia" w:hAnsiTheme="minorHAnsi" w:cstheme="minorHAnsi"/>
        <w:i/>
        <w:color w:val="808080"/>
      </w:rPr>
      <w:t>March</w:t>
    </w:r>
    <w:r w:rsidR="00C56D78">
      <w:rPr>
        <w:rFonts w:asciiTheme="minorHAnsi" w:eastAsiaTheme="minorEastAsia" w:hAnsiTheme="minorHAnsi" w:cstheme="minorHAnsi"/>
        <w:i/>
        <w:color w:val="808080"/>
      </w:rPr>
      <w:t xml:space="preserve"> 202</w:t>
    </w:r>
    <w:r w:rsidR="00060CC6">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0AEC5" w14:textId="77777777" w:rsidR="005834B6" w:rsidRDefault="00583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12A87655"/>
    <w:multiLevelType w:val="hybridMultilevel"/>
    <w:tmpl w:val="D082C6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4" w15:restartNumberingAfterBreak="0">
    <w:nsid w:val="52E55896"/>
    <w:multiLevelType w:val="hybridMultilevel"/>
    <w:tmpl w:val="9B0CA0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6"/>
  </w:num>
  <w:num w:numId="2">
    <w:abstractNumId w:val="0"/>
  </w:num>
  <w:num w:numId="3">
    <w:abstractNumId w:val="5"/>
  </w:num>
  <w:num w:numId="4">
    <w:abstractNumId w:val="3"/>
  </w:num>
  <w:num w:numId="5">
    <w:abstractNumId w:val="1"/>
  </w:num>
  <w:num w:numId="6">
    <w:abstractNumId w:val="6"/>
  </w:num>
  <w:num w:numId="7">
    <w:abstractNumId w:val="2"/>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942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3A2"/>
    <w:rsid w:val="00001663"/>
    <w:rsid w:val="000025AD"/>
    <w:rsid w:val="0000335D"/>
    <w:rsid w:val="000034C7"/>
    <w:rsid w:val="00003EC5"/>
    <w:rsid w:val="00006782"/>
    <w:rsid w:val="0001179A"/>
    <w:rsid w:val="00011A59"/>
    <w:rsid w:val="00014D69"/>
    <w:rsid w:val="00016A41"/>
    <w:rsid w:val="000214D1"/>
    <w:rsid w:val="00021F20"/>
    <w:rsid w:val="0002464A"/>
    <w:rsid w:val="00025A04"/>
    <w:rsid w:val="0002693D"/>
    <w:rsid w:val="0003050E"/>
    <w:rsid w:val="0003106B"/>
    <w:rsid w:val="00032641"/>
    <w:rsid w:val="000335B9"/>
    <w:rsid w:val="00034905"/>
    <w:rsid w:val="00037906"/>
    <w:rsid w:val="00040A30"/>
    <w:rsid w:val="000421A1"/>
    <w:rsid w:val="0004240E"/>
    <w:rsid w:val="00044E52"/>
    <w:rsid w:val="00044EC4"/>
    <w:rsid w:val="00045E26"/>
    <w:rsid w:val="00046903"/>
    <w:rsid w:val="000514B5"/>
    <w:rsid w:val="000521ED"/>
    <w:rsid w:val="0005322E"/>
    <w:rsid w:val="00054E2B"/>
    <w:rsid w:val="00060CC6"/>
    <w:rsid w:val="00060E64"/>
    <w:rsid w:val="000621AB"/>
    <w:rsid w:val="00062C03"/>
    <w:rsid w:val="00062E88"/>
    <w:rsid w:val="00066193"/>
    <w:rsid w:val="00066755"/>
    <w:rsid w:val="00067FE4"/>
    <w:rsid w:val="00071A5B"/>
    <w:rsid w:val="00072730"/>
    <w:rsid w:val="0007337F"/>
    <w:rsid w:val="00074320"/>
    <w:rsid w:val="000763D5"/>
    <w:rsid w:val="00076C38"/>
    <w:rsid w:val="00077143"/>
    <w:rsid w:val="00077DF7"/>
    <w:rsid w:val="0008050C"/>
    <w:rsid w:val="00082169"/>
    <w:rsid w:val="000834BE"/>
    <w:rsid w:val="00083F01"/>
    <w:rsid w:val="00087C4C"/>
    <w:rsid w:val="000918CB"/>
    <w:rsid w:val="00091B06"/>
    <w:rsid w:val="00094802"/>
    <w:rsid w:val="000951C4"/>
    <w:rsid w:val="00095ADA"/>
    <w:rsid w:val="00095F3A"/>
    <w:rsid w:val="000969AD"/>
    <w:rsid w:val="000975FB"/>
    <w:rsid w:val="000A02F8"/>
    <w:rsid w:val="000A3AA2"/>
    <w:rsid w:val="000A42EF"/>
    <w:rsid w:val="000A44B2"/>
    <w:rsid w:val="000A52F6"/>
    <w:rsid w:val="000A58B8"/>
    <w:rsid w:val="000B44C3"/>
    <w:rsid w:val="000B558D"/>
    <w:rsid w:val="000B5A89"/>
    <w:rsid w:val="000B65F6"/>
    <w:rsid w:val="000B7767"/>
    <w:rsid w:val="000C1AFF"/>
    <w:rsid w:val="000C5740"/>
    <w:rsid w:val="000C5F95"/>
    <w:rsid w:val="000C6996"/>
    <w:rsid w:val="000C7C46"/>
    <w:rsid w:val="000D09E9"/>
    <w:rsid w:val="000D113F"/>
    <w:rsid w:val="000D23BA"/>
    <w:rsid w:val="000E19B7"/>
    <w:rsid w:val="000E20FC"/>
    <w:rsid w:val="000E3C1D"/>
    <w:rsid w:val="000E3DFB"/>
    <w:rsid w:val="000E5EA1"/>
    <w:rsid w:val="000E681E"/>
    <w:rsid w:val="000E696B"/>
    <w:rsid w:val="000E7E52"/>
    <w:rsid w:val="000E7E90"/>
    <w:rsid w:val="000EE1C7"/>
    <w:rsid w:val="000F0003"/>
    <w:rsid w:val="000F2FF8"/>
    <w:rsid w:val="000F3384"/>
    <w:rsid w:val="000F4E6A"/>
    <w:rsid w:val="000F6ABB"/>
    <w:rsid w:val="000F7354"/>
    <w:rsid w:val="000F7C27"/>
    <w:rsid w:val="00101ABE"/>
    <w:rsid w:val="00102202"/>
    <w:rsid w:val="0010245F"/>
    <w:rsid w:val="00102700"/>
    <w:rsid w:val="00102A78"/>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724"/>
    <w:rsid w:val="00130918"/>
    <w:rsid w:val="001311AE"/>
    <w:rsid w:val="001366C2"/>
    <w:rsid w:val="00136C17"/>
    <w:rsid w:val="00140B74"/>
    <w:rsid w:val="00140D94"/>
    <w:rsid w:val="00142395"/>
    <w:rsid w:val="0014250D"/>
    <w:rsid w:val="00142714"/>
    <w:rsid w:val="00144D09"/>
    <w:rsid w:val="001452ED"/>
    <w:rsid w:val="00147D84"/>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501C"/>
    <w:rsid w:val="001860E5"/>
    <w:rsid w:val="0018643B"/>
    <w:rsid w:val="00192B06"/>
    <w:rsid w:val="00195B99"/>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4536"/>
    <w:rsid w:val="001B5129"/>
    <w:rsid w:val="001B6096"/>
    <w:rsid w:val="001C0B4C"/>
    <w:rsid w:val="001C0EC4"/>
    <w:rsid w:val="001C1195"/>
    <w:rsid w:val="001C12AE"/>
    <w:rsid w:val="001C1E84"/>
    <w:rsid w:val="001C20E1"/>
    <w:rsid w:val="001C2A0F"/>
    <w:rsid w:val="001C2E42"/>
    <w:rsid w:val="001C35D9"/>
    <w:rsid w:val="001C6F04"/>
    <w:rsid w:val="001D1F5F"/>
    <w:rsid w:val="001D50F5"/>
    <w:rsid w:val="001E06D2"/>
    <w:rsid w:val="001E17C4"/>
    <w:rsid w:val="001E2D65"/>
    <w:rsid w:val="001F005B"/>
    <w:rsid w:val="001F1850"/>
    <w:rsid w:val="001F1FBF"/>
    <w:rsid w:val="001F2311"/>
    <w:rsid w:val="001F2B80"/>
    <w:rsid w:val="001F2F1C"/>
    <w:rsid w:val="001F3189"/>
    <w:rsid w:val="00200BEA"/>
    <w:rsid w:val="00201FB8"/>
    <w:rsid w:val="00203FAC"/>
    <w:rsid w:val="002133FB"/>
    <w:rsid w:val="00213CFB"/>
    <w:rsid w:val="0021553C"/>
    <w:rsid w:val="0021557B"/>
    <w:rsid w:val="00216B87"/>
    <w:rsid w:val="002174FD"/>
    <w:rsid w:val="00217BE1"/>
    <w:rsid w:val="00221361"/>
    <w:rsid w:val="002214B9"/>
    <w:rsid w:val="00222680"/>
    <w:rsid w:val="00223370"/>
    <w:rsid w:val="00224D1E"/>
    <w:rsid w:val="00225F6E"/>
    <w:rsid w:val="00226611"/>
    <w:rsid w:val="00227BC5"/>
    <w:rsid w:val="00230F63"/>
    <w:rsid w:val="00234252"/>
    <w:rsid w:val="0023466E"/>
    <w:rsid w:val="00237AC6"/>
    <w:rsid w:val="002403EA"/>
    <w:rsid w:val="00242BFD"/>
    <w:rsid w:val="00244139"/>
    <w:rsid w:val="00244490"/>
    <w:rsid w:val="00244BEC"/>
    <w:rsid w:val="00245B9C"/>
    <w:rsid w:val="00252587"/>
    <w:rsid w:val="00253499"/>
    <w:rsid w:val="00254B1F"/>
    <w:rsid w:val="002551A4"/>
    <w:rsid w:val="00257664"/>
    <w:rsid w:val="00260165"/>
    <w:rsid w:val="00265151"/>
    <w:rsid w:val="00265C2C"/>
    <w:rsid w:val="00266509"/>
    <w:rsid w:val="00271BA1"/>
    <w:rsid w:val="00273AC5"/>
    <w:rsid w:val="002753F2"/>
    <w:rsid w:val="002762FA"/>
    <w:rsid w:val="00276BE3"/>
    <w:rsid w:val="00277505"/>
    <w:rsid w:val="00277873"/>
    <w:rsid w:val="0028158C"/>
    <w:rsid w:val="002823B6"/>
    <w:rsid w:val="00285634"/>
    <w:rsid w:val="0029099B"/>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5596"/>
    <w:rsid w:val="002B6DD1"/>
    <w:rsid w:val="002B77D7"/>
    <w:rsid w:val="002C0763"/>
    <w:rsid w:val="002C212F"/>
    <w:rsid w:val="002C2F35"/>
    <w:rsid w:val="002C6AA9"/>
    <w:rsid w:val="002C7485"/>
    <w:rsid w:val="002D0427"/>
    <w:rsid w:val="002D164F"/>
    <w:rsid w:val="002D2641"/>
    <w:rsid w:val="002D283A"/>
    <w:rsid w:val="002D4543"/>
    <w:rsid w:val="002D715F"/>
    <w:rsid w:val="002E022A"/>
    <w:rsid w:val="002E3153"/>
    <w:rsid w:val="002E4A02"/>
    <w:rsid w:val="002E5292"/>
    <w:rsid w:val="002E72CA"/>
    <w:rsid w:val="002E75D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5045"/>
    <w:rsid w:val="003160D2"/>
    <w:rsid w:val="003173FC"/>
    <w:rsid w:val="00317C6C"/>
    <w:rsid w:val="00320B80"/>
    <w:rsid w:val="00320CD3"/>
    <w:rsid w:val="003215FF"/>
    <w:rsid w:val="00322667"/>
    <w:rsid w:val="0032607C"/>
    <w:rsid w:val="00326E79"/>
    <w:rsid w:val="0032748A"/>
    <w:rsid w:val="003301B1"/>
    <w:rsid w:val="00331189"/>
    <w:rsid w:val="0033263D"/>
    <w:rsid w:val="00334C4C"/>
    <w:rsid w:val="00334E69"/>
    <w:rsid w:val="0033518A"/>
    <w:rsid w:val="00335535"/>
    <w:rsid w:val="003367EF"/>
    <w:rsid w:val="00341AE4"/>
    <w:rsid w:val="003425CA"/>
    <w:rsid w:val="00343FB7"/>
    <w:rsid w:val="00346DD6"/>
    <w:rsid w:val="003476EE"/>
    <w:rsid w:val="003541DD"/>
    <w:rsid w:val="00354405"/>
    <w:rsid w:val="00356E5B"/>
    <w:rsid w:val="00360887"/>
    <w:rsid w:val="0036249F"/>
    <w:rsid w:val="0036398F"/>
    <w:rsid w:val="00371246"/>
    <w:rsid w:val="003736C9"/>
    <w:rsid w:val="00383B77"/>
    <w:rsid w:val="00384988"/>
    <w:rsid w:val="003872CF"/>
    <w:rsid w:val="003874CB"/>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C7B13"/>
    <w:rsid w:val="003D24C5"/>
    <w:rsid w:val="003D364B"/>
    <w:rsid w:val="003D4594"/>
    <w:rsid w:val="003D4AC4"/>
    <w:rsid w:val="003D5433"/>
    <w:rsid w:val="003D63B7"/>
    <w:rsid w:val="003D74C5"/>
    <w:rsid w:val="003E4374"/>
    <w:rsid w:val="003E468B"/>
    <w:rsid w:val="003E62BD"/>
    <w:rsid w:val="003E658D"/>
    <w:rsid w:val="003F044F"/>
    <w:rsid w:val="003F04F1"/>
    <w:rsid w:val="003F0C3A"/>
    <w:rsid w:val="003F15F0"/>
    <w:rsid w:val="003F2AD9"/>
    <w:rsid w:val="003F3228"/>
    <w:rsid w:val="003F5C8C"/>
    <w:rsid w:val="003F63CE"/>
    <w:rsid w:val="003F775A"/>
    <w:rsid w:val="00400E55"/>
    <w:rsid w:val="0040117F"/>
    <w:rsid w:val="0040128E"/>
    <w:rsid w:val="00401640"/>
    <w:rsid w:val="0040216B"/>
    <w:rsid w:val="00404852"/>
    <w:rsid w:val="0040590E"/>
    <w:rsid w:val="00407BE0"/>
    <w:rsid w:val="00407CC8"/>
    <w:rsid w:val="00414F0C"/>
    <w:rsid w:val="00420400"/>
    <w:rsid w:val="00423E78"/>
    <w:rsid w:val="004252EC"/>
    <w:rsid w:val="00430D39"/>
    <w:rsid w:val="00430DB0"/>
    <w:rsid w:val="00433F9C"/>
    <w:rsid w:val="00442C91"/>
    <w:rsid w:val="00444E9D"/>
    <w:rsid w:val="00445F6A"/>
    <w:rsid w:val="004465BD"/>
    <w:rsid w:val="00446938"/>
    <w:rsid w:val="00447842"/>
    <w:rsid w:val="004528FA"/>
    <w:rsid w:val="00461A44"/>
    <w:rsid w:val="00462D26"/>
    <w:rsid w:val="00463257"/>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1BF2"/>
    <w:rsid w:val="004C239C"/>
    <w:rsid w:val="004C31FE"/>
    <w:rsid w:val="004C466D"/>
    <w:rsid w:val="004C524C"/>
    <w:rsid w:val="004C5EDD"/>
    <w:rsid w:val="004C5FFA"/>
    <w:rsid w:val="004C691D"/>
    <w:rsid w:val="004C6C07"/>
    <w:rsid w:val="004C7E15"/>
    <w:rsid w:val="004C7EC6"/>
    <w:rsid w:val="004D2CD1"/>
    <w:rsid w:val="004D4FF6"/>
    <w:rsid w:val="004D5ADD"/>
    <w:rsid w:val="004E0CC3"/>
    <w:rsid w:val="004E55DA"/>
    <w:rsid w:val="004E692D"/>
    <w:rsid w:val="004E7230"/>
    <w:rsid w:val="004E7D87"/>
    <w:rsid w:val="004F2553"/>
    <w:rsid w:val="004F306A"/>
    <w:rsid w:val="00501554"/>
    <w:rsid w:val="00502AFE"/>
    <w:rsid w:val="00502E64"/>
    <w:rsid w:val="00503AD7"/>
    <w:rsid w:val="00503E89"/>
    <w:rsid w:val="00504E0C"/>
    <w:rsid w:val="00504E13"/>
    <w:rsid w:val="005109D4"/>
    <w:rsid w:val="0051230A"/>
    <w:rsid w:val="00514CD7"/>
    <w:rsid w:val="005167EC"/>
    <w:rsid w:val="005170DA"/>
    <w:rsid w:val="00520D6A"/>
    <w:rsid w:val="00521AB1"/>
    <w:rsid w:val="00522DB6"/>
    <w:rsid w:val="005264A7"/>
    <w:rsid w:val="005265C9"/>
    <w:rsid w:val="0052792D"/>
    <w:rsid w:val="005319B2"/>
    <w:rsid w:val="00532402"/>
    <w:rsid w:val="00532C74"/>
    <w:rsid w:val="00533239"/>
    <w:rsid w:val="00534E2E"/>
    <w:rsid w:val="00535133"/>
    <w:rsid w:val="0054064C"/>
    <w:rsid w:val="00544552"/>
    <w:rsid w:val="00545130"/>
    <w:rsid w:val="00546B36"/>
    <w:rsid w:val="0055286A"/>
    <w:rsid w:val="00552D28"/>
    <w:rsid w:val="00555745"/>
    <w:rsid w:val="00557D4F"/>
    <w:rsid w:val="0056122E"/>
    <w:rsid w:val="00563892"/>
    <w:rsid w:val="0056484E"/>
    <w:rsid w:val="00565999"/>
    <w:rsid w:val="00567D8A"/>
    <w:rsid w:val="005700A6"/>
    <w:rsid w:val="00570231"/>
    <w:rsid w:val="005714B7"/>
    <w:rsid w:val="005764CD"/>
    <w:rsid w:val="00577C4D"/>
    <w:rsid w:val="00580532"/>
    <w:rsid w:val="00581932"/>
    <w:rsid w:val="00583002"/>
    <w:rsid w:val="005834B6"/>
    <w:rsid w:val="005903BB"/>
    <w:rsid w:val="00593893"/>
    <w:rsid w:val="0059460C"/>
    <w:rsid w:val="005963BB"/>
    <w:rsid w:val="0059645C"/>
    <w:rsid w:val="00596D37"/>
    <w:rsid w:val="005A0A40"/>
    <w:rsid w:val="005A15D2"/>
    <w:rsid w:val="005A3173"/>
    <w:rsid w:val="005A3223"/>
    <w:rsid w:val="005A36FC"/>
    <w:rsid w:val="005A3DA3"/>
    <w:rsid w:val="005A52C4"/>
    <w:rsid w:val="005A63A1"/>
    <w:rsid w:val="005B0486"/>
    <w:rsid w:val="005B1032"/>
    <w:rsid w:val="005B1473"/>
    <w:rsid w:val="005B1693"/>
    <w:rsid w:val="005B36FA"/>
    <w:rsid w:val="005C4F73"/>
    <w:rsid w:val="005D03AB"/>
    <w:rsid w:val="005D401D"/>
    <w:rsid w:val="005D5017"/>
    <w:rsid w:val="005D5708"/>
    <w:rsid w:val="005D63FA"/>
    <w:rsid w:val="005D73C7"/>
    <w:rsid w:val="005E0C2D"/>
    <w:rsid w:val="005E0D82"/>
    <w:rsid w:val="005E0F59"/>
    <w:rsid w:val="005E1333"/>
    <w:rsid w:val="005E3136"/>
    <w:rsid w:val="005E507D"/>
    <w:rsid w:val="005F0AD0"/>
    <w:rsid w:val="005F69CD"/>
    <w:rsid w:val="00601A91"/>
    <w:rsid w:val="00602BA3"/>
    <w:rsid w:val="00605B63"/>
    <w:rsid w:val="00605F9A"/>
    <w:rsid w:val="00606442"/>
    <w:rsid w:val="00606EED"/>
    <w:rsid w:val="00610574"/>
    <w:rsid w:val="00612A95"/>
    <w:rsid w:val="00612E34"/>
    <w:rsid w:val="00614159"/>
    <w:rsid w:val="006158A3"/>
    <w:rsid w:val="00616C5F"/>
    <w:rsid w:val="00616DAC"/>
    <w:rsid w:val="00617725"/>
    <w:rsid w:val="00617C00"/>
    <w:rsid w:val="006263BF"/>
    <w:rsid w:val="0062748A"/>
    <w:rsid w:val="00630546"/>
    <w:rsid w:val="00630A2C"/>
    <w:rsid w:val="00631754"/>
    <w:rsid w:val="00634A75"/>
    <w:rsid w:val="00636144"/>
    <w:rsid w:val="0063682E"/>
    <w:rsid w:val="00640088"/>
    <w:rsid w:val="00642672"/>
    <w:rsid w:val="00642DA8"/>
    <w:rsid w:val="006436CD"/>
    <w:rsid w:val="00650976"/>
    <w:rsid w:val="00651169"/>
    <w:rsid w:val="00653D69"/>
    <w:rsid w:val="006552E6"/>
    <w:rsid w:val="00655794"/>
    <w:rsid w:val="00656CFC"/>
    <w:rsid w:val="00656F2F"/>
    <w:rsid w:val="00657C63"/>
    <w:rsid w:val="00661CBC"/>
    <w:rsid w:val="00662B85"/>
    <w:rsid w:val="006670B3"/>
    <w:rsid w:val="006670BE"/>
    <w:rsid w:val="00670A76"/>
    <w:rsid w:val="006711AA"/>
    <w:rsid w:val="00671345"/>
    <w:rsid w:val="00672B57"/>
    <w:rsid w:val="00673F1F"/>
    <w:rsid w:val="00675622"/>
    <w:rsid w:val="00675DEB"/>
    <w:rsid w:val="0067747D"/>
    <w:rsid w:val="006818D5"/>
    <w:rsid w:val="00681CA4"/>
    <w:rsid w:val="00686559"/>
    <w:rsid w:val="0069039D"/>
    <w:rsid w:val="006906DB"/>
    <w:rsid w:val="00691900"/>
    <w:rsid w:val="00691E6C"/>
    <w:rsid w:val="00693425"/>
    <w:rsid w:val="0069342D"/>
    <w:rsid w:val="00693DFB"/>
    <w:rsid w:val="00694FD5"/>
    <w:rsid w:val="0069501D"/>
    <w:rsid w:val="00696129"/>
    <w:rsid w:val="00697CF2"/>
    <w:rsid w:val="006A12A5"/>
    <w:rsid w:val="006A2515"/>
    <w:rsid w:val="006A4E53"/>
    <w:rsid w:val="006A572D"/>
    <w:rsid w:val="006A5E20"/>
    <w:rsid w:val="006A708F"/>
    <w:rsid w:val="006B0D94"/>
    <w:rsid w:val="006B16B6"/>
    <w:rsid w:val="006B18DC"/>
    <w:rsid w:val="006B485D"/>
    <w:rsid w:val="006B6ACE"/>
    <w:rsid w:val="006B7DDA"/>
    <w:rsid w:val="006C0C45"/>
    <w:rsid w:val="006C2806"/>
    <w:rsid w:val="006C334C"/>
    <w:rsid w:val="006C6C10"/>
    <w:rsid w:val="006C708E"/>
    <w:rsid w:val="006D14E7"/>
    <w:rsid w:val="006D4444"/>
    <w:rsid w:val="006D6333"/>
    <w:rsid w:val="006D6493"/>
    <w:rsid w:val="006D6EC7"/>
    <w:rsid w:val="006D7B05"/>
    <w:rsid w:val="006D7E45"/>
    <w:rsid w:val="006E1143"/>
    <w:rsid w:val="006E1BCD"/>
    <w:rsid w:val="006E2732"/>
    <w:rsid w:val="006E59CD"/>
    <w:rsid w:val="006F00ED"/>
    <w:rsid w:val="006F026F"/>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328"/>
    <w:rsid w:val="007237DE"/>
    <w:rsid w:val="007244C8"/>
    <w:rsid w:val="0072502E"/>
    <w:rsid w:val="0073137C"/>
    <w:rsid w:val="007340B9"/>
    <w:rsid w:val="007353D3"/>
    <w:rsid w:val="0074156B"/>
    <w:rsid w:val="00741619"/>
    <w:rsid w:val="00742885"/>
    <w:rsid w:val="00747092"/>
    <w:rsid w:val="007477FF"/>
    <w:rsid w:val="007526E6"/>
    <w:rsid w:val="00754DF9"/>
    <w:rsid w:val="007555E8"/>
    <w:rsid w:val="00755CC5"/>
    <w:rsid w:val="00762862"/>
    <w:rsid w:val="00763FC4"/>
    <w:rsid w:val="0076420C"/>
    <w:rsid w:val="007660CA"/>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6667"/>
    <w:rsid w:val="00797068"/>
    <w:rsid w:val="007979BD"/>
    <w:rsid w:val="007A3D8E"/>
    <w:rsid w:val="007A5C88"/>
    <w:rsid w:val="007A6A2F"/>
    <w:rsid w:val="007B024E"/>
    <w:rsid w:val="007B3BAF"/>
    <w:rsid w:val="007B3DDC"/>
    <w:rsid w:val="007B72A6"/>
    <w:rsid w:val="007C06D2"/>
    <w:rsid w:val="007C08E0"/>
    <w:rsid w:val="007C0F57"/>
    <w:rsid w:val="007C2F4B"/>
    <w:rsid w:val="007C40B6"/>
    <w:rsid w:val="007C5975"/>
    <w:rsid w:val="007C5C14"/>
    <w:rsid w:val="007C729F"/>
    <w:rsid w:val="007C72AD"/>
    <w:rsid w:val="007D503D"/>
    <w:rsid w:val="007D59E7"/>
    <w:rsid w:val="007D5F2A"/>
    <w:rsid w:val="007E07AC"/>
    <w:rsid w:val="007E1014"/>
    <w:rsid w:val="007E12F8"/>
    <w:rsid w:val="007E1D28"/>
    <w:rsid w:val="007E4564"/>
    <w:rsid w:val="007E490F"/>
    <w:rsid w:val="007E6533"/>
    <w:rsid w:val="007F0021"/>
    <w:rsid w:val="007F2641"/>
    <w:rsid w:val="007F7C36"/>
    <w:rsid w:val="007F7F45"/>
    <w:rsid w:val="0080001F"/>
    <w:rsid w:val="00800B01"/>
    <w:rsid w:val="00801958"/>
    <w:rsid w:val="008055AF"/>
    <w:rsid w:val="008057CD"/>
    <w:rsid w:val="008066B8"/>
    <w:rsid w:val="00806796"/>
    <w:rsid w:val="00810167"/>
    <w:rsid w:val="008104D0"/>
    <w:rsid w:val="00811CC0"/>
    <w:rsid w:val="00814276"/>
    <w:rsid w:val="00814463"/>
    <w:rsid w:val="008151D6"/>
    <w:rsid w:val="00820803"/>
    <w:rsid w:val="00821527"/>
    <w:rsid w:val="008225CE"/>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08"/>
    <w:rsid w:val="00847EC0"/>
    <w:rsid w:val="00854506"/>
    <w:rsid w:val="00855F69"/>
    <w:rsid w:val="00855FD6"/>
    <w:rsid w:val="00856DDD"/>
    <w:rsid w:val="00860233"/>
    <w:rsid w:val="00863164"/>
    <w:rsid w:val="00863E68"/>
    <w:rsid w:val="008647B5"/>
    <w:rsid w:val="00867D64"/>
    <w:rsid w:val="00872E8F"/>
    <w:rsid w:val="008731FA"/>
    <w:rsid w:val="00875DCB"/>
    <w:rsid w:val="00876FBF"/>
    <w:rsid w:val="0087755A"/>
    <w:rsid w:val="00882085"/>
    <w:rsid w:val="00883188"/>
    <w:rsid w:val="00884A0C"/>
    <w:rsid w:val="00886ACA"/>
    <w:rsid w:val="00886B01"/>
    <w:rsid w:val="0089031E"/>
    <w:rsid w:val="0089109A"/>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EC0"/>
    <w:rsid w:val="008B6DCF"/>
    <w:rsid w:val="008C4D49"/>
    <w:rsid w:val="008D0945"/>
    <w:rsid w:val="008D1409"/>
    <w:rsid w:val="008D15CC"/>
    <w:rsid w:val="008D1729"/>
    <w:rsid w:val="008D1B5C"/>
    <w:rsid w:val="008D3556"/>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3D6A"/>
    <w:rsid w:val="008F47A5"/>
    <w:rsid w:val="008F54C3"/>
    <w:rsid w:val="008F5F01"/>
    <w:rsid w:val="008F654F"/>
    <w:rsid w:val="008F7355"/>
    <w:rsid w:val="009023DC"/>
    <w:rsid w:val="009027C5"/>
    <w:rsid w:val="00904413"/>
    <w:rsid w:val="00905E80"/>
    <w:rsid w:val="009067B7"/>
    <w:rsid w:val="00906E7A"/>
    <w:rsid w:val="00906E7F"/>
    <w:rsid w:val="0090775A"/>
    <w:rsid w:val="00907DFD"/>
    <w:rsid w:val="00913C99"/>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6921"/>
    <w:rsid w:val="00947343"/>
    <w:rsid w:val="0095146F"/>
    <w:rsid w:val="00951F2D"/>
    <w:rsid w:val="00952839"/>
    <w:rsid w:val="009534C7"/>
    <w:rsid w:val="00956086"/>
    <w:rsid w:val="009561F7"/>
    <w:rsid w:val="00957944"/>
    <w:rsid w:val="009602C5"/>
    <w:rsid w:val="0096103A"/>
    <w:rsid w:val="00962223"/>
    <w:rsid w:val="0096252B"/>
    <w:rsid w:val="009644D9"/>
    <w:rsid w:val="00964A9F"/>
    <w:rsid w:val="00966D0D"/>
    <w:rsid w:val="00967732"/>
    <w:rsid w:val="0096783C"/>
    <w:rsid w:val="00970023"/>
    <w:rsid w:val="009722B3"/>
    <w:rsid w:val="00973E24"/>
    <w:rsid w:val="00974C21"/>
    <w:rsid w:val="00974C7B"/>
    <w:rsid w:val="00974D5F"/>
    <w:rsid w:val="00975948"/>
    <w:rsid w:val="009772FD"/>
    <w:rsid w:val="00977BF3"/>
    <w:rsid w:val="009803E4"/>
    <w:rsid w:val="00980B0E"/>
    <w:rsid w:val="00982B39"/>
    <w:rsid w:val="009836A3"/>
    <w:rsid w:val="00984C58"/>
    <w:rsid w:val="009855A8"/>
    <w:rsid w:val="00985CBE"/>
    <w:rsid w:val="00985D1A"/>
    <w:rsid w:val="00990CF8"/>
    <w:rsid w:val="009911D0"/>
    <w:rsid w:val="009913F4"/>
    <w:rsid w:val="00991782"/>
    <w:rsid w:val="009937F7"/>
    <w:rsid w:val="0099465B"/>
    <w:rsid w:val="009951A1"/>
    <w:rsid w:val="00997A44"/>
    <w:rsid w:val="009A0CDD"/>
    <w:rsid w:val="009A3168"/>
    <w:rsid w:val="009A4621"/>
    <w:rsid w:val="009A4BDF"/>
    <w:rsid w:val="009A5D04"/>
    <w:rsid w:val="009A61CA"/>
    <w:rsid w:val="009B0C64"/>
    <w:rsid w:val="009B0F67"/>
    <w:rsid w:val="009B208A"/>
    <w:rsid w:val="009B2756"/>
    <w:rsid w:val="009B3D56"/>
    <w:rsid w:val="009B3F8C"/>
    <w:rsid w:val="009B533B"/>
    <w:rsid w:val="009B546B"/>
    <w:rsid w:val="009C26AA"/>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A01432"/>
    <w:rsid w:val="00A06225"/>
    <w:rsid w:val="00A066E6"/>
    <w:rsid w:val="00A110D1"/>
    <w:rsid w:val="00A12587"/>
    <w:rsid w:val="00A128E6"/>
    <w:rsid w:val="00A144D3"/>
    <w:rsid w:val="00A17EA7"/>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4EC1"/>
    <w:rsid w:val="00A479ED"/>
    <w:rsid w:val="00A510E4"/>
    <w:rsid w:val="00A51F8C"/>
    <w:rsid w:val="00A526F7"/>
    <w:rsid w:val="00A5273B"/>
    <w:rsid w:val="00A53A9D"/>
    <w:rsid w:val="00A55FEE"/>
    <w:rsid w:val="00A57422"/>
    <w:rsid w:val="00A62C1A"/>
    <w:rsid w:val="00A63CA2"/>
    <w:rsid w:val="00A6426D"/>
    <w:rsid w:val="00A651D1"/>
    <w:rsid w:val="00A665C1"/>
    <w:rsid w:val="00A673A4"/>
    <w:rsid w:val="00A7001A"/>
    <w:rsid w:val="00A70622"/>
    <w:rsid w:val="00A70977"/>
    <w:rsid w:val="00A70D58"/>
    <w:rsid w:val="00A744F9"/>
    <w:rsid w:val="00A753A1"/>
    <w:rsid w:val="00A77613"/>
    <w:rsid w:val="00A77B87"/>
    <w:rsid w:val="00A801AD"/>
    <w:rsid w:val="00A81851"/>
    <w:rsid w:val="00A8390C"/>
    <w:rsid w:val="00A86AE0"/>
    <w:rsid w:val="00A912B0"/>
    <w:rsid w:val="00A91362"/>
    <w:rsid w:val="00A9151C"/>
    <w:rsid w:val="00A919C6"/>
    <w:rsid w:val="00A928BD"/>
    <w:rsid w:val="00A97DE9"/>
    <w:rsid w:val="00AA12CD"/>
    <w:rsid w:val="00AA4D1C"/>
    <w:rsid w:val="00AA52FD"/>
    <w:rsid w:val="00AA7006"/>
    <w:rsid w:val="00AB3138"/>
    <w:rsid w:val="00AB4684"/>
    <w:rsid w:val="00AB5856"/>
    <w:rsid w:val="00AC081D"/>
    <w:rsid w:val="00AC0C6F"/>
    <w:rsid w:val="00AC1266"/>
    <w:rsid w:val="00AC193C"/>
    <w:rsid w:val="00AC30C1"/>
    <w:rsid w:val="00AC4DE5"/>
    <w:rsid w:val="00AC5206"/>
    <w:rsid w:val="00AD095B"/>
    <w:rsid w:val="00AD3106"/>
    <w:rsid w:val="00AD4322"/>
    <w:rsid w:val="00AE11A5"/>
    <w:rsid w:val="00AE13E2"/>
    <w:rsid w:val="00AE22D3"/>
    <w:rsid w:val="00AE42D3"/>
    <w:rsid w:val="00AE5A49"/>
    <w:rsid w:val="00AF11D8"/>
    <w:rsid w:val="00AF5867"/>
    <w:rsid w:val="00AF62DF"/>
    <w:rsid w:val="00AF68CC"/>
    <w:rsid w:val="00AF70D7"/>
    <w:rsid w:val="00B00086"/>
    <w:rsid w:val="00B00CD0"/>
    <w:rsid w:val="00B00E7F"/>
    <w:rsid w:val="00B01FF4"/>
    <w:rsid w:val="00B0326D"/>
    <w:rsid w:val="00B06037"/>
    <w:rsid w:val="00B06478"/>
    <w:rsid w:val="00B06DE4"/>
    <w:rsid w:val="00B07533"/>
    <w:rsid w:val="00B07CFB"/>
    <w:rsid w:val="00B1059E"/>
    <w:rsid w:val="00B14A36"/>
    <w:rsid w:val="00B16273"/>
    <w:rsid w:val="00B170A5"/>
    <w:rsid w:val="00B1725F"/>
    <w:rsid w:val="00B176C8"/>
    <w:rsid w:val="00B17EE5"/>
    <w:rsid w:val="00B205AA"/>
    <w:rsid w:val="00B2100A"/>
    <w:rsid w:val="00B21A91"/>
    <w:rsid w:val="00B22600"/>
    <w:rsid w:val="00B22E84"/>
    <w:rsid w:val="00B233AD"/>
    <w:rsid w:val="00B23E25"/>
    <w:rsid w:val="00B254BF"/>
    <w:rsid w:val="00B25A4F"/>
    <w:rsid w:val="00B25F75"/>
    <w:rsid w:val="00B26B3F"/>
    <w:rsid w:val="00B2778F"/>
    <w:rsid w:val="00B327E2"/>
    <w:rsid w:val="00B33635"/>
    <w:rsid w:val="00B37A23"/>
    <w:rsid w:val="00B37CF8"/>
    <w:rsid w:val="00B426CD"/>
    <w:rsid w:val="00B42AF4"/>
    <w:rsid w:val="00B43E90"/>
    <w:rsid w:val="00B44308"/>
    <w:rsid w:val="00B45722"/>
    <w:rsid w:val="00B467DC"/>
    <w:rsid w:val="00B47A88"/>
    <w:rsid w:val="00B52303"/>
    <w:rsid w:val="00B5392A"/>
    <w:rsid w:val="00B539EF"/>
    <w:rsid w:val="00B56118"/>
    <w:rsid w:val="00B566E1"/>
    <w:rsid w:val="00B56AFB"/>
    <w:rsid w:val="00B602F6"/>
    <w:rsid w:val="00B62EC1"/>
    <w:rsid w:val="00B63E6F"/>
    <w:rsid w:val="00B64A96"/>
    <w:rsid w:val="00B6533B"/>
    <w:rsid w:val="00B6773F"/>
    <w:rsid w:val="00B70EB3"/>
    <w:rsid w:val="00B72906"/>
    <w:rsid w:val="00B74E18"/>
    <w:rsid w:val="00B74F48"/>
    <w:rsid w:val="00B7525E"/>
    <w:rsid w:val="00B75433"/>
    <w:rsid w:val="00B75F70"/>
    <w:rsid w:val="00B760FB"/>
    <w:rsid w:val="00B76765"/>
    <w:rsid w:val="00B767AB"/>
    <w:rsid w:val="00B77000"/>
    <w:rsid w:val="00B801BA"/>
    <w:rsid w:val="00B812D6"/>
    <w:rsid w:val="00B84D5C"/>
    <w:rsid w:val="00B85AF6"/>
    <w:rsid w:val="00B90893"/>
    <w:rsid w:val="00B92E46"/>
    <w:rsid w:val="00B956ED"/>
    <w:rsid w:val="00BA0655"/>
    <w:rsid w:val="00BA0918"/>
    <w:rsid w:val="00BA2DA8"/>
    <w:rsid w:val="00BA347C"/>
    <w:rsid w:val="00BA4C79"/>
    <w:rsid w:val="00BB298A"/>
    <w:rsid w:val="00BB3469"/>
    <w:rsid w:val="00BB5C49"/>
    <w:rsid w:val="00BB6240"/>
    <w:rsid w:val="00BB6285"/>
    <w:rsid w:val="00BB69F5"/>
    <w:rsid w:val="00BB6E48"/>
    <w:rsid w:val="00BB7EC3"/>
    <w:rsid w:val="00BC04B1"/>
    <w:rsid w:val="00BC470E"/>
    <w:rsid w:val="00BC4B9A"/>
    <w:rsid w:val="00BD02C3"/>
    <w:rsid w:val="00BD47B8"/>
    <w:rsid w:val="00BD7483"/>
    <w:rsid w:val="00BD784C"/>
    <w:rsid w:val="00BE020A"/>
    <w:rsid w:val="00BE13DF"/>
    <w:rsid w:val="00BE1EF0"/>
    <w:rsid w:val="00BE25D7"/>
    <w:rsid w:val="00BF01C3"/>
    <w:rsid w:val="00BF092C"/>
    <w:rsid w:val="00BF27A0"/>
    <w:rsid w:val="00BF4CB6"/>
    <w:rsid w:val="00BF51E1"/>
    <w:rsid w:val="00BF5D23"/>
    <w:rsid w:val="00BF6CBD"/>
    <w:rsid w:val="00C00DA7"/>
    <w:rsid w:val="00C034FB"/>
    <w:rsid w:val="00C04CDE"/>
    <w:rsid w:val="00C059D5"/>
    <w:rsid w:val="00C068A6"/>
    <w:rsid w:val="00C11752"/>
    <w:rsid w:val="00C12768"/>
    <w:rsid w:val="00C12D70"/>
    <w:rsid w:val="00C16724"/>
    <w:rsid w:val="00C21B09"/>
    <w:rsid w:val="00C22C9C"/>
    <w:rsid w:val="00C25EFF"/>
    <w:rsid w:val="00C2673A"/>
    <w:rsid w:val="00C278CD"/>
    <w:rsid w:val="00C27B58"/>
    <w:rsid w:val="00C27C1C"/>
    <w:rsid w:val="00C3166C"/>
    <w:rsid w:val="00C33186"/>
    <w:rsid w:val="00C35996"/>
    <w:rsid w:val="00C35E6B"/>
    <w:rsid w:val="00C42BCD"/>
    <w:rsid w:val="00C4485F"/>
    <w:rsid w:val="00C46C13"/>
    <w:rsid w:val="00C4747E"/>
    <w:rsid w:val="00C5151E"/>
    <w:rsid w:val="00C52256"/>
    <w:rsid w:val="00C5342C"/>
    <w:rsid w:val="00C53B2B"/>
    <w:rsid w:val="00C56D78"/>
    <w:rsid w:val="00C57465"/>
    <w:rsid w:val="00C60272"/>
    <w:rsid w:val="00C603D4"/>
    <w:rsid w:val="00C6256A"/>
    <w:rsid w:val="00C63FDA"/>
    <w:rsid w:val="00C64EBC"/>
    <w:rsid w:val="00C664D2"/>
    <w:rsid w:val="00C677E1"/>
    <w:rsid w:val="00C70E6E"/>
    <w:rsid w:val="00C710E2"/>
    <w:rsid w:val="00C71C3F"/>
    <w:rsid w:val="00C7409E"/>
    <w:rsid w:val="00C74D6D"/>
    <w:rsid w:val="00C76E76"/>
    <w:rsid w:val="00C77891"/>
    <w:rsid w:val="00C77B74"/>
    <w:rsid w:val="00C82062"/>
    <w:rsid w:val="00C829A9"/>
    <w:rsid w:val="00C853C9"/>
    <w:rsid w:val="00C87B80"/>
    <w:rsid w:val="00C90330"/>
    <w:rsid w:val="00C91449"/>
    <w:rsid w:val="00C92D10"/>
    <w:rsid w:val="00C92F79"/>
    <w:rsid w:val="00C95200"/>
    <w:rsid w:val="00C96EC0"/>
    <w:rsid w:val="00CA06F9"/>
    <w:rsid w:val="00CA14BB"/>
    <w:rsid w:val="00CA230C"/>
    <w:rsid w:val="00CA35E1"/>
    <w:rsid w:val="00CA48D9"/>
    <w:rsid w:val="00CB1193"/>
    <w:rsid w:val="00CB4767"/>
    <w:rsid w:val="00CB493D"/>
    <w:rsid w:val="00CC3B97"/>
    <w:rsid w:val="00CD6257"/>
    <w:rsid w:val="00CD7AAC"/>
    <w:rsid w:val="00CD7C0B"/>
    <w:rsid w:val="00CE10C4"/>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199"/>
    <w:rsid w:val="00D1455A"/>
    <w:rsid w:val="00D14573"/>
    <w:rsid w:val="00D14A70"/>
    <w:rsid w:val="00D207EA"/>
    <w:rsid w:val="00D211FB"/>
    <w:rsid w:val="00D22093"/>
    <w:rsid w:val="00D31150"/>
    <w:rsid w:val="00D3138B"/>
    <w:rsid w:val="00D31FCE"/>
    <w:rsid w:val="00D3280C"/>
    <w:rsid w:val="00D3406A"/>
    <w:rsid w:val="00D34D24"/>
    <w:rsid w:val="00D40B11"/>
    <w:rsid w:val="00D42864"/>
    <w:rsid w:val="00D429EC"/>
    <w:rsid w:val="00D441F1"/>
    <w:rsid w:val="00D45425"/>
    <w:rsid w:val="00D4572C"/>
    <w:rsid w:val="00D469B2"/>
    <w:rsid w:val="00D507A1"/>
    <w:rsid w:val="00D517D0"/>
    <w:rsid w:val="00D52B24"/>
    <w:rsid w:val="00D52ECF"/>
    <w:rsid w:val="00D54B09"/>
    <w:rsid w:val="00D6243E"/>
    <w:rsid w:val="00D62F11"/>
    <w:rsid w:val="00D65658"/>
    <w:rsid w:val="00D67EB2"/>
    <w:rsid w:val="00D70349"/>
    <w:rsid w:val="00D72B6F"/>
    <w:rsid w:val="00D741EB"/>
    <w:rsid w:val="00D74CEA"/>
    <w:rsid w:val="00D7679C"/>
    <w:rsid w:val="00D820F3"/>
    <w:rsid w:val="00D83605"/>
    <w:rsid w:val="00D84934"/>
    <w:rsid w:val="00D866EB"/>
    <w:rsid w:val="00D87D1A"/>
    <w:rsid w:val="00D906DA"/>
    <w:rsid w:val="00D91271"/>
    <w:rsid w:val="00D919F5"/>
    <w:rsid w:val="00D92002"/>
    <w:rsid w:val="00D945F6"/>
    <w:rsid w:val="00D94F03"/>
    <w:rsid w:val="00D95161"/>
    <w:rsid w:val="00D95C23"/>
    <w:rsid w:val="00DA0A82"/>
    <w:rsid w:val="00DA0D14"/>
    <w:rsid w:val="00DA1435"/>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6D27"/>
    <w:rsid w:val="00DE76EA"/>
    <w:rsid w:val="00DF01F8"/>
    <w:rsid w:val="00DF021D"/>
    <w:rsid w:val="00DF14EE"/>
    <w:rsid w:val="00DF217D"/>
    <w:rsid w:val="00DF26A7"/>
    <w:rsid w:val="00DF2D0E"/>
    <w:rsid w:val="00DF3277"/>
    <w:rsid w:val="00DF6A31"/>
    <w:rsid w:val="00DF77A1"/>
    <w:rsid w:val="00DF7919"/>
    <w:rsid w:val="00E0207E"/>
    <w:rsid w:val="00E02AE6"/>
    <w:rsid w:val="00E03912"/>
    <w:rsid w:val="00E04748"/>
    <w:rsid w:val="00E060AF"/>
    <w:rsid w:val="00E078D9"/>
    <w:rsid w:val="00E10293"/>
    <w:rsid w:val="00E103A0"/>
    <w:rsid w:val="00E1043F"/>
    <w:rsid w:val="00E11F44"/>
    <w:rsid w:val="00E13E60"/>
    <w:rsid w:val="00E15627"/>
    <w:rsid w:val="00E15BBC"/>
    <w:rsid w:val="00E164B3"/>
    <w:rsid w:val="00E16910"/>
    <w:rsid w:val="00E21164"/>
    <w:rsid w:val="00E239E2"/>
    <w:rsid w:val="00E24E09"/>
    <w:rsid w:val="00E27234"/>
    <w:rsid w:val="00E3495C"/>
    <w:rsid w:val="00E42BDB"/>
    <w:rsid w:val="00E524A9"/>
    <w:rsid w:val="00E53F1A"/>
    <w:rsid w:val="00E56AFB"/>
    <w:rsid w:val="00E5726D"/>
    <w:rsid w:val="00E57EEB"/>
    <w:rsid w:val="00E62D94"/>
    <w:rsid w:val="00E62ECC"/>
    <w:rsid w:val="00E64F37"/>
    <w:rsid w:val="00E65091"/>
    <w:rsid w:val="00E65393"/>
    <w:rsid w:val="00E65E54"/>
    <w:rsid w:val="00E661C7"/>
    <w:rsid w:val="00E66592"/>
    <w:rsid w:val="00E66679"/>
    <w:rsid w:val="00E732C4"/>
    <w:rsid w:val="00E74E41"/>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2F77"/>
    <w:rsid w:val="00EE3158"/>
    <w:rsid w:val="00EE31A2"/>
    <w:rsid w:val="00EE4329"/>
    <w:rsid w:val="00EE6203"/>
    <w:rsid w:val="00EF0069"/>
    <w:rsid w:val="00EF1E66"/>
    <w:rsid w:val="00EF3C52"/>
    <w:rsid w:val="00EF44A0"/>
    <w:rsid w:val="00EF4580"/>
    <w:rsid w:val="00EF4FED"/>
    <w:rsid w:val="00EF5F45"/>
    <w:rsid w:val="00EF6843"/>
    <w:rsid w:val="00EF6941"/>
    <w:rsid w:val="00EF6FB3"/>
    <w:rsid w:val="00F0068B"/>
    <w:rsid w:val="00F007C6"/>
    <w:rsid w:val="00F0172E"/>
    <w:rsid w:val="00F050BD"/>
    <w:rsid w:val="00F05657"/>
    <w:rsid w:val="00F05AB0"/>
    <w:rsid w:val="00F12C74"/>
    <w:rsid w:val="00F13214"/>
    <w:rsid w:val="00F1559A"/>
    <w:rsid w:val="00F163BE"/>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8F6"/>
    <w:rsid w:val="00F50EC4"/>
    <w:rsid w:val="00F5173A"/>
    <w:rsid w:val="00F52232"/>
    <w:rsid w:val="00F527B1"/>
    <w:rsid w:val="00F52DC2"/>
    <w:rsid w:val="00F54AF9"/>
    <w:rsid w:val="00F550CF"/>
    <w:rsid w:val="00F553D2"/>
    <w:rsid w:val="00F56A2D"/>
    <w:rsid w:val="00F57A6D"/>
    <w:rsid w:val="00F6044B"/>
    <w:rsid w:val="00F62F19"/>
    <w:rsid w:val="00F638CC"/>
    <w:rsid w:val="00F64C9E"/>
    <w:rsid w:val="00F64CC1"/>
    <w:rsid w:val="00F708B1"/>
    <w:rsid w:val="00F72317"/>
    <w:rsid w:val="00F73DC1"/>
    <w:rsid w:val="00F75BB8"/>
    <w:rsid w:val="00F77714"/>
    <w:rsid w:val="00F7796A"/>
    <w:rsid w:val="00F80475"/>
    <w:rsid w:val="00F80E6E"/>
    <w:rsid w:val="00F81390"/>
    <w:rsid w:val="00F81F7A"/>
    <w:rsid w:val="00F8247A"/>
    <w:rsid w:val="00F82E5C"/>
    <w:rsid w:val="00F83E86"/>
    <w:rsid w:val="00F83F58"/>
    <w:rsid w:val="00F85206"/>
    <w:rsid w:val="00F87C7A"/>
    <w:rsid w:val="00F87CEA"/>
    <w:rsid w:val="00F9205C"/>
    <w:rsid w:val="00F9265D"/>
    <w:rsid w:val="00F9629A"/>
    <w:rsid w:val="00F97EFC"/>
    <w:rsid w:val="00FA0B04"/>
    <w:rsid w:val="00FA0C7C"/>
    <w:rsid w:val="00FA1BDD"/>
    <w:rsid w:val="00FA305C"/>
    <w:rsid w:val="00FA462E"/>
    <w:rsid w:val="00FA4DD5"/>
    <w:rsid w:val="00FA5883"/>
    <w:rsid w:val="00FA6055"/>
    <w:rsid w:val="00FB0B39"/>
    <w:rsid w:val="00FB322F"/>
    <w:rsid w:val="00FB442F"/>
    <w:rsid w:val="00FB69F5"/>
    <w:rsid w:val="00FC118C"/>
    <w:rsid w:val="00FC1929"/>
    <w:rsid w:val="00FC5B46"/>
    <w:rsid w:val="00FC7950"/>
    <w:rsid w:val="00FD1D4F"/>
    <w:rsid w:val="00FD24BF"/>
    <w:rsid w:val="00FD3B6E"/>
    <w:rsid w:val="00FD4140"/>
    <w:rsid w:val="00FD57EB"/>
    <w:rsid w:val="00FD6D8E"/>
    <w:rsid w:val="00FE0663"/>
    <w:rsid w:val="00FE0E94"/>
    <w:rsid w:val="00FE369C"/>
    <w:rsid w:val="00FE3CD9"/>
    <w:rsid w:val="00FF00BD"/>
    <w:rsid w:val="00FF067C"/>
    <w:rsid w:val="00FF0B13"/>
    <w:rsid w:val="00FF1672"/>
    <w:rsid w:val="00FF1ED4"/>
    <w:rsid w:val="00FF2801"/>
    <w:rsid w:val="00FF4D9E"/>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qFormat/>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link w:val="tablenotesChar"/>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SR Caption"/>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5"/>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paragraph">
    <w:name w:val="paragraph"/>
    <w:basedOn w:val="Normal"/>
    <w:rsid w:val="005B1693"/>
    <w:pPr>
      <w:spacing w:before="100" w:beforeAutospacing="1" w:after="100" w:afterAutospacing="1"/>
      <w:jc w:val="left"/>
    </w:pPr>
    <w:rPr>
      <w:rFonts w:ascii="Times New Roman" w:hAnsi="Times New Roman"/>
    </w:rPr>
  </w:style>
  <w:style w:type="character" w:customStyle="1" w:styleId="CaptionChar">
    <w:name w:val="Caption Char"/>
    <w:aliases w:val="CSR Caption Char"/>
    <w:basedOn w:val="DefaultParagraphFont"/>
    <w:link w:val="Caption"/>
    <w:uiPriority w:val="35"/>
    <w:rsid w:val="00463257"/>
    <w:rPr>
      <w:rFonts w:ascii="Calibri" w:hAnsi="Calibri"/>
      <w:i/>
      <w:iCs/>
      <w:color w:val="000000" w:themeColor="text1"/>
      <w:sz w:val="18"/>
      <w:szCs w:val="18"/>
    </w:rPr>
  </w:style>
  <w:style w:type="paragraph" w:customStyle="1" w:styleId="PBACheading10">
    <w:name w:val="PBAC heading 1"/>
    <w:qFormat/>
    <w:rsid w:val="00067FE4"/>
    <w:pPr>
      <w:snapToGrid w:val="0"/>
      <w:ind w:left="720" w:hanging="720"/>
      <w:outlineLvl w:val="0"/>
    </w:pPr>
    <w:rPr>
      <w:rFonts w:ascii="Arial" w:hAnsi="Arial" w:cs="Arial"/>
      <w:b/>
      <w:sz w:val="22"/>
      <w:szCs w:val="22"/>
      <w:lang w:eastAsia="en-US"/>
    </w:rPr>
  </w:style>
  <w:style w:type="character" w:customStyle="1" w:styleId="TableTextChar1">
    <w:name w:val="Table Text Char1"/>
    <w:basedOn w:val="DefaultParagraphFont"/>
    <w:rsid w:val="003C7B13"/>
    <w:rPr>
      <w:rFonts w:ascii="Arial Narrow" w:hAnsi="Arial Narrow" w:cs="Arial"/>
      <w:color w:val="000000"/>
      <w:lang w:val="en-US"/>
    </w:rPr>
  </w:style>
  <w:style w:type="character" w:customStyle="1" w:styleId="tablenotesChar">
    <w:name w:val="table notes Char"/>
    <w:basedOn w:val="DefaultParagraphFont"/>
    <w:link w:val="tablenotes"/>
    <w:rsid w:val="003C7B13"/>
    <w:rPr>
      <w:rFonts w:ascii="Arial" w:hAnsi="Arial"/>
      <w:snapToGrid w:val="0"/>
      <w:lang w:eastAsia="en-US"/>
    </w:rPr>
  </w:style>
  <w:style w:type="paragraph" w:styleId="NormalWeb">
    <w:name w:val="Normal (Web)"/>
    <w:basedOn w:val="Normal"/>
    <w:uiPriority w:val="99"/>
    <w:semiHidden/>
    <w:unhideWhenUsed/>
    <w:rsid w:val="009561F7"/>
    <w:pPr>
      <w:spacing w:before="100" w:beforeAutospacing="1" w:after="100" w:afterAutospacing="1"/>
      <w:jc w:val="left"/>
    </w:pPr>
    <w:rPr>
      <w:rFonts w:ascii="Times New Roman" w:hAnsi="Times New Roman"/>
    </w:rPr>
  </w:style>
  <w:style w:type="paragraph" w:customStyle="1" w:styleId="3-SubsectionHeading">
    <w:name w:val="3-Subsection Heading"/>
    <w:basedOn w:val="Heading2"/>
    <w:next w:val="Normal"/>
    <w:link w:val="3-SubsectionHeadingChar"/>
    <w:qFormat/>
    <w:rsid w:val="005834B6"/>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5834B6"/>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9594141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987518354">
      <w:bodyDiv w:val="1"/>
      <w:marLeft w:val="0"/>
      <w:marRight w:val="0"/>
      <w:marTop w:val="0"/>
      <w:marBottom w:val="0"/>
      <w:divBdr>
        <w:top w:val="none" w:sz="0" w:space="0" w:color="auto"/>
        <w:left w:val="none" w:sz="0" w:space="0" w:color="auto"/>
        <w:bottom w:val="none" w:sz="0" w:space="0" w:color="auto"/>
        <w:right w:val="none" w:sz="0" w:space="0" w:color="auto"/>
      </w:divBdr>
    </w:div>
    <w:div w:id="1129737665">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49419673">
      <w:bodyDiv w:val="1"/>
      <w:marLeft w:val="0"/>
      <w:marRight w:val="0"/>
      <w:marTop w:val="0"/>
      <w:marBottom w:val="0"/>
      <w:divBdr>
        <w:top w:val="none" w:sz="0" w:space="0" w:color="auto"/>
        <w:left w:val="none" w:sz="0" w:space="0" w:color="auto"/>
        <w:bottom w:val="none" w:sz="0" w:space="0" w:color="auto"/>
        <w:right w:val="none" w:sz="0" w:space="0" w:color="auto"/>
      </w:divBdr>
    </w:div>
    <w:div w:id="158842045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99452762">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5596586">
      <w:bodyDiv w:val="1"/>
      <w:marLeft w:val="0"/>
      <w:marRight w:val="0"/>
      <w:marTop w:val="0"/>
      <w:marBottom w:val="0"/>
      <w:divBdr>
        <w:top w:val="none" w:sz="0" w:space="0" w:color="auto"/>
        <w:left w:val="none" w:sz="0" w:space="0" w:color="auto"/>
        <w:bottom w:val="none" w:sz="0" w:space="0" w:color="auto"/>
        <w:right w:val="none" w:sz="0" w:space="0" w:color="auto"/>
      </w:divBdr>
    </w:div>
    <w:div w:id="20845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2193</Words>
  <Characters>10989</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2023-06-26T06:08:00Z</dcterms:created>
  <dcterms:modified xsi:type="dcterms:W3CDTF">2023-06-26T06:10:00Z</dcterms:modified>
</cp:coreProperties>
</file>